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80" w:after="0" w:line="240" w:lineRule="auto"/>
        <w:ind w:left="0" w:right="0" w:firstLine="0"/>
        <w:jc w:val="center"/>
        <w:rPr>
          <w:sz w:val="54"/>
          <w:szCs w:val="54"/>
        </w:rPr>
      </w:pPr>
      <w:r>
        <w:rPr>
          <w:rFonts w:ascii="SimHei" w:eastAsia="SimHei" w:hAnsi="SimHei" w:cs="SimHei"/>
          <w:color w:val="425274"/>
          <w:spacing w:val="0"/>
          <w:w w:val="100"/>
          <w:position w:val="0"/>
          <w:sz w:val="54"/>
          <w:szCs w:val="54"/>
        </w:rPr>
        <w:t>噬虽</w:t>
      </w:r>
      <w:r>
        <w:rPr>
          <w:rFonts w:ascii="SimHei" w:eastAsia="SimHei" w:hAnsi="SimHei" w:cs="SimHei"/>
          <w:color w:val="4A4645"/>
          <w:spacing w:val="0"/>
          <w:w w:val="100"/>
          <w:position w:val="0"/>
          <w:sz w:val="54"/>
          <w:szCs w:val="54"/>
        </w:rPr>
        <w:t>福盾</w:t>
      </w:r>
      <w:r>
        <w:rPr>
          <w:rFonts w:ascii="SimHei" w:eastAsia="SimHei" w:hAnsi="SimHei" w:cs="SimHei"/>
          <w:color w:val="C6262B"/>
          <w:spacing w:val="0"/>
          <w:w w:val="100"/>
          <w:position w:val="0"/>
          <w:sz w:val="54"/>
          <w:szCs w:val="54"/>
        </w:rPr>
        <w:t>智慧安全颂导有</w:t>
      </w:r>
    </w:p>
    <w:p>
      <w:pPr>
        <w:pStyle w:val="Style2"/>
        <w:keepNext w:val="0"/>
        <w:keepLines w:val="0"/>
        <w:widowControl w:val="0"/>
        <w:shd w:val="clear" w:color="auto" w:fill="auto"/>
        <w:tabs>
          <w:tab w:leader="hyphen" w:pos="5645" w:val="left"/>
        </w:tabs>
        <w:bidi w:val="0"/>
        <w:spacing w:before="0" w:after="420" w:line="240" w:lineRule="auto"/>
        <w:ind w:left="0" w:right="0" w:firstLine="0"/>
        <w:jc w:val="center"/>
        <w:rPr>
          <w:sz w:val="36"/>
          <w:szCs w:val="36"/>
        </w:rPr>
      </w:pPr>
      <w:r>
        <w:rPr>
          <w:rFonts w:ascii="Palatino Linotype" w:eastAsia="Palatino Linotype" w:hAnsi="Palatino Linotype" w:cs="Palatino Linotype"/>
          <w:b/>
          <w:bCs/>
          <w:color w:val="4A4645"/>
          <w:spacing w:val="0"/>
          <w:w w:val="100"/>
          <w:position w:val="0"/>
          <w:sz w:val="26"/>
          <w:szCs w:val="26"/>
        </w:rPr>
        <w:t xml:space="preserve">BLUEDON </w:t>
      </w:r>
      <w:r>
        <w:rPr>
          <w:b/>
          <w:bCs/>
          <w:color w:val="C6262B"/>
          <w:spacing w:val="0"/>
          <w:w w:val="100"/>
          <w:position w:val="0"/>
          <w:sz w:val="26"/>
          <w:szCs w:val="26"/>
        </w:rPr>
        <w:t>——蓝盾股份</w:t>
      </w:r>
      <w:r>
        <w:rPr>
          <w:rFonts w:ascii="Palatino Linotype" w:eastAsia="Palatino Linotype" w:hAnsi="Palatino Linotype" w:cs="Palatino Linotype"/>
          <w:b/>
          <w:bCs/>
          <w:color w:val="C6262B"/>
          <w:spacing w:val="0"/>
          <w:w w:val="100"/>
          <w:position w:val="0"/>
          <w:sz w:val="26"/>
          <w:szCs w:val="26"/>
        </w:rPr>
        <w:t>:300297</w:t>
        <w:tab/>
        <w:br/>
      </w:r>
      <w:r>
        <w:rPr>
          <w:b/>
          <w:bCs/>
          <w:color w:val="000000"/>
          <w:spacing w:val="0"/>
          <w:w w:val="100"/>
          <w:position w:val="0"/>
          <w:sz w:val="36"/>
          <w:szCs w:val="36"/>
        </w:rPr>
        <w:t>蓝盾信息安全技术股份有限公司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Palatino Linotype" w:eastAsia="Palatino Linotype" w:hAnsi="Palatino Linotype" w:cs="Palatino Linotype"/>
          <w:b/>
          <w:bCs/>
          <w:color w:val="000000"/>
          <w:spacing w:val="0"/>
          <w:w w:val="100"/>
          <w:position w:val="0"/>
          <w:sz w:val="26"/>
          <w:szCs w:val="26"/>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4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703" w:right="978" w:bottom="2703" w:left="1107" w:header="0" w:footer="3" w:gutter="0"/>
          <w:pgNumType w:start="1"/>
          <w:cols w:space="720"/>
          <w:noEndnote/>
          <w:rtlGutter w:val="0"/>
          <w:docGrid w:linePitch="360"/>
        </w:sectPr>
      </w:pPr>
      <w:r>
        <w:rPr>
          <w:rFonts w:ascii="Palatino Linotype" w:eastAsia="Palatino Linotype" w:hAnsi="Palatino Linotype" w:cs="Palatino Linotype"/>
          <w:b/>
          <w:bCs/>
          <w:color w:val="000000"/>
          <w:spacing w:val="0"/>
          <w:w w:val="100"/>
          <w:position w:val="0"/>
          <w:sz w:val="26"/>
          <w:szCs w:val="26"/>
        </w:rPr>
        <w:t>2021</w:t>
      </w:r>
      <w:r>
        <w:rPr>
          <w:b/>
          <w:bCs/>
          <w:color w:val="000000"/>
          <w:spacing w:val="0"/>
          <w:w w:val="100"/>
          <w:position w:val="0"/>
          <w:sz w:val="32"/>
          <w:szCs w:val="32"/>
        </w:rPr>
        <w:t>年</w:t>
      </w:r>
      <w:r>
        <w:rPr>
          <w:rFonts w:ascii="Palatino Linotype" w:eastAsia="Palatino Linotype" w:hAnsi="Palatino Linotype" w:cs="Palatino Linotype"/>
          <w:b/>
          <w:bCs/>
          <w:color w:val="000000"/>
          <w:spacing w:val="0"/>
          <w:w w:val="100"/>
          <w:position w:val="0"/>
          <w:sz w:val="26"/>
          <w:szCs w:val="26"/>
        </w:rPr>
        <w:t>04</w:t>
      </w:r>
      <w:r>
        <w:rPr>
          <w:b/>
          <w:bCs/>
          <w:color w:val="000000"/>
          <w:spacing w:val="0"/>
          <w:w w:val="100"/>
          <w:position w:val="0"/>
          <w:sz w:val="32"/>
          <w:szCs w:val="32"/>
        </w:rPr>
        <w:t>月</w:t>
      </w:r>
    </w:p>
    <w:p>
      <w:pPr>
        <w:pStyle w:val="Style17"/>
        <w:keepNext/>
        <w:keepLines/>
        <w:widowControl w:val="0"/>
        <w:shd w:val="clear" w:color="auto" w:fill="auto"/>
        <w:bidi w:val="0"/>
        <w:spacing w:before="52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9"/>
        <w:keepNext w:val="0"/>
        <w:keepLines w:val="0"/>
        <w:widowControl w:val="0"/>
        <w:shd w:val="clear" w:color="auto" w:fill="auto"/>
        <w:bidi w:val="0"/>
        <w:spacing w:before="0" w:line="619" w:lineRule="exact"/>
        <w:ind w:left="0" w:right="0"/>
        <w:jc w:val="both"/>
      </w:pPr>
      <w:r>
        <w:rPr>
          <w:color w:val="000000"/>
          <w:spacing w:val="0"/>
          <w:w w:val="100"/>
          <w:position w:val="0"/>
        </w:rPr>
        <w:t>大华会计师事务所（特殊普通合伙）为本公司出具了保留意见的审计报告， 本公司董事会、监事会对相关事项亦有详细说明，请投资者注意阅读。</w:t>
      </w:r>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公司负责人柯宗贵、主管会计工作负责人柯明海及会计机构负责人</w:t>
      </w:r>
      <w:r>
        <w:rPr>
          <w:rFonts w:ascii="Palatino Linotype" w:eastAsia="Palatino Linotype" w:hAnsi="Palatino Linotype" w:cs="Palatino Linotype"/>
          <w:color w:val="000000"/>
          <w:spacing w:val="0"/>
          <w:w w:val="100"/>
          <w:position w:val="0"/>
          <w:sz w:val="26"/>
          <w:szCs w:val="26"/>
        </w:rPr>
        <w:t>（</w:t>
      </w:r>
      <w:r>
        <w:rPr>
          <w:color w:val="000000"/>
          <w:spacing w:val="0"/>
          <w:w w:val="100"/>
          <w:position w:val="0"/>
        </w:rPr>
        <w:t>会计主 管人员</w:t>
      </w:r>
      <w:r>
        <w:rPr>
          <w:rFonts w:ascii="Palatino Linotype" w:eastAsia="Palatino Linotype" w:hAnsi="Palatino Linotype" w:cs="Palatino Linotype"/>
          <w:color w:val="000000"/>
          <w:spacing w:val="0"/>
          <w:w w:val="100"/>
          <w:position w:val="0"/>
          <w:sz w:val="26"/>
          <w:szCs w:val="26"/>
        </w:rPr>
        <w:t>）</w:t>
      </w:r>
      <w:r>
        <w:rPr>
          <w:color w:val="000000"/>
          <w:spacing w:val="0"/>
          <w:w w:val="100"/>
          <w:position w:val="0"/>
        </w:rPr>
        <w:t>陈晓生声明：保证本年度报告中财务报告的真实、准确、完整。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ind w:left="0" w:right="0"/>
        <w:jc w:val="both"/>
      </w:pPr>
      <w:r>
        <w:rPr>
          <w:color w:val="000000"/>
          <w:spacing w:val="0"/>
          <w:w w:val="100"/>
          <w:position w:val="0"/>
        </w:rPr>
        <w:t>本公司请投资者认真阅读本年度报告全文，并特别注意下列风险因素：公 司存在投资并购及管理风险、固定资产折旧、无形资产摊销给公司经营业绩造 成的风险、技术失密和核心技术人员流失的风险、技术开发和升级滞后的风险、 应收账款风险等风险。详细内容见本报告“第四节经营情况讨论与分析之九、 （二）影响公司发展的主要风险及对策”。</w:t>
      </w:r>
    </w:p>
    <w:p>
      <w:pPr>
        <w:pStyle w:val="Style19"/>
        <w:keepNext w:val="0"/>
        <w:keepLines w:val="0"/>
        <w:widowControl w:val="0"/>
        <w:shd w:val="clear" w:color="auto" w:fill="auto"/>
        <w:bidi w:val="0"/>
        <w:spacing w:before="0" w:line="622" w:lineRule="exact"/>
        <w:ind w:left="0" w:right="0"/>
        <w:jc w:val="both"/>
      </w:pPr>
      <w:r>
        <w:rPr>
          <w:color w:val="000000"/>
          <w:spacing w:val="0"/>
          <w:w w:val="100"/>
          <w:position w:val="0"/>
        </w:rPr>
        <w:t>本年度报告中涉及未来计划或规划等前瞻性陈述的，均不构成公司对投资 者的实质承诺，投资者及相关人士均应对此保持足够的风险认识，并且应当理 解计划、预测与承诺之间的差异。敬请投资者注意投资风险。</w:t>
      </w:r>
    </w:p>
    <w:p>
      <w:pPr>
        <w:pStyle w:val="Style19"/>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 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 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6"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97"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17</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69" w:tooltip="Current Document">
        <w:r>
          <w:rPr>
            <w:color w:val="000000"/>
            <w:spacing w:val="0"/>
            <w:w w:val="100"/>
            <w:position w:val="0"/>
            <w:sz w:val="22"/>
            <w:szCs w:val="22"/>
          </w:rPr>
          <w:t>第五节 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41</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44" w:tooltip="Current Document">
        <w:r>
          <w:rPr>
            <w:color w:val="000000"/>
            <w:spacing w:val="0"/>
            <w:w w:val="100"/>
            <w:position w:val="0"/>
            <w:sz w:val="22"/>
            <w:szCs w:val="22"/>
          </w:rPr>
          <w:t>第六节 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23"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02" w:tooltip="Current Document">
        <w:r>
          <w:rPr>
            <w:color w:val="000000"/>
            <w:spacing w:val="0"/>
            <w:w w:val="100"/>
            <w:position w:val="0"/>
            <w:sz w:val="22"/>
            <w:szCs w:val="22"/>
          </w:rPr>
          <w:t>第八节 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25"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72</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63" w:tooltip="Current Document">
        <w:r>
          <w:rPr>
            <w:color w:val="000000"/>
            <w:spacing w:val="0"/>
            <w:w w:val="100"/>
            <w:position w:val="0"/>
            <w:sz w:val="22"/>
            <w:szCs w:val="22"/>
          </w:rPr>
          <w:t>第十节 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49"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86</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703"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89</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092" w:tooltip="Current Document">
        <w:r>
          <w:rPr>
            <w:color w:val="000000"/>
            <w:spacing w:val="0"/>
            <w:w w:val="100"/>
            <w:position w:val="0"/>
            <w:sz w:val="22"/>
            <w:szCs w:val="22"/>
          </w:rPr>
          <w:t>第十三节备查文件目录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260</w:t>
        </w:r>
      </w:hyperlink>
      <w:r>
        <w:br w:type="page"/>
      </w:r>
      <w:r>
        <w:fldChar w:fldCharType="end"/>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公司、本公司、母公司、蓝盾股份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柯宗庆、柯宗贵兄弟二人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华炜科技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广州华炜科技有限公司，公司全资子公司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中经汇通电子商务有限公司，公司控股子公司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汇通宝支付有限责任公司，公司全资子公司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中经汇通有限责任公司，公司持股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以上股东，且为公司控股股 东的一致行动人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福建中经汇通有限责任公司，中经汇通电子商务有限公司全资子公 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满泰科技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深圳市蓝盾满泰科技发展有限公司，公司控股子公司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用于保证信息安全的各种软件产品和相关的软硬一体化产品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根据客户需求，按行业为客户设置或组建能满足其个性化需求的信 息安全系统，提供从安全方案设计、方案实施、系统测试到系统验 收的信息安全整体解决方案，满足客户对信息安全的全方位需求</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根据客户需求提供与信息安全相关的安全测评、技术支持、安全管 理咨询、系统维护、运营管理、安全培训、安全托管等内容</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云安全运营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利用先进的云计算技术，搭建云安全综合运营平台，为客户提供诸 如网站安全防护等一系列服务，让客户得到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零部署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零维护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 一站式的智能安全防护体验</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大安全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公司近年提出的产业发展战略，通过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双轮驱动的方式， 紧抓信息安全产业外延不断扩大的机遇，发展出以网络安全为核 心，以军工安全、互联网应用安全以及云计算安全等新兴技术安全 为重要方向的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产业生态体系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雪亮工程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是充分发挥视频监控系统的作用来推进社会治安防控体系建设的 一个国家重点建设项目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软件能力成熟度模型集成，是由美国国防部与卡内基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梅隆大学和美</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国国防工业协会共同开发和制定的一套评估认证体系，</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模型 分为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级，其中</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级为最高级，标志着企业在标准化、规范 化、成熟度等方面表现优秀</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云等保高密度安全虚机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主要依据等保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color w:val="000000"/>
                <w:spacing w:val="0"/>
                <w:w w:val="100"/>
                <w:position w:val="0"/>
              </w:rPr>
              <w:t>为解决云服务客户业务系统云等保安全而设计 的产品，可从网络和通信安全、设备和计算安全、应用和数据安全、 安全管理等方面对业务系统进行防护</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容器云平台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Docker</w:t>
            </w:r>
            <w:r>
              <w:rPr>
                <w:color w:val="000000"/>
                <w:spacing w:val="0"/>
                <w:w w:val="100"/>
                <w:position w:val="0"/>
              </w:rPr>
              <w:t>容器技术，搭载</w:t>
            </w:r>
            <w:r>
              <w:rPr>
                <w:rFonts w:ascii="Times New Roman" w:eastAsia="Times New Roman" w:hAnsi="Times New Roman" w:cs="Times New Roman"/>
                <w:color w:val="000000"/>
                <w:spacing w:val="0"/>
                <w:w w:val="100"/>
                <w:position w:val="0"/>
                <w:sz w:val="18"/>
                <w:szCs w:val="18"/>
              </w:rPr>
              <w:t>Google Kubernetes</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Newben</w:t>
            </w:r>
            <w:r>
              <w:rPr>
                <w:color w:val="000000"/>
                <w:spacing w:val="0"/>
                <w:w w:val="100"/>
                <w:position w:val="0"/>
              </w:rPr>
              <w:t>自研调 度引擎，适用于多行业用户及对安全保密有高要求的单位，并可根 据用户需求进行定制与适配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即虚拟专用网络，通过对数据包的加密和数据包目标地址的转换实 现远程访问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Docker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是一个开源的应用容器引擎，可打包应用以及依赖包到一个可移植 容器中，然后发布到任何流行的</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机器上，也可以实现虚拟化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等级保护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指信息安全等级保护，是对信息和信息载体按照重要性等级分级别 进行保护的一种工作，包括定级、备案、安全建设和整改、信息安 全等级测评、信息安全检查五个阶段，要求不同安全等级的信息系 统应具有不同的安全保护能力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分级保护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涉密信息系统分级保护，根据其涉密信息系统处理信息的最高密 级，可以划分为秘密级、机密级和机密级（增强）、绝密级三个等 级，是等级保护在涉密领域的具体体现</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电磁安防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防止电磁场、电磁脉冲对各类信息、控制、通信和电子设备的攻击、 干扰和破坏，而采取的抑制防护的安全措施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云安全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一是云计算安全，是指云计算自身的安全保护；二是安全云服务， 是指传统安全产品的云化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态势感知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是一种基于环境的、动态、整体地洞悉安全风险的能力，是以安全 大数据为基础，从全局视角提升对安全威胁的发现识别、理解分析、 响应处置能力的一种方式，最终是为了决策与行动，是安全能力的 落地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人工智能防火墙</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防火墙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公司自主研发的一款基于机器学习威胁检测的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第三代防火墙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可 通过机器学习模型判定安全威胁，并能检测木马变种和未知威胁攻 击、</w:t>
            </w:r>
            <w:r>
              <w:rPr>
                <w:rFonts w:ascii="Times New Roman" w:eastAsia="Times New Roman" w:hAnsi="Times New Roman" w:cs="Times New Roman"/>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sz w:val="18"/>
                <w:szCs w:val="18"/>
              </w:rPr>
              <w:t>day</w:t>
            </w:r>
            <w:r>
              <w:rPr>
                <w:color w:val="000000"/>
                <w:spacing w:val="0"/>
                <w:w w:val="100"/>
                <w:position w:val="0"/>
              </w:rPr>
              <w:t>攻击等，误报率极低，且能做到主动防御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软件基因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软件基因''是软件体上具有功能或携带信息的二进制片段，支撑着 软件的基本构造，存储着软件生命周期的全部信息，如同生物体的 基因，具有物质性和信息性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虚拟化技术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一种资源管理技术，是将计算机的各种实体资源，如服务器、网络、 内存及存储等，予以抽象、转换后呈现出来，打破实体结构间的不 可切割的障碍，使用户可以比原本的组态更好的方式来应用这些资 源</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蓝盾信息安全技术股份有限公司限制性股票激励计划</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蓝盾信息安全技术股份有限公司公开发行的可转换公司债券，发行 规模</w:t>
            </w:r>
            <w:r>
              <w:rPr>
                <w:rFonts w:ascii="Times New Roman" w:eastAsia="Times New Roman" w:hAnsi="Times New Roman" w:cs="Times New Roman"/>
                <w:color w:val="000000"/>
                <w:spacing w:val="0"/>
                <w:w w:val="100"/>
                <w:position w:val="0"/>
                <w:sz w:val="18"/>
                <w:szCs w:val="18"/>
              </w:rPr>
              <w:t>5.38</w:t>
            </w:r>
            <w:r>
              <w:rPr>
                <w:color w:val="000000"/>
                <w:spacing w:val="0"/>
                <w:w w:val="100"/>
                <w:position w:val="0"/>
              </w:rPr>
              <w:t>亿元，于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日成功发行，并于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日起在深交所挂牌交易上市</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441" w:right="1048" w:bottom="1595" w:left="1036" w:header="0" w:footer="3" w:gutter="0"/>
          <w:cols w:space="720"/>
          <w:noEndnote/>
          <w:rtlGutter w:val="0"/>
          <w:docGrid w:linePitch="360"/>
        </w:sectPr>
      </w:pPr>
    </w:p>
    <w:p>
      <w:pPr>
        <w:pStyle w:val="Style17"/>
        <w:keepNext/>
        <w:keepLines/>
        <w:widowControl w:val="0"/>
        <w:shd w:val="clear" w:color="auto" w:fill="auto"/>
        <w:bidi w:val="0"/>
        <w:spacing w:before="48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6"/>
        <w:keepNext/>
        <w:keepLines/>
        <w:widowControl w:val="0"/>
        <w:shd w:val="clear" w:color="auto" w:fill="auto"/>
        <w:bidi w:val="0"/>
        <w:spacing w:before="0" w:after="320" w:line="240" w:lineRule="auto"/>
        <w:ind w:left="0" w:right="0" w:firstLine="240"/>
        <w:jc w:val="left"/>
      </w:pPr>
      <w:bookmarkStart w:id="6" w:name="bookmark6"/>
      <w:bookmarkStart w:id="7" w:name="bookmark7"/>
      <w:bookmarkStart w:id="8" w:name="bookmark8"/>
      <w:r>
        <w:rPr>
          <w:color w:val="000000"/>
          <w:spacing w:val="0"/>
          <w:w w:val="100"/>
          <w:position w:val="0"/>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蓝盾股份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Bluedon Information Security Technologies Co.,Ltd.</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BLUEDON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bluedon.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stock@chinabluedon.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rPr>
        <w:t>二</w:t>
      </w:r>
      <w:bookmarkEnd w:id="11"/>
      <w:r>
        <w:rPr>
          <w:color w:val="000000"/>
          <w:spacing w:val="0"/>
          <w:w w:val="100"/>
          <w:position w:val="0"/>
        </w:rPr>
        <w:t>、联系人和联系方式</w:t>
      </w:r>
      <w:bookmarkEnd w:id="10"/>
      <w:bookmarkEnd w:id="12"/>
      <w:bookmarkEnd w:id="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李根森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ligensen@chinabluedon. cn</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三</w:t>
      </w:r>
      <w:bookmarkEnd w:id="15"/>
      <w:r>
        <w:rPr>
          <w:color w:val="000000"/>
          <w:spacing w:val="0"/>
          <w:w w:val="100"/>
          <w:position w:val="0"/>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四</w:t>
      </w:r>
      <w:bookmarkEnd w:id="19"/>
      <w:r>
        <w:rPr>
          <w:color w:val="000000"/>
          <w:spacing w:val="0"/>
          <w:w w:val="100"/>
          <w:position w:val="0"/>
        </w:rPr>
        <w:t>、其他有关资料</w:t>
      </w:r>
      <w:bookmarkEnd w:id="17"/>
      <w:bookmarkEnd w:id="18"/>
      <w:bookmarkEnd w:id="20"/>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张晓辉、熊玲</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五</w:t>
      </w:r>
      <w:bookmarkEnd w:id="23"/>
      <w:r>
        <w:rPr>
          <w:color w:val="000000"/>
          <w:spacing w:val="0"/>
          <w:w w:val="100"/>
          <w:position w:val="0"/>
        </w:rPr>
        <w:t>、主要会计数据和财务指标</w:t>
      </w:r>
      <w:bookmarkEnd w:id="21"/>
      <w:bookmarkEnd w:id="22"/>
      <w:bookmarkEnd w:id="2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1,919,439,845.55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2,281,935,557.26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-1,092,545,436.06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-936,517,823.35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397,943,111.27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-1,209,600,310.60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-946,449,769.96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345,794,218.30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148,000,690.38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-288,458,944.06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169,254,449.47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7,353,524,834.93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8,640,524,189.12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9,889,170,613.39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2,756,284,468.74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3,848,684,180.14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4,443,787,786.28</w:t>
            </w:r>
          </w:p>
        </w:tc>
      </w:tr>
    </w:tbl>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006"/>
        <w:gridCol w:w="1838"/>
        <w:gridCol w:w="33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1,919,439,845.55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20,928,166.17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审计意见中非标准审计意见涉及的收入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1,024,616,147.29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1,919,439,845.55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公司报告期末至年度报告披露日股本是否因发行新股、增发、配股、股权激励行权、回购等原因发生变化且影响所有者权益</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金额</w:t>
      </w:r>
    </w:p>
    <w:p>
      <w:pPr>
        <w:pStyle w:val="Style28"/>
        <w:keepNext w:val="0"/>
        <w:keepLines w:val="0"/>
        <w:widowControl w:val="0"/>
        <w:shd w:val="clear" w:color="auto" w:fill="auto"/>
        <w:bidi w:val="0"/>
        <w:spacing w:before="0" w:after="80" w:line="240" w:lineRule="auto"/>
        <w:ind w:left="0" w:right="0" w:firstLine="0"/>
        <w:jc w:val="both"/>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26"/>
        <w:gridCol w:w="50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-0.8742</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rPr>
        <w:t>六</w:t>
      </w:r>
      <w:bookmarkEnd w:id="27"/>
      <w:r>
        <w:rPr>
          <w:color w:val="000000"/>
          <w:spacing w:val="0"/>
          <w:w w:val="100"/>
          <w:position w:val="0"/>
        </w:rPr>
        <w:t>、分季度主要财务指标</w:t>
      </w:r>
      <w:bookmarkEnd w:id="25"/>
      <w:bookmarkEnd w:id="26"/>
      <w:bookmarkEnd w:id="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172,841,375.46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325,973,737.79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344,773,190.75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201,956,009.46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-38,206,877.79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-29,321,232.09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88,172,419.48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-1,113,189,745.66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-140,641,312.42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-30,009,320.07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85,313,615.52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-1,124,263,293.63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-29,635,406.86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27,524,763.20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-7,888,414.83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157,999,748.87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rPr>
        <w:t>七</w:t>
      </w:r>
      <w:bookmarkEnd w:id="31"/>
      <w:r>
        <w:rPr>
          <w:color w:val="000000"/>
          <w:spacing w:val="0"/>
          <w:w w:val="100"/>
          <w:position w:val="0"/>
        </w:rPr>
        <w:t>、</w:t>
        <w:tab/>
        <w:t>境内外会计准则下会计数据差异</w:t>
      </w:r>
      <w:bookmarkEnd w:id="29"/>
      <w:bookmarkEnd w:id="30"/>
      <w:bookmarkEnd w:id="32"/>
    </w:p>
    <w:p>
      <w:pPr>
        <w:pStyle w:val="Style35"/>
        <w:keepNext/>
        <w:keepLines/>
        <w:widowControl w:val="0"/>
        <w:shd w:val="clear" w:color="auto" w:fill="auto"/>
        <w:tabs>
          <w:tab w:pos="395" w:val="left"/>
        </w:tabs>
        <w:bidi w:val="0"/>
        <w:spacing w:before="0" w:line="240" w:lineRule="auto"/>
        <w:ind w:left="0" w:right="0" w:firstLine="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395" w:val="left"/>
        </w:tabs>
        <w:bidi w:val="0"/>
        <w:spacing w:before="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8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rPr>
        <w:t>八</w:t>
      </w:r>
      <w:bookmarkEnd w:id="43"/>
      <w:r>
        <w:rPr>
          <w:color w:val="000000"/>
          <w:spacing w:val="0"/>
          <w:w w:val="100"/>
          <w:position w:val="0"/>
        </w:rPr>
        <w:t>、</w:t>
        <w:tab/>
        <w:t>非经常性损益项目及金额</w:t>
      </w:r>
      <w:bookmarkEnd w:id="41"/>
      <w:bookmarkEnd w:id="42"/>
      <w:bookmarkEnd w:id="44"/>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108,641,102.68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-29,684,286.64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13,328,057.42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31,730,577.53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40,043,900.60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47,240,978.00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除同公司正常经营业务相关的有效套期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97,546.74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9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-1,550,758.32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196,389.85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858,061.23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20,899,964.87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7,148,104.44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957,367.04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676,887.66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117,054,874.54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9,931,946.61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52,148,892.97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80" w:line="319"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4,155,763.90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依据国家对软件行业的总体政策导向，预期软件增值税退税的税 收优惠政策将在较长时期内保持稳定，故定义为经常性损益。</w:t>
            </w:r>
          </w:p>
        </w:tc>
      </w:tr>
    </w:tbl>
    <w:p>
      <w:pPr>
        <w:sectPr>
          <w:footnotePr>
            <w:pos w:val="pageBottom"/>
            <w:numFmt w:val="decimal"/>
            <w:numRestart w:val="continuous"/>
          </w:footnotePr>
          <w:pgSz w:w="11900" w:h="16840"/>
          <w:pgMar w:top="1441" w:right="1122" w:bottom="1499" w:left="1088" w:header="0" w:footer="3" w:gutter="0"/>
          <w:cols w:space="720"/>
          <w:noEndnote/>
          <w:rtlGutter w:val="0"/>
          <w:docGrid w:linePitch="360"/>
        </w:sectPr>
      </w:pPr>
    </w:p>
    <w:p>
      <w:pPr>
        <w:pStyle w:val="Style17"/>
        <w:keepNext/>
        <w:keepLines/>
        <w:widowControl w:val="0"/>
        <w:shd w:val="clear" w:color="auto" w:fill="auto"/>
        <w:bidi w:val="0"/>
        <w:spacing w:before="440" w:after="56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26"/>
        <w:keepNext/>
        <w:keepLines/>
        <w:widowControl w:val="0"/>
        <w:shd w:val="clear" w:color="auto" w:fill="auto"/>
        <w:bidi w:val="0"/>
        <w:spacing w:before="0" w:after="2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一</w:t>
      </w:r>
      <w:bookmarkEnd w:id="50"/>
      <w:r>
        <w:rPr>
          <w:color w:val="000000"/>
          <w:spacing w:val="0"/>
          <w:w w:val="100"/>
          <w:position w:val="0"/>
        </w:rPr>
        <w:t>、报告期内公司从事的主要业务</w:t>
      </w:r>
      <w:bookmarkEnd w:id="48"/>
      <w:bookmarkEnd w:id="49"/>
      <w:bookmarkEnd w:id="51"/>
    </w:p>
    <w:p>
      <w:pPr>
        <w:pStyle w:val="Style38"/>
        <w:keepNext w:val="0"/>
        <w:keepLines w:val="0"/>
        <w:widowControl w:val="0"/>
        <w:shd w:val="clear" w:color="auto" w:fill="auto"/>
        <w:bidi w:val="0"/>
        <w:spacing w:before="0" w:after="0" w:line="314" w:lineRule="exact"/>
        <w:ind w:left="0" w:right="0" w:firstLine="440"/>
        <w:jc w:val="both"/>
      </w:pPr>
      <w:bookmarkStart w:id="52" w:name="bookmark52"/>
      <w:r>
        <w:rPr>
          <w:b/>
          <w:bCs/>
          <w:color w:val="000000"/>
          <w:spacing w:val="0"/>
          <w:w w:val="100"/>
          <w:position w:val="0"/>
        </w:rPr>
        <w:t>（</w:t>
      </w:r>
      <w:bookmarkEnd w:id="52"/>
      <w:r>
        <w:rPr>
          <w:b/>
          <w:bCs/>
          <w:color w:val="000000"/>
          <w:spacing w:val="0"/>
          <w:w w:val="100"/>
          <w:position w:val="0"/>
        </w:rPr>
        <w:t>一）公司的主要业务和产品</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rPr>
        <w:t>1999</w:t>
      </w:r>
      <w:r>
        <w:rPr>
          <w:color w:val="000000"/>
          <w:spacing w:val="0"/>
          <w:w w:val="100"/>
          <w:position w:val="0"/>
        </w:rPr>
        <w:t>年，成立以来一直专注于网络信息安全领域，以</w:t>
      </w:r>
      <w:r>
        <w:rPr>
          <w:rFonts w:ascii="Times New Roman" w:eastAsia="Times New Roman" w:hAnsi="Times New Roman" w:cs="Times New Roman"/>
          <w:color w:val="000000"/>
          <w:spacing w:val="0"/>
          <w:w w:val="100"/>
          <w:position w:val="0"/>
        </w:rPr>
        <w:t>“</w:t>
      </w:r>
      <w:r>
        <w:rPr>
          <w:color w:val="000000"/>
          <w:spacing w:val="0"/>
          <w:w w:val="100"/>
          <w:position w:val="0"/>
        </w:rPr>
        <w:t>国际一流的信息安全企业</w:t>
      </w:r>
      <w:r>
        <w:rPr>
          <w:rFonts w:ascii="Times New Roman" w:eastAsia="Times New Roman" w:hAnsi="Times New Roman" w:cs="Times New Roman"/>
          <w:color w:val="000000"/>
          <w:spacing w:val="0"/>
          <w:w w:val="100"/>
          <w:position w:val="0"/>
        </w:rPr>
        <w:t>''</w:t>
      </w:r>
      <w:r>
        <w:rPr>
          <w:color w:val="000000"/>
          <w:spacing w:val="0"/>
          <w:w w:val="100"/>
          <w:position w:val="0"/>
        </w:rPr>
        <w:t>为战略远 景，致力于成为我国智慧安全的领导者。公司构建了以安全产品为基础，覆盖安全方案、安全服务、安全 运营的完整业务生态，为各大行业客户提供一站式的信息安全整体解决方案。同时，公司也瞄准了信息安 全外延不断扩大的趋势及</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物联网</w:t>
      </w:r>
      <w:r>
        <w:rPr>
          <w:rFonts w:ascii="Times New Roman" w:eastAsia="Times New Roman" w:hAnsi="Times New Roman" w:cs="Times New Roman"/>
          <w:color w:val="000000"/>
          <w:spacing w:val="0"/>
          <w:w w:val="100"/>
          <w:position w:val="0"/>
        </w:rPr>
        <w:t>''</w:t>
      </w:r>
      <w:r>
        <w:rPr>
          <w:color w:val="000000"/>
          <w:spacing w:val="0"/>
          <w:w w:val="100"/>
          <w:position w:val="0"/>
        </w:rPr>
        <w:t>背景下对网络信息安全性能的深度依托，通过</w:t>
      </w:r>
      <w:r>
        <w:rPr>
          <w:rFonts w:ascii="Times New Roman" w:eastAsia="Times New Roman" w:hAnsi="Times New Roman" w:cs="Times New Roman"/>
          <w:color w:val="000000"/>
          <w:spacing w:val="0"/>
          <w:w w:val="100"/>
          <w:position w:val="0"/>
        </w:rPr>
        <w:t>“</w:t>
      </w:r>
      <w:r>
        <w:rPr>
          <w:color w:val="000000"/>
          <w:spacing w:val="0"/>
          <w:w w:val="100"/>
          <w:position w:val="0"/>
        </w:rPr>
        <w:t>自主研发</w:t>
      </w:r>
      <w:r>
        <w:rPr>
          <w:rFonts w:ascii="Times New Roman" w:eastAsia="Times New Roman" w:hAnsi="Times New Roman" w:cs="Times New Roman"/>
          <w:color w:val="000000"/>
          <w:spacing w:val="0"/>
          <w:w w:val="100"/>
          <w:position w:val="0"/>
        </w:rPr>
        <w:t>+</w:t>
      </w:r>
      <w:r>
        <w:rPr>
          <w:color w:val="000000"/>
          <w:spacing w:val="0"/>
          <w:w w:val="100"/>
          <w:position w:val="0"/>
        </w:rPr>
        <w:t>投资 并购</w:t>
      </w:r>
      <w:r>
        <w:rPr>
          <w:rFonts w:ascii="Times New Roman" w:eastAsia="Times New Roman" w:hAnsi="Times New Roman" w:cs="Times New Roman"/>
          <w:color w:val="000000"/>
          <w:spacing w:val="0"/>
          <w:w w:val="100"/>
          <w:position w:val="0"/>
        </w:rPr>
        <w:t>''</w:t>
      </w:r>
      <w:r>
        <w:rPr>
          <w:color w:val="000000"/>
          <w:spacing w:val="0"/>
          <w:w w:val="100"/>
          <w:position w:val="0"/>
        </w:rPr>
        <w:t>双轮驱动的方式，持续推进</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产业发展战略，积极构建完整的</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产业生态版图。</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公司近年来不断淬炼核心关键技术，持续加大信息安全新技术开发，将人工智能、软件基因、大数据 分析、虚拟化等前沿核心技术应用于全线传统安全产品中，使其实现全面技术升级，并在业内率先推出人 工智能防火墙、深度态势感知平台、虚拟化（云）安全产品、容器云平台、云等保高密度安全虚机等一系 列具有核心竞争力的下一代网络安全技术产品，极大的提升了公司的竞争实力。同时，公司瞄准信息安全 外延不断扩展的契机，通过自主研发、合作研发以及投资并购等方式，初步实现了安全空间拓展。如公司 通过收购华炜科技，拓展至电磁安防等物理安全、军工安全领域，并积极向能效管控和立体安检领域发展； 通过收购满泰科技，以行业化的方式切入至工控安全及工业互联网安全领域；通过研发物联网智慧安防应 用管理平台、人像识别系统、智慧城市安全运营平台等产品，布局智慧城市安全运营领域；通过自主研发 和技术合作，渗透至视频监控接入安全、车辆信息安全检测等物联网安全领域。公司未来将以</w:t>
      </w:r>
      <w:r>
        <w:rPr>
          <w:rFonts w:ascii="Times New Roman" w:eastAsia="Times New Roman" w:hAnsi="Times New Roman" w:cs="Times New Roman"/>
          <w:color w:val="000000"/>
          <w:spacing w:val="0"/>
          <w:w w:val="100"/>
          <w:position w:val="0"/>
        </w:rPr>
        <w:t>“</w:t>
      </w:r>
      <w:r>
        <w:rPr>
          <w:color w:val="000000"/>
          <w:spacing w:val="0"/>
          <w:w w:val="100"/>
          <w:position w:val="0"/>
        </w:rPr>
        <w:t>自主可控</w:t>
      </w:r>
      <w:r>
        <w:rPr>
          <w:color w:val="000000"/>
          <w:spacing w:val="0"/>
          <w:w w:val="100"/>
          <w:position w:val="0"/>
        </w:rPr>
        <w:t xml:space="preserve">'' </w:t>
      </w:r>
      <w:r>
        <w:rPr>
          <w:color w:val="000000"/>
          <w:spacing w:val="0"/>
          <w:w w:val="100"/>
          <w:position w:val="0"/>
        </w:rPr>
        <w:t>为思路、以</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IT</w:t>
      </w:r>
      <w:r>
        <w:rPr>
          <w:color w:val="000000"/>
          <w:spacing w:val="0"/>
          <w:w w:val="100"/>
          <w:position w:val="0"/>
        </w:rPr>
        <w:t>安全''为切入点，逐步下沉至安全路由交换、安全可信服务器、安全存储、安全芯片 等关键信息基础设施安全领域，实现</w:t>
      </w:r>
      <w:r>
        <w:rPr>
          <w:rFonts w:ascii="Times New Roman" w:eastAsia="Times New Roman" w:hAnsi="Times New Roman" w:cs="Times New Roman"/>
          <w:color w:val="000000"/>
          <w:spacing w:val="0"/>
          <w:w w:val="100"/>
          <w:position w:val="0"/>
        </w:rPr>
        <w:t>IT</w:t>
      </w:r>
      <w:r>
        <w:rPr>
          <w:color w:val="000000"/>
          <w:spacing w:val="0"/>
          <w:w w:val="100"/>
          <w:position w:val="0"/>
        </w:rPr>
        <w:t>基础覆盖，积极参与国家新型基础设施建设。</w:t>
      </w:r>
    </w:p>
    <w:p>
      <w:pPr>
        <w:pStyle w:val="Style38"/>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报告期内，公司的主营业务所涉及的产品和服务主要包括以下几方面：</w:t>
      </w:r>
    </w:p>
    <w:p>
      <w:pPr>
        <w:pStyle w:val="Style38"/>
        <w:keepNext w:val="0"/>
        <w:keepLines w:val="0"/>
        <w:widowControl w:val="0"/>
        <w:shd w:val="clear" w:color="auto" w:fill="auto"/>
        <w:bidi w:val="0"/>
        <w:spacing w:before="0" w:after="0"/>
        <w:ind w:left="0" w:right="0" w:firstLine="440"/>
        <w:jc w:val="both"/>
      </w:pPr>
      <w:bookmarkStart w:id="53" w:name="bookmark53"/>
      <w:r>
        <w:rPr>
          <w:rFonts w:ascii="Times New Roman" w:eastAsia="Times New Roman" w:hAnsi="Times New Roman" w:cs="Times New Roman"/>
          <w:b/>
          <w:bCs/>
          <w:color w:val="000000"/>
          <w:spacing w:val="0"/>
          <w:w w:val="100"/>
          <w:position w:val="0"/>
        </w:rPr>
        <w:t>1</w:t>
      </w:r>
      <w:bookmarkEnd w:id="53"/>
      <w:r>
        <w:rPr>
          <w:b/>
          <w:bCs/>
          <w:color w:val="000000"/>
          <w:spacing w:val="0"/>
          <w:w w:val="100"/>
          <w:position w:val="0"/>
        </w:rPr>
        <w:t>、安全产品</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网络安全产品方面，公司创建性地提出了</w:t>
      </w:r>
      <w:r>
        <w:rPr>
          <w:rFonts w:ascii="Times New Roman" w:eastAsia="Times New Roman" w:hAnsi="Times New Roman" w:cs="Times New Roman"/>
          <w:color w:val="000000"/>
          <w:spacing w:val="0"/>
          <w:w w:val="100"/>
          <w:position w:val="0"/>
        </w:rPr>
        <w:t>“</w:t>
      </w:r>
      <w:r>
        <w:rPr>
          <w:color w:val="000000"/>
          <w:spacing w:val="0"/>
          <w:w w:val="100"/>
          <w:position w:val="0"/>
        </w:rPr>
        <w:t>主动、自动、联动</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动立方''产品理念，并形成了完整的</w:t>
      </w:r>
      <w:r>
        <w:rPr>
          <w:rFonts w:ascii="Times New Roman" w:eastAsia="Times New Roman" w:hAnsi="Times New Roman" w:cs="Times New Roman"/>
          <w:color w:val="000000"/>
          <w:spacing w:val="0"/>
          <w:w w:val="100"/>
          <w:position w:val="0"/>
        </w:rPr>
        <w:t>“</w:t>
      </w:r>
      <w:r>
        <w:rPr>
          <w:color w:val="000000"/>
          <w:spacing w:val="0"/>
          <w:w w:val="100"/>
          <w:position w:val="0"/>
        </w:rPr>
        <w:t>智 慧安全</w:t>
      </w:r>
      <w:r>
        <w:rPr>
          <w:color w:val="000000"/>
          <w:spacing w:val="0"/>
          <w:w w:val="100"/>
          <w:position w:val="0"/>
        </w:rPr>
        <w:t>''</w:t>
      </w:r>
      <w:r>
        <w:rPr>
          <w:color w:val="000000"/>
          <w:spacing w:val="0"/>
          <w:w w:val="100"/>
          <w:position w:val="0"/>
        </w:rPr>
        <w:t>产品体系。从安全体系来看，公司的产品覆盖了端</w:t>
      </w:r>
      <w:r>
        <w:rPr>
          <w:rFonts w:ascii="Times New Roman" w:eastAsia="Times New Roman" w:hAnsi="Times New Roman" w:cs="Times New Roman"/>
          <w:color w:val="000000"/>
          <w:spacing w:val="0"/>
          <w:w w:val="100"/>
          <w:position w:val="0"/>
        </w:rPr>
        <w:t>-</w:t>
      </w:r>
      <w:r>
        <w:rPr>
          <w:color w:val="000000"/>
          <w:spacing w:val="0"/>
          <w:w w:val="100"/>
          <w:position w:val="0"/>
        </w:rPr>
        <w:t>管</w:t>
      </w:r>
      <w:r>
        <w:rPr>
          <w:rFonts w:ascii="Times New Roman" w:eastAsia="Times New Roman" w:hAnsi="Times New Roman" w:cs="Times New Roman"/>
          <w:color w:val="000000"/>
          <w:spacing w:val="0"/>
          <w:w w:val="100"/>
          <w:position w:val="0"/>
        </w:rPr>
        <w:t>-</w:t>
      </w:r>
      <w:r>
        <w:rPr>
          <w:color w:val="000000"/>
          <w:spacing w:val="0"/>
          <w:w w:val="100"/>
          <w:position w:val="0"/>
        </w:rPr>
        <w:t>云的端到端的产品系列，从产品类型来看, 公司的安全产品涵盖了云安全、边界安全、应用安全、审计安全、安全管理、物理空间安全、移动安全、 大数据安全等类型，各项产品均通过国家公安部信息测评中心、安全、军队、国家保密测评中心等权威主 管部门检测认证，并实现了全线安全产品的人工智能化和国产化。公司主要产品情况如下：</w:t>
      </w:r>
    </w:p>
    <w:p>
      <w:pPr>
        <w:pStyle w:val="Style38"/>
        <w:keepNext w:val="0"/>
        <w:keepLines w:val="0"/>
        <w:widowControl w:val="0"/>
        <w:shd w:val="clear" w:color="auto" w:fill="auto"/>
        <w:tabs>
          <w:tab w:pos="956" w:val="left"/>
        </w:tabs>
        <w:bidi w:val="0"/>
        <w:spacing w:before="0" w:after="0" w:line="317" w:lineRule="exact"/>
        <w:ind w:left="0" w:right="0" w:firstLine="440"/>
        <w:jc w:val="both"/>
      </w:pPr>
      <w:bookmarkStart w:id="54" w:name="bookmark54"/>
      <w:r>
        <w:rPr>
          <w:color w:val="000000"/>
          <w:spacing w:val="0"/>
          <w:w w:val="100"/>
          <w:position w:val="0"/>
        </w:rPr>
        <w:t>（</w:t>
      </w:r>
      <w:bookmarkEnd w:id="54"/>
      <w:r>
        <w:rPr>
          <w:rFonts w:ascii="Times New Roman" w:eastAsia="Times New Roman" w:hAnsi="Times New Roman" w:cs="Times New Roman"/>
          <w:color w:val="000000"/>
          <w:spacing w:val="0"/>
          <w:w w:val="100"/>
          <w:position w:val="0"/>
        </w:rPr>
        <w:t>1</w:t>
      </w:r>
      <w:r>
        <w:rPr>
          <w:color w:val="000000"/>
          <w:spacing w:val="0"/>
          <w:w w:val="100"/>
          <w:position w:val="0"/>
        </w:rPr>
        <w:t>）</w:t>
        <w:tab/>
        <w:t>云安全产品：蓝盾云安全产品基于信息系统安全等级保护要求、</w:t>
      </w:r>
      <w:r>
        <w:rPr>
          <w:rFonts w:ascii="Times New Roman" w:eastAsia="Times New Roman" w:hAnsi="Times New Roman" w:cs="Times New Roman"/>
          <w:color w:val="000000"/>
          <w:spacing w:val="0"/>
          <w:w w:val="100"/>
          <w:position w:val="0"/>
        </w:rPr>
        <w:t>CSA</w:t>
      </w:r>
      <w:r>
        <w:rPr>
          <w:color w:val="000000"/>
          <w:spacing w:val="0"/>
          <w:w w:val="100"/>
          <w:position w:val="0"/>
        </w:rPr>
        <w:t>安全技术标准要求，可对 云内网络和通信安全、设备和计算安全、应用和数据安全进行防护，可按需灵活部署，实现云租户自定义 安全能力，主要包括云监测、云桌面、安全云平台（云防线）、云管理、虚拟化（云）安全、容器云等产 品。</w:t>
      </w:r>
    </w:p>
    <w:p>
      <w:pPr>
        <w:pStyle w:val="Style38"/>
        <w:keepNext w:val="0"/>
        <w:keepLines w:val="0"/>
        <w:widowControl w:val="0"/>
        <w:shd w:val="clear" w:color="auto" w:fill="auto"/>
        <w:tabs>
          <w:tab w:pos="961" w:val="left"/>
        </w:tabs>
        <w:bidi w:val="0"/>
        <w:spacing w:before="0" w:after="0" w:line="317" w:lineRule="exact"/>
        <w:ind w:left="0" w:right="0" w:firstLine="440"/>
        <w:jc w:val="both"/>
      </w:pPr>
      <w:bookmarkStart w:id="55" w:name="bookmark55"/>
      <w:r>
        <w:rPr>
          <w:color w:val="000000"/>
          <w:spacing w:val="0"/>
          <w:w w:val="100"/>
          <w:position w:val="0"/>
        </w:rPr>
        <w:t>（</w:t>
      </w:r>
      <w:bookmarkEnd w:id="55"/>
      <w:r>
        <w:rPr>
          <w:rFonts w:ascii="Times New Roman" w:eastAsia="Times New Roman" w:hAnsi="Times New Roman" w:cs="Times New Roman"/>
          <w:color w:val="000000"/>
          <w:spacing w:val="0"/>
          <w:w w:val="100"/>
          <w:position w:val="0"/>
        </w:rPr>
        <w:t>2</w:t>
      </w:r>
      <w:r>
        <w:rPr>
          <w:color w:val="000000"/>
          <w:spacing w:val="0"/>
          <w:w w:val="100"/>
          <w:position w:val="0"/>
        </w:rPr>
        <w:t>）</w:t>
        <w:tab/>
        <w:t>边界安全产品：部署在安全域的边界上，用于防御安全域外部对内部网络</w:t>
      </w:r>
      <w:r>
        <w:rPr>
          <w:rFonts w:ascii="Times New Roman" w:eastAsia="Times New Roman" w:hAnsi="Times New Roman" w:cs="Times New Roman"/>
          <w:color w:val="000000"/>
          <w:spacing w:val="0"/>
          <w:w w:val="100"/>
          <w:position w:val="0"/>
        </w:rPr>
        <w:t>/</w:t>
      </w:r>
      <w:r>
        <w:rPr>
          <w:color w:val="000000"/>
          <w:spacing w:val="0"/>
          <w:w w:val="100"/>
          <w:position w:val="0"/>
        </w:rPr>
        <w:t>主机设备进行攻击、 渗透或安全域内部网络</w:t>
      </w:r>
      <w:r>
        <w:rPr>
          <w:rFonts w:ascii="Times New Roman" w:eastAsia="Times New Roman" w:hAnsi="Times New Roman" w:cs="Times New Roman"/>
          <w:color w:val="000000"/>
          <w:spacing w:val="0"/>
          <w:w w:val="100"/>
          <w:position w:val="0"/>
        </w:rPr>
        <w:t>/</w:t>
      </w:r>
      <w:r>
        <w:rPr>
          <w:color w:val="000000"/>
          <w:spacing w:val="0"/>
          <w:w w:val="100"/>
          <w:position w:val="0"/>
        </w:rPr>
        <w:t>主机设备向外部泄漏敏感信息的信息安全产品，主要包括防火墙、</w:t>
      </w:r>
      <w:r>
        <w:rPr>
          <w:rFonts w:ascii="Times New Roman" w:eastAsia="Times New Roman" w:hAnsi="Times New Roman" w:cs="Times New Roman"/>
          <w:color w:val="000000"/>
          <w:spacing w:val="0"/>
          <w:w w:val="100"/>
          <w:position w:val="0"/>
        </w:rPr>
        <w:t>AI</w:t>
      </w:r>
      <w:r>
        <w:rPr>
          <w:color w:val="000000"/>
          <w:spacing w:val="0"/>
          <w:w w:val="100"/>
          <w:position w:val="0"/>
        </w:rPr>
        <w:t>防火墙、防毒 墙、入侵检测系统、入侵防御系统、漏洞扫描系统、</w:t>
      </w:r>
      <w:r>
        <w:rPr>
          <w:rFonts w:ascii="Times New Roman" w:eastAsia="Times New Roman" w:hAnsi="Times New Roman" w:cs="Times New Roman"/>
          <w:color w:val="000000"/>
          <w:spacing w:val="0"/>
          <w:w w:val="100"/>
          <w:position w:val="0"/>
        </w:rPr>
        <w:t>VPN</w:t>
      </w:r>
      <w:r>
        <w:rPr>
          <w:color w:val="000000"/>
          <w:spacing w:val="0"/>
          <w:w w:val="100"/>
          <w:position w:val="0"/>
        </w:rPr>
        <w:t>安全网关、</w:t>
      </w:r>
      <w:r>
        <w:rPr>
          <w:rFonts w:ascii="Times New Roman" w:eastAsia="Times New Roman" w:hAnsi="Times New Roman" w:cs="Times New Roman"/>
          <w:color w:val="000000"/>
          <w:spacing w:val="0"/>
          <w:w w:val="100"/>
          <w:position w:val="0"/>
        </w:rPr>
        <w:t>DDoS</w:t>
      </w:r>
      <w:r>
        <w:rPr>
          <w:color w:val="000000"/>
          <w:spacing w:val="0"/>
          <w:w w:val="100"/>
          <w:position w:val="0"/>
        </w:rPr>
        <w:t>防御网关、网闸、流量控制管 理系统、综合安全网关、安全隔离与信息交换系统、安全隔离与信息单向导入系统、信息安全共享控制平 台等产品。</w:t>
      </w:r>
    </w:p>
    <w:p>
      <w:pPr>
        <w:pStyle w:val="Style38"/>
        <w:keepNext w:val="0"/>
        <w:keepLines w:val="0"/>
        <w:widowControl w:val="0"/>
        <w:shd w:val="clear" w:color="auto" w:fill="auto"/>
        <w:tabs>
          <w:tab w:pos="961" w:val="left"/>
        </w:tabs>
        <w:bidi w:val="0"/>
        <w:spacing w:before="0" w:after="0" w:line="317" w:lineRule="exact"/>
        <w:ind w:left="0" w:right="0" w:firstLine="440"/>
        <w:jc w:val="both"/>
      </w:pPr>
      <w:bookmarkStart w:id="56" w:name="bookmark56"/>
      <w:r>
        <w:rPr>
          <w:color w:val="000000"/>
          <w:spacing w:val="0"/>
          <w:w w:val="100"/>
          <w:position w:val="0"/>
        </w:rPr>
        <w:t>（</w:t>
      </w:r>
      <w:bookmarkEnd w:id="56"/>
      <w:r>
        <w:rPr>
          <w:rFonts w:ascii="Times New Roman" w:eastAsia="Times New Roman" w:hAnsi="Times New Roman" w:cs="Times New Roman"/>
          <w:color w:val="000000"/>
          <w:spacing w:val="0"/>
          <w:w w:val="100"/>
          <w:position w:val="0"/>
        </w:rPr>
        <w:t>3</w:t>
      </w:r>
      <w:r>
        <w:rPr>
          <w:color w:val="000000"/>
          <w:spacing w:val="0"/>
          <w:w w:val="100"/>
          <w:position w:val="0"/>
        </w:rPr>
        <w:t>）</w:t>
        <w:tab/>
        <w:t>安全管理产品：在统一的管理平台系统中集成了终端管理、网络管理、业务系统管理、资产管 理等诸多功能，对内部网络安全域内所有计算机以及网络资源上的重要信息进行安全管理的产品，主要包 括态势感知平台、安全综合运维管理平台、内网安全管理及审计系统、业务监控系统、网络准入系统、移 动存储介质安全管理系统、威胁分析系统等产品。</w:t>
      </w:r>
    </w:p>
    <w:p>
      <w:pPr>
        <w:pStyle w:val="Style38"/>
        <w:keepNext w:val="0"/>
        <w:keepLines w:val="0"/>
        <w:widowControl w:val="0"/>
        <w:numPr>
          <w:ilvl w:val="0"/>
          <w:numId w:val="1"/>
        </w:numPr>
        <w:shd w:val="clear" w:color="auto" w:fill="auto"/>
        <w:tabs>
          <w:tab w:pos="961" w:val="left"/>
        </w:tabs>
        <w:bidi w:val="0"/>
        <w:spacing w:before="0" w:after="0" w:line="322" w:lineRule="exact"/>
        <w:ind w:left="0" w:right="0" w:firstLine="440"/>
        <w:jc w:val="both"/>
      </w:pPr>
      <w:bookmarkStart w:id="57" w:name="bookmark57"/>
      <w:bookmarkEnd w:id="57"/>
      <w:r>
        <w:rPr>
          <w:color w:val="000000"/>
          <w:spacing w:val="0"/>
          <w:w w:val="100"/>
          <w:position w:val="0"/>
        </w:rPr>
        <w:t>应用安全产品：部署在特定的应用系统中，用于保障应用安全的信息安全产品，主要包括网页 防篡改保护系统、</w:t>
      </w:r>
      <w:r>
        <w:rPr>
          <w:rFonts w:ascii="Times New Roman" w:eastAsia="Times New Roman" w:hAnsi="Times New Roman" w:cs="Times New Roman"/>
          <w:color w:val="000000"/>
          <w:spacing w:val="0"/>
          <w:w w:val="100"/>
          <w:position w:val="0"/>
        </w:rPr>
        <w:t>Web</w:t>
      </w:r>
      <w:r>
        <w:rPr>
          <w:color w:val="000000"/>
          <w:spacing w:val="0"/>
          <w:w w:val="100"/>
          <w:position w:val="0"/>
        </w:rPr>
        <w:t>应用防护系统、电子文档安全管理系统、反垃圾邮件系统、服务器管理系统、黑客 追踪系统等产品。</w:t>
      </w:r>
    </w:p>
    <w:p>
      <w:pPr>
        <w:pStyle w:val="Style38"/>
        <w:keepNext w:val="0"/>
        <w:keepLines w:val="0"/>
        <w:widowControl w:val="0"/>
        <w:numPr>
          <w:ilvl w:val="0"/>
          <w:numId w:val="1"/>
        </w:numPr>
        <w:shd w:val="clear" w:color="auto" w:fill="auto"/>
        <w:bidi w:val="0"/>
        <w:spacing w:before="0" w:after="0" w:line="322" w:lineRule="exact"/>
        <w:ind w:left="0" w:right="0" w:firstLine="440"/>
        <w:jc w:val="both"/>
      </w:pPr>
      <w:bookmarkStart w:id="58" w:name="bookmark58"/>
      <w:bookmarkEnd w:id="58"/>
      <w:r>
        <w:rPr>
          <w:color w:val="000000"/>
          <w:spacing w:val="0"/>
          <w:w w:val="100"/>
          <w:position w:val="0"/>
        </w:rPr>
        <w:t xml:space="preserve"> 审计安全产品：通过网络数据的采集、分析、识别，实时动态监测通信内容、网络行为和网络 流量，发现和捕获各种敏感信息、入侵行为和违规行为，实时报警响应并为用户提供取证手段的信息安全 产品，主要包括业务应用安全审计平台、信息安全管理审计系统、账号集中管理与审计系统、数据库及业 务应用安全监控审计系统、互联网审计系统、全网搜索系统等产品。</w:t>
      </w:r>
    </w:p>
    <w:p>
      <w:pPr>
        <w:pStyle w:val="Style38"/>
        <w:keepNext w:val="0"/>
        <w:keepLines w:val="0"/>
        <w:widowControl w:val="0"/>
        <w:numPr>
          <w:ilvl w:val="0"/>
          <w:numId w:val="1"/>
        </w:numPr>
        <w:shd w:val="clear" w:color="auto" w:fill="auto"/>
        <w:tabs>
          <w:tab w:pos="961" w:val="left"/>
        </w:tabs>
        <w:bidi w:val="0"/>
        <w:spacing w:before="0" w:after="0" w:line="322" w:lineRule="exact"/>
        <w:ind w:left="0" w:right="0" w:firstLine="440"/>
        <w:jc w:val="both"/>
      </w:pPr>
      <w:bookmarkStart w:id="59" w:name="bookmark59"/>
      <w:bookmarkEnd w:id="59"/>
      <w:r>
        <w:rPr>
          <w:color w:val="000000"/>
          <w:spacing w:val="0"/>
          <w:w w:val="100"/>
          <w:position w:val="0"/>
        </w:rPr>
        <w:t>物理空间安全产品：用以保护环境、设备、设施以及介质免遭物理破坏以及维护公共空间安防 等安全产品，主要包括电磁安防系列产品、智慧安防系列产品、雷达监测系列产品、车辆信息安全检测、 工控安全监测及自动化等产品。</w:t>
      </w:r>
    </w:p>
    <w:p>
      <w:pPr>
        <w:pStyle w:val="Style38"/>
        <w:keepNext w:val="0"/>
        <w:keepLines w:val="0"/>
        <w:widowControl w:val="0"/>
        <w:numPr>
          <w:ilvl w:val="0"/>
          <w:numId w:val="1"/>
        </w:numPr>
        <w:shd w:val="clear" w:color="auto" w:fill="auto"/>
        <w:tabs>
          <w:tab w:pos="961" w:val="left"/>
        </w:tabs>
        <w:bidi w:val="0"/>
        <w:spacing w:before="0" w:after="0" w:line="322" w:lineRule="exact"/>
        <w:ind w:left="0" w:right="0" w:firstLine="440"/>
        <w:jc w:val="both"/>
      </w:pPr>
      <w:bookmarkStart w:id="60" w:name="bookmark60"/>
      <w:bookmarkEnd w:id="60"/>
      <w:r>
        <w:rPr>
          <w:color w:val="000000"/>
          <w:spacing w:val="0"/>
          <w:w w:val="100"/>
          <w:position w:val="0"/>
        </w:rPr>
        <w:t>工控安全产品：为工业控制系统提供安全防护，主要包括工控防火墙、工业审计系统、工控主 机卫士、工控统一安全管控平台、电力工控安全综合监测系统等工业安全产品。</w:t>
      </w:r>
    </w:p>
    <w:p>
      <w:pPr>
        <w:pStyle w:val="Style38"/>
        <w:keepNext w:val="0"/>
        <w:keepLines w:val="0"/>
        <w:widowControl w:val="0"/>
        <w:numPr>
          <w:ilvl w:val="0"/>
          <w:numId w:val="1"/>
        </w:numPr>
        <w:shd w:val="clear" w:color="auto" w:fill="auto"/>
        <w:bidi w:val="0"/>
        <w:spacing w:before="0" w:after="0" w:line="322" w:lineRule="exact"/>
        <w:ind w:left="0" w:right="0" w:firstLine="440"/>
        <w:jc w:val="both"/>
      </w:pPr>
      <w:bookmarkStart w:id="61" w:name="bookmark61"/>
      <w:bookmarkEnd w:id="61"/>
      <w:r>
        <w:rPr>
          <w:color w:val="000000"/>
          <w:spacing w:val="0"/>
          <w:w w:val="100"/>
          <w:position w:val="0"/>
        </w:rPr>
        <w:t xml:space="preserve"> 大数据安全产品：基于大数据的数据分析和人工智能算法，推出了大数据的安全检测和配置合 法合规安全产品，以及基于大数据的安全态势感知和安全管理产品</w:t>
      </w:r>
      <w:r>
        <w:rPr>
          <w:color w:val="000000"/>
          <w:spacing w:val="0"/>
          <w:w w:val="100"/>
          <w:position w:val="0"/>
        </w:rPr>
        <w:t>(</w:t>
      </w:r>
      <w:r>
        <w:rPr>
          <w:rFonts w:ascii="Times New Roman" w:eastAsia="Times New Roman" w:hAnsi="Times New Roman" w:cs="Times New Roman"/>
          <w:color w:val="000000"/>
          <w:spacing w:val="0"/>
          <w:w w:val="100"/>
          <w:position w:val="0"/>
        </w:rPr>
        <w:t>SOC</w:t>
      </w:r>
      <w:r>
        <w:rPr>
          <w:color w:val="000000"/>
          <w:spacing w:val="0"/>
          <w:w w:val="100"/>
          <w:position w:val="0"/>
        </w:rPr>
        <w:t>)</w:t>
      </w:r>
      <w:r>
        <w:rPr>
          <w:color w:val="000000"/>
          <w:spacing w:val="0"/>
          <w:w w:val="100"/>
          <w:position w:val="0"/>
        </w:rPr>
        <w:t>等产品。</w:t>
      </w:r>
    </w:p>
    <w:p>
      <w:pPr>
        <w:pStyle w:val="Style38"/>
        <w:keepNext w:val="0"/>
        <w:keepLines w:val="0"/>
        <w:widowControl w:val="0"/>
        <w:numPr>
          <w:ilvl w:val="0"/>
          <w:numId w:val="1"/>
        </w:numPr>
        <w:shd w:val="clear" w:color="auto" w:fill="auto"/>
        <w:tabs>
          <w:tab w:pos="948" w:val="left"/>
        </w:tabs>
        <w:bidi w:val="0"/>
        <w:spacing w:before="0" w:after="120" w:line="322" w:lineRule="exact"/>
        <w:ind w:left="0" w:right="0" w:firstLine="440"/>
        <w:jc w:val="both"/>
      </w:pPr>
      <w:bookmarkStart w:id="62" w:name="bookmark62"/>
      <w:bookmarkEnd w:id="62"/>
      <w:r>
        <w:rPr>
          <w:color w:val="000000"/>
          <w:spacing w:val="0"/>
          <w:w w:val="100"/>
          <w:position w:val="0"/>
        </w:rPr>
        <w:t>保密检查产品：为满足政府、军队、军工等重要涉密机构的保密需求，公司推出了互联网门户 网站保密检查平台、互联网接入口保密检查系统、计算机终端保密检查系统、邮件保密检查系统等产品。</w:t>
      </w:r>
    </w:p>
    <w:p>
      <w:pPr>
        <w:pStyle w:val="Style38"/>
        <w:keepNext w:val="0"/>
        <w:keepLines w:val="0"/>
        <w:widowControl w:val="0"/>
        <w:shd w:val="clear" w:color="auto" w:fill="auto"/>
        <w:tabs>
          <w:tab w:pos="768" w:val="left"/>
        </w:tabs>
        <w:bidi w:val="0"/>
        <w:spacing w:before="0" w:after="0" w:line="336" w:lineRule="auto"/>
        <w:ind w:left="0" w:right="0" w:firstLine="440"/>
        <w:jc w:val="both"/>
      </w:pPr>
      <w:bookmarkStart w:id="63" w:name="bookmark63"/>
      <w:r>
        <w:rPr>
          <w:rFonts w:ascii="Times New Roman" w:eastAsia="Times New Roman" w:hAnsi="Times New Roman" w:cs="Times New Roman"/>
          <w:b/>
          <w:bCs/>
          <w:color w:val="000000"/>
          <w:spacing w:val="0"/>
          <w:w w:val="100"/>
          <w:position w:val="0"/>
        </w:rPr>
        <w:t>2</w:t>
      </w:r>
      <w:bookmarkEnd w:id="63"/>
      <w:r>
        <w:rPr>
          <w:b/>
          <w:bCs/>
          <w:color w:val="000000"/>
          <w:spacing w:val="0"/>
          <w:w w:val="100"/>
          <w:position w:val="0"/>
        </w:rPr>
        <w:t>、</w:t>
        <w:tab/>
        <w:t>安全解决方案</w:t>
      </w:r>
    </w:p>
    <w:p>
      <w:pPr>
        <w:pStyle w:val="Style38"/>
        <w:keepNext w:val="0"/>
        <w:keepLines w:val="0"/>
        <w:widowControl w:val="0"/>
        <w:shd w:val="clear" w:color="auto" w:fill="auto"/>
        <w:bidi w:val="0"/>
        <w:spacing w:before="0" w:after="120" w:line="313" w:lineRule="exact"/>
        <w:ind w:left="0" w:right="0" w:firstLine="440"/>
        <w:jc w:val="left"/>
      </w:pPr>
      <w:r>
        <w:rPr>
          <w:color w:val="000000"/>
          <w:spacing w:val="0"/>
          <w:w w:val="100"/>
          <w:position w:val="0"/>
        </w:rPr>
        <w:t>随着我国信息化及互联网的深入发展，客户对信息安全的需求已不仅仅停留在安全产品堆叠的层面， 更需要把安全作为系统搭建的基础及核心考虑因素之一，从而构建智能、联动、全面、可感知的整体安全 防护体系。同时，随着虚拟化、云计算技术的广泛应用，信息安全行业的竞争逐渐从安全产品的竞争发展 成为安全能力及安全解决方案的竞争。公司作为国内最早的信息安全解决方案提供商之一，通过多年来的 行业积累，以行业最佳实践和国际标准为基础，组建了蓝盾解决方案中心，全面推进</w:t>
      </w:r>
      <w:r>
        <w:rPr>
          <w:rFonts w:ascii="Times New Roman" w:eastAsia="Times New Roman" w:hAnsi="Times New Roman" w:cs="Times New Roman"/>
          <w:color w:val="000000"/>
          <w:spacing w:val="0"/>
          <w:w w:val="100"/>
          <w:position w:val="0"/>
        </w:rPr>
        <w:t>“</w:t>
      </w:r>
      <w:r>
        <w:rPr>
          <w:color w:val="000000"/>
          <w:spacing w:val="0"/>
          <w:w w:val="100"/>
          <w:position w:val="0"/>
        </w:rPr>
        <w:t>解决方案驱动''的新 模式，将公司的行业经验、产品研发经验与客户需求进行提炼，结合新技术的应用，形成以解决行业发展 需求为基础的专业安全解决方案。公司目前已在政府、公安、教育、军工、医疗、电信、金融、交通、电 力、制造、税务、环保、运营商等十多个行业以及等级保护、分级保护、雪亮工程、智能社区、智慧城市、 人脸识别、数据安全、网站安全、工控安全、电磁安防、应急管理、区域信息化、安全教育校企合作、安 全整体外包服务、安全综合管理等应用领域形成成熟的一站式安全解决方案，并通过行业化营销的方式， 在各大行业迅速渗透。</w:t>
      </w:r>
    </w:p>
    <w:p>
      <w:pPr>
        <w:pStyle w:val="Style38"/>
        <w:keepNext w:val="0"/>
        <w:keepLines w:val="0"/>
        <w:widowControl w:val="0"/>
        <w:shd w:val="clear" w:color="auto" w:fill="auto"/>
        <w:tabs>
          <w:tab w:pos="768" w:val="left"/>
        </w:tabs>
        <w:bidi w:val="0"/>
        <w:spacing w:before="0" w:after="0" w:line="326" w:lineRule="auto"/>
        <w:ind w:left="0" w:right="0" w:firstLine="440"/>
        <w:jc w:val="both"/>
      </w:pPr>
      <w:bookmarkStart w:id="64" w:name="bookmark64"/>
      <w:r>
        <w:rPr>
          <w:rFonts w:ascii="Times New Roman" w:eastAsia="Times New Roman" w:hAnsi="Times New Roman" w:cs="Times New Roman"/>
          <w:b/>
          <w:bCs/>
          <w:color w:val="000000"/>
          <w:spacing w:val="0"/>
          <w:w w:val="100"/>
          <w:position w:val="0"/>
        </w:rPr>
        <w:t>3</w:t>
      </w:r>
      <w:bookmarkEnd w:id="64"/>
      <w:r>
        <w:rPr>
          <w:b/>
          <w:bCs/>
          <w:color w:val="000000"/>
          <w:spacing w:val="0"/>
          <w:w w:val="100"/>
          <w:position w:val="0"/>
        </w:rPr>
        <w:t>、</w:t>
        <w:tab/>
        <w:t>安全服务</w:t>
      </w:r>
    </w:p>
    <w:p>
      <w:pPr>
        <w:pStyle w:val="Style38"/>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安全服务方面，公司根据客户的实际需求，提供包括运维服务、紧急响应服务、等级保护、网络安全 评估、系统集成与安装服务、软件开发服务、技术支持、远程监控服务、网络防病毒服务、安全管理策略 服务、安全培训服务、安全信息通告服务、安全巡检服务、数据库专项服务、安全加固服务、</w:t>
      </w:r>
      <w:r>
        <w:rPr>
          <w:rFonts w:ascii="Times New Roman" w:eastAsia="Times New Roman" w:hAnsi="Times New Roman" w:cs="Times New Roman"/>
          <w:color w:val="000000"/>
          <w:spacing w:val="0"/>
          <w:w w:val="100"/>
          <w:position w:val="0"/>
        </w:rPr>
        <w:t>ISO27000</w:t>
      </w:r>
      <w:r>
        <w:rPr>
          <w:color w:val="000000"/>
          <w:spacing w:val="0"/>
          <w:w w:val="100"/>
          <w:position w:val="0"/>
        </w:rPr>
        <w:t>体 系建设服务、业务流评估服务、体系建设咨询、安全事件处置和应急预案服务等全方位的专业安全服务。 此外，公司依托完整的云安全系列产品，不断完善云安全运营服务体系，通过建设一站式安全云计算体系， 全方位升级公司的云端安全防护服务能力水平，并通过自建以及与</w:t>
      </w:r>
      <w:r>
        <w:rPr>
          <w:rFonts w:ascii="Times New Roman" w:eastAsia="Times New Roman" w:hAnsi="Times New Roman" w:cs="Times New Roman"/>
          <w:color w:val="000000"/>
          <w:spacing w:val="0"/>
          <w:w w:val="100"/>
          <w:position w:val="0"/>
        </w:rPr>
        <w:t>I DC</w:t>
      </w:r>
      <w:r>
        <w:rPr>
          <w:color w:val="000000"/>
          <w:spacing w:val="0"/>
          <w:w w:val="100"/>
          <w:position w:val="0"/>
        </w:rPr>
        <w:t>、</w:t>
      </w:r>
      <w:r>
        <w:rPr>
          <w:color w:val="000000"/>
          <w:spacing w:val="0"/>
          <w:w w:val="100"/>
          <w:position w:val="0"/>
        </w:rPr>
        <w:t>电信运营商合作运营等模式，将 云计算解决方案能力及云安全服务能力打造为公司的核心能力之一。</w:t>
      </w:r>
    </w:p>
    <w:p>
      <w:pPr>
        <w:pStyle w:val="Style38"/>
        <w:keepNext w:val="0"/>
        <w:keepLines w:val="0"/>
        <w:widowControl w:val="0"/>
        <w:shd w:val="clear" w:color="auto" w:fill="auto"/>
        <w:tabs>
          <w:tab w:pos="768" w:val="left"/>
        </w:tabs>
        <w:bidi w:val="0"/>
        <w:spacing w:before="0" w:after="0" w:line="326" w:lineRule="auto"/>
        <w:ind w:left="0" w:right="0" w:firstLine="440"/>
        <w:jc w:val="both"/>
      </w:pPr>
      <w:bookmarkStart w:id="65" w:name="bookmark65"/>
      <w:r>
        <w:rPr>
          <w:rFonts w:ascii="Times New Roman" w:eastAsia="Times New Roman" w:hAnsi="Times New Roman" w:cs="Times New Roman"/>
          <w:b/>
          <w:bCs/>
          <w:color w:val="000000"/>
          <w:spacing w:val="0"/>
          <w:w w:val="100"/>
          <w:position w:val="0"/>
        </w:rPr>
        <w:t>4</w:t>
      </w:r>
      <w:bookmarkEnd w:id="65"/>
      <w:r>
        <w:rPr>
          <w:b/>
          <w:bCs/>
          <w:color w:val="000000"/>
          <w:spacing w:val="0"/>
          <w:w w:val="100"/>
          <w:position w:val="0"/>
        </w:rPr>
        <w:t>、</w:t>
        <w:tab/>
        <w:t>电商运营服务</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子公司中经电商及汇通宝作为公司电商运营服务业务的运营主体，通过向油品零售商、电信运营商、 银行、保险机构、商超、百货、餐饮、汽车服务等商户提供网络营销、运营管理、客户管理以及积分管理 等推广运营服务、系统服务和增值服务，并将非油商户推广运营服务、增值服务作为发展重心，积极开展 相关业务。</w:t>
      </w:r>
    </w:p>
    <w:p>
      <w:pPr>
        <w:pStyle w:val="Style38"/>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年以来，受资金流动性不足、涉及较多诉讼、新冠肺炎疫情等多方面因素影响，中经电商业务发 展及融资渠道受到较大影响，电商运营服务业务发展受限。公司正在积极寻求解决方案，包括但不限于帮 </w:t>
      </w:r>
      <w:r>
        <w:rPr>
          <w:color w:val="000000"/>
          <w:spacing w:val="0"/>
          <w:w w:val="100"/>
          <w:position w:val="0"/>
        </w:rPr>
        <w:t>助中经电商进行业务转型、探索剥离方案等。</w:t>
      </w:r>
    </w:p>
    <w:p>
      <w:pPr>
        <w:pStyle w:val="Style38"/>
        <w:keepNext w:val="0"/>
        <w:keepLines w:val="0"/>
        <w:widowControl w:val="0"/>
        <w:shd w:val="clear" w:color="auto" w:fill="auto"/>
        <w:tabs>
          <w:tab w:pos="993" w:val="left"/>
        </w:tabs>
        <w:bidi w:val="0"/>
        <w:spacing w:before="0" w:after="120" w:line="313" w:lineRule="exact"/>
        <w:ind w:left="0" w:right="0" w:firstLine="440"/>
        <w:jc w:val="both"/>
      </w:pPr>
      <w:bookmarkStart w:id="66" w:name="bookmark66"/>
      <w:r>
        <w:rPr>
          <w:b/>
          <w:bCs/>
          <w:color w:val="000000"/>
          <w:spacing w:val="0"/>
          <w:w w:val="100"/>
          <w:position w:val="0"/>
        </w:rPr>
        <w:t>（</w:t>
      </w:r>
      <w:bookmarkEnd w:id="66"/>
      <w:r>
        <w:rPr>
          <w:b/>
          <w:bCs/>
          <w:color w:val="000000"/>
          <w:spacing w:val="0"/>
          <w:w w:val="100"/>
          <w:position w:val="0"/>
        </w:rPr>
        <w:t>二）</w:t>
        <w:tab/>
        <w:t>主要的业绩驱动因素</w:t>
      </w:r>
    </w:p>
    <w:p>
      <w:pPr>
        <w:pStyle w:val="Style38"/>
        <w:keepNext w:val="0"/>
        <w:keepLines w:val="0"/>
        <w:widowControl w:val="0"/>
        <w:shd w:val="clear" w:color="auto" w:fill="auto"/>
        <w:tabs>
          <w:tab w:pos="763" w:val="left"/>
        </w:tabs>
        <w:bidi w:val="0"/>
        <w:spacing w:before="0" w:after="0" w:line="326" w:lineRule="auto"/>
        <w:ind w:left="0" w:right="0" w:firstLine="440"/>
        <w:jc w:val="both"/>
      </w:pPr>
      <w:bookmarkStart w:id="67" w:name="bookmark67"/>
      <w:r>
        <w:rPr>
          <w:rFonts w:ascii="Times New Roman" w:eastAsia="Times New Roman" w:hAnsi="Times New Roman" w:cs="Times New Roman"/>
          <w:b/>
          <w:bCs/>
          <w:color w:val="000000"/>
          <w:spacing w:val="0"/>
          <w:w w:val="100"/>
          <w:position w:val="0"/>
        </w:rPr>
        <w:t>1</w:t>
      </w:r>
      <w:bookmarkEnd w:id="67"/>
      <w:r>
        <w:rPr>
          <w:b/>
          <w:bCs/>
          <w:color w:val="000000"/>
          <w:spacing w:val="0"/>
          <w:w w:val="100"/>
          <w:position w:val="0"/>
        </w:rPr>
        <w:t>、</w:t>
        <w:tab/>
        <w:t>行业及政策推动因素</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近年来，中美贸易争端不断升级加剧，国家自主可控战略地位凸显，建立基于自主研发的</w:t>
      </w:r>
      <w:r>
        <w:rPr>
          <w:rFonts w:ascii="Times New Roman" w:eastAsia="Times New Roman" w:hAnsi="Times New Roman" w:cs="Times New Roman"/>
          <w:color w:val="000000"/>
          <w:spacing w:val="0"/>
          <w:w w:val="100"/>
          <w:position w:val="0"/>
        </w:rPr>
        <w:t>IT</w:t>
      </w:r>
      <w:r>
        <w:rPr>
          <w:color w:val="000000"/>
          <w:spacing w:val="0"/>
          <w:w w:val="100"/>
          <w:position w:val="0"/>
        </w:rPr>
        <w:t>底层架构 和标准，形成自有开放生态，在核心芯片、基础硬件、操作系统、中间件、数据服务器等领域实现国产替 代，达到核心技术自主可控，对保障国家安全至关重要。数据安全、网络安全既是国家安全的基础也是核 心，随着国产化替代的全面深化，对信息安全厂家来说，是挑战更是机遇，信息安全市场需求将形成新的 市场增量。</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继《中华人民共和国网络安全法》于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日正式施行后，网络安全等级保护核心标准《信息安 全技术网络安全等级保护测评要求》、《信息安全技术网络安全等级保护基本要求》、《信息安全技术网络安 全等级保护安全设计技术要求》于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月开始实施，我国等级保护制度进入</w:t>
      </w:r>
      <w:r>
        <w:rPr>
          <w:rFonts w:ascii="Times New Roman" w:eastAsia="Times New Roman" w:hAnsi="Times New Roman" w:cs="Times New Roman"/>
          <w:color w:val="000000"/>
          <w:spacing w:val="0"/>
          <w:w w:val="100"/>
          <w:position w:val="0"/>
        </w:rPr>
        <w:t>2.0</w:t>
      </w:r>
      <w:r>
        <w:rPr>
          <w:color w:val="000000"/>
          <w:spacing w:val="0"/>
          <w:w w:val="100"/>
          <w:position w:val="0"/>
        </w:rPr>
        <w:t>时代。</w:t>
      </w:r>
      <w:r>
        <w:rPr>
          <w:rFonts w:ascii="Times New Roman" w:eastAsia="Times New Roman" w:hAnsi="Times New Roman" w:cs="Times New Roman"/>
          <w:color w:val="000000"/>
          <w:spacing w:val="0"/>
          <w:w w:val="100"/>
          <w:position w:val="0"/>
        </w:rPr>
        <w:t>“</w:t>
      </w:r>
      <w:r>
        <w:rPr>
          <w:color w:val="000000"/>
          <w:spacing w:val="0"/>
          <w:w w:val="100"/>
          <w:position w:val="0"/>
        </w:rPr>
        <w:t>等保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w:t>
      </w:r>
      <w:r>
        <w:rPr>
          <w:color w:val="000000"/>
          <w:spacing w:val="0"/>
          <w:w w:val="100"/>
          <w:position w:val="0"/>
        </w:rPr>
        <w:t>将监管 范围从政府事业单位扩大到所有网络运营主体，评级对象的范围扩大到云计算平台、工控、物联网、移动 设备等新一代</w:t>
      </w:r>
      <w:r>
        <w:rPr>
          <w:rFonts w:ascii="Times New Roman" w:eastAsia="Times New Roman" w:hAnsi="Times New Roman" w:cs="Times New Roman"/>
          <w:color w:val="000000"/>
          <w:spacing w:val="0"/>
          <w:w w:val="100"/>
          <w:position w:val="0"/>
        </w:rPr>
        <w:t>IT</w:t>
      </w:r>
      <w:r>
        <w:rPr>
          <w:color w:val="000000"/>
          <w:spacing w:val="0"/>
          <w:w w:val="100"/>
          <w:position w:val="0"/>
        </w:rPr>
        <w:t>基础设施，还增加了评级的工作内容，极大扩展了网络安全保护的广度和深度，信息安全 市场需求持续提升。与此同时，《网络安全审查办法》于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日起正式实施。此外，</w:t>
      </w:r>
      <w:r>
        <w:rPr>
          <w:rFonts w:ascii="Times New Roman" w:eastAsia="Times New Roman" w:hAnsi="Times New Roman" w:cs="Times New Roman"/>
          <w:color w:val="000000"/>
          <w:spacing w:val="0"/>
          <w:w w:val="100"/>
          <w:position w:val="0"/>
        </w:rPr>
        <w:t>2020</w:t>
      </w:r>
      <w:r>
        <w:rPr>
          <w:color w:val="000000"/>
          <w:spacing w:val="0"/>
          <w:w w:val="100"/>
          <w:position w:val="0"/>
        </w:rPr>
        <w:t>年以来， 国务院常务会议、中共中央政治局常委会、工信部、国家发改委等部门会议多次强调要加快推进</w:t>
      </w:r>
      <w:r>
        <w:rPr>
          <w:rFonts w:ascii="Times New Roman" w:eastAsia="Times New Roman" w:hAnsi="Times New Roman" w:cs="Times New Roman"/>
          <w:color w:val="000000"/>
          <w:spacing w:val="0"/>
          <w:w w:val="100"/>
          <w:position w:val="0"/>
        </w:rPr>
        <w:t>5G</w:t>
      </w:r>
      <w:r>
        <w:rPr>
          <w:color w:val="000000"/>
          <w:spacing w:val="0"/>
          <w:w w:val="100"/>
          <w:position w:val="0"/>
        </w:rPr>
        <w:t>网络、 数据中心等新型基础设施建设进度及信创产业的发展，这将在较短的时间内催化信息安全市场的提升。</w:t>
      </w:r>
    </w:p>
    <w:p>
      <w:pPr>
        <w:pStyle w:val="Style38"/>
        <w:keepNext w:val="0"/>
        <w:keepLines w:val="0"/>
        <w:widowControl w:val="0"/>
        <w:shd w:val="clear" w:color="auto" w:fill="auto"/>
        <w:bidi w:val="0"/>
        <w:spacing w:before="0" w:after="120" w:line="326" w:lineRule="exact"/>
        <w:ind w:left="0" w:right="0" w:firstLine="440"/>
        <w:jc w:val="both"/>
      </w:pPr>
      <w:r>
        <w:rPr>
          <w:color w:val="000000"/>
          <w:spacing w:val="0"/>
          <w:w w:val="100"/>
          <w:position w:val="0"/>
        </w:rPr>
        <w:t>同时，随着</w:t>
      </w:r>
      <w:r>
        <w:rPr>
          <w:rFonts w:ascii="Times New Roman" w:eastAsia="Times New Roman" w:hAnsi="Times New Roman" w:cs="Times New Roman"/>
          <w:color w:val="000000"/>
          <w:spacing w:val="0"/>
          <w:w w:val="100"/>
          <w:position w:val="0"/>
        </w:rPr>
        <w:t>5G</w:t>
      </w:r>
      <w:r>
        <w:rPr>
          <w:color w:val="000000"/>
          <w:spacing w:val="0"/>
          <w:w w:val="100"/>
          <w:position w:val="0"/>
        </w:rPr>
        <w:t>技术、云计算、大数据、物联网、人工智能、区块链、量子技术等新兴技术的广泛应用， 新兴安全需求也在不断产生，合规性需求与自发性需求共同驱动着行业空间及公司业务的持续发展。</w:t>
      </w:r>
    </w:p>
    <w:p>
      <w:pPr>
        <w:pStyle w:val="Style38"/>
        <w:keepNext w:val="0"/>
        <w:keepLines w:val="0"/>
        <w:widowControl w:val="0"/>
        <w:shd w:val="clear" w:color="auto" w:fill="auto"/>
        <w:tabs>
          <w:tab w:pos="773" w:val="left"/>
        </w:tabs>
        <w:bidi w:val="0"/>
        <w:spacing w:before="0" w:after="0" w:line="326" w:lineRule="auto"/>
        <w:ind w:left="0" w:right="0" w:firstLine="440"/>
        <w:jc w:val="both"/>
      </w:pPr>
      <w:bookmarkStart w:id="68" w:name="bookmark68"/>
      <w:r>
        <w:rPr>
          <w:rFonts w:ascii="Times New Roman" w:eastAsia="Times New Roman" w:hAnsi="Times New Roman" w:cs="Times New Roman"/>
          <w:b/>
          <w:bCs/>
          <w:color w:val="000000"/>
          <w:spacing w:val="0"/>
          <w:w w:val="100"/>
          <w:position w:val="0"/>
        </w:rPr>
        <w:t>2</w:t>
      </w:r>
      <w:bookmarkEnd w:id="68"/>
      <w:r>
        <w:rPr>
          <w:b/>
          <w:bCs/>
          <w:color w:val="000000"/>
          <w:spacing w:val="0"/>
          <w:w w:val="100"/>
          <w:position w:val="0"/>
        </w:rPr>
        <w:t>、</w:t>
        <w:tab/>
        <w:t>市场拓展因素</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报告期内，受流动性资金不足引发债务风险、子公司中经电商业务开展受限造成业绩下滑、新冠肺炎 疫情等多方面因素影响，公司业务拓展受到较大不利影响，公司营业收入及净利润规模均出现较大幅度下 滑。此外，在复杂多变的</w:t>
      </w:r>
      <w:r>
        <w:rPr>
          <w:rFonts w:ascii="Times New Roman" w:eastAsia="Times New Roman" w:hAnsi="Times New Roman" w:cs="Times New Roman"/>
          <w:color w:val="000000"/>
          <w:spacing w:val="0"/>
          <w:w w:val="100"/>
          <w:position w:val="0"/>
        </w:rPr>
        <w:t>2020</w:t>
      </w:r>
      <w:r>
        <w:rPr>
          <w:color w:val="000000"/>
          <w:spacing w:val="0"/>
          <w:w w:val="100"/>
          <w:position w:val="0"/>
        </w:rPr>
        <w:t>年，公司管理层努力克服诸多困难，通过与部分金融机构达成债务和解方案、 深化与地方政府合作等多种举措，在一定程度上缓解公司流动性不足的压力，也保障了公司网络信息安全 业务的正常开展。</w:t>
      </w:r>
    </w:p>
    <w:p>
      <w:pPr>
        <w:pStyle w:val="Style38"/>
        <w:keepNext w:val="0"/>
        <w:keepLines w:val="0"/>
        <w:widowControl w:val="0"/>
        <w:shd w:val="clear" w:color="auto" w:fill="auto"/>
        <w:tabs>
          <w:tab w:pos="993" w:val="left"/>
        </w:tabs>
        <w:bidi w:val="0"/>
        <w:spacing w:before="0" w:after="120" w:line="313" w:lineRule="exact"/>
        <w:ind w:left="0" w:right="0" w:firstLine="440"/>
        <w:jc w:val="both"/>
      </w:pPr>
      <w:bookmarkStart w:id="69" w:name="bookmark69"/>
      <w:r>
        <w:rPr>
          <w:b/>
          <w:bCs/>
          <w:color w:val="000000"/>
          <w:spacing w:val="0"/>
          <w:w w:val="100"/>
          <w:position w:val="0"/>
        </w:rPr>
        <w:t>（</w:t>
      </w:r>
      <w:bookmarkEnd w:id="69"/>
      <w:r>
        <w:rPr>
          <w:b/>
          <w:bCs/>
          <w:color w:val="000000"/>
          <w:spacing w:val="0"/>
          <w:w w:val="100"/>
          <w:position w:val="0"/>
        </w:rPr>
        <w:t>三）</w:t>
        <w:tab/>
        <w:t>报告期内公司所属行业的发展情况以及公司的行业地位</w:t>
      </w:r>
    </w:p>
    <w:p>
      <w:pPr>
        <w:pStyle w:val="Style38"/>
        <w:keepNext w:val="0"/>
        <w:keepLines w:val="0"/>
        <w:widowControl w:val="0"/>
        <w:shd w:val="clear" w:color="auto" w:fill="auto"/>
        <w:bidi w:val="0"/>
        <w:spacing w:before="0" w:after="0" w:line="326" w:lineRule="auto"/>
        <w:ind w:left="0" w:right="0" w:firstLine="440"/>
        <w:jc w:val="both"/>
      </w:pPr>
      <w:bookmarkStart w:id="70" w:name="bookmark70"/>
      <w:r>
        <w:rPr>
          <w:rFonts w:ascii="Times New Roman" w:eastAsia="Times New Roman" w:hAnsi="Times New Roman" w:cs="Times New Roman"/>
          <w:b/>
          <w:bCs/>
          <w:color w:val="000000"/>
          <w:spacing w:val="0"/>
          <w:w w:val="100"/>
          <w:position w:val="0"/>
        </w:rPr>
        <w:t>1</w:t>
      </w:r>
      <w:bookmarkEnd w:id="70"/>
      <w:r>
        <w:rPr>
          <w:b/>
          <w:bCs/>
          <w:color w:val="000000"/>
          <w:spacing w:val="0"/>
          <w:w w:val="100"/>
          <w:position w:val="0"/>
        </w:rPr>
        <w:t>、行业发展情况</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近年，中美贸易争端不断升级，面对日益复杂的网络安全形势，国家高度重视自主可控，要求核心信 息技术自主创新研发可控、可靠，倡导国产化替代，为信息安全市场带来新的增量空间；随着国家加快新 型基础建设、信创产业全面推广，网络信息安全领域新的需求在逐步释放。同时，云计算、大数据、物联 网、人工智能、区块链、</w:t>
      </w:r>
      <w:r>
        <w:rPr>
          <w:rFonts w:ascii="Times New Roman" w:eastAsia="Times New Roman" w:hAnsi="Times New Roman" w:cs="Times New Roman"/>
          <w:color w:val="000000"/>
          <w:spacing w:val="0"/>
          <w:w w:val="100"/>
          <w:position w:val="0"/>
        </w:rPr>
        <w:t>5G</w:t>
      </w:r>
      <w:r>
        <w:rPr>
          <w:color w:val="000000"/>
          <w:spacing w:val="0"/>
          <w:w w:val="100"/>
          <w:position w:val="0"/>
        </w:rPr>
        <w:t>技术、量子技术等新兴技术的广泛应用不断拓宽安全产业的市场空间，对信息 安全提出了新的要求（如云安全、数据安全、物联网安全、工控安全、新型基础设施安全等）。报告期内， 网络信息安全领域发生的重要事件如下：</w:t>
      </w:r>
    </w:p>
    <w:p>
      <w:pPr>
        <w:pStyle w:val="Style38"/>
        <w:keepNext w:val="0"/>
        <w:keepLines w:val="0"/>
        <w:widowControl w:val="0"/>
        <w:shd w:val="clear" w:color="auto" w:fill="auto"/>
        <w:tabs>
          <w:tab w:pos="905" w:val="left"/>
        </w:tabs>
        <w:bidi w:val="0"/>
        <w:spacing w:before="0" w:after="0" w:line="313" w:lineRule="exact"/>
        <w:ind w:left="0" w:right="0" w:firstLine="44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1</w:t>
      </w:r>
      <w:r>
        <w:rPr>
          <w:color w:val="000000"/>
          <w:spacing w:val="0"/>
          <w:w w:val="100"/>
          <w:position w:val="0"/>
        </w:rPr>
        <w:t>）</w:t>
        <w:tab/>
        <w:t>全国人大常委会正式通过《中华人民共和国密码法》</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为了规范密码应用和管理，促进密码事业发展，保障网络与信息安全，维护国家安全和社会公共利益， 保护公民、法人和其他组织的合法权益，《中华人民共和国密码法》由中华人民共和国第十三届全国人民 代表大会常务委员会第十四次会议于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日通过，自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p>
      <w:pPr>
        <w:pStyle w:val="Style38"/>
        <w:keepNext w:val="0"/>
        <w:keepLines w:val="0"/>
        <w:widowControl w:val="0"/>
        <w:shd w:val="clear" w:color="auto" w:fill="auto"/>
        <w:tabs>
          <w:tab w:pos="905" w:val="left"/>
        </w:tabs>
        <w:bidi w:val="0"/>
        <w:spacing w:before="0" w:after="0" w:line="313" w:lineRule="exact"/>
        <w:ind w:left="0" w:right="0" w:firstLine="44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2</w:t>
      </w:r>
      <w:r>
        <w:rPr>
          <w:color w:val="000000"/>
          <w:spacing w:val="0"/>
          <w:w w:val="100"/>
          <w:position w:val="0"/>
        </w:rPr>
        <w:t>）</w:t>
        <w:tab/>
        <w:t>中共中央政治局会议强调加快新型基础设施建设</w:t>
      </w:r>
    </w:p>
    <w:p>
      <w:pPr>
        <w:pStyle w:val="Style38"/>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日，中共中央政治局会议强调要加快推进国家规划已明确的重大工程和基础设施建设，其 中要加快</w:t>
      </w:r>
      <w:r>
        <w:rPr>
          <w:rFonts w:ascii="Times New Roman" w:eastAsia="Times New Roman" w:hAnsi="Times New Roman" w:cs="Times New Roman"/>
          <w:color w:val="000000"/>
          <w:spacing w:val="0"/>
          <w:w w:val="100"/>
          <w:position w:val="0"/>
        </w:rPr>
        <w:t>5G</w:t>
      </w:r>
      <w:r>
        <w:rPr>
          <w:color w:val="000000"/>
          <w:spacing w:val="0"/>
          <w:w w:val="100"/>
          <w:position w:val="0"/>
        </w:rPr>
        <w:t>网络、数据中心等新型基础设施建设进度。</w:t>
      </w:r>
    </w:p>
    <w:p>
      <w:pPr>
        <w:pStyle w:val="Style38"/>
        <w:keepNext w:val="0"/>
        <w:keepLines w:val="0"/>
        <w:widowControl w:val="0"/>
        <w:shd w:val="clear" w:color="auto" w:fill="auto"/>
        <w:tabs>
          <w:tab w:pos="905" w:val="left"/>
        </w:tabs>
        <w:bidi w:val="0"/>
        <w:spacing w:before="0" w:after="0" w:line="313" w:lineRule="exact"/>
        <w:ind w:left="0" w:right="0" w:firstLine="44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3</w:t>
      </w:r>
      <w:r>
        <w:rPr>
          <w:color w:val="000000"/>
          <w:spacing w:val="0"/>
          <w:w w:val="100"/>
          <w:position w:val="0"/>
        </w:rPr>
        <w:t>）</w:t>
        <w:tab/>
        <w:t>多部门联合发布《网络安全审查办法》</w:t>
      </w:r>
    </w:p>
    <w:p>
      <w:pPr>
        <w:pStyle w:val="Style38"/>
        <w:keepNext w:val="0"/>
        <w:keepLines w:val="0"/>
        <w:widowControl w:val="0"/>
        <w:shd w:val="clear" w:color="auto" w:fill="auto"/>
        <w:bidi w:val="0"/>
        <w:spacing w:before="0" w:after="0" w:line="307" w:lineRule="exact"/>
        <w:ind w:left="0" w:right="0" w:firstLine="440"/>
        <w:jc w:val="both"/>
      </w:pPr>
      <w:r>
        <w:rPr>
          <w:color w:val="000000"/>
          <w:spacing w:val="0"/>
          <w:w w:val="100"/>
          <w:position w:val="0"/>
        </w:rPr>
        <w:t xml:space="preserve">为了确保关键信息基础设施供应链安全，维护国家安全，依据《中华人民共和国国家安全法》《中华 人民共和国网络安全法》，国家互联网信息办公室、国家发展和改革委员会、工业和信息化部、公安部、 </w:t>
      </w:r>
      <w:r>
        <w:rPr>
          <w:color w:val="000000"/>
          <w:spacing w:val="0"/>
          <w:w w:val="100"/>
          <w:position w:val="0"/>
        </w:rPr>
        <w:t>国家安全部、财政部、商务部、中国人民银行、国家市场监督管理总局、国家广播电视总局、国家保密局、 国家密码管理局联合发布了《网络安全审查办法》，并于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w:t>
      </w:r>
    </w:p>
    <w:p>
      <w:pPr>
        <w:pStyle w:val="Style38"/>
        <w:keepNext w:val="0"/>
        <w:keepLines w:val="0"/>
        <w:widowControl w:val="0"/>
        <w:shd w:val="clear" w:color="auto" w:fill="auto"/>
        <w:tabs>
          <w:tab w:pos="901" w:val="left"/>
        </w:tabs>
        <w:bidi w:val="0"/>
        <w:spacing w:before="0" w:after="0" w:line="314" w:lineRule="exact"/>
        <w:ind w:left="0" w:right="0" w:firstLine="440"/>
        <w:jc w:val="left"/>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4</w:t>
      </w:r>
      <w:r>
        <w:rPr>
          <w:color w:val="000000"/>
          <w:spacing w:val="0"/>
          <w:w w:val="100"/>
          <w:position w:val="0"/>
        </w:rPr>
        <w:t>）</w:t>
        <w:tab/>
        <w:t>《中华人民共和国数据安全法（草案）》正式发布，公开征求意见</w:t>
      </w:r>
    </w:p>
    <w:p>
      <w:pPr>
        <w:pStyle w:val="Style38"/>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为了保障数据安全，促进数据开发利用，保护公民、组织的合法权益，维护国家主权、安全和发展利 益，第十三届全国人大常委会第二十次会议对《中华人民共和国数据安全法（草案）》进行了审议。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日，《中华人民共和国数据安全法（草案）》公布，面向社会公众征求意见。</w:t>
      </w:r>
    </w:p>
    <w:p>
      <w:pPr>
        <w:pStyle w:val="Style38"/>
        <w:keepNext w:val="0"/>
        <w:keepLines w:val="0"/>
        <w:widowControl w:val="0"/>
        <w:shd w:val="clear" w:color="auto" w:fill="auto"/>
        <w:tabs>
          <w:tab w:pos="901" w:val="left"/>
        </w:tabs>
        <w:bidi w:val="0"/>
        <w:spacing w:before="0" w:after="0" w:line="314" w:lineRule="exact"/>
        <w:ind w:left="0" w:right="0" w:firstLine="44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5</w:t>
      </w:r>
      <w:r>
        <w:rPr>
          <w:color w:val="000000"/>
          <w:spacing w:val="0"/>
          <w:w w:val="100"/>
          <w:position w:val="0"/>
        </w:rPr>
        <w:t>）</w:t>
        <w:tab/>
        <w:t>“十四五”规划的发布实施</w:t>
      </w:r>
    </w:p>
    <w:p>
      <w:pPr>
        <w:pStyle w:val="Style38"/>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日，中国共产党第十九届中央委员会第五次全体会议审议通过《中共中央关于制定国民 经济和社会发展第十四个五年规划和二。三五年远景目标的建议》，强调“坚持创新在我国现代化建设全 局中的核心地位，把科技自立自强作为国家发展的战略支撑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日，十三届全国人大四次会议 表决通过了《关于国民经济和社会发展第十四个五年规划和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w:t>
      </w:r>
      <w:r>
        <w:rPr>
          <w:rFonts w:ascii="Times New Roman" w:eastAsia="Times New Roman" w:hAnsi="Times New Roman" w:cs="Times New Roman"/>
          <w:color w:val="000000"/>
          <w:spacing w:val="0"/>
          <w:w w:val="100"/>
          <w:position w:val="0"/>
        </w:rPr>
        <w:t>2021</w:t>
      </w:r>
      <w:r>
        <w:rPr>
          <w:color w:val="000000"/>
          <w:spacing w:val="0"/>
          <w:w w:val="100"/>
          <w:position w:val="0"/>
        </w:rPr>
        <w:t>年为十四五开局 之年，预计“十四五”期间，网络信息安全、信创领域的政策扶持力度会持续强化。</w:t>
      </w:r>
    </w:p>
    <w:p>
      <w:pPr>
        <w:pStyle w:val="Style38"/>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可见，报告期内，无论是信息安全自发需求的提升，还是国家政策法规的支持、行业技术标准的制定， 都极大推动了信息安全行业的发展。</w:t>
      </w:r>
    </w:p>
    <w:p>
      <w:pPr>
        <w:pStyle w:val="Style38"/>
        <w:keepNext w:val="0"/>
        <w:keepLines w:val="0"/>
        <w:widowControl w:val="0"/>
        <w:shd w:val="clear" w:color="auto" w:fill="auto"/>
        <w:bidi w:val="0"/>
        <w:spacing w:before="0" w:after="0"/>
        <w:ind w:left="0" w:right="0" w:firstLine="440"/>
        <w:jc w:val="left"/>
      </w:pPr>
      <w:bookmarkStart w:id="76" w:name="bookmark76"/>
      <w:r>
        <w:rPr>
          <w:rFonts w:ascii="Times New Roman" w:eastAsia="Times New Roman" w:hAnsi="Times New Roman" w:cs="Times New Roman"/>
          <w:b/>
          <w:bCs/>
          <w:color w:val="000000"/>
          <w:spacing w:val="0"/>
          <w:w w:val="100"/>
          <w:position w:val="0"/>
        </w:rPr>
        <w:t>2</w:t>
      </w:r>
      <w:bookmarkEnd w:id="76"/>
      <w:r>
        <w:rPr>
          <w:b/>
          <w:bCs/>
          <w:color w:val="000000"/>
          <w:spacing w:val="0"/>
          <w:w w:val="100"/>
          <w:position w:val="0"/>
        </w:rPr>
        <w:t>、公司的行业地位</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公司是国内信息安全行业的领先企业之一，致力于成为我国智慧安全的领导者。同时，随着公司</w:t>
      </w:r>
      <w:r>
        <w:rPr>
          <w:rFonts w:ascii="Times New Roman" w:eastAsia="Times New Roman" w:hAnsi="Times New Roman" w:cs="Times New Roman"/>
          <w:color w:val="000000"/>
          <w:spacing w:val="0"/>
          <w:w w:val="100"/>
          <w:position w:val="0"/>
        </w:rPr>
        <w:t>“</w:t>
      </w:r>
      <w:r>
        <w:rPr>
          <w:color w:val="000000"/>
          <w:spacing w:val="0"/>
          <w:w w:val="100"/>
          <w:position w:val="0"/>
        </w:rPr>
        <w:t>大 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产业发展战略的推进及</w:t>
      </w:r>
      <w:r>
        <w:rPr>
          <w:rFonts w:ascii="Times New Roman" w:eastAsia="Times New Roman" w:hAnsi="Times New Roman" w:cs="Times New Roman"/>
          <w:color w:val="000000"/>
          <w:spacing w:val="0"/>
          <w:w w:val="100"/>
          <w:position w:val="0"/>
        </w:rPr>
        <w:t>“</w:t>
      </w:r>
      <w:r>
        <w:rPr>
          <w:color w:val="000000"/>
          <w:spacing w:val="0"/>
          <w:w w:val="100"/>
          <w:position w:val="0"/>
        </w:rPr>
        <w:t>智慧安全</w:t>
      </w:r>
      <w:r>
        <w:rPr>
          <w:rFonts w:ascii="Times New Roman" w:eastAsia="Times New Roman" w:hAnsi="Times New Roman" w:cs="Times New Roman"/>
          <w:color w:val="000000"/>
          <w:spacing w:val="0"/>
          <w:w w:val="100"/>
          <w:position w:val="0"/>
        </w:rPr>
        <w:t>''</w:t>
      </w:r>
      <w:r>
        <w:rPr>
          <w:color w:val="000000"/>
          <w:spacing w:val="0"/>
          <w:w w:val="100"/>
          <w:position w:val="0"/>
        </w:rPr>
        <w:t>理念的深化，公司在产品和业务上的差异化优势以及在研发创新上 的技术优势逐步显现，市场竞争力得到进一步提升。</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此外，公司收购的华炜科技是电磁安防领域的龙头厂商之一，在军工、高铁等业务领域具备较强的核 心竞争力，并积极向能效管控和立体安检领域发展；公司收购的满泰科技是国内知名的水利水电综合自动 化及信息化整体解决方案提供商，可提供成熟的工控综合自动化及工控系统安全解决方案。</w:t>
      </w:r>
    </w:p>
    <w:p>
      <w:pPr>
        <w:pStyle w:val="Style38"/>
        <w:keepNext w:val="0"/>
        <w:keepLines w:val="0"/>
        <w:widowControl w:val="0"/>
        <w:shd w:val="clear" w:color="auto" w:fill="auto"/>
        <w:bidi w:val="0"/>
        <w:spacing w:before="0" w:after="0" w:line="314" w:lineRule="exact"/>
        <w:ind w:left="0" w:right="0" w:firstLine="440"/>
        <w:jc w:val="both"/>
      </w:pPr>
      <w:bookmarkStart w:id="77" w:name="bookmark77"/>
      <w:r>
        <w:rPr>
          <w:b/>
          <w:bCs/>
          <w:color w:val="000000"/>
          <w:spacing w:val="0"/>
          <w:w w:val="100"/>
          <w:position w:val="0"/>
        </w:rPr>
        <w:t>（</w:t>
      </w:r>
      <w:bookmarkEnd w:id="77"/>
      <w:r>
        <w:rPr>
          <w:b/>
          <w:bCs/>
          <w:color w:val="000000"/>
          <w:spacing w:val="0"/>
          <w:w w:val="100"/>
          <w:position w:val="0"/>
        </w:rPr>
        <w:t>四）客户所处行业分析</w:t>
      </w:r>
    </w:p>
    <w:p>
      <w:pPr>
        <w:pStyle w:val="Style38"/>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公司主要客户为政府机关、系统集成商、教育机构、制造贸易、电信业、军工、铁路、电力、石油石 化等行业的大中型用户，随着《中华人民共和国网络安全法》、《网络安全等级保护条例》等法律法规的深 入推进，这些客户的合规性需求与自发性需求在逐年增长。同时，随着云计算、大数据、人工智能、物联 网、工业互联网、</w:t>
      </w:r>
      <w:r>
        <w:rPr>
          <w:rFonts w:ascii="Times New Roman" w:eastAsia="Times New Roman" w:hAnsi="Times New Roman" w:cs="Times New Roman"/>
          <w:color w:val="000000"/>
          <w:spacing w:val="0"/>
          <w:w w:val="100"/>
          <w:position w:val="0"/>
        </w:rPr>
        <w:t>5G</w:t>
      </w:r>
      <w:r>
        <w:rPr>
          <w:color w:val="000000"/>
          <w:spacing w:val="0"/>
          <w:w w:val="100"/>
          <w:position w:val="0"/>
        </w:rPr>
        <w:t>技术等信息化技术的蓬勃发展并提升到国家和企业的战略层面，这些客户的信息化投 资日益增加，市场容量和规模也在逐步扩大。公司面临广阔的市场前景，公司将抓住机遇聚焦网络信息安 全主业，把握政策红利，积极参与国家网络安全体系建设。</w:t>
      </w:r>
    </w:p>
    <w:p>
      <w:pPr>
        <w:pStyle w:val="Style26"/>
        <w:keepNext/>
        <w:keepLines/>
        <w:widowControl w:val="0"/>
        <w:shd w:val="clear" w:color="auto" w:fill="auto"/>
        <w:bidi w:val="0"/>
        <w:spacing w:before="0" w:after="34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二</w:t>
      </w:r>
      <w:bookmarkEnd w:id="80"/>
      <w:r>
        <w:rPr>
          <w:color w:val="000000"/>
          <w:spacing w:val="0"/>
          <w:w w:val="100"/>
          <w:position w:val="0"/>
        </w:rPr>
        <w:t>、主要资产重大变化情况</w:t>
      </w:r>
      <w:bookmarkEnd w:id="78"/>
      <w:bookmarkEnd w:id="79"/>
      <w:bookmarkEnd w:id="81"/>
    </w:p>
    <w:p>
      <w:pPr>
        <w:pStyle w:val="Style32"/>
        <w:keepNext w:val="0"/>
        <w:keepLines w:val="0"/>
        <w:widowControl w:val="0"/>
        <w:shd w:val="clear" w:color="auto" w:fill="auto"/>
        <w:bidi w:val="0"/>
        <w:spacing w:before="0" w:after="0" w:line="240" w:lineRule="auto"/>
        <w:ind w:left="0" w:right="0" w:firstLine="0"/>
        <w:jc w:val="left"/>
        <w:rPr>
          <w:sz w:val="20"/>
          <w:szCs w:val="20"/>
        </w:rPr>
      </w:pPr>
      <w:bookmarkStart w:id="82" w:name="bookmark8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82"/>
    </w:p>
    <w:tbl>
      <w:tblPr>
        <w:tblOverlap w:val="never"/>
        <w:jc w:val="center"/>
        <w:tblLayout w:type="fixed"/>
      </w:tblPr>
      <w:tblGrid>
        <w:gridCol w:w="3058"/>
        <w:gridCol w:w="6523"/>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主要系报告期新增固定资产较去年下降，同时部分固定资产存在减值迹象，计提 了固定资产减值准备。</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三</w:t>
      </w:r>
      <w:bookmarkEnd w:id="89"/>
      <w:r>
        <w:rPr>
          <w:color w:val="000000"/>
          <w:spacing w:val="0"/>
          <w:w w:val="100"/>
          <w:position w:val="0"/>
        </w:rPr>
        <w:t>、核心竞争力分析</w:t>
      </w:r>
      <w:bookmarkEnd w:id="87"/>
      <w:bookmarkEnd w:id="88"/>
      <w:bookmarkEnd w:id="90"/>
    </w:p>
    <w:p>
      <w:pPr>
        <w:pStyle w:val="Style38"/>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公司自成立以来一直专注于网络信息安全领域，经过十多年的积累和沉淀，目前已成为国内信息安全 龙头企业之一，业务区域及品牌影响力也在全国范围内不断扩大和提升，整体规模位居行业前列。公司在 业内首倡了</w:t>
      </w:r>
      <w:r>
        <w:rPr>
          <w:rFonts w:ascii="Times New Roman" w:eastAsia="Times New Roman" w:hAnsi="Times New Roman" w:cs="Times New Roman"/>
          <w:color w:val="000000"/>
          <w:spacing w:val="0"/>
          <w:w w:val="100"/>
          <w:position w:val="0"/>
        </w:rPr>
        <w:t>“</w:t>
      </w:r>
      <w:r>
        <w:rPr>
          <w:color w:val="000000"/>
          <w:spacing w:val="0"/>
          <w:w w:val="100"/>
          <w:position w:val="0"/>
        </w:rPr>
        <w:t>智慧安全</w:t>
      </w:r>
      <w:r>
        <w:rPr>
          <w:rFonts w:ascii="Times New Roman" w:eastAsia="Times New Roman" w:hAnsi="Times New Roman" w:cs="Times New Roman"/>
          <w:color w:val="000000"/>
          <w:spacing w:val="0"/>
          <w:w w:val="100"/>
          <w:position w:val="0"/>
        </w:rPr>
        <w:t>''</w:t>
      </w:r>
      <w:r>
        <w:rPr>
          <w:color w:val="000000"/>
          <w:spacing w:val="0"/>
          <w:w w:val="100"/>
          <w:position w:val="0"/>
        </w:rPr>
        <w:t>的理念，通过打造完整的智慧安全产品体系，致力于成为我国智慧安全的领导者， 加上在新兴技术领域的不断创新，公司的核心竞争力得到持续的巩固和提升，主要体现在以下方面：</w:t>
      </w:r>
    </w:p>
    <w:p>
      <w:pPr>
        <w:pStyle w:val="Style38"/>
        <w:keepNext w:val="0"/>
        <w:keepLines w:val="0"/>
        <w:widowControl w:val="0"/>
        <w:shd w:val="clear" w:color="auto" w:fill="auto"/>
        <w:tabs>
          <w:tab w:pos="759" w:val="left"/>
        </w:tabs>
        <w:bidi w:val="0"/>
        <w:spacing w:before="0" w:after="0" w:line="314" w:lineRule="exact"/>
        <w:ind w:left="0" w:right="0" w:firstLine="440"/>
        <w:jc w:val="both"/>
      </w:pPr>
      <w:bookmarkStart w:id="91" w:name="bookmark91"/>
      <w:r>
        <w:rPr>
          <w:rFonts w:ascii="Times New Roman" w:eastAsia="Times New Roman" w:hAnsi="Times New Roman" w:cs="Times New Roman"/>
          <w:b/>
          <w:bCs/>
          <w:color w:val="000000"/>
          <w:spacing w:val="0"/>
          <w:w w:val="100"/>
          <w:position w:val="0"/>
        </w:rPr>
        <w:t>1</w:t>
      </w:r>
      <w:bookmarkEnd w:id="91"/>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大安全</w:t>
      </w:r>
      <w:r>
        <w:rPr>
          <w:rFonts w:ascii="Times New Roman" w:eastAsia="Times New Roman" w:hAnsi="Times New Roman" w:cs="Times New Roman"/>
          <w:b/>
          <w:bCs/>
          <w:color w:val="000000"/>
          <w:spacing w:val="0"/>
          <w:w w:val="100"/>
          <w:position w:val="0"/>
        </w:rPr>
        <w:t>”</w:t>
      </w:r>
      <w:r>
        <w:rPr>
          <w:b/>
          <w:bCs/>
          <w:color w:val="000000"/>
          <w:spacing w:val="0"/>
          <w:w w:val="100"/>
          <w:position w:val="0"/>
        </w:rPr>
        <w:t>产业战略优势</w:t>
      </w:r>
    </w:p>
    <w:p>
      <w:pPr>
        <w:pStyle w:val="Style3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公司近年提出</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产业发展战略，紧抓信息安全产业外延不断扩大的机遇，构建了完整的</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 xml:space="preserve">'' </w:t>
      </w:r>
      <w:r>
        <w:rPr>
          <w:color w:val="000000"/>
          <w:spacing w:val="0"/>
          <w:w w:val="100"/>
          <w:position w:val="0"/>
        </w:rPr>
        <w:t>产业生态版图，业务方向、业务区域及市场空间得以迅速扩大。公司未来将继续以集团化的思路运作，不 断强化各子公司的优势领域，加强子公司之间的技术和业务联动，及时研判行业发展趋势，持续推进外延 并购布局，充分发挥</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产业发展战略带来的先发优势。</w:t>
      </w:r>
    </w:p>
    <w:p>
      <w:pPr>
        <w:pStyle w:val="Style38"/>
        <w:keepNext w:val="0"/>
        <w:keepLines w:val="0"/>
        <w:widowControl w:val="0"/>
        <w:shd w:val="clear" w:color="auto" w:fill="auto"/>
        <w:tabs>
          <w:tab w:pos="759" w:val="left"/>
        </w:tabs>
        <w:bidi w:val="0"/>
        <w:spacing w:before="0" w:after="0" w:line="326" w:lineRule="auto"/>
        <w:ind w:left="0" w:right="0" w:firstLine="440"/>
        <w:jc w:val="both"/>
      </w:pPr>
      <w:bookmarkStart w:id="92" w:name="bookmark92"/>
      <w:r>
        <w:rPr>
          <w:rFonts w:ascii="Times New Roman" w:eastAsia="Times New Roman" w:hAnsi="Times New Roman" w:cs="Times New Roman"/>
          <w:b/>
          <w:bCs/>
          <w:color w:val="000000"/>
          <w:spacing w:val="0"/>
          <w:w w:val="100"/>
          <w:position w:val="0"/>
        </w:rPr>
        <w:t>2</w:t>
      </w:r>
      <w:bookmarkEnd w:id="92"/>
      <w:r>
        <w:rPr>
          <w:b/>
          <w:bCs/>
          <w:color w:val="000000"/>
          <w:spacing w:val="0"/>
          <w:w w:val="100"/>
          <w:position w:val="0"/>
        </w:rPr>
        <w:t>、</w:t>
        <w:tab/>
        <w:t>技术研发优势</w:t>
      </w:r>
    </w:p>
    <w:p>
      <w:pPr>
        <w:pStyle w:val="Style3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公司始终以自主创新为发展源动力，以技术研发领先优势抢占市场，经过十多年的探索和积累，已掌 握了信息安全领域内的主要核心技术，并实现了全线安全产品的人工智能化和国产化平台迁移。公司目前 掌握的主要技术处于国内领先地位，凭借领先的技术实力，公司先后承担并实施了包括公安部科技攻关项 目在内的数十项国家级、部级、省市区级的重点信息安全科研项目，并为全国信息安全标准化技术委员会、 公安部、国家保密局、工信部等单位制定国家标准、行业标准、团体标准发挥了重要作用。其中，公司在 云安全方面具备一定先发优势，通过持续加大研发投入，形成了云监测、云桌面、安全云平台（云防线）、 云管理、虚拟化（云）安全、容器云一系列云安全产品。此外，由于公司产品自研程度高、核心代码非开 源率高，因此公司在产品国产化方面具备一定优势，防火墙、入侵防御、堡垒机、数据库审计、主机审计、 网络信息安全审计、</w:t>
      </w:r>
      <w:r>
        <w:rPr>
          <w:rFonts w:ascii="Times New Roman" w:eastAsia="Times New Roman" w:hAnsi="Times New Roman" w:cs="Times New Roman"/>
          <w:color w:val="000000"/>
          <w:spacing w:val="0"/>
          <w:w w:val="100"/>
          <w:position w:val="0"/>
        </w:rPr>
        <w:t>Web</w:t>
      </w:r>
      <w:r>
        <w:rPr>
          <w:color w:val="000000"/>
          <w:spacing w:val="0"/>
          <w:w w:val="100"/>
          <w:position w:val="0"/>
        </w:rPr>
        <w:t>应用防火墙、安全隔离与信息单向导入系统、安全隔离与信息交换系统等</w:t>
      </w:r>
      <w:r>
        <w:rPr>
          <w:rFonts w:ascii="Times New Roman" w:eastAsia="Times New Roman" w:hAnsi="Times New Roman" w:cs="Times New Roman"/>
          <w:color w:val="000000"/>
          <w:spacing w:val="0"/>
          <w:w w:val="100"/>
          <w:position w:val="0"/>
        </w:rPr>
        <w:t>9</w:t>
      </w:r>
      <w:r>
        <w:rPr>
          <w:color w:val="000000"/>
          <w:spacing w:val="0"/>
          <w:w w:val="100"/>
          <w:position w:val="0"/>
        </w:rPr>
        <w:t>款产品 已入围国产化相关产品名录。随着相关国产化产品检测大纲及新款国产化</w:t>
      </w:r>
      <w:r>
        <w:rPr>
          <w:rFonts w:ascii="Times New Roman" w:eastAsia="Times New Roman" w:hAnsi="Times New Roman" w:cs="Times New Roman"/>
          <w:color w:val="000000"/>
          <w:spacing w:val="0"/>
          <w:w w:val="100"/>
          <w:position w:val="0"/>
        </w:rPr>
        <w:t>CPU</w:t>
      </w:r>
      <w:r>
        <w:rPr>
          <w:color w:val="000000"/>
          <w:spacing w:val="0"/>
          <w:w w:val="100"/>
          <w:position w:val="0"/>
        </w:rPr>
        <w:t>的推出，公司将会有更多产 品（如日志审计、网站备份与恢复、云桌面等）入围相关产品名录，为国家网络安全防护提供全方位的保 驾护航。</w:t>
      </w:r>
    </w:p>
    <w:p>
      <w:pPr>
        <w:pStyle w:val="Style38"/>
        <w:keepNext w:val="0"/>
        <w:keepLines w:val="0"/>
        <w:widowControl w:val="0"/>
        <w:shd w:val="clear" w:color="auto" w:fill="auto"/>
        <w:tabs>
          <w:tab w:pos="759" w:val="left"/>
        </w:tabs>
        <w:bidi w:val="0"/>
        <w:spacing w:before="0" w:after="0" w:line="326" w:lineRule="auto"/>
        <w:ind w:left="0" w:right="0" w:firstLine="440"/>
        <w:jc w:val="both"/>
      </w:pPr>
      <w:bookmarkStart w:id="93" w:name="bookmark93"/>
      <w:r>
        <w:rPr>
          <w:rFonts w:ascii="Times New Roman" w:eastAsia="Times New Roman" w:hAnsi="Times New Roman" w:cs="Times New Roman"/>
          <w:b/>
          <w:bCs/>
          <w:color w:val="000000"/>
          <w:spacing w:val="0"/>
          <w:w w:val="100"/>
          <w:position w:val="0"/>
        </w:rPr>
        <w:t>3</w:t>
      </w:r>
      <w:bookmarkEnd w:id="93"/>
      <w:r>
        <w:rPr>
          <w:b/>
          <w:bCs/>
          <w:color w:val="000000"/>
          <w:spacing w:val="0"/>
          <w:w w:val="100"/>
          <w:position w:val="0"/>
        </w:rPr>
        <w:t>、</w:t>
        <w:tab/>
        <w:t>专业资质优势</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作为专业技术要求极高的行业，获得资质或许可的多少是衡量信息安全企业竞争实力的重要标准。截 至报告期末，公司凭借领先的技术优势及丰富的案例优势，已拥有产品销售许可证和中国信息安全认证中 心产品认证证书近</w:t>
      </w:r>
      <w:r>
        <w:rPr>
          <w:rFonts w:ascii="Times New Roman" w:eastAsia="Times New Roman" w:hAnsi="Times New Roman" w:cs="Times New Roman"/>
          <w:color w:val="000000"/>
          <w:spacing w:val="0"/>
          <w:w w:val="100"/>
          <w:position w:val="0"/>
        </w:rPr>
        <w:t>50</w:t>
      </w:r>
      <w:r>
        <w:rPr>
          <w:color w:val="000000"/>
          <w:spacing w:val="0"/>
          <w:w w:val="100"/>
          <w:position w:val="0"/>
        </w:rPr>
        <w:t>项，并取得了涉密领域相关证书、中国国家强制性产品认证证书、武器装备质量管理 体系认证证书、</w:t>
      </w:r>
      <w:r>
        <w:rPr>
          <w:rFonts w:ascii="Times New Roman" w:eastAsia="Times New Roman" w:hAnsi="Times New Roman" w:cs="Times New Roman"/>
          <w:color w:val="000000"/>
          <w:spacing w:val="0"/>
          <w:w w:val="100"/>
          <w:position w:val="0"/>
        </w:rPr>
        <w:t>CCRC</w:t>
      </w:r>
      <w:r>
        <w:rPr>
          <w:color w:val="000000"/>
          <w:spacing w:val="0"/>
          <w:w w:val="100"/>
          <w:position w:val="0"/>
        </w:rPr>
        <w:t>信息安全服务资质认证证书（信息系统安全运维、信息安全应急处理、软件安全开 发、信息系统安全集成、信息安全风险评估）、国家信息安全测评信息安全服务资质证书（安全工程类一 级、安全开发类一级、风险评估一级）、云计算安全评估证书、软件企业证书、通信网络安全服务能力评 定证书（安全设计与集成一级、风险评估一级）、</w:t>
      </w:r>
      <w:r>
        <w:rPr>
          <w:rFonts w:ascii="Times New Roman" w:eastAsia="Times New Roman" w:hAnsi="Times New Roman" w:cs="Times New Roman"/>
          <w:color w:val="000000"/>
          <w:spacing w:val="0"/>
          <w:w w:val="100"/>
          <w:position w:val="0"/>
        </w:rPr>
        <w:t>IPv6 Ready Logo</w:t>
      </w:r>
      <w:r>
        <w:rPr>
          <w:color w:val="000000"/>
          <w:spacing w:val="0"/>
          <w:w w:val="100"/>
          <w:position w:val="0"/>
        </w:rPr>
        <w:t>认证证书、</w:t>
      </w:r>
      <w:r>
        <w:rPr>
          <w:rFonts w:ascii="Times New Roman" w:eastAsia="Times New Roman" w:hAnsi="Times New Roman" w:cs="Times New Roman"/>
          <w:color w:val="000000"/>
          <w:spacing w:val="0"/>
          <w:w w:val="100"/>
          <w:position w:val="0"/>
        </w:rPr>
        <w:t>CMMI5</w:t>
      </w:r>
      <w:r>
        <w:rPr>
          <w:color w:val="000000"/>
          <w:spacing w:val="0"/>
          <w:w w:val="100"/>
          <w:position w:val="0"/>
        </w:rPr>
        <w:t>认证证书、</w:t>
      </w:r>
      <w:r>
        <w:rPr>
          <w:rFonts w:ascii="Times New Roman" w:eastAsia="Times New Roman" w:hAnsi="Times New Roman" w:cs="Times New Roman"/>
          <w:color w:val="000000"/>
          <w:spacing w:val="0"/>
          <w:w w:val="100"/>
          <w:position w:val="0"/>
        </w:rPr>
        <w:t>CVE</w:t>
      </w:r>
      <w:r>
        <w:rPr>
          <w:color w:val="000000"/>
          <w:spacing w:val="0"/>
          <w:w w:val="100"/>
          <w:position w:val="0"/>
        </w:rPr>
        <w:t>国际 兼容性产品认证证书、</w:t>
      </w:r>
      <w:r>
        <w:rPr>
          <w:rFonts w:ascii="Times New Roman" w:eastAsia="Times New Roman" w:hAnsi="Times New Roman" w:cs="Times New Roman"/>
          <w:color w:val="000000"/>
          <w:spacing w:val="0"/>
          <w:w w:val="100"/>
          <w:position w:val="0"/>
        </w:rPr>
        <w:t>NeoCertify</w:t>
      </w:r>
      <w:r>
        <w:rPr>
          <w:color w:val="000000"/>
          <w:spacing w:val="0"/>
          <w:w w:val="100"/>
          <w:position w:val="0"/>
        </w:rPr>
        <w:t>认证证书、</w:t>
      </w:r>
      <w:r>
        <w:rPr>
          <w:rFonts w:ascii="Times New Roman" w:eastAsia="Times New Roman" w:hAnsi="Times New Roman" w:cs="Times New Roman"/>
          <w:color w:val="000000"/>
          <w:spacing w:val="0"/>
          <w:w w:val="100"/>
          <w:position w:val="0"/>
        </w:rPr>
        <w:t>MSTL</w:t>
      </w:r>
      <w:r>
        <w:rPr>
          <w:color w:val="000000"/>
          <w:spacing w:val="0"/>
          <w:w w:val="100"/>
          <w:position w:val="0"/>
        </w:rPr>
        <w:t>信息技术产品安全测试证书、信息系统建设和服务能力 评估体系</w:t>
      </w:r>
      <w:r>
        <w:rPr>
          <w:rFonts w:ascii="Times New Roman" w:eastAsia="Times New Roman" w:hAnsi="Times New Roman" w:cs="Times New Roman"/>
          <w:color w:val="000000"/>
          <w:spacing w:val="0"/>
          <w:w w:val="100"/>
          <w:position w:val="0"/>
        </w:rPr>
        <w:t>CS4</w:t>
      </w:r>
      <w:r>
        <w:rPr>
          <w:color w:val="000000"/>
          <w:spacing w:val="0"/>
          <w:w w:val="100"/>
          <w:position w:val="0"/>
        </w:rPr>
        <w:t>级认证、工程设计资质证书（建筑智能化系统设计专项乙级）、电子与智能化工程专业承包壹 级、安全生产许可证（建筑施工）、广东省安全技术防范系统设计、施工、维修资格壹级、广东省电子政 务服务能力等级一级证书等业务资质，基本获得了包括安全产品、安全解决方案及安全服务在内的所有业 务类别的较高级别资质或许可，成为业内资质或许可最齐全的企业之一。</w:t>
      </w:r>
    </w:p>
    <w:p>
      <w:pPr>
        <w:pStyle w:val="Style38"/>
        <w:keepNext w:val="0"/>
        <w:keepLines w:val="0"/>
        <w:widowControl w:val="0"/>
        <w:shd w:val="clear" w:color="auto" w:fill="auto"/>
        <w:tabs>
          <w:tab w:pos="759" w:val="left"/>
        </w:tabs>
        <w:bidi w:val="0"/>
        <w:spacing w:before="0" w:after="0" w:line="326" w:lineRule="auto"/>
        <w:ind w:left="0" w:right="0" w:firstLine="440"/>
        <w:jc w:val="both"/>
      </w:pPr>
      <w:bookmarkStart w:id="94" w:name="bookmark94"/>
      <w:r>
        <w:rPr>
          <w:rFonts w:ascii="Times New Roman" w:eastAsia="Times New Roman" w:hAnsi="Times New Roman" w:cs="Times New Roman"/>
          <w:b/>
          <w:bCs/>
          <w:color w:val="000000"/>
          <w:spacing w:val="0"/>
          <w:w w:val="100"/>
          <w:position w:val="0"/>
        </w:rPr>
        <w:t>4</w:t>
      </w:r>
      <w:bookmarkEnd w:id="94"/>
      <w:r>
        <w:rPr>
          <w:b/>
          <w:bCs/>
          <w:color w:val="000000"/>
          <w:spacing w:val="0"/>
          <w:w w:val="100"/>
          <w:position w:val="0"/>
        </w:rPr>
        <w:t>、</w:t>
        <w:tab/>
        <w:t>市场和渠道优势</w:t>
      </w:r>
    </w:p>
    <w:p>
      <w:pPr>
        <w:pStyle w:val="Style38"/>
        <w:keepNext w:val="0"/>
        <w:keepLines w:val="0"/>
        <w:widowControl w:val="0"/>
        <w:shd w:val="clear" w:color="auto" w:fill="auto"/>
        <w:bidi w:val="0"/>
        <w:spacing w:before="0" w:after="100" w:line="313" w:lineRule="exact"/>
        <w:ind w:left="0" w:right="0" w:firstLine="440"/>
        <w:jc w:val="both"/>
        <w:sectPr>
          <w:footnotePr>
            <w:pos w:val="pageBottom"/>
            <w:numFmt w:val="decimal"/>
            <w:numRestart w:val="continuous"/>
          </w:footnotePr>
          <w:pgSz w:w="11900" w:h="16840"/>
          <w:pgMar w:top="1474" w:right="1009" w:bottom="1522" w:left="1100" w:header="0" w:footer="3" w:gutter="0"/>
          <w:cols w:space="720"/>
          <w:noEndnote/>
          <w:rtlGutter w:val="0"/>
          <w:docGrid w:linePitch="360"/>
        </w:sectPr>
      </w:pPr>
      <w:r>
        <w:rPr>
          <w:color w:val="000000"/>
          <w:spacing w:val="0"/>
          <w:w w:val="100"/>
          <w:position w:val="0"/>
        </w:rPr>
        <w:t>公司采用直销和渠道代理相结合的销售模式，经过多年的市场沉淀以及近年来的渠道建设，目前已形 成覆盖全国的完整营销网络。公司现有的客户资源既是稳定的业务来源，也是宣传品牌、扩大影响力的最 好载体，有利于新市场及新客户的开拓，为公司的持续盈利提供了重要保障，公司的客户资源遍布全国各 地十多个行业上万家客户群体，是业内服务行业最广、服务客户数量最多的厂商之一；同时，公司积极拓 展销售渠道，并加强对渠道商的市场管理，通过对签约渠道商提供市场活动经费、人力资源、针对售前和</w:t>
      </w:r>
    </w:p>
    <w:p>
      <w:pPr>
        <w:pStyle w:val="Style38"/>
        <w:keepNext w:val="0"/>
        <w:keepLines w:val="0"/>
        <w:widowControl w:val="0"/>
        <w:shd w:val="clear" w:color="auto" w:fill="auto"/>
        <w:bidi w:val="0"/>
        <w:spacing w:before="0" w:after="100" w:line="317" w:lineRule="exact"/>
        <w:ind w:left="660" w:right="0" w:firstLine="0"/>
        <w:jc w:val="both"/>
      </w:pPr>
      <w:r>
        <w:rPr>
          <w:color w:val="000000"/>
          <w:spacing w:val="0"/>
          <w:w w:val="100"/>
          <w:position w:val="0"/>
        </w:rPr>
        <w:t>售后人员提供技术支持、安全评估、紧急救援及客户跟踪等售后服务与咨询工作等方式，有效提升渠道商 的业务能力，公司的渠道商也覆盖了全国主要省市，有效提升了公司的营销效率，为公司业务的持续拓展 提供了有力保障。</w:t>
      </w:r>
    </w:p>
    <w:p>
      <w:pPr>
        <w:pStyle w:val="Style38"/>
        <w:keepNext w:val="0"/>
        <w:keepLines w:val="0"/>
        <w:widowControl w:val="0"/>
        <w:shd w:val="clear" w:color="auto" w:fill="auto"/>
        <w:bidi w:val="0"/>
        <w:spacing w:before="0" w:after="0" w:line="331" w:lineRule="auto"/>
        <w:ind w:left="1080" w:right="0" w:firstLine="0"/>
        <w:jc w:val="both"/>
      </w:pPr>
      <w:bookmarkStart w:id="95" w:name="bookmark95"/>
      <w:r>
        <w:rPr>
          <w:rFonts w:ascii="Times New Roman" w:eastAsia="Times New Roman" w:hAnsi="Times New Roman" w:cs="Times New Roman"/>
          <w:b/>
          <w:bCs/>
          <w:color w:val="000000"/>
          <w:spacing w:val="0"/>
          <w:w w:val="100"/>
          <w:position w:val="0"/>
        </w:rPr>
        <w:t>5</w:t>
      </w:r>
      <w:bookmarkEnd w:id="95"/>
      <w:r>
        <w:rPr>
          <w:b/>
          <w:bCs/>
          <w:color w:val="000000"/>
          <w:spacing w:val="0"/>
          <w:w w:val="100"/>
          <w:position w:val="0"/>
        </w:rPr>
        <w:t>、人才团队优势</w:t>
      </w:r>
    </w:p>
    <w:p>
      <w:pPr>
        <w:pStyle w:val="Style38"/>
        <w:keepNext w:val="0"/>
        <w:keepLines w:val="0"/>
        <w:widowControl w:val="0"/>
        <w:shd w:val="clear" w:color="auto" w:fill="auto"/>
        <w:bidi w:val="0"/>
        <w:spacing w:before="0" w:after="0" w:line="314" w:lineRule="exact"/>
        <w:ind w:left="660" w:right="0" w:firstLine="420"/>
        <w:jc w:val="both"/>
        <w:sectPr>
          <w:footnotePr>
            <w:pos w:val="pageBottom"/>
            <w:numFmt w:val="decimal"/>
            <w:numRestart w:val="continuous"/>
          </w:footnotePr>
          <w:pgSz w:w="11900" w:h="16840"/>
          <w:pgMar w:top="1498" w:right="468" w:bottom="1498" w:left="468" w:header="0" w:footer="3" w:gutter="0"/>
          <w:cols w:space="720"/>
          <w:noEndnote/>
          <w:rtlGutter w:val="0"/>
          <w:docGrid w:linePitch="360"/>
        </w:sectPr>
      </w:pPr>
      <w:r>
        <w:rPr>
          <w:color w:val="000000"/>
          <w:spacing w:val="0"/>
          <w:w w:val="100"/>
          <w:position w:val="0"/>
        </w:rPr>
        <w:t>公司重视人才团队的建设，通过各种招聘渠道及产学合作、校企合作等人才引进方式，目前已建立起 一支技术精湛、经验丰富、业务熟练、结构合理、团结协作的研发、销售和管理团队。同时，公司也通过 实施员工持股计划、股权激励计划等激励机制以及科学合理的薪酬机制，有效保证了公司核心技术、业务 团队的稳定。</w:t>
      </w:r>
    </w:p>
    <w:p>
      <w:pPr>
        <w:pStyle w:val="Style17"/>
        <w:keepNext/>
        <w:keepLines/>
        <w:widowControl w:val="0"/>
        <w:shd w:val="clear" w:color="auto" w:fill="auto"/>
        <w:bidi w:val="0"/>
        <w:spacing w:before="560" w:after="54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26"/>
        <w:keepNext/>
        <w:keepLines/>
        <w:widowControl w:val="0"/>
        <w:shd w:val="clear" w:color="auto" w:fill="auto"/>
        <w:bidi w:val="0"/>
        <w:spacing w:before="0" w:after="280" w:line="240" w:lineRule="auto"/>
        <w:ind w:left="0" w:right="0" w:firstLine="660"/>
        <w:jc w:val="both"/>
      </w:pPr>
      <w:bookmarkStart w:id="100" w:name="bookmark100"/>
      <w:bookmarkStart w:id="101" w:name="bookmark101"/>
      <w:bookmarkStart w:id="102" w:name="bookmark102"/>
      <w:bookmarkStart w:id="99" w:name="bookmark99"/>
      <w:r>
        <w:rPr>
          <w:color w:val="000000"/>
          <w:spacing w:val="0"/>
          <w:w w:val="100"/>
          <w:position w:val="0"/>
        </w:rPr>
        <w:t>一</w:t>
      </w:r>
      <w:bookmarkEnd w:id="101"/>
      <w:r>
        <w:rPr>
          <w:color w:val="000000"/>
          <w:spacing w:val="0"/>
          <w:w w:val="100"/>
          <w:position w:val="0"/>
        </w:rPr>
        <w:t>、概述</w:t>
      </w:r>
      <w:bookmarkEnd w:id="100"/>
      <w:bookmarkEnd w:id="102"/>
      <w:bookmarkEnd w:id="99"/>
    </w:p>
    <w:p>
      <w:pPr>
        <w:pStyle w:val="Style38"/>
        <w:keepNext w:val="0"/>
        <w:keepLines w:val="0"/>
        <w:widowControl w:val="0"/>
        <w:shd w:val="clear" w:color="auto" w:fill="auto"/>
        <w:bidi w:val="0"/>
        <w:spacing w:before="0" w:after="0" w:line="310" w:lineRule="exact"/>
        <w:ind w:left="660" w:right="0" w:firstLine="420"/>
        <w:jc w:val="both"/>
      </w:pPr>
      <w:r>
        <w:rPr>
          <w:color w:val="000000"/>
          <w:spacing w:val="0"/>
          <w:w w:val="100"/>
          <w:position w:val="0"/>
        </w:rPr>
        <w:t>报告期内，受流动性资金不足引发债务风险、子公司中经电商业务开展受限造成业绩下滑、新冠肺炎 疫情等多方面因素影响，公司业务拓展受到较大不利影响，公司营业收入及净利润规模均出现较大幅度下 滑。此外，报告期内，公司计提商誉等资产减值准备合计</w:t>
      </w:r>
      <w:r>
        <w:rPr>
          <w:rFonts w:ascii="Times New Roman" w:eastAsia="Times New Roman" w:hAnsi="Times New Roman" w:cs="Times New Roman"/>
          <w:color w:val="000000"/>
          <w:spacing w:val="0"/>
          <w:w w:val="100"/>
          <w:position w:val="0"/>
        </w:rPr>
        <w:t>105,964.76</w:t>
      </w:r>
      <w:r>
        <w:rPr>
          <w:color w:val="000000"/>
          <w:spacing w:val="0"/>
          <w:w w:val="100"/>
          <w:position w:val="0"/>
        </w:rPr>
        <w:t>万元，对实现归属于上市公司股东的 净利润产生较大影响。报告期内，公司实现营业收入</w:t>
      </w:r>
      <w:r>
        <w:rPr>
          <w:rFonts w:ascii="Times New Roman" w:eastAsia="Times New Roman" w:hAnsi="Times New Roman" w:cs="Times New Roman"/>
          <w:color w:val="000000"/>
          <w:spacing w:val="0"/>
          <w:w w:val="100"/>
          <w:position w:val="0"/>
        </w:rPr>
        <w:t>104,554.43</w:t>
      </w:r>
      <w:r>
        <w:rPr>
          <w:color w:val="000000"/>
          <w:spacing w:val="0"/>
          <w:w w:val="100"/>
          <w:position w:val="0"/>
        </w:rPr>
        <w:t>万元，同比下降</w:t>
      </w:r>
      <w:r>
        <w:rPr>
          <w:rFonts w:ascii="Times New Roman" w:eastAsia="Times New Roman" w:hAnsi="Times New Roman" w:cs="Times New Roman"/>
          <w:color w:val="000000"/>
          <w:spacing w:val="0"/>
          <w:w w:val="100"/>
          <w:position w:val="0"/>
        </w:rPr>
        <w:t>45.53%</w:t>
      </w:r>
      <w:r>
        <w:rPr>
          <w:color w:val="000000"/>
          <w:spacing w:val="0"/>
          <w:w w:val="100"/>
          <w:position w:val="0"/>
        </w:rPr>
        <w:t>，实现归属于上市 公司股东的净利润</w:t>
      </w:r>
      <w:r>
        <w:rPr>
          <w:rFonts w:ascii="Times New Roman" w:eastAsia="Times New Roman" w:hAnsi="Times New Roman" w:cs="Times New Roman"/>
          <w:color w:val="000000"/>
          <w:spacing w:val="0"/>
          <w:w w:val="100"/>
          <w:position w:val="0"/>
        </w:rPr>
        <w:t>-109,254.54</w:t>
      </w:r>
      <w:r>
        <w:rPr>
          <w:color w:val="000000"/>
          <w:spacing w:val="0"/>
          <w:w w:val="100"/>
          <w:position w:val="0"/>
        </w:rPr>
        <w:t>万元，同比下降</w:t>
      </w:r>
      <w:r>
        <w:rPr>
          <w:rFonts w:ascii="Times New Roman" w:eastAsia="Times New Roman" w:hAnsi="Times New Roman" w:cs="Times New Roman"/>
          <w:color w:val="000000"/>
          <w:spacing w:val="0"/>
          <w:w w:val="100"/>
          <w:position w:val="0"/>
        </w:rPr>
        <w:t>16.66%</w:t>
      </w:r>
      <w:r>
        <w:rPr>
          <w:color w:val="000000"/>
          <w:spacing w:val="0"/>
          <w:w w:val="100"/>
          <w:position w:val="0"/>
        </w:rPr>
        <w:t>。</w:t>
      </w:r>
    </w:p>
    <w:p>
      <w:pPr>
        <w:pStyle w:val="Style38"/>
        <w:keepNext w:val="0"/>
        <w:keepLines w:val="0"/>
        <w:widowControl w:val="0"/>
        <w:shd w:val="clear" w:color="auto" w:fill="auto"/>
        <w:bidi w:val="0"/>
        <w:spacing w:before="0" w:after="0" w:line="319" w:lineRule="exact"/>
        <w:ind w:left="660" w:right="0" w:firstLine="420"/>
        <w:jc w:val="both"/>
      </w:pPr>
      <w:r>
        <w:rPr>
          <w:color w:val="000000"/>
          <w:spacing w:val="0"/>
          <w:w w:val="100"/>
          <w:position w:val="0"/>
        </w:rPr>
        <w:t>在复杂多变的</w:t>
      </w:r>
      <w:r>
        <w:rPr>
          <w:rFonts w:ascii="Times New Roman" w:eastAsia="Times New Roman" w:hAnsi="Times New Roman" w:cs="Times New Roman"/>
          <w:color w:val="000000"/>
          <w:spacing w:val="0"/>
          <w:w w:val="100"/>
          <w:position w:val="0"/>
        </w:rPr>
        <w:t>2020</w:t>
      </w:r>
      <w:r>
        <w:rPr>
          <w:color w:val="000000"/>
          <w:spacing w:val="0"/>
          <w:w w:val="100"/>
          <w:position w:val="0"/>
        </w:rPr>
        <w:t>年，公司管理层努力克服诸多困难，通过加快回收应收账款、与部分金融机构达成 债务和解方案、深化与地方政府合作等多种举措，在一定程度上缓解公司流动性不足的压力，也保障了公 司网络信息安全业务的正常开展。</w:t>
      </w:r>
    </w:p>
    <w:p>
      <w:pPr>
        <w:pStyle w:val="Style38"/>
        <w:keepNext w:val="0"/>
        <w:keepLines w:val="0"/>
        <w:widowControl w:val="0"/>
        <w:shd w:val="clear" w:color="auto" w:fill="auto"/>
        <w:bidi w:val="0"/>
        <w:spacing w:before="0" w:after="600" w:line="315" w:lineRule="exact"/>
        <w:ind w:left="66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年，公司将围绕年度经营计划，聚焦网络信息安全主业，把握政策红利，积极参与国家网络安全 体系建设，牢牢把握</w:t>
      </w:r>
      <w:r>
        <w:rPr>
          <w:rFonts w:ascii="Times New Roman" w:eastAsia="Times New Roman" w:hAnsi="Times New Roman" w:cs="Times New Roman"/>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雪亮工程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等保</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自主可控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安可项目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数字政府</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新型基础设施建设</w:t>
      </w:r>
      <w:r>
        <w:rPr>
          <w:rFonts w:ascii="Times New Roman" w:eastAsia="Times New Roman" w:hAnsi="Times New Roman" w:cs="Times New Roman"/>
          <w:color w:val="000000"/>
          <w:spacing w:val="0"/>
          <w:w w:val="100"/>
          <w:position w:val="0"/>
        </w:rPr>
        <w:t>''</w:t>
      </w:r>
      <w:r>
        <w:rPr>
          <w:color w:val="000000"/>
          <w:spacing w:val="0"/>
          <w:w w:val="100"/>
          <w:position w:val="0"/>
        </w:rPr>
        <w:t>等国家重点项目建设带来的机遇，依托公司在网络信息安全领域的产品、研发、资质、 一站式安全解决方案能力、各大行业成功案例等核心优势，加强业务拓展，努力提升经营业绩。此外，公 司将尽快与相关债权人就债务解决方案达成一致意见，包括但不限于展期、部分偿还等方式；同时，公司 将通过加快回收应收账款、处置资产、供应链金融、继续深化与地方政府合作等多种方式全力筹措资金以 化解公司债务风险，尽快让公司回归正常发展轨道。</w:t>
      </w:r>
    </w:p>
    <w:p>
      <w:pPr>
        <w:pStyle w:val="Style28"/>
        <w:keepNext w:val="0"/>
        <w:keepLines w:val="0"/>
        <w:widowControl w:val="0"/>
        <w:shd w:val="clear" w:color="auto" w:fill="auto"/>
        <w:bidi w:val="0"/>
        <w:spacing w:before="0" w:after="240" w:line="240" w:lineRule="auto"/>
        <w:ind w:left="0" w:right="0" w:firstLine="66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w:t>
      </w:r>
    </w:p>
    <w:p>
      <w:pPr>
        <w:pStyle w:val="Style32"/>
        <w:keepNext w:val="0"/>
        <w:keepLines w:val="0"/>
        <w:widowControl w:val="0"/>
        <w:shd w:val="clear" w:color="auto" w:fill="auto"/>
        <w:bidi w:val="0"/>
        <w:spacing w:before="0" w:after="120" w:line="240" w:lineRule="auto"/>
        <w:ind w:left="648" w:right="0" w:firstLine="0"/>
        <w:jc w:val="left"/>
        <w:rPr>
          <w:sz w:val="20"/>
          <w:szCs w:val="20"/>
        </w:rPr>
      </w:pPr>
      <w:r>
        <w:rPr>
          <w:color w:val="000000"/>
          <w:spacing w:val="0"/>
          <w:w w:val="100"/>
          <w:position w:val="0"/>
          <w:sz w:val="20"/>
          <w:szCs w:val="20"/>
        </w:rPr>
        <w:t>公司所处行业适用的监管规定和行业政策</w:t>
      </w:r>
    </w:p>
    <w:p>
      <w:pPr>
        <w:pStyle w:val="Style32"/>
        <w:keepNext w:val="0"/>
        <w:keepLines w:val="0"/>
        <w:widowControl w:val="0"/>
        <w:shd w:val="clear" w:color="auto" w:fill="auto"/>
        <w:bidi w:val="0"/>
        <w:spacing w:before="0" w:after="0" w:line="240" w:lineRule="auto"/>
        <w:ind w:left="648"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、公司所处行业的主要监管规定和行业政策如下:</w:t>
      </w:r>
    </w:p>
    <w:tbl>
      <w:tblPr>
        <w:tblOverlap w:val="never"/>
        <w:jc w:val="center"/>
        <w:tblLayout w:type="fixed"/>
      </w:tblPr>
      <w:tblGrid>
        <w:gridCol w:w="1219"/>
        <w:gridCol w:w="2006"/>
        <w:gridCol w:w="2971"/>
        <w:gridCol w:w="476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发布时间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发布单位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相关规定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内容概要</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公安部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《贯彻落实网络安全等级保护制度和 关键信息基础设施安全保护制度的指 导意见》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规定了关键信息基础设施安全保护制度、网络安全等级保护 制度。</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全国信息安全标准化技术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《信息安全技术关键信息基础设施安 全防护能力评价方法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征求意见稿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《信息安全技术关键信息基础设施边 界确定方法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征求意见稿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其中，《能力评价方法》重点提及密评，明确定义关键信息基 础设施安全防护能力评价包括：能力域级别评价、等级保护 测评和密码测评三部分，并给出密评与评价的关系。</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全国人民代表大会常务委 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《数据安全法（草案）》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确立数据分级分类管理以及风险评估、监测预警和应急处置 等数据安全管理各项基本制度；明确开展数据活动的组织、 个人的数据安全保护义务，落实数据安全保护责任坚持安全 与发展并重，规定支持促进数据安全与发展的措施；建立保 障政务数据安全和推动政务数据开放的制度措施。</w:t>
            </w:r>
          </w:p>
        </w:tc>
      </w:tr>
      <w:tr>
        <w:trPr>
          <w:trHeight w:val="71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国家网信办、国家发展改 革委、工信部、公安部、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《网络安全审查办法》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为了确保关键信息基础设施供应链安全，维护国家安全关键 信息基础设施运营者采购网络产品和服务，影响或可能影响</w:t>
            </w:r>
          </w:p>
        </w:tc>
      </w:tr>
    </w:tbl>
    <w:p>
      <w:pPr>
        <w:spacing w:lineRule="exact" w:line="1"/>
        <w:rPr>
          <w:sz w:val="2"/>
          <w:szCs w:val="2"/>
        </w:rPr>
      </w:pPr>
      <w:r>
        <w:br w:type="page"/>
      </w:r>
    </w:p>
    <w:tbl>
      <w:tblPr>
        <w:tblOverlap w:val="never"/>
        <w:jc w:val="center"/>
        <w:tblLayout w:type="fixed"/>
      </w:tblPr>
      <w:tblGrid>
        <w:gridCol w:w="1219"/>
        <w:gridCol w:w="2006"/>
        <w:gridCol w:w="2971"/>
        <w:gridCol w:w="476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发布时间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发布单位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相关规定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内容概要</w:t>
            </w:r>
          </w:p>
        </w:tc>
      </w:tr>
      <w:tr>
        <w:trPr>
          <w:trHeight w:val="16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国家安全部、财政部、商 务部、中国人民银行、国 家市场监督管理总局、国 家广播电视总局、国家保 密局、国家密码局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国家安全的，应当进行网络安全审查。网络安全审查坚持防 范网络安全风险与促进先进技术应用相结合、过程公正透明 与知识产权保护相结合、事前审查与持续监管相结合、企业 承诺与社会监督相结合，从产品和服务安全性、可能带来的 国家安全风险等方面进行审查。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国家市场监督管理总局和 国家标准化管理委员会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《信息安全技术一网络安全等级保护 定级指南》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新的国家标准，于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日开始实施，本标准对比</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年版修改了等级保护对象、信息系统的定义等。</w:t>
            </w:r>
          </w:p>
        </w:tc>
      </w:tr>
      <w:tr>
        <w:trPr>
          <w:trHeight w:val="26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国家市场监督管理总局、 中国国家标准化管理委员 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《信息安全技术网络安全等级保护基 本要求》、《信息安全技术网络安全等 级保护测评要求》、《信息安全技术网 络安全等级保护安全设计技术要求》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月开始实施，为了配合《网络安全法》的实施， 同时适应新技术（移动互联、云计算、大数据、物联网等）、 新应用情况下等保工作的开展，新标准针对共性安全保护需 求提出安全通用要求，针对新技术（移动互联、云计算、大 数据、物联网等）、新应用领域的个性安全保护需求，形成新 的等保基本要求标准。调整各个级别的安全要求为安全通用 要求云计算安全扩展要求、移动互联安全扩展要求、物联网 安全扩展要求和工业控制系统安全扩展要求。</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全国人民代表大会常务委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《中华人民共和国密码法》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规范密码应用和管理，促进密码事业发展，保障网络与信息 安全，维护国家安全和社会公共利益，保护公民、法人和其 他组织的合法权益。</w:t>
            </w:r>
          </w:p>
        </w:tc>
      </w:tr>
      <w:tr>
        <w:trPr>
          <w:trHeight w:val="19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《关于促进网络安全产业发展的指导 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征求意见稿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为贯彻落实《中华人民共和国网络安全法》，积极发展网络安 全产业，工业和信息化部会同有关部门起草了《关于促进网 络安全产业发展的指导意见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征求意见稿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》，并面向社会公开 征求意见。提出“到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年，培育形成一批年营收超过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 的网络安全企业，形成若干具有国际竞争力的网络安全骨干 企业，网络安全产业规模超过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亿”的发展目标。</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国家市场监督管理总局、 国家标准化管理委员会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《信息安全技术大数据安全管理指 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提出了大数据安全管理基本原则，规定了大数据安全需求、 数据分类分级、大数据活动的安全要求、评估大数据安全风 险，适用于各类组织进行数据安全管理。</w:t>
            </w:r>
          </w:p>
        </w:tc>
      </w:tr>
      <w:tr>
        <w:trPr>
          <w:trHeight w:val="19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《电信和互联网行业提升网络数据安 全保护能力专项行动方案》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《行动方案》将企业网络数据安全责任落实情况、数据安全 合规性评估落实情况作为重点内容，纳入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年网络信息安 全“双随机一公开”检查和基础电信企业网络与信息安全责 任考核检查，对违法违规行为及时采取约谈、公开曝光、行 政处罚等措施，将处罚结果纳入电信业务经营不良名单或失 信名单。</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《国家网络安全产业发展规划》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工业和信息化部与北京市人民政府决定建设国家网络安全产 业园区。根据规划，到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年，依托产业园带动北京市网络 安全产业规模超过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亿元，拉动</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增长超过</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亿元， 打造不少于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家年收入超过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亿元的骨干企业。到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 依托产业园建成我国网络安全产业“五个基地”。</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自然资源部办公厅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《智慧城市时空大数据平台建设技术 大纲》（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对时空大数据平台建设的任务、定位与作用，思路、目标与 原则，时空大数据与云平台建设要求，支撑环境建设与示范</w:t>
            </w:r>
          </w:p>
        </w:tc>
      </w:tr>
    </w:tbl>
    <w:p>
      <w:pPr>
        <w:spacing w:lineRule="exact" w:line="1"/>
        <w:rPr>
          <w:sz w:val="2"/>
          <w:szCs w:val="2"/>
        </w:rPr>
      </w:pPr>
      <w:r>
        <w:br w:type="page"/>
      </w:r>
    </w:p>
    <w:tbl>
      <w:tblPr>
        <w:tblOverlap w:val="never"/>
        <w:jc w:val="center"/>
        <w:tblLayout w:type="fixed"/>
      </w:tblPr>
      <w:tblGrid>
        <w:gridCol w:w="1219"/>
        <w:gridCol w:w="2006"/>
        <w:gridCol w:w="2971"/>
        <w:gridCol w:w="476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发布时间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发布单位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相关规定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内容概要</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应用，进行了详尽的说明。</w:t>
            </w:r>
          </w:p>
        </w:tc>
      </w:tr>
      <w:tr>
        <w:trPr>
          <w:trHeight w:val="19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中共中央、国务院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《粤港澳大湾区发展规划纲要》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《纲要》中提到要求各地区各部门加强基础设施建设，畅通 对外联系通道，提升内部联通水平，推动形成布局合理、功 能完善、衔接顺畅、运作高效的基础设施网络，为粤港澳大 湾区经济社会发展提供有力支撑。就“优化提升信息基础设 施”，提出构建新一代信息基础设施、建成智慧城市群、提升 网络安全保障水平。</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《公安机关互联网安全监督检查规 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规范公安机关互联网安全监督检查工作，预防网络违法犯罪, 维护网络安全，保护公民、法人和其他组织合法权益。</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《工业互联网平台建设及推广指南》 和《工业互联网平台评价方法》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主要任务包括制定标准、培育平台、推广平台、建设生态和 加强管理五方面内容。</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《网络安全等级保护条例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征求意见 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指对网络和信息系统按照重要性等级分级别保护的一种工 作，对网络安全等级保护的适用范围、各监管部门的职责、 网络运营者的安全保护义务以及网络安全等级保护建设提出 了更加具体、操作性也更强的要求，为开展等级保护工作提 供了重要的法律支撑。</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中央网信办、中国证监会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《关于推动资本市场服务网络强国建 设的指导意见》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从“支持网信企业服务国家战略”、“提高网信企业规范运作 水平”、“落实网络与信息安全保障措施”、“提高信息披露质 量”四个方面对网信企业的规范发展提出了具体要求。</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《公共互联网网络安全突发事件应急 预案》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建立健全公共互联网网络安全突发事件应急组织体系和工作 机制，提高网络安全突发事件综合应对能力，确保及时有效 地控制、减轻和消除网络安全突发事件造成的社会危害和损 失。</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《公共互联网网络安全威胁监测与处 置办法》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积极应对严峻复杂的网络安全形势，进一步健全公共互联网 网络安全威胁监测与处置机制，维护公民、法人和其他组织 的合法权益。</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《工业控制系统信息安全防护能力评 估工作管理办法》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规范工业控制系统信息安全防护能力评估工作，切实提升工 控安全防护水平。</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《工业控制系统信息安全事件应急管 理工作指南》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加强工控安全应急工作管理，建立健全工控安全应急工作机 制，提高应对工控安全事件的组织协调和应急处置能力，预 防和减少工控安全事件造成的损失和危害，保障工业生产正 常运行。</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国家互联网信息办公室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《关键信息基础设施安全保护条例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（征求意见稿）》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作为《网络安全法》的重要配套法规，该意见稿对关键信息 基础设施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CII</w:t>
            </w:r>
            <w:r>
              <w:rPr>
                <w:color w:val="000000"/>
                <w:spacing w:val="0"/>
                <w:w w:val="100"/>
                <w:position w:val="0"/>
              </w:rPr>
              <w:t>”）</w:t>
            </w:r>
            <w:r>
              <w:rPr>
                <w:color w:val="000000"/>
                <w:spacing w:val="0"/>
                <w:w w:val="100"/>
                <w:position w:val="0"/>
              </w:rPr>
              <w:t>的范围、各监管部门的职责、运营者的安 全保护义务以及安全检测评估制度提出了更加具体、操作性 也更强的要求，为开展关键信息基础设施的安全保护工作提 供了重要的法律支撑。</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中共中央网络安全和信息 化委员会办公室</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《国家网络安全事件应急预案》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建立健全国家网络安全事件应急工作机制，提高应对网络安 全事件能力，预防和减少网络安全事件造成的损失和危害，</w:t>
            </w:r>
          </w:p>
        </w:tc>
      </w:tr>
    </w:tbl>
    <w:tbl>
      <w:tblPr>
        <w:tblOverlap w:val="never"/>
        <w:jc w:val="center"/>
        <w:tblLayout w:type="fixed"/>
      </w:tblPr>
      <w:tblGrid>
        <w:gridCol w:w="1219"/>
        <w:gridCol w:w="2006"/>
        <w:gridCol w:w="2971"/>
        <w:gridCol w:w="476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发布时间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发布单位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相关规定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内容概要</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保护公众利益，维护国家安全、公共安全和社会秩序。</w:t>
            </w:r>
          </w:p>
        </w:tc>
      </w:tr>
      <w:tr>
        <w:trPr>
          <w:trHeight w:val="10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全国人民代表大会常务委 员会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《中华人民共和国网络安全法》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日正式实施。强调了金融、能源、交通、电子 政务等行业在网络安全等级保护制度的建设，是我国第一部 网络空间管理方面的基础性法律。</w:t>
            </w:r>
          </w:p>
        </w:tc>
      </w:tr>
    </w:tbl>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、对公司业务活动的影响及意义</w:t>
      </w:r>
    </w:p>
    <w:p>
      <w:pPr>
        <w:pStyle w:val="Style38"/>
        <w:keepNext w:val="0"/>
        <w:keepLines w:val="0"/>
        <w:widowControl w:val="0"/>
        <w:shd w:val="clear" w:color="auto" w:fill="auto"/>
        <w:bidi w:val="0"/>
        <w:spacing w:before="0" w:after="480" w:line="314" w:lineRule="exact"/>
        <w:ind w:left="660" w:right="0" w:firstLine="420"/>
        <w:jc w:val="both"/>
      </w:pPr>
      <w:r>
        <w:rPr>
          <w:color w:val="000000"/>
          <w:spacing w:val="0"/>
          <w:w w:val="100"/>
          <w:position w:val="0"/>
        </w:rPr>
        <w:t>网络安全已经上升为国家战略，相关政策推动网络安全行业持续发展。在相关政策的推动下，我国持 续完善网络安全保障措施，网络安全防护水平将进一步提升，有着较为广阔的发展空间，随着政府、企业 日益重视信息安全及建设投入，公司的主营业务迎来较好的政策和市场环境，公司将积极响应国家网络安 全方面的政策，通过持续研发创新，推出优质的产品和解决方案，更好地满足用户的需求。</w:t>
      </w:r>
    </w:p>
    <w:p>
      <w:pPr>
        <w:pStyle w:val="Style38"/>
        <w:keepNext w:val="0"/>
        <w:keepLines w:val="0"/>
        <w:widowControl w:val="0"/>
        <w:shd w:val="clear" w:color="auto" w:fill="auto"/>
        <w:bidi w:val="0"/>
        <w:spacing w:before="0" w:after="0" w:line="326" w:lineRule="auto"/>
        <w:ind w:left="1080" w:right="0" w:firstLine="0"/>
        <w:jc w:val="both"/>
      </w:pPr>
      <w:bookmarkStart w:id="103" w:name="bookmark103"/>
      <w:r>
        <w:rPr>
          <w:rFonts w:ascii="Times New Roman" w:eastAsia="Times New Roman" w:hAnsi="Times New Roman" w:cs="Times New Roman"/>
          <w:color w:val="000000"/>
          <w:spacing w:val="0"/>
          <w:w w:val="100"/>
          <w:position w:val="0"/>
        </w:rPr>
        <w:t>3</w:t>
      </w:r>
      <w:bookmarkEnd w:id="103"/>
      <w:r>
        <w:rPr>
          <w:color w:val="000000"/>
          <w:spacing w:val="0"/>
          <w:w w:val="100"/>
          <w:position w:val="0"/>
        </w:rPr>
        <w:t>、网络安全行业的整体发展情况</w:t>
      </w:r>
    </w:p>
    <w:p>
      <w:pPr>
        <w:pStyle w:val="Style38"/>
        <w:keepNext w:val="0"/>
        <w:keepLines w:val="0"/>
        <w:widowControl w:val="0"/>
        <w:numPr>
          <w:ilvl w:val="0"/>
          <w:numId w:val="3"/>
        </w:numPr>
        <w:shd w:val="clear" w:color="auto" w:fill="auto"/>
        <w:tabs>
          <w:tab w:pos="1508" w:val="left"/>
        </w:tabs>
        <w:bidi w:val="0"/>
        <w:spacing w:before="0" w:after="0" w:line="312" w:lineRule="exact"/>
        <w:ind w:left="1080" w:right="0" w:firstLine="0"/>
        <w:jc w:val="both"/>
      </w:pPr>
      <w:bookmarkStart w:id="104" w:name="bookmark104"/>
      <w:bookmarkEnd w:id="104"/>
      <w:r>
        <w:rPr>
          <w:color w:val="000000"/>
          <w:spacing w:val="0"/>
          <w:w w:val="100"/>
          <w:position w:val="0"/>
        </w:rPr>
        <w:t>信息安全国家战略地位凸显，行业迎来巨大发展契机</w:t>
      </w:r>
    </w:p>
    <w:p>
      <w:pPr>
        <w:pStyle w:val="Style38"/>
        <w:keepNext w:val="0"/>
        <w:keepLines w:val="0"/>
        <w:widowControl w:val="0"/>
        <w:shd w:val="clear" w:color="auto" w:fill="auto"/>
        <w:bidi w:val="0"/>
        <w:spacing w:before="0" w:after="0" w:line="312" w:lineRule="exact"/>
        <w:ind w:left="660" w:right="0" w:firstLine="420"/>
        <w:jc w:val="both"/>
      </w:pPr>
      <w:r>
        <w:rPr>
          <w:color w:val="000000"/>
          <w:spacing w:val="0"/>
          <w:w w:val="100"/>
          <w:position w:val="0"/>
        </w:rPr>
        <w:t>继《中华人民共和国网络安全法》于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日起正式施行后，网络安全等级保护核心标准《信息 安全技术网络安全等级保护测评要求》、《信息安全技术网络安全等级保护基本要求》、《信息安全技术网络 安全等级保护安全设计技术要求》于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月正式发布，并于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月开始实施，我国等级保护制度 进入</w:t>
      </w:r>
      <w:r>
        <w:rPr>
          <w:rFonts w:ascii="Times New Roman" w:eastAsia="Times New Roman" w:hAnsi="Times New Roman" w:cs="Times New Roman"/>
          <w:color w:val="000000"/>
          <w:spacing w:val="0"/>
          <w:w w:val="100"/>
          <w:position w:val="0"/>
        </w:rPr>
        <w:t>2.0</w:t>
      </w:r>
      <w:r>
        <w:rPr>
          <w:color w:val="000000"/>
          <w:spacing w:val="0"/>
          <w:w w:val="100"/>
          <w:position w:val="0"/>
        </w:rPr>
        <w:t>时代。与此同时，《网络安全审查办法》于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日起正式实施。此外，数据安全等相关法律 法规的逐步落地，监管部门的监管力度持续提升，中国网络信息安全市场将保持快速增长。</w:t>
      </w:r>
    </w:p>
    <w:p>
      <w:pPr>
        <w:pStyle w:val="Style38"/>
        <w:keepNext w:val="0"/>
        <w:keepLines w:val="0"/>
        <w:widowControl w:val="0"/>
        <w:shd w:val="clear" w:color="auto" w:fill="auto"/>
        <w:bidi w:val="0"/>
        <w:spacing w:before="0" w:after="0" w:line="312" w:lineRule="exact"/>
        <w:ind w:left="66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年以来的中美贸易争端有望对我国自主可控及信息安全领域带来新一轮催化。特别是近两年，美 国持续加大对中国的技术封锁，核心技术和关键产品自主可控的重要性与日俱增。近年来，国家高度重视 自主可控信息产业的发展，明确了计算机信息系统的自主、可控、安全需求，大力推进党、政、军及关系 国家安全的关键行业的网络安全建设和自主可控信息系统建设，并相应的出台了一系列的政策和要求，牵 引自主可控信息产业的发展。此外，</w:t>
      </w:r>
      <w:r>
        <w:rPr>
          <w:rFonts w:ascii="Times New Roman" w:eastAsia="Times New Roman" w:hAnsi="Times New Roman" w:cs="Times New Roman"/>
          <w:color w:val="000000"/>
          <w:spacing w:val="0"/>
          <w:w w:val="100"/>
          <w:position w:val="0"/>
        </w:rPr>
        <w:t>2020</w:t>
      </w:r>
      <w:r>
        <w:rPr>
          <w:color w:val="000000"/>
          <w:spacing w:val="0"/>
          <w:w w:val="100"/>
          <w:position w:val="0"/>
        </w:rPr>
        <w:t>年以来，我国愈加重视</w:t>
      </w:r>
      <w:r>
        <w:rPr>
          <w:rFonts w:ascii="Times New Roman" w:eastAsia="Times New Roman" w:hAnsi="Times New Roman" w:cs="Times New Roman"/>
          <w:color w:val="000000"/>
          <w:spacing w:val="0"/>
          <w:w w:val="100"/>
          <w:position w:val="0"/>
        </w:rPr>
        <w:t>5G</w:t>
      </w:r>
      <w:r>
        <w:rPr>
          <w:color w:val="000000"/>
          <w:spacing w:val="0"/>
          <w:w w:val="100"/>
          <w:position w:val="0"/>
        </w:rPr>
        <w:t>网络、数据中心等新型基础设施建设进 度及信创产业的发展，这将在较短的时间内催化信息安全市场的提升。伴随国家信息安全战略规划以及相 关政策的稳步推进落实，政企客户在安全产品和服务上的投入稳步增长，信息安全市场正面临爆发式增长 需求，信息安全行业将迎来巨大政策性红利和前所未有的发展契机。根据赛迪顾问发布的《</w:t>
      </w:r>
      <w:r>
        <w:rPr>
          <w:rFonts w:ascii="Times New Roman" w:eastAsia="Times New Roman" w:hAnsi="Times New Roman" w:cs="Times New Roman"/>
          <w:color w:val="000000"/>
          <w:spacing w:val="0"/>
          <w:w w:val="100"/>
          <w:position w:val="0"/>
        </w:rPr>
        <w:t>2019</w:t>
      </w:r>
      <w:r>
        <w:rPr>
          <w:color w:val="000000"/>
          <w:spacing w:val="0"/>
          <w:w w:val="100"/>
          <w:position w:val="0"/>
        </w:rPr>
        <w:t>年中国网 络安全发展白皮书》，赛迪顾问预测，</w:t>
      </w:r>
      <w:r>
        <w:rPr>
          <w:rFonts w:ascii="Times New Roman" w:eastAsia="Times New Roman" w:hAnsi="Times New Roman" w:cs="Times New Roman"/>
          <w:color w:val="000000"/>
          <w:spacing w:val="0"/>
          <w:w w:val="100"/>
          <w:position w:val="0"/>
        </w:rPr>
        <w:t>2019</w:t>
      </w:r>
      <w:r>
        <w:rPr>
          <w:color w:val="000000"/>
          <w:spacing w:val="0"/>
          <w:w w:val="100"/>
          <w:position w:val="0"/>
        </w:rPr>
        <w:t>年中国网络安全市场整体规模为</w:t>
      </w:r>
      <w:r>
        <w:rPr>
          <w:rFonts w:ascii="Times New Roman" w:eastAsia="Times New Roman" w:hAnsi="Times New Roman" w:cs="Times New Roman"/>
          <w:color w:val="000000"/>
          <w:spacing w:val="0"/>
          <w:w w:val="100"/>
          <w:position w:val="0"/>
        </w:rPr>
        <w:t>608.</w:t>
      </w:r>
      <w:r>
        <w:rPr>
          <w:rFonts w:ascii="Times New Roman" w:eastAsia="Times New Roman" w:hAnsi="Times New Roman" w:cs="Times New Roman"/>
          <w:color w:val="000000"/>
          <w:spacing w:val="0"/>
          <w:w w:val="100"/>
          <w:position w:val="0"/>
        </w:rPr>
        <w:t>1</w:t>
      </w:r>
      <w:r>
        <w:rPr>
          <w:color w:val="000000"/>
          <w:spacing w:val="0"/>
          <w:w w:val="100"/>
          <w:position w:val="0"/>
        </w:rPr>
        <w:t>亿元，年均增速超</w:t>
      </w:r>
      <w:r>
        <w:rPr>
          <w:rFonts w:ascii="Times New Roman" w:eastAsia="Times New Roman" w:hAnsi="Times New Roman" w:cs="Times New Roman"/>
          <w:color w:val="000000"/>
          <w:spacing w:val="0"/>
          <w:w w:val="100"/>
          <w:position w:val="0"/>
        </w:rPr>
        <w:t>20%</w:t>
      </w:r>
      <w:r>
        <w:rPr>
          <w:color w:val="000000"/>
          <w:spacing w:val="0"/>
          <w:w w:val="100"/>
          <w:position w:val="0"/>
        </w:rPr>
        <w:t>, 预计到</w:t>
      </w:r>
      <w:r>
        <w:rPr>
          <w:rFonts w:ascii="Times New Roman" w:eastAsia="Times New Roman" w:hAnsi="Times New Roman" w:cs="Times New Roman"/>
          <w:color w:val="000000"/>
          <w:spacing w:val="0"/>
          <w:w w:val="100"/>
          <w:position w:val="0"/>
        </w:rPr>
        <w:t>2021</w:t>
      </w:r>
      <w:r>
        <w:rPr>
          <w:color w:val="000000"/>
          <w:spacing w:val="0"/>
          <w:w w:val="100"/>
          <w:position w:val="0"/>
        </w:rPr>
        <w:t>年将达到</w:t>
      </w:r>
      <w:r>
        <w:rPr>
          <w:rFonts w:ascii="Times New Roman" w:eastAsia="Times New Roman" w:hAnsi="Times New Roman" w:cs="Times New Roman"/>
          <w:color w:val="000000"/>
          <w:spacing w:val="0"/>
          <w:w w:val="100"/>
          <w:position w:val="0"/>
        </w:rPr>
        <w:t>926.8</w:t>
      </w:r>
      <w:r>
        <w:rPr>
          <w:color w:val="000000"/>
          <w:spacing w:val="0"/>
          <w:w w:val="100"/>
          <w:position w:val="0"/>
        </w:rPr>
        <w:t>亿元。</w:t>
      </w:r>
    </w:p>
    <w:p>
      <w:pPr>
        <w:pStyle w:val="Style38"/>
        <w:keepNext w:val="0"/>
        <w:keepLines w:val="0"/>
        <w:widowControl w:val="0"/>
        <w:numPr>
          <w:ilvl w:val="0"/>
          <w:numId w:val="3"/>
        </w:numPr>
        <w:shd w:val="clear" w:color="auto" w:fill="auto"/>
        <w:tabs>
          <w:tab w:pos="1508" w:val="left"/>
        </w:tabs>
        <w:bidi w:val="0"/>
        <w:spacing w:before="0" w:after="0" w:line="312" w:lineRule="exact"/>
        <w:ind w:left="1080" w:right="0" w:firstLine="0"/>
        <w:jc w:val="both"/>
      </w:pPr>
      <w:bookmarkStart w:id="105" w:name="bookmark105"/>
      <w:bookmarkEnd w:id="105"/>
      <w:r>
        <w:rPr>
          <w:color w:val="000000"/>
          <w:spacing w:val="0"/>
          <w:w w:val="100"/>
          <w:position w:val="0"/>
        </w:rPr>
        <w:t>云安全、物联网安全、工业互联网安全等市场将迎来爆发机遇</w:t>
      </w:r>
    </w:p>
    <w:p>
      <w:pPr>
        <w:pStyle w:val="Style38"/>
        <w:keepNext w:val="0"/>
        <w:keepLines w:val="0"/>
        <w:widowControl w:val="0"/>
        <w:shd w:val="clear" w:color="auto" w:fill="auto"/>
        <w:bidi w:val="0"/>
        <w:spacing w:before="0" w:after="0" w:line="312" w:lineRule="exact"/>
        <w:ind w:left="660" w:right="0" w:firstLine="420"/>
        <w:jc w:val="left"/>
      </w:pPr>
      <w:r>
        <w:rPr>
          <w:color w:val="000000"/>
          <w:spacing w:val="0"/>
          <w:w w:val="100"/>
          <w:position w:val="0"/>
        </w:rPr>
        <w:t>当前云计算已经从技术导入阶段进入到了应用迅速普及阶段，各行业迫切需要通过构建云计算系统， 满足转型及效率、成本需求。企业持续将</w:t>
      </w:r>
      <w:r>
        <w:rPr>
          <w:rFonts w:ascii="Times New Roman" w:eastAsia="Times New Roman" w:hAnsi="Times New Roman" w:cs="Times New Roman"/>
          <w:color w:val="000000"/>
          <w:spacing w:val="0"/>
          <w:w w:val="100"/>
          <w:position w:val="0"/>
        </w:rPr>
        <w:t>IT</w:t>
      </w:r>
      <w:r>
        <w:rPr>
          <w:color w:val="000000"/>
          <w:spacing w:val="0"/>
          <w:w w:val="100"/>
          <w:position w:val="0"/>
        </w:rPr>
        <w:t>基础设施云化并将业务向云迁移，这一趋势进一步加快，企业 的网络边界也随之扩展到云端，加上云的开放、复杂、分散的特点，安全的防护难度及需求将急剧上升， 云安全成为服务商和用户关注的焦点。未来云平台安全、云基础设施及虚拟化安全、云用户安全以及云端 态势感知需求将得到快速增长，数据安全、应用安全等云用户安全产品的第三方信息安全市场空间将不断 拓展。根据赛迪顾问发布的《</w:t>
      </w:r>
      <w:r>
        <w:rPr>
          <w:rFonts w:ascii="Times New Roman" w:eastAsia="Times New Roman" w:hAnsi="Times New Roman" w:cs="Times New Roman"/>
          <w:color w:val="000000"/>
          <w:spacing w:val="0"/>
          <w:w w:val="100"/>
          <w:position w:val="0"/>
        </w:rPr>
        <w:t>2019</w:t>
      </w:r>
      <w:r>
        <w:rPr>
          <w:color w:val="000000"/>
          <w:spacing w:val="0"/>
          <w:w w:val="100"/>
          <w:position w:val="0"/>
        </w:rPr>
        <w:t>年中国网络安全发展白皮书》，赛迪顾问预测，中国云安全服务市场处 于爆发式增长阶段，预计到</w:t>
      </w:r>
      <w:r>
        <w:rPr>
          <w:rFonts w:ascii="Times New Roman" w:eastAsia="Times New Roman" w:hAnsi="Times New Roman" w:cs="Times New Roman"/>
          <w:color w:val="000000"/>
          <w:spacing w:val="0"/>
          <w:w w:val="100"/>
          <w:position w:val="0"/>
        </w:rPr>
        <w:t>2021</w:t>
      </w:r>
      <w:r>
        <w:rPr>
          <w:color w:val="000000"/>
          <w:spacing w:val="0"/>
          <w:w w:val="100"/>
          <w:position w:val="0"/>
        </w:rPr>
        <w:t>年将突破百亿达到</w:t>
      </w:r>
      <w:r>
        <w:rPr>
          <w:rFonts w:ascii="Times New Roman" w:eastAsia="Times New Roman" w:hAnsi="Times New Roman" w:cs="Times New Roman"/>
          <w:color w:val="000000"/>
          <w:spacing w:val="0"/>
          <w:w w:val="100"/>
          <w:position w:val="0"/>
        </w:rPr>
        <w:t>115.7</w:t>
      </w:r>
      <w:r>
        <w:rPr>
          <w:color w:val="000000"/>
          <w:spacing w:val="0"/>
          <w:w w:val="100"/>
          <w:position w:val="0"/>
        </w:rPr>
        <w:t>亿元的市场规模。</w:t>
      </w:r>
    </w:p>
    <w:p>
      <w:pPr>
        <w:pStyle w:val="Style38"/>
        <w:keepNext w:val="0"/>
        <w:keepLines w:val="0"/>
        <w:widowControl w:val="0"/>
        <w:shd w:val="clear" w:color="auto" w:fill="auto"/>
        <w:bidi w:val="0"/>
        <w:spacing w:before="0" w:after="0" w:line="312" w:lineRule="exact"/>
        <w:ind w:left="660" w:right="0" w:firstLine="420"/>
        <w:jc w:val="left"/>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color w:val="000000"/>
          <w:spacing w:val="0"/>
          <w:w w:val="100"/>
          <w:position w:val="0"/>
        </w:rPr>
        <w:t>+''</w:t>
      </w:r>
      <w:r>
        <w:rPr>
          <w:color w:val="000000"/>
          <w:spacing w:val="0"/>
          <w:w w:val="100"/>
          <w:position w:val="0"/>
        </w:rPr>
        <w:t>时代，物联网发展迅猛，正加速渗透到生产、消费和社会管理等各领域，物联网设备规 模呈现爆发性增长趋势，万物互联时代正在到来。物联网给我们的工作和生活带来便携的同时，也带来了 风险。物联网安全事件在国家、社会、个人层面都层出不穷，物联网设备、网络、应用面临严峻的安全挑 战。物联网安全将成为万亿规模市场下的蓝海</w:t>
      </w:r>
      <w:r>
        <w:rPr>
          <w:rFonts w:ascii="Times New Roman" w:eastAsia="Times New Roman" w:hAnsi="Times New Roman" w:cs="Times New Roman"/>
          <w:color w:val="000000"/>
          <w:spacing w:val="0"/>
          <w:w w:val="100"/>
          <w:position w:val="0"/>
        </w:rPr>
        <w:t>“</w:t>
      </w:r>
      <w:r>
        <w:rPr>
          <w:color w:val="000000"/>
          <w:spacing w:val="0"/>
          <w:w w:val="100"/>
          <w:position w:val="0"/>
        </w:rPr>
        <w:t>潜力股根据赛迪顾问发布的《</w:t>
      </w:r>
      <w:r>
        <w:rPr>
          <w:rFonts w:ascii="Times New Roman" w:eastAsia="Times New Roman" w:hAnsi="Times New Roman" w:cs="Times New Roman"/>
          <w:color w:val="000000"/>
          <w:spacing w:val="0"/>
          <w:w w:val="100"/>
          <w:position w:val="0"/>
        </w:rPr>
        <w:t>2019</w:t>
      </w:r>
      <w:r>
        <w:rPr>
          <w:color w:val="000000"/>
          <w:spacing w:val="0"/>
          <w:w w:val="100"/>
          <w:position w:val="0"/>
        </w:rPr>
        <w:t>年中国网络安全发展 白皮书》，赛迪顾问预测，预计到</w:t>
      </w:r>
      <w:r>
        <w:rPr>
          <w:rFonts w:ascii="Times New Roman" w:eastAsia="Times New Roman" w:hAnsi="Times New Roman" w:cs="Times New Roman"/>
          <w:color w:val="000000"/>
          <w:spacing w:val="0"/>
          <w:w w:val="100"/>
          <w:position w:val="0"/>
        </w:rPr>
        <w:t>2021</w:t>
      </w:r>
      <w:r>
        <w:rPr>
          <w:color w:val="000000"/>
          <w:spacing w:val="0"/>
          <w:w w:val="100"/>
          <w:position w:val="0"/>
        </w:rPr>
        <w:t>年，中国物联网安全市场整体规模将达到</w:t>
      </w:r>
      <w:r>
        <w:rPr>
          <w:rFonts w:ascii="Times New Roman" w:eastAsia="Times New Roman" w:hAnsi="Times New Roman" w:cs="Times New Roman"/>
          <w:color w:val="000000"/>
          <w:spacing w:val="0"/>
          <w:w w:val="100"/>
          <w:position w:val="0"/>
        </w:rPr>
        <w:t>300</w:t>
      </w:r>
      <w:r>
        <w:rPr>
          <w:color w:val="000000"/>
          <w:spacing w:val="0"/>
          <w:w w:val="100"/>
          <w:position w:val="0"/>
        </w:rPr>
        <w:t>亿元。</w:t>
      </w:r>
    </w:p>
    <w:p>
      <w:pPr>
        <w:pStyle w:val="Style38"/>
        <w:keepNext w:val="0"/>
        <w:keepLines w:val="0"/>
        <w:widowControl w:val="0"/>
        <w:shd w:val="clear" w:color="auto" w:fill="auto"/>
        <w:bidi w:val="0"/>
        <w:spacing w:before="0" w:after="0" w:line="312" w:lineRule="exact"/>
        <w:ind w:left="660" w:right="0" w:firstLine="420"/>
        <w:jc w:val="left"/>
      </w:pPr>
      <w:r>
        <w:rPr>
          <w:color w:val="000000"/>
          <w:spacing w:val="0"/>
          <w:w w:val="100"/>
          <w:position w:val="0"/>
        </w:rPr>
        <w:t xml:space="preserve">近年来，对制造、通信、能源、市政设施等关键基础领域的攻击事件频频发生，受到攻击的行业领域 不断扩大，造成后果也愈加严重，工业互联网安全的市场关注度随之提升。随着智能制造和工业互联网推 </w:t>
      </w:r>
      <w:r>
        <w:rPr>
          <w:color w:val="000000"/>
          <w:spacing w:val="0"/>
          <w:w w:val="100"/>
          <w:position w:val="0"/>
        </w:rPr>
        <w:t>进政策的不断出台，政府及企业开始逐步重视对工业互联网安全的投入，工业互联网安全市场具有较快的 增长率。根据赛迪顾问发布的《</w:t>
      </w:r>
      <w:r>
        <w:rPr>
          <w:rFonts w:ascii="Times New Roman" w:eastAsia="Times New Roman" w:hAnsi="Times New Roman" w:cs="Times New Roman"/>
          <w:color w:val="000000"/>
          <w:spacing w:val="0"/>
          <w:w w:val="100"/>
          <w:position w:val="0"/>
        </w:rPr>
        <w:t>2019</w:t>
      </w:r>
      <w:r>
        <w:rPr>
          <w:color w:val="000000"/>
          <w:spacing w:val="0"/>
          <w:w w:val="100"/>
          <w:position w:val="0"/>
        </w:rPr>
        <w:t>年中国网络安全发展白皮书》，赛迪顾问预测，预计到</w:t>
      </w:r>
      <w:r>
        <w:rPr>
          <w:rFonts w:ascii="Times New Roman" w:eastAsia="Times New Roman" w:hAnsi="Times New Roman" w:cs="Times New Roman"/>
          <w:color w:val="000000"/>
          <w:spacing w:val="0"/>
          <w:w w:val="100"/>
          <w:position w:val="0"/>
        </w:rPr>
        <w:t>2021</w:t>
      </w:r>
      <w:r>
        <w:rPr>
          <w:color w:val="000000"/>
          <w:spacing w:val="0"/>
          <w:w w:val="100"/>
          <w:position w:val="0"/>
        </w:rPr>
        <w:t>年，中国 工业互联网安全市场整体规模将达到</w:t>
      </w:r>
      <w:r>
        <w:rPr>
          <w:rFonts w:ascii="Times New Roman" w:eastAsia="Times New Roman" w:hAnsi="Times New Roman" w:cs="Times New Roman"/>
          <w:color w:val="000000"/>
          <w:spacing w:val="0"/>
          <w:w w:val="100"/>
          <w:position w:val="0"/>
        </w:rPr>
        <w:t>228</w:t>
      </w:r>
      <w:r>
        <w:rPr>
          <w:color w:val="000000"/>
          <w:spacing w:val="0"/>
          <w:w w:val="100"/>
          <w:position w:val="0"/>
        </w:rPr>
        <w:t>亿元。</w:t>
      </w:r>
    </w:p>
    <w:p>
      <w:pPr>
        <w:pStyle w:val="Style38"/>
        <w:keepNext w:val="0"/>
        <w:keepLines w:val="0"/>
        <w:widowControl w:val="0"/>
        <w:numPr>
          <w:ilvl w:val="0"/>
          <w:numId w:val="3"/>
        </w:numPr>
        <w:shd w:val="clear" w:color="auto" w:fill="auto"/>
        <w:tabs>
          <w:tab w:pos="1510" w:val="left"/>
        </w:tabs>
        <w:bidi w:val="0"/>
        <w:spacing w:before="0" w:after="0" w:line="313" w:lineRule="exact"/>
        <w:ind w:left="1080" w:right="0" w:firstLine="0"/>
        <w:jc w:val="both"/>
      </w:pPr>
      <w:bookmarkStart w:id="106" w:name="bookmark106"/>
      <w:bookmarkEnd w:id="106"/>
      <w:r>
        <w:rPr>
          <w:color w:val="000000"/>
          <w:spacing w:val="0"/>
          <w:w w:val="100"/>
          <w:position w:val="0"/>
        </w:rPr>
        <w:t>国产化基础软硬件与可信计算的结合将成为今后我国网络安全保护的基石</w:t>
      </w:r>
    </w:p>
    <w:p>
      <w:pPr>
        <w:pStyle w:val="Style38"/>
        <w:keepNext w:val="0"/>
        <w:keepLines w:val="0"/>
        <w:widowControl w:val="0"/>
        <w:shd w:val="clear" w:color="auto" w:fill="auto"/>
        <w:bidi w:val="0"/>
        <w:spacing w:before="0" w:after="0" w:line="313" w:lineRule="exact"/>
        <w:ind w:left="660" w:right="0" w:firstLine="420"/>
        <w:jc w:val="both"/>
      </w:pPr>
      <w:r>
        <w:rPr>
          <w:color w:val="000000"/>
          <w:spacing w:val="0"/>
          <w:w w:val="100"/>
          <w:position w:val="0"/>
        </w:rPr>
        <w:t>随着我国国产化基础软硬件的逐步成熟，以龙芯、飞腾、兆芯、申威为代表的国产</w:t>
      </w:r>
      <w:r>
        <w:rPr>
          <w:rFonts w:ascii="Times New Roman" w:eastAsia="Times New Roman" w:hAnsi="Times New Roman" w:cs="Times New Roman"/>
          <w:color w:val="000000"/>
          <w:spacing w:val="0"/>
          <w:w w:val="100"/>
          <w:position w:val="0"/>
        </w:rPr>
        <w:t>CPU</w:t>
      </w:r>
      <w:r>
        <w:rPr>
          <w:color w:val="000000"/>
          <w:spacing w:val="0"/>
          <w:w w:val="100"/>
          <w:position w:val="0"/>
        </w:rPr>
        <w:t>,</w:t>
      </w:r>
      <w:r>
        <w:rPr>
          <w:color w:val="000000"/>
          <w:spacing w:val="0"/>
          <w:w w:val="100"/>
          <w:position w:val="0"/>
        </w:rPr>
        <w:t>以及以中标 麒麟、银河麒麟为代表的国产操作系统，已经由基本可用实现了初步具备替代能力的跨越。同时，可信计 算也迈入了主动免疫的可信计算</w:t>
      </w:r>
      <w:r>
        <w:rPr>
          <w:rFonts w:ascii="Times New Roman" w:eastAsia="Times New Roman" w:hAnsi="Times New Roman" w:cs="Times New Roman"/>
          <w:color w:val="000000"/>
          <w:spacing w:val="0"/>
          <w:w w:val="100"/>
          <w:position w:val="0"/>
        </w:rPr>
        <w:t>3.0</w:t>
      </w:r>
      <w:r>
        <w:rPr>
          <w:color w:val="000000"/>
          <w:spacing w:val="0"/>
          <w:w w:val="100"/>
          <w:position w:val="0"/>
        </w:rPr>
        <w:t>时代，在</w:t>
      </w:r>
      <w:r>
        <w:rPr>
          <w:rFonts w:ascii="Times New Roman" w:eastAsia="Times New Roman" w:hAnsi="Times New Roman" w:cs="Times New Roman"/>
          <w:color w:val="000000"/>
          <w:spacing w:val="0"/>
          <w:w w:val="100"/>
          <w:position w:val="0"/>
        </w:rPr>
        <w:t>“</w:t>
      </w:r>
      <w:r>
        <w:rPr>
          <w:color w:val="000000"/>
          <w:spacing w:val="0"/>
          <w:w w:val="100"/>
          <w:position w:val="0"/>
        </w:rPr>
        <w:t>等保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可信</w:t>
      </w:r>
      <w:r>
        <w:rPr>
          <w:rFonts w:ascii="Times New Roman" w:eastAsia="Times New Roman" w:hAnsi="Times New Roman" w:cs="Times New Roman"/>
          <w:color w:val="000000"/>
          <w:spacing w:val="0"/>
          <w:w w:val="100"/>
          <w:position w:val="0"/>
        </w:rPr>
        <w:t>''</w:t>
      </w:r>
      <w:r>
        <w:rPr>
          <w:color w:val="000000"/>
          <w:spacing w:val="0"/>
          <w:w w:val="100"/>
          <w:position w:val="0"/>
        </w:rPr>
        <w:t>已成为了网络安全保护不可或缺的一部分。 国产化基础软硬件与可信计算的结合将成为今后我国网络安全保护的基石。自主可控要求带来的信息系统 软硬件国产替代，也将给信息安全行业带来巨大的市场增量。目前，信息安全产品国产化替代市场空间巨 大，拥有自主可控标准、技术、产品的信息安全厂商，将充分应用云计算、大数据、人工智能、物联网等 新兴技术，把握产业发展机遇，不断扩大市场份额，实现对国外信息安全产品的规模性替代，在核心应用 领域和国内产业转型升级的变革中发挥重要作用。</w:t>
      </w:r>
    </w:p>
    <w:p>
      <w:pPr>
        <w:pStyle w:val="Style38"/>
        <w:keepNext w:val="0"/>
        <w:keepLines w:val="0"/>
        <w:widowControl w:val="0"/>
        <w:numPr>
          <w:ilvl w:val="0"/>
          <w:numId w:val="3"/>
        </w:numPr>
        <w:shd w:val="clear" w:color="auto" w:fill="auto"/>
        <w:tabs>
          <w:tab w:pos="1510" w:val="left"/>
        </w:tabs>
        <w:bidi w:val="0"/>
        <w:spacing w:before="0" w:after="0" w:line="313" w:lineRule="exact"/>
        <w:ind w:left="1080" w:right="0" w:firstLine="0"/>
        <w:jc w:val="both"/>
      </w:pPr>
      <w:bookmarkStart w:id="107" w:name="bookmark107"/>
      <w:bookmarkEnd w:id="107"/>
      <w:r>
        <w:rPr>
          <w:color w:val="000000"/>
          <w:spacing w:val="0"/>
          <w:w w:val="100"/>
          <w:position w:val="0"/>
        </w:rPr>
        <w:t>企业加速上云的大势下，“零信任”成为网络安全核心动力</w:t>
      </w:r>
    </w:p>
    <w:p>
      <w:pPr>
        <w:pStyle w:val="Style38"/>
        <w:keepNext w:val="0"/>
        <w:keepLines w:val="0"/>
        <w:widowControl w:val="0"/>
        <w:shd w:val="clear" w:color="auto" w:fill="auto"/>
        <w:bidi w:val="0"/>
        <w:spacing w:before="0" w:after="0" w:line="313" w:lineRule="exact"/>
        <w:ind w:left="660" w:right="0" w:firstLine="420"/>
        <w:jc w:val="both"/>
      </w:pPr>
      <w:r>
        <w:rPr>
          <w:color w:val="000000"/>
          <w:spacing w:val="0"/>
          <w:w w:val="100"/>
          <w:position w:val="0"/>
        </w:rPr>
        <w:t>近年来，云计算、大数据、物联网、人工智能、</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量子技术等具有颠覆性的新兴技术、新场景的迅 猛发展，使得网络与信息安全风险全面泛化，种类和复杂度均显著增加。特别是云架构下企业网络边界从 数据中心扩展到整个互联网，基于边界的传统安全模型不再适用，“无边界”安全理念零信任应运而生。 传统架构以网络区域为边界，通过防火墙、</w:t>
      </w:r>
      <w:r>
        <w:rPr>
          <w:rFonts w:ascii="Times New Roman" w:eastAsia="Times New Roman" w:hAnsi="Times New Roman" w:cs="Times New Roman"/>
          <w:color w:val="000000"/>
          <w:spacing w:val="0"/>
          <w:w w:val="100"/>
          <w:position w:val="0"/>
        </w:rPr>
        <w:t>VPN</w:t>
      </w:r>
      <w:r>
        <w:rPr>
          <w:color w:val="000000"/>
          <w:spacing w:val="0"/>
          <w:w w:val="100"/>
          <w:position w:val="0"/>
        </w:rPr>
        <w:t>、</w:t>
      </w:r>
      <w:r>
        <w:rPr>
          <w:rFonts w:ascii="Times New Roman" w:eastAsia="Times New Roman" w:hAnsi="Times New Roman" w:cs="Times New Roman"/>
          <w:color w:val="000000"/>
          <w:spacing w:val="0"/>
          <w:w w:val="100"/>
          <w:position w:val="0"/>
        </w:rPr>
        <w:t>IDS/IPS</w:t>
      </w:r>
      <w:r>
        <w:rPr>
          <w:color w:val="000000"/>
          <w:spacing w:val="0"/>
          <w:w w:val="100"/>
          <w:position w:val="0"/>
        </w:rPr>
        <w:t>等网络安全设备建立企业的网络防护边界；一切 安全是基于网络位置构筑的信任体系，认为网络内部的人员与设备是可信的。不同于传统架构的先连接后 认证，零信任架构是先认证再连接，是一套全新的安全理念和安全战略，强调“永不信任，始终验证”， 以身份为中心进行动态访问控制。</w:t>
      </w:r>
    </w:p>
    <w:p>
      <w:pPr>
        <w:pStyle w:val="Style38"/>
        <w:keepNext w:val="0"/>
        <w:keepLines w:val="0"/>
        <w:widowControl w:val="0"/>
        <w:numPr>
          <w:ilvl w:val="0"/>
          <w:numId w:val="3"/>
        </w:numPr>
        <w:shd w:val="clear" w:color="auto" w:fill="auto"/>
        <w:tabs>
          <w:tab w:pos="1510" w:val="left"/>
        </w:tabs>
        <w:bidi w:val="0"/>
        <w:spacing w:before="0" w:after="0" w:line="312" w:lineRule="exact"/>
        <w:ind w:left="1080" w:right="0" w:firstLine="0"/>
        <w:jc w:val="both"/>
      </w:pPr>
      <w:bookmarkStart w:id="108" w:name="bookmark108"/>
      <w:bookmarkEnd w:id="108"/>
      <w:r>
        <w:rPr>
          <w:color w:val="000000"/>
          <w:spacing w:val="0"/>
          <w:w w:val="100"/>
          <w:position w:val="0"/>
        </w:rPr>
        <w:t>全局化、智能化成为网络安全行业的发展趋势，将带动用户信息安全支出的全面提升</w:t>
      </w:r>
    </w:p>
    <w:p>
      <w:pPr>
        <w:pStyle w:val="Style38"/>
        <w:keepNext w:val="0"/>
        <w:keepLines w:val="0"/>
        <w:widowControl w:val="0"/>
        <w:shd w:val="clear" w:color="auto" w:fill="auto"/>
        <w:bidi w:val="0"/>
        <w:spacing w:before="0" w:after="360" w:line="312" w:lineRule="exact"/>
        <w:ind w:left="660" w:right="0" w:firstLine="420"/>
        <w:jc w:val="both"/>
      </w:pPr>
      <w:r>
        <w:rPr>
          <w:color w:val="000000"/>
          <w:spacing w:val="0"/>
          <w:w w:val="100"/>
          <w:position w:val="0"/>
        </w:rPr>
        <w:t>安全形势的复杂化，驱动安全防护理念全面升级。全局化、智能化成为网络信息安全行业的两大趋势， 相较于单点防御，对于整体解决方案的需求正在提升；相较于边界防护，对于基于数据驱动的智能化新产 品和新技术的需求正在提升；而相较于产品采购，对于外部专业安全服务的需求也在持续提升。全局化趋 势一方面体现在为提高防护能力，将网络安全纳入组织信息化顶层设计方案，将安全关口前置，而非传统 安全机制下对于信息化的补充；另一方面则体现在基于整体来考虑和设计安全防护方案，体系化部署全面 安全防护系统而非单点防御。网络安全智能化趋势则体现在安全思维从传统的</w:t>
      </w:r>
      <w:r>
        <w:rPr>
          <w:rFonts w:ascii="Times New Roman" w:eastAsia="Times New Roman" w:hAnsi="Times New Roman" w:cs="Times New Roman"/>
          <w:color w:val="000000"/>
          <w:spacing w:val="0"/>
          <w:w w:val="100"/>
          <w:position w:val="0"/>
        </w:rPr>
        <w:t>“</w:t>
      </w:r>
      <w:r>
        <w:rPr>
          <w:color w:val="000000"/>
          <w:spacing w:val="0"/>
          <w:w w:val="100"/>
          <w:position w:val="0"/>
        </w:rPr>
        <w:t>应急响应</w:t>
      </w:r>
      <w:r>
        <w:rPr>
          <w:rFonts w:ascii="Times New Roman" w:eastAsia="Times New Roman" w:hAnsi="Times New Roman" w:cs="Times New Roman"/>
          <w:color w:val="000000"/>
          <w:spacing w:val="0"/>
          <w:w w:val="100"/>
          <w:position w:val="0"/>
        </w:rPr>
        <w:t>”</w:t>
      </w:r>
      <w:r>
        <w:rPr>
          <w:color w:val="000000"/>
          <w:spacing w:val="0"/>
          <w:w w:val="100"/>
          <w:position w:val="0"/>
        </w:rPr>
        <w:t>转变为</w:t>
      </w:r>
      <w:r>
        <w:rPr>
          <w:rFonts w:ascii="Times New Roman" w:eastAsia="Times New Roman" w:hAnsi="Times New Roman" w:cs="Times New Roman"/>
          <w:color w:val="000000"/>
          <w:spacing w:val="0"/>
          <w:w w:val="100"/>
          <w:position w:val="0"/>
        </w:rPr>
        <w:t>“</w:t>
      </w:r>
      <w:r>
        <w:rPr>
          <w:color w:val="000000"/>
          <w:spacing w:val="0"/>
          <w:w w:val="100"/>
          <w:position w:val="0"/>
        </w:rPr>
        <w:t>持续响 应</w:t>
      </w:r>
      <w:r>
        <w:rPr>
          <w:rFonts w:ascii="Times New Roman" w:eastAsia="Times New Roman" w:hAnsi="Times New Roman" w:cs="Times New Roman"/>
          <w:color w:val="000000"/>
          <w:spacing w:val="0"/>
          <w:w w:val="100"/>
          <w:position w:val="0"/>
        </w:rPr>
        <w:t>”</w:t>
      </w:r>
      <w:r>
        <w:rPr>
          <w:color w:val="000000"/>
          <w:spacing w:val="0"/>
          <w:w w:val="100"/>
          <w:position w:val="0"/>
        </w:rPr>
        <w:t>，在阻止之外加大对于检测、响应、预测方面的安全投入，加大对于数据驱动类应用的投入。全局化、 智能化的行业发展趋势将带动用户信息安全支出的全面提升。</w:t>
      </w:r>
    </w:p>
    <w:p>
      <w:pPr>
        <w:pStyle w:val="Style28"/>
        <w:keepNext w:val="0"/>
        <w:keepLines w:val="0"/>
        <w:widowControl w:val="0"/>
        <w:shd w:val="clear" w:color="auto" w:fill="auto"/>
        <w:bidi w:val="0"/>
        <w:spacing w:before="0" w:line="312" w:lineRule="exact"/>
        <w:ind w:left="660" w:right="0" w:firstLine="0"/>
        <w:jc w:val="both"/>
      </w:pPr>
      <w:r>
        <w:rPr>
          <w:color w:val="000000"/>
          <w:spacing w:val="0"/>
          <w:w w:val="100"/>
          <w:position w:val="0"/>
        </w:rPr>
        <w:t>上市公司通过自有的云计算平台为客户提供网络安全产品或服务，且云安全收入占公司最近一个会计年度经审计的合并财务 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8"/>
        <w:keepNext w:val="0"/>
        <w:keepLines w:val="0"/>
        <w:widowControl w:val="0"/>
        <w:shd w:val="clear" w:color="auto" w:fill="auto"/>
        <w:bidi w:val="0"/>
        <w:spacing w:before="0" w:after="0" w:line="36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12" w:lineRule="exact"/>
        <w:ind w:left="0" w:right="0" w:firstLine="660"/>
        <w:jc w:val="both"/>
      </w:pPr>
      <w:r>
        <w:rPr>
          <w:color w:val="000000"/>
          <w:spacing w:val="0"/>
          <w:w w:val="100"/>
          <w:position w:val="0"/>
        </w:rPr>
        <w:t>接受云计算服务安全评估的情况</w:t>
      </w:r>
    </w:p>
    <w:p>
      <w:pPr>
        <w:pStyle w:val="Style28"/>
        <w:keepNext w:val="0"/>
        <w:keepLines w:val="0"/>
        <w:widowControl w:val="0"/>
        <w:shd w:val="clear" w:color="auto" w:fill="auto"/>
        <w:bidi w:val="0"/>
        <w:spacing w:before="0" w:after="260" w:line="36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660"/>
        <w:jc w:val="both"/>
      </w:pPr>
      <w:bookmarkStart w:id="109" w:name="bookmark109"/>
      <w:bookmarkStart w:id="110" w:name="bookmark110"/>
      <w:bookmarkStart w:id="111" w:name="bookmark111"/>
      <w:bookmarkStart w:id="112" w:name="bookmark112"/>
      <w:r>
        <w:rPr>
          <w:color w:val="000000"/>
          <w:spacing w:val="0"/>
          <w:w w:val="100"/>
          <w:position w:val="0"/>
        </w:rPr>
        <w:t>二</w:t>
      </w:r>
      <w:bookmarkEnd w:id="111"/>
      <w:r>
        <w:rPr>
          <w:color w:val="000000"/>
          <w:spacing w:val="0"/>
          <w:w w:val="100"/>
          <w:position w:val="0"/>
        </w:rPr>
        <w:t>、主营业务分析</w:t>
      </w:r>
      <w:bookmarkEnd w:id="109"/>
      <w:bookmarkEnd w:id="110"/>
      <w:bookmarkEnd w:id="112"/>
    </w:p>
    <w:p>
      <w:pPr>
        <w:pStyle w:val="Style35"/>
        <w:keepNext/>
        <w:keepLines/>
        <w:widowControl w:val="0"/>
        <w:shd w:val="clear" w:color="auto" w:fill="auto"/>
        <w:bidi w:val="0"/>
        <w:spacing w:before="0" w:after="200" w:line="326" w:lineRule="auto"/>
        <w:ind w:left="0" w:right="0" w:firstLine="66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、概述</w:t>
      </w:r>
      <w:bookmarkEnd w:id="113"/>
      <w:bookmarkEnd w:id="114"/>
      <w:bookmarkEnd w:id="116"/>
    </w:p>
    <w:p>
      <w:pPr>
        <w:pStyle w:val="Style38"/>
        <w:keepNext w:val="0"/>
        <w:keepLines w:val="0"/>
        <w:widowControl w:val="0"/>
        <w:shd w:val="clear" w:color="auto" w:fill="auto"/>
        <w:bidi w:val="0"/>
        <w:spacing w:before="0" w:after="180" w:line="313" w:lineRule="exact"/>
        <w:ind w:left="0" w:right="0" w:firstLine="660"/>
        <w:jc w:val="both"/>
      </w:pPr>
      <w:r>
        <w:rPr>
          <w:color w:val="000000"/>
          <w:spacing w:val="0"/>
          <w:w w:val="100"/>
          <w:position w:val="0"/>
        </w:rPr>
        <w:t>参见“经营情况讨论与分析”中的“一、概述”相关内容。</w:t>
      </w:r>
      <w:r>
        <w:br w:type="page"/>
      </w:r>
    </w:p>
    <w:p>
      <w:pPr>
        <w:pStyle w:val="Style35"/>
        <w:keepNext/>
        <w:keepLines/>
        <w:widowControl w:val="0"/>
        <w:shd w:val="clear" w:color="auto" w:fill="auto"/>
        <w:bidi w:val="0"/>
        <w:spacing w:before="0" w:line="240" w:lineRule="auto"/>
        <w:ind w:left="0" w:right="0" w:firstLine="64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、收入与成本</w:t>
      </w:r>
      <w:bookmarkEnd w:id="117"/>
      <w:bookmarkEnd w:id="118"/>
      <w:bookmarkEnd w:id="120"/>
    </w:p>
    <w:p>
      <w:pPr>
        <w:pStyle w:val="Style48"/>
        <w:keepNext/>
        <w:keepLines/>
        <w:widowControl w:val="0"/>
        <w:numPr>
          <w:ilvl w:val="0"/>
          <w:numId w:val="5"/>
        </w:numPr>
        <w:shd w:val="clear" w:color="auto" w:fill="auto"/>
        <w:bidi w:val="0"/>
        <w:spacing w:before="0" w:after="380" w:line="240" w:lineRule="auto"/>
        <w:ind w:left="0" w:right="0"/>
        <w:jc w:val="left"/>
      </w:pPr>
      <w:bookmarkStart w:id="121" w:name="bookmark121"/>
      <w:bookmarkStart w:id="122" w:name="bookmark122"/>
      <w:bookmarkStart w:id="123" w:name="bookmark123"/>
      <w:bookmarkStart w:id="124" w:name="bookmark124"/>
      <w:bookmarkEnd w:id="123"/>
      <w:r>
        <w:rPr>
          <w:color w:val="000000"/>
          <w:spacing w:val="0"/>
          <w:w w:val="100"/>
          <w:position w:val="0"/>
        </w:rPr>
        <w:t>营业收入构成</w:t>
      </w:r>
      <w:bookmarkEnd w:id="121"/>
      <w:bookmarkEnd w:id="122"/>
      <w:bookmarkEnd w:id="124"/>
    </w:p>
    <w:p>
      <w:pPr>
        <w:pStyle w:val="Style28"/>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营业收入整体情况</w:t>
      </w:r>
    </w:p>
    <w:p>
      <w:pPr>
        <w:pStyle w:val="Style28"/>
        <w:keepNext w:val="0"/>
        <w:keepLines w:val="0"/>
        <w:widowControl w:val="0"/>
        <w:shd w:val="clear" w:color="auto" w:fill="auto"/>
        <w:bidi w:val="0"/>
        <w:spacing w:before="0" w:after="100" w:line="240" w:lineRule="auto"/>
        <w:ind w:left="95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1,919,439,845.55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-45.53%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220,044,824.77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334,833,161.79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624,280,342.05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949,032,114.16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8,269,946.96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25,665,519.72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27,818,312.05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372,235,102.26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9,795,316.41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20,847,859.42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10,152,194.42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8,120,814.78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铁路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42,982,790.28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42,117,014.26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17,554,718.23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28,393,267.70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石油石化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20,748,394.01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89,711,951.20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63,897,474.28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48,483,040.26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31.79%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458,452,541.55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448,242,894.76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471,195,040.23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903,728,572.35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93,498,918.58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174,357,554.42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电商运营服务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22,397,813.10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393,110,824.02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-94.30%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12,486,460.02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10,608,218.53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46,967,596.72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59,060,205.48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37,840,730.83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114,926,108.37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851,241,492.80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1,666,872,243.49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13,463,520.65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27,279,030.46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16,617,543.86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11,057,589.76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66,902,818.69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28,888,383.65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24,149.89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748,065.81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-96.77%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28"/>
        <w:keepNext w:val="0"/>
        <w:keepLines w:val="0"/>
        <w:widowControl w:val="0"/>
        <w:shd w:val="clear" w:color="auto" w:fill="auto"/>
        <w:bidi w:val="0"/>
        <w:spacing w:before="0" w:after="260" w:line="240" w:lineRule="auto"/>
        <w:ind w:left="9580" w:right="0" w:firstLine="0"/>
        <w:jc w:val="left"/>
      </w:pPr>
      <w:r>
        <w:rPr>
          <w:color w:val="000000"/>
          <w:spacing w:val="0"/>
          <w:w w:val="100"/>
          <w:position w:val="0"/>
        </w:rPr>
        <w:t>单位：元</w:t>
      </w:r>
    </w:p>
    <w:tbl>
      <w:tblPr>
        <w:tblOverlap w:val="never"/>
        <w:jc w:val="center"/>
        <w:tblLayout w:type="fixed"/>
      </w:tblPr>
      <w:tblGrid>
        <w:gridCol w:w="1522"/>
        <w:gridCol w:w="1008"/>
        <w:gridCol w:w="1013"/>
        <w:gridCol w:w="1008"/>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第四季度</w:t>
            </w: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616,246,7</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-38,206,87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-29,321,23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88,172,41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-1,112,101</w:t>
            </w:r>
          </w:p>
        </w:tc>
      </w:tr>
      <w:tr>
        <w:trPr>
          <w:trHeight w:val="35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,859.60</w:t>
            </w:r>
          </w:p>
        </w:tc>
      </w:tr>
    </w:tbl>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说明经营季节性（或周期性）发生的原因及波动风险</w:t>
      </w:r>
    </w:p>
    <w:p>
      <w:pPr>
        <w:pStyle w:val="Style38"/>
        <w:keepNext w:val="0"/>
        <w:keepLines w:val="0"/>
        <w:widowControl w:val="0"/>
        <w:shd w:val="clear" w:color="auto" w:fill="auto"/>
        <w:bidi w:val="0"/>
        <w:spacing w:before="0" w:after="340" w:line="312" w:lineRule="exact"/>
        <w:ind w:left="640" w:right="0" w:firstLine="440"/>
        <w:jc w:val="both"/>
      </w:pPr>
      <w:r>
        <w:rPr>
          <w:color w:val="000000"/>
          <w:spacing w:val="0"/>
          <w:w w:val="100"/>
          <w:position w:val="0"/>
        </w:rPr>
        <w:t>公司的客户主要为政府事业单位，受客户预算等因素影响，项目招投标、合同签订通常发生在上半年， 项目验收主要集中在下半年。</w:t>
      </w:r>
    </w:p>
    <w:p>
      <w:pPr>
        <w:pStyle w:val="Style38"/>
        <w:keepNext w:val="0"/>
        <w:keepLines w:val="0"/>
        <w:widowControl w:val="0"/>
        <w:shd w:val="clear" w:color="auto" w:fill="auto"/>
        <w:bidi w:val="0"/>
        <w:spacing w:before="0" w:after="0" w:line="326" w:lineRule="exact"/>
        <w:ind w:left="640" w:right="0" w:firstLine="2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15</w:t>
      </w:r>
      <w:r>
        <w:rPr>
          <w:color w:val="000000"/>
          <w:spacing w:val="0"/>
          <w:w w:val="100"/>
          <w:position w:val="0"/>
        </w:rPr>
        <w:t>号——上市公司从事网络安全相关业务》的 披露要求</w:t>
      </w:r>
    </w:p>
    <w:p>
      <w:pPr>
        <w:pStyle w:val="Style38"/>
        <w:keepNext w:val="0"/>
        <w:keepLines w:val="0"/>
        <w:widowControl w:val="0"/>
        <w:shd w:val="clear" w:color="auto" w:fill="auto"/>
        <w:bidi w:val="0"/>
        <w:spacing w:before="0" w:after="0" w:line="353" w:lineRule="exact"/>
        <w:ind w:left="640" w:right="0" w:firstLine="20"/>
        <w:jc w:val="left"/>
      </w:pPr>
      <w:r>
        <w:rPr>
          <w:color w:val="000000"/>
          <w:spacing w:val="0"/>
          <w:w w:val="100"/>
          <w:position w:val="0"/>
        </w:rPr>
        <w:t>单一产品（服务）收入占公司最近一个会计年度经审计的合并财务报表营业收入</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340" w:line="353" w:lineRule="exact"/>
        <w:ind w:left="640" w:right="0" w:firstLine="20"/>
        <w:jc w:val="left"/>
      </w:pPr>
      <w:r>
        <w:rPr>
          <w:color w:val="000000"/>
          <w:spacing w:val="0"/>
          <w:w w:val="100"/>
          <w:position w:val="0"/>
        </w:rPr>
        <w:t xml:space="preserve">报告期内主要产品及收入较上年是否发生变化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q</w:t>
      </w:r>
      <w:r>
        <w:rPr>
          <w:i/>
          <w:iCs/>
          <w:color w:val="000000"/>
          <w:spacing w:val="0"/>
          <w:w w:val="100"/>
          <w:position w:val="0"/>
        </w:rPr>
        <w:t>否</w:t>
      </w:r>
    </w:p>
    <w:p>
      <w:pPr>
        <w:pStyle w:val="Style38"/>
        <w:keepNext w:val="0"/>
        <w:keepLines w:val="0"/>
        <w:widowControl w:val="0"/>
        <w:shd w:val="clear" w:color="auto" w:fill="auto"/>
        <w:bidi w:val="0"/>
        <w:spacing w:before="0" w:after="0" w:line="326" w:lineRule="exact"/>
        <w:ind w:left="0" w:right="0" w:firstLine="640"/>
        <w:jc w:val="left"/>
      </w:pPr>
      <w:r>
        <w:rPr>
          <w:color w:val="000000"/>
          <w:spacing w:val="0"/>
          <w:w w:val="100"/>
          <w:position w:val="0"/>
        </w:rPr>
        <w:t>相关产品（服务）所处产业链位置、营运及盈利模式</w:t>
      </w:r>
    </w:p>
    <w:p>
      <w:pPr>
        <w:pStyle w:val="Style38"/>
        <w:keepNext w:val="0"/>
        <w:keepLines w:val="0"/>
        <w:widowControl w:val="0"/>
        <w:shd w:val="clear" w:color="auto" w:fill="auto"/>
        <w:bidi w:val="0"/>
        <w:spacing w:before="0" w:after="340" w:line="313" w:lineRule="exact"/>
        <w:ind w:left="640" w:right="0" w:firstLine="440"/>
        <w:jc w:val="both"/>
      </w:pPr>
      <w:r>
        <w:rPr>
          <w:color w:val="000000"/>
          <w:spacing w:val="0"/>
          <w:w w:val="100"/>
          <w:position w:val="0"/>
        </w:rPr>
        <w:t>公司将安全业务划分为安全产品、安全解决方案和安全服务三类；安全业务在订单获取、研发与设计、 物料采购、生产与集成、产品交付、客户服务等方面的基本运行模式均未发生变化。三类业务之间存在较 强的相关性，安全解决方案开展中一般使用自身安全产品为核心软硬件设施；安全产品技术水平的高低， 一定程度上决定了安全解决方案和安全服务业务的竞争力；安全产品、安全解决方案和安全服务业务在研 发方面共享资源。</w:t>
      </w:r>
    </w:p>
    <w:p>
      <w:pPr>
        <w:pStyle w:val="Style38"/>
        <w:keepNext w:val="0"/>
        <w:keepLines w:val="0"/>
        <w:widowControl w:val="0"/>
        <w:shd w:val="clear" w:color="auto" w:fill="auto"/>
        <w:bidi w:val="0"/>
        <w:spacing w:before="0" w:after="340" w:line="350" w:lineRule="exact"/>
        <w:ind w:left="640" w:right="0" w:firstLine="20"/>
        <w:jc w:val="left"/>
      </w:pPr>
      <w:r>
        <w:rPr>
          <w:color w:val="000000"/>
          <w:spacing w:val="0"/>
          <w:w w:val="100"/>
          <w:position w:val="0"/>
        </w:rPr>
        <w:t xml:space="preserve">报告期内产业链上、下游环境是否发生重大变化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8"/>
        <w:keepNext w:val="0"/>
        <w:keepLines w:val="0"/>
        <w:widowControl w:val="0"/>
        <w:shd w:val="clear" w:color="auto" w:fill="auto"/>
        <w:bidi w:val="0"/>
        <w:spacing w:before="0" w:after="0" w:line="326" w:lineRule="exact"/>
        <w:ind w:left="640" w:right="0" w:firstLine="20"/>
        <w:jc w:val="both"/>
      </w:pPr>
      <w:r>
        <w:rPr>
          <w:color w:val="000000"/>
          <w:spacing w:val="0"/>
          <w:w w:val="100"/>
          <w:position w:val="0"/>
        </w:rPr>
        <w:t xml:space="preserve">相关产品属于安全软硬件产品（包括但不限于防火墙、虚拟专用网络、流量分析、防病毒、入侵检测、安 全漏洞管理、加密设备、安全内容管理、统一威胁管理、终端安全软件、身份认证、日志审计、堡垒机、 威胁情报、态势感知等）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319" w:lineRule="exact"/>
        <w:ind w:left="0" w:right="0" w:firstLine="640"/>
        <w:jc w:val="both"/>
      </w:pPr>
      <w:r>
        <w:rPr>
          <w:color w:val="000000"/>
          <w:spacing w:val="0"/>
          <w:w w:val="100"/>
          <w:position w:val="0"/>
        </w:rPr>
        <w:t>报告期内产品销售情况</w:t>
      </w:r>
    </w:p>
    <w:p>
      <w:pPr>
        <w:pStyle w:val="Style38"/>
        <w:keepNext w:val="0"/>
        <w:keepLines w:val="0"/>
        <w:widowControl w:val="0"/>
        <w:shd w:val="clear" w:color="auto" w:fill="auto"/>
        <w:bidi w:val="0"/>
        <w:spacing w:before="0" w:after="340" w:line="319" w:lineRule="exact"/>
        <w:ind w:left="640" w:right="0" w:firstLine="440"/>
        <w:jc w:val="both"/>
      </w:pPr>
      <w:r>
        <w:rPr>
          <w:color w:val="000000"/>
          <w:spacing w:val="0"/>
          <w:w w:val="100"/>
          <w:position w:val="0"/>
        </w:rPr>
        <w:t>公司采用直销和渠道代理相结合的销售模式，经过多年的市场沉淀以及近年来的渠道建设，目前已形 成覆盖全国的完整营销网络，产品在报告期内的最终销售用户主要分布于电信运营商、电力能源、政府等 行业。</w:t>
      </w:r>
    </w:p>
    <w:p>
      <w:pPr>
        <w:pStyle w:val="Style38"/>
        <w:keepNext w:val="0"/>
        <w:keepLines w:val="0"/>
        <w:widowControl w:val="0"/>
        <w:shd w:val="clear" w:color="auto" w:fill="auto"/>
        <w:bidi w:val="0"/>
        <w:spacing w:before="0" w:after="460" w:line="350" w:lineRule="exact"/>
        <w:ind w:left="640" w:right="0" w:firstLine="20"/>
        <w:jc w:val="both"/>
      </w:pPr>
      <w:r>
        <w:rPr>
          <w:color w:val="000000"/>
          <w:spacing w:val="0"/>
          <w:w w:val="100"/>
          <w:position w:val="0"/>
        </w:rPr>
        <w:t xml:space="preserve">经销商代销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340" w:line="240" w:lineRule="auto"/>
        <w:ind w:left="0" w:right="0" w:firstLine="640"/>
        <w:jc w:val="left"/>
      </w:pPr>
      <w:r>
        <w:rPr>
          <w:color w:val="000000"/>
          <w:spacing w:val="0"/>
          <w:w w:val="100"/>
          <w:position w:val="0"/>
        </w:rPr>
        <w:t>产品核心技术的变化、革新情况</w:t>
      </w:r>
    </w:p>
    <w:p>
      <w:pPr>
        <w:pStyle w:val="Style38"/>
        <w:keepNext w:val="0"/>
        <w:keepLines w:val="0"/>
        <w:widowControl w:val="0"/>
        <w:shd w:val="clear" w:color="auto" w:fill="auto"/>
        <w:bidi w:val="0"/>
        <w:spacing w:before="0" w:after="360" w:line="314" w:lineRule="exact"/>
        <w:ind w:left="640" w:right="0" w:firstLine="440"/>
        <w:jc w:val="both"/>
      </w:pPr>
      <w:r>
        <w:rPr>
          <w:color w:val="000000"/>
          <w:spacing w:val="0"/>
          <w:w w:val="100"/>
          <w:position w:val="0"/>
        </w:rPr>
        <w:t>报告期内，公司以“自主可控”为思路，聚力实现全线安全产品的国产化替代，研发推出信息安全领 域前沿性产品。此外，公司以客户需求为导向，持续对部分核心安全产品进行更新迭代，提供提升安全产 品的易用性、适配性和性能，全面提升产品竞争力。</w:t>
      </w:r>
    </w:p>
    <w:p>
      <w:pPr>
        <w:pStyle w:val="Style38"/>
        <w:keepNext w:val="0"/>
        <w:keepLines w:val="0"/>
        <w:widowControl w:val="0"/>
        <w:shd w:val="clear" w:color="auto" w:fill="auto"/>
        <w:bidi w:val="0"/>
        <w:spacing w:before="0" w:after="120" w:line="350" w:lineRule="exact"/>
        <w:ind w:left="640" w:right="0" w:firstLine="20"/>
        <w:jc w:val="left"/>
      </w:pPr>
      <w:r>
        <w:rPr>
          <w:color w:val="000000"/>
          <w:spacing w:val="0"/>
          <w:w w:val="100"/>
          <w:position w:val="0"/>
        </w:rPr>
        <w:t>相关产品因升级迭代导致产品名称发生变化</w:t>
      </w:r>
    </w:p>
    <w:p>
      <w:pPr>
        <w:pStyle w:val="Style28"/>
        <w:keepNext w:val="0"/>
        <w:keepLines w:val="0"/>
        <w:widowControl w:val="0"/>
        <w:shd w:val="clear" w:color="auto" w:fill="auto"/>
        <w:bidi w:val="0"/>
        <w:spacing w:before="0" w:after="0" w:line="406" w:lineRule="auto"/>
        <w:ind w:left="64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240" w:line="350" w:lineRule="exact"/>
        <w:ind w:left="640" w:right="0" w:firstLine="20"/>
        <w:jc w:val="left"/>
      </w:pPr>
      <w:r>
        <w:rPr>
          <w:color w:val="000000"/>
          <w:spacing w:val="0"/>
          <w:w w:val="100"/>
          <w:position w:val="0"/>
        </w:rPr>
        <w:t xml:space="preserve">从事网络安全系统集成业务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 报告期主要供应商及产品未发生重大变化。</w:t>
      </w:r>
    </w:p>
    <w:p>
      <w:pPr>
        <w:pStyle w:val="Style48"/>
        <w:keepNext/>
        <w:keepLines/>
        <w:widowControl w:val="0"/>
        <w:shd w:val="clear" w:color="auto" w:fill="auto"/>
        <w:bidi w:val="0"/>
        <w:spacing w:before="0" w:after="400" w:line="350" w:lineRule="exact"/>
        <w:ind w:left="640" w:right="0" w:firstLine="2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5"/>
      <w:bookmarkEnd w:id="126"/>
      <w:bookmarkEnd w:id="128"/>
    </w:p>
    <w:p>
      <w:pPr>
        <w:pStyle w:val="Style28"/>
        <w:keepNext w:val="0"/>
        <w:keepLines w:val="0"/>
        <w:widowControl w:val="0"/>
        <w:shd w:val="clear" w:color="auto" w:fill="auto"/>
        <w:bidi w:val="0"/>
        <w:spacing w:before="0" w:after="0" w:line="406" w:lineRule="auto"/>
        <w:ind w:left="0" w:right="0" w:firstLine="6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64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220,044,824.77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158,868,566.40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624,280,342.05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268,368,195.28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458,452,541.55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88,772,281.59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471,195,040.23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398,126,246.13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-18.08%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851,241,492.80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457,538,813.43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pStyle w:val="Style28"/>
        <w:keepNext w:val="0"/>
        <w:keepLines w:val="0"/>
        <w:widowControl w:val="0"/>
        <w:shd w:val="clear" w:color="auto" w:fill="auto"/>
        <w:bidi w:val="0"/>
        <w:spacing w:before="0" w:after="0" w:line="341" w:lineRule="exact"/>
        <w:ind w:left="640" w:right="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41" w:lineRule="exact"/>
        <w:ind w:left="640" w:right="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1133" w:val="left"/>
        </w:tabs>
        <w:bidi w:val="0"/>
        <w:spacing w:before="0" w:after="400" w:line="240" w:lineRule="auto"/>
        <w:ind w:left="0" w:right="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9"/>
      <w:bookmarkEnd w:id="130"/>
      <w:bookmarkEnd w:id="132"/>
    </w:p>
    <w:p>
      <w:pPr>
        <w:pStyle w:val="Style28"/>
        <w:keepNext w:val="0"/>
        <w:keepLines w:val="0"/>
        <w:widowControl w:val="0"/>
        <w:shd w:val="clear" w:color="auto" w:fill="auto"/>
        <w:bidi w:val="0"/>
        <w:spacing w:before="0" w:after="240" w:line="396" w:lineRule="auto"/>
        <w:ind w:left="0" w:right="0" w:firstLine="6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8"/>
        <w:keepNext/>
        <w:keepLines/>
        <w:widowControl w:val="0"/>
        <w:shd w:val="clear" w:color="auto" w:fill="auto"/>
        <w:tabs>
          <w:tab w:pos="1133" w:val="left"/>
        </w:tabs>
        <w:bidi w:val="0"/>
        <w:spacing w:before="0" w:after="400" w:line="240" w:lineRule="auto"/>
        <w:ind w:left="0" w:right="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3"/>
      <w:bookmarkEnd w:id="134"/>
      <w:bookmarkEnd w:id="136"/>
    </w:p>
    <w:p>
      <w:pPr>
        <w:pStyle w:val="Style28"/>
        <w:keepNext w:val="0"/>
        <w:keepLines w:val="0"/>
        <w:widowControl w:val="0"/>
        <w:shd w:val="clear" w:color="auto" w:fill="auto"/>
        <w:bidi w:val="0"/>
        <w:spacing w:before="0" w:after="240" w:line="396" w:lineRule="auto"/>
        <w:ind w:left="0" w:right="0" w:firstLine="6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1133" w:val="left"/>
        </w:tabs>
        <w:bidi w:val="0"/>
        <w:spacing w:before="0" w:after="400" w:line="240" w:lineRule="auto"/>
        <w:ind w:left="0" w:right="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7"/>
      <w:bookmarkEnd w:id="138"/>
      <w:bookmarkEnd w:id="140"/>
    </w:p>
    <w:p>
      <w:pPr>
        <w:pStyle w:val="Style28"/>
        <w:keepNext w:val="0"/>
        <w:keepLines w:val="0"/>
        <w:widowControl w:val="0"/>
        <w:shd w:val="clear" w:color="auto" w:fill="auto"/>
        <w:bidi w:val="0"/>
        <w:spacing w:before="0" w:after="300" w:line="240" w:lineRule="auto"/>
        <w:ind w:left="0" w:right="0" w:firstLine="640"/>
        <w:jc w:val="left"/>
      </w:pPr>
      <w:r>
        <w:rPr>
          <w:color w:val="000000"/>
          <w:spacing w:val="0"/>
          <w:w w:val="100"/>
          <w:position w:val="0"/>
        </w:rPr>
        <w:t>产品分类</w:t>
      </w:r>
      <w:r>
        <w:br w:type="page"/>
      </w:r>
    </w:p>
    <w:p>
      <w:pPr>
        <w:pStyle w:val="Style28"/>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494,762,466.00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732,143,213.25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-32.42%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13,648,763.24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25,784,507.36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31,984,657.83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90,533,214.00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-64.67%</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-95.50%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4,742,440.86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18,910,907.14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-74.92%</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77,994,617.30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147,083,701.31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-46.97%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6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line="240" w:lineRule="auto"/>
        <w:ind w:left="0" w:right="0" w:firstLine="640"/>
        <w:jc w:val="both"/>
      </w:pPr>
      <w:r>
        <w:rPr>
          <w:color w:val="000000"/>
          <w:spacing w:val="0"/>
          <w:w w:val="100"/>
          <w:position w:val="0"/>
        </w:rPr>
        <w:t>主营业务成本构成</w:t>
      </w:r>
    </w:p>
    <w:p>
      <w:pPr>
        <w:pStyle w:val="Style28"/>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494,770,048.30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732,311,853.63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18,391,204.10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44,695,414.50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109,979,275.13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237,616,915.31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-53.72%</w:t>
            </w:r>
          </w:p>
        </w:tc>
      </w:tr>
    </w:tbl>
    <w:p>
      <w:pPr>
        <w:widowControl w:val="0"/>
        <w:spacing w:after="359" w:line="1" w:lineRule="exact"/>
      </w:pPr>
    </w:p>
    <w:p>
      <w:pPr>
        <w:pStyle w:val="Style48"/>
        <w:keepNext/>
        <w:keepLines/>
        <w:widowControl w:val="0"/>
        <w:shd w:val="clear" w:color="auto" w:fill="auto"/>
        <w:tabs>
          <w:tab w:pos="1133" w:val="left"/>
        </w:tabs>
        <w:bidi w:val="0"/>
        <w:spacing w:before="0" w:after="360" w:line="240" w:lineRule="auto"/>
        <w:ind w:left="0" w:right="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1"/>
      <w:bookmarkEnd w:id="142"/>
      <w:bookmarkEnd w:id="144"/>
    </w:p>
    <w:p>
      <w:pPr>
        <w:pStyle w:val="Style38"/>
        <w:keepNext w:val="0"/>
        <w:keepLines w:val="0"/>
        <w:widowControl w:val="0"/>
        <w:shd w:val="clear" w:color="auto" w:fill="auto"/>
        <w:bidi w:val="0"/>
        <w:spacing w:before="0" w:after="80" w:line="240" w:lineRule="auto"/>
        <w:ind w:left="0" w:right="0" w:firstLine="64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8"/>
        <w:keepNext w:val="0"/>
        <w:keepLines w:val="0"/>
        <w:widowControl w:val="0"/>
        <w:shd w:val="clear" w:color="auto" w:fill="auto"/>
        <w:bidi w:val="0"/>
        <w:spacing w:before="0" w:after="360" w:line="240" w:lineRule="auto"/>
        <w:ind w:left="0" w:right="0" w:firstLine="640"/>
        <w:jc w:val="left"/>
      </w:pPr>
      <w:r>
        <w:rPr>
          <w:color w:val="000000"/>
          <w:spacing w:val="0"/>
          <w:w w:val="100"/>
          <w:position w:val="0"/>
        </w:rPr>
        <w:t>详见第十二节财务报告第八项合并范围的变更。</w:t>
      </w:r>
    </w:p>
    <w:p>
      <w:pPr>
        <w:pStyle w:val="Style48"/>
        <w:keepNext/>
        <w:keepLines/>
        <w:widowControl w:val="0"/>
        <w:shd w:val="clear" w:color="auto" w:fill="auto"/>
        <w:tabs>
          <w:tab w:pos="1133" w:val="left"/>
        </w:tabs>
        <w:bidi w:val="0"/>
        <w:spacing w:before="0" w:after="360" w:line="240" w:lineRule="auto"/>
        <w:ind w:left="0" w:right="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5"/>
      <w:bookmarkEnd w:id="146"/>
      <w:bookmarkEnd w:id="148"/>
    </w:p>
    <w:p>
      <w:pPr>
        <w:pStyle w:val="Style28"/>
        <w:keepNext w:val="0"/>
        <w:keepLines w:val="0"/>
        <w:widowControl w:val="0"/>
        <w:shd w:val="clear" w:color="auto" w:fill="auto"/>
        <w:bidi w:val="0"/>
        <w:spacing w:before="0" w:after="360" w:line="240" w:lineRule="auto"/>
        <w:ind w:left="0" w:right="0" w:firstLine="6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适用不适用</w:t>
      </w:r>
    </w:p>
    <w:p>
      <w:pPr>
        <w:pStyle w:val="Style48"/>
        <w:keepNext/>
        <w:keepLines/>
        <w:widowControl w:val="0"/>
        <w:shd w:val="clear" w:color="auto" w:fill="auto"/>
        <w:tabs>
          <w:tab w:pos="1133" w:val="left"/>
        </w:tabs>
        <w:bidi w:val="0"/>
        <w:spacing w:before="0" w:after="360" w:line="240" w:lineRule="auto"/>
        <w:ind w:left="0" w:right="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9"/>
      <w:bookmarkEnd w:id="150"/>
      <w:bookmarkEnd w:id="152"/>
    </w:p>
    <w:p>
      <w:pPr>
        <w:pStyle w:val="Style28"/>
        <w:keepNext w:val="0"/>
        <w:keepLines w:val="0"/>
        <w:widowControl w:val="0"/>
        <w:shd w:val="clear" w:color="auto" w:fill="auto"/>
        <w:bidi w:val="0"/>
        <w:spacing w:before="0" w:after="80" w:line="240" w:lineRule="auto"/>
        <w:ind w:left="0" w:right="0" w:firstLine="64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190,832,198.33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46,395,985.05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43,029,120.07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38,392,118.89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33,619,130.97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29,395,843.35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190,832,198.33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18.25%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64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line="240" w:lineRule="auto"/>
        <w:ind w:left="0" w:right="0" w:firstLine="6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64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157,493,685.56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62,127,173.90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28,998,591.16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24,319,026.56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21,098,548.67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20,950,345.27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157,493,685.56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27.86%</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64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6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64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28"/>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34,806,570.56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74,092,921.56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主要是公司本报告期内优化人员结 构，加强费用管控导致销售费用下 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115,307,858.12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146,852,245.10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227,233,033.50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182,203,533.42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225,838,302.86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211,649,046.70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64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28"/>
        <w:keepNext w:val="0"/>
        <w:keepLines w:val="0"/>
        <w:widowControl w:val="0"/>
        <w:shd w:val="clear" w:color="auto" w:fill="auto"/>
        <w:bidi w:val="0"/>
        <w:spacing w:before="0" w:line="240" w:lineRule="auto"/>
        <w:ind w:left="0" w:right="0" w:firstLine="6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8"/>
        <w:keepNext w:val="0"/>
        <w:keepLines w:val="0"/>
        <w:widowControl w:val="0"/>
        <w:shd w:val="clear" w:color="auto" w:fill="auto"/>
        <w:bidi w:val="0"/>
        <w:spacing w:before="0" w:after="460" w:line="317" w:lineRule="exact"/>
        <w:ind w:left="640" w:right="0" w:firstLine="440"/>
        <w:jc w:val="left"/>
      </w:pPr>
      <w:r>
        <w:rPr>
          <w:color w:val="000000"/>
          <w:spacing w:val="0"/>
          <w:w w:val="100"/>
          <w:position w:val="0"/>
        </w:rPr>
        <w:t>通过继续保持研发创新力度，公司产品和技术不断创新，实现了全线产品的人工智能化和国产化，各 个新兴安全领域的产品应用相继落地，使公司核心竞争力不断增强。</w:t>
      </w:r>
    </w:p>
    <w:p>
      <w:pPr>
        <w:pStyle w:val="Style38"/>
        <w:keepNext w:val="0"/>
        <w:keepLines w:val="0"/>
        <w:widowControl w:val="0"/>
        <w:shd w:val="clear" w:color="auto" w:fill="auto"/>
        <w:bidi w:val="0"/>
        <w:spacing w:before="0" w:after="60" w:line="240" w:lineRule="auto"/>
        <w:ind w:left="0" w:right="0" w:firstLine="64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225,838,302.86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236,328,076.35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249,503,722.15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44,286,459.81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31,038,980.69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bl>
    <w:p>
      <w:pPr>
        <w:pStyle w:val="Style28"/>
        <w:keepNext w:val="0"/>
        <w:keepLines w:val="0"/>
        <w:widowControl w:val="0"/>
        <w:shd w:val="clear" w:color="auto" w:fill="auto"/>
        <w:bidi w:val="0"/>
        <w:spacing w:before="0" w:after="0" w:line="346" w:lineRule="exact"/>
        <w:ind w:left="640" w:right="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41" w:lineRule="exact"/>
        <w:ind w:left="640" w:right="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64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28"/>
        <w:keepNext w:val="0"/>
        <w:keepLines w:val="0"/>
        <w:widowControl w:val="0"/>
        <w:shd w:val="clear" w:color="auto" w:fill="auto"/>
        <w:bidi w:val="0"/>
        <w:spacing w:before="0" w:after="60" w:line="240" w:lineRule="auto"/>
        <w:ind w:left="95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890,263,783.19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3,193,665,581.52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742,263,092.81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3,482,124,525.58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148,000,690.38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-288,458,944.06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7,429,955.08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50,538,241.47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179,425,787.43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313,001,272.88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-171,995,832.35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-262,463,031.41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424,552,578.40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2,271,611,309.37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452,987,702.14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2,681,703,656.50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-28,435,123.74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-410,092,347.13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-52,430,278.00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-961,014,313.86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94.54%</w:t>
            </w:r>
          </w:p>
        </w:tc>
      </w:tr>
    </w:tbl>
    <w:p>
      <w:pPr>
        <w:pStyle w:val="Style38"/>
        <w:keepNext w:val="0"/>
        <w:keepLines w:val="0"/>
        <w:widowControl w:val="0"/>
        <w:shd w:val="clear" w:color="auto" w:fill="auto"/>
        <w:bidi w:val="0"/>
        <w:spacing w:before="0" w:after="220" w:line="355" w:lineRule="exact"/>
        <w:ind w:left="640" w:right="0" w:firstLine="20"/>
        <w:jc w:val="both"/>
      </w:pPr>
      <w:r>
        <w:rPr>
          <w:color w:val="000000"/>
          <w:spacing w:val="0"/>
          <w:w w:val="100"/>
          <w:position w:val="0"/>
        </w:rPr>
        <w:t xml:space="preserve">相关数据同比发生重大变动的主要影响因素说明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tabs>
          <w:tab w:pos="1656" w:val="left"/>
        </w:tabs>
        <w:bidi w:val="0"/>
        <w:spacing w:before="0" w:after="0" w:line="322" w:lineRule="exact"/>
        <w:ind w:left="640" w:right="0" w:firstLine="44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rPr>
        <w:t>1</w:t>
      </w:r>
      <w:r>
        <w:rPr>
          <w:color w:val="000000"/>
          <w:spacing w:val="0"/>
          <w:w w:val="100"/>
          <w:position w:val="0"/>
        </w:rPr>
        <w:t>）</w:t>
        <w:tab/>
        <w:t>经营活动产生的现金流量净额同比上升</w:t>
      </w:r>
      <w:r>
        <w:rPr>
          <w:rFonts w:ascii="Times New Roman" w:eastAsia="Times New Roman" w:hAnsi="Times New Roman" w:cs="Times New Roman"/>
          <w:color w:val="000000"/>
          <w:spacing w:val="0"/>
          <w:w w:val="100"/>
          <w:position w:val="0"/>
        </w:rPr>
        <w:t>151.31%</w:t>
      </w:r>
      <w:r>
        <w:rPr>
          <w:color w:val="000000"/>
          <w:spacing w:val="0"/>
          <w:w w:val="100"/>
          <w:position w:val="0"/>
        </w:rPr>
        <w:t>,其中经营活动现金流入同比下降</w:t>
      </w:r>
      <w:r>
        <w:rPr>
          <w:rFonts w:ascii="Times New Roman" w:eastAsia="Times New Roman" w:hAnsi="Times New Roman" w:cs="Times New Roman"/>
          <w:color w:val="000000"/>
          <w:spacing w:val="0"/>
          <w:w w:val="100"/>
          <w:position w:val="0"/>
        </w:rPr>
        <w:t>72.12%</w:t>
      </w:r>
      <w:r>
        <w:rPr>
          <w:color w:val="000000"/>
          <w:spacing w:val="0"/>
          <w:w w:val="100"/>
          <w:position w:val="0"/>
        </w:rPr>
        <w:t>,经营 活动现金流出同比下降</w:t>
      </w:r>
      <w:r>
        <w:rPr>
          <w:rFonts w:ascii="Times New Roman" w:eastAsia="Times New Roman" w:hAnsi="Times New Roman" w:cs="Times New Roman"/>
          <w:color w:val="000000"/>
          <w:spacing w:val="0"/>
          <w:w w:val="100"/>
          <w:position w:val="0"/>
        </w:rPr>
        <w:t>78.68%</w:t>
      </w:r>
      <w:r>
        <w:rPr>
          <w:color w:val="000000"/>
          <w:spacing w:val="0"/>
          <w:w w:val="100"/>
          <w:position w:val="0"/>
        </w:rPr>
        <w:t>，主要系报告期公司购买商品、接受劳务支付的现金减少。</w:t>
      </w:r>
    </w:p>
    <w:p>
      <w:pPr>
        <w:pStyle w:val="Style38"/>
        <w:keepNext w:val="0"/>
        <w:keepLines w:val="0"/>
        <w:widowControl w:val="0"/>
        <w:shd w:val="clear" w:color="auto" w:fill="auto"/>
        <w:tabs>
          <w:tab w:pos="1661" w:val="left"/>
        </w:tabs>
        <w:bidi w:val="0"/>
        <w:spacing w:before="0" w:after="0" w:line="322" w:lineRule="exact"/>
        <w:ind w:left="640" w:right="0" w:firstLine="440"/>
        <w:jc w:val="left"/>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rPr>
        <w:t>2</w:t>
      </w:r>
      <w:r>
        <w:rPr>
          <w:color w:val="000000"/>
          <w:spacing w:val="0"/>
          <w:w w:val="100"/>
          <w:position w:val="0"/>
        </w:rPr>
        <w:t>）</w:t>
        <w:tab/>
        <w:t>投资活动产生的现金流量净额同比上升</w:t>
      </w:r>
      <w:r>
        <w:rPr>
          <w:rFonts w:ascii="Times New Roman" w:eastAsia="Times New Roman" w:hAnsi="Times New Roman" w:cs="Times New Roman"/>
          <w:color w:val="000000"/>
          <w:spacing w:val="0"/>
          <w:w w:val="100"/>
          <w:position w:val="0"/>
        </w:rPr>
        <w:t>34.47%</w:t>
      </w:r>
      <w:r>
        <w:rPr>
          <w:color w:val="000000"/>
          <w:spacing w:val="0"/>
          <w:w w:val="100"/>
          <w:position w:val="0"/>
        </w:rPr>
        <w:t>，其中投资活动现金流入同比下降</w:t>
      </w:r>
      <w:r>
        <w:rPr>
          <w:rFonts w:ascii="Times New Roman" w:eastAsia="Times New Roman" w:hAnsi="Times New Roman" w:cs="Times New Roman"/>
          <w:color w:val="000000"/>
          <w:spacing w:val="0"/>
          <w:w w:val="100"/>
          <w:position w:val="0"/>
        </w:rPr>
        <w:t>85.30%</w:t>
      </w:r>
      <w:r>
        <w:rPr>
          <w:color w:val="000000"/>
          <w:spacing w:val="0"/>
          <w:w w:val="100"/>
          <w:position w:val="0"/>
        </w:rPr>
        <w:t>，投资 活动现金流出同比下降</w:t>
      </w:r>
      <w:r>
        <w:rPr>
          <w:rFonts w:ascii="Times New Roman" w:eastAsia="Times New Roman" w:hAnsi="Times New Roman" w:cs="Times New Roman"/>
          <w:color w:val="000000"/>
          <w:spacing w:val="0"/>
          <w:w w:val="100"/>
          <w:position w:val="0"/>
        </w:rPr>
        <w:t>42.68%</w:t>
      </w:r>
      <w:r>
        <w:rPr>
          <w:color w:val="000000"/>
          <w:spacing w:val="0"/>
          <w:w w:val="100"/>
          <w:position w:val="0"/>
        </w:rPr>
        <w:t>，主要系报告期公司购建固定资产、无形资产和其他长期资产支付的现金减 少。</w:t>
      </w:r>
    </w:p>
    <w:p>
      <w:pPr>
        <w:pStyle w:val="Style38"/>
        <w:keepNext w:val="0"/>
        <w:keepLines w:val="0"/>
        <w:widowControl w:val="0"/>
        <w:shd w:val="clear" w:color="auto" w:fill="auto"/>
        <w:tabs>
          <w:tab w:pos="1656" w:val="left"/>
        </w:tabs>
        <w:bidi w:val="0"/>
        <w:spacing w:before="0" w:after="340" w:line="322" w:lineRule="exact"/>
        <w:ind w:left="640" w:right="0" w:firstLine="44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rPr>
        <w:t>3</w:t>
      </w:r>
      <w:r>
        <w:rPr>
          <w:color w:val="000000"/>
          <w:spacing w:val="0"/>
          <w:w w:val="100"/>
          <w:position w:val="0"/>
        </w:rPr>
        <w:t>）</w:t>
        <w:tab/>
        <w:t>筹资活动产生的现金流量净额同比上升</w:t>
      </w:r>
      <w:r>
        <w:rPr>
          <w:rFonts w:ascii="Times New Roman" w:eastAsia="Times New Roman" w:hAnsi="Times New Roman" w:cs="Times New Roman"/>
          <w:color w:val="000000"/>
          <w:spacing w:val="0"/>
          <w:w w:val="100"/>
          <w:position w:val="0"/>
        </w:rPr>
        <w:t>93.07%</w:t>
      </w:r>
      <w:r>
        <w:rPr>
          <w:color w:val="000000"/>
          <w:spacing w:val="0"/>
          <w:w w:val="100"/>
          <w:position w:val="0"/>
        </w:rPr>
        <w:t>，其中筹资活动现金流入同比下降</w:t>
      </w:r>
      <w:r>
        <w:rPr>
          <w:rFonts w:ascii="Times New Roman" w:eastAsia="Times New Roman" w:hAnsi="Times New Roman" w:cs="Times New Roman"/>
          <w:color w:val="000000"/>
          <w:spacing w:val="0"/>
          <w:w w:val="100"/>
          <w:position w:val="0"/>
        </w:rPr>
        <w:t>81.31%</w:t>
      </w:r>
      <w:r>
        <w:rPr>
          <w:color w:val="000000"/>
          <w:spacing w:val="0"/>
          <w:w w:val="100"/>
          <w:position w:val="0"/>
        </w:rPr>
        <w:t>，筹资 活动现金流出同比增长</w:t>
      </w:r>
      <w:r>
        <w:rPr>
          <w:rFonts w:ascii="Times New Roman" w:eastAsia="Times New Roman" w:hAnsi="Times New Roman" w:cs="Times New Roman"/>
          <w:color w:val="000000"/>
          <w:spacing w:val="0"/>
          <w:w w:val="100"/>
          <w:position w:val="0"/>
        </w:rPr>
        <w:t>83.11%</w:t>
      </w:r>
      <w:r>
        <w:rPr>
          <w:color w:val="000000"/>
          <w:spacing w:val="0"/>
          <w:w w:val="100"/>
          <w:position w:val="0"/>
        </w:rPr>
        <w:t>，主要系报告期偿还债务支付的现金减少。</w:t>
      </w:r>
    </w:p>
    <w:p>
      <w:pPr>
        <w:pStyle w:val="Style38"/>
        <w:keepNext w:val="0"/>
        <w:keepLines w:val="0"/>
        <w:widowControl w:val="0"/>
        <w:shd w:val="clear" w:color="auto" w:fill="auto"/>
        <w:bidi w:val="0"/>
        <w:spacing w:before="0" w:after="340" w:line="360" w:lineRule="exact"/>
        <w:ind w:left="640" w:right="0" w:firstLine="20"/>
        <w:jc w:val="both"/>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shd w:val="clear" w:color="auto" w:fill="auto"/>
        <w:tabs>
          <w:tab w:pos="1157" w:val="left"/>
        </w:tabs>
        <w:bidi w:val="0"/>
        <w:spacing w:before="0" w:after="240" w:line="240" w:lineRule="auto"/>
        <w:ind w:left="0" w:right="0" w:firstLine="640"/>
        <w:jc w:val="both"/>
      </w:pPr>
      <w:bookmarkStart w:id="168" w:name="bookmark168"/>
      <w:bookmarkStart w:id="169" w:name="bookmark169"/>
      <w:bookmarkStart w:id="170" w:name="bookmark170"/>
      <w:bookmarkStart w:id="171" w:name="bookmark171"/>
      <w:r>
        <w:rPr>
          <w:color w:val="000000"/>
          <w:spacing w:val="0"/>
          <w:w w:val="100"/>
          <w:position w:val="0"/>
        </w:rPr>
        <w:t>三</w:t>
      </w:r>
      <w:bookmarkEnd w:id="170"/>
      <w:r>
        <w:rPr>
          <w:color w:val="000000"/>
          <w:spacing w:val="0"/>
          <w:w w:val="100"/>
          <w:position w:val="0"/>
        </w:rPr>
        <w:t>、</w:t>
        <w:tab/>
        <w:t>非主营业务情况</w:t>
      </w:r>
      <w:bookmarkEnd w:id="168"/>
      <w:bookmarkEnd w:id="169"/>
      <w:bookmarkEnd w:id="171"/>
    </w:p>
    <w:p>
      <w:pPr>
        <w:pStyle w:val="Style28"/>
        <w:keepNext w:val="0"/>
        <w:keepLines w:val="0"/>
        <w:widowControl w:val="0"/>
        <w:shd w:val="clear" w:color="auto" w:fill="auto"/>
        <w:bidi w:val="0"/>
        <w:spacing w:before="0" w:after="340" w:line="350" w:lineRule="exact"/>
        <w:ind w:left="0" w:right="0" w:firstLine="6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q</w:t>
      </w:r>
      <w:r>
        <w:rPr>
          <w:color w:val="000000"/>
          <w:spacing w:val="0"/>
          <w:w w:val="100"/>
          <w:position w:val="0"/>
        </w:rPr>
        <w:t>不适用</w:t>
      </w:r>
    </w:p>
    <w:p>
      <w:pPr>
        <w:pStyle w:val="Style26"/>
        <w:keepNext/>
        <w:keepLines/>
        <w:widowControl w:val="0"/>
        <w:shd w:val="clear" w:color="auto" w:fill="auto"/>
        <w:tabs>
          <w:tab w:pos="1157" w:val="left"/>
        </w:tabs>
        <w:bidi w:val="0"/>
        <w:spacing w:before="0" w:after="300" w:line="240" w:lineRule="auto"/>
        <w:ind w:left="0" w:right="0" w:firstLine="640"/>
        <w:jc w:val="both"/>
      </w:pPr>
      <w:bookmarkStart w:id="172" w:name="bookmark172"/>
      <w:bookmarkStart w:id="173" w:name="bookmark173"/>
      <w:bookmarkStart w:id="174" w:name="bookmark174"/>
      <w:bookmarkStart w:id="175" w:name="bookmark175"/>
      <w:r>
        <w:rPr>
          <w:color w:val="000000"/>
          <w:spacing w:val="0"/>
          <w:w w:val="100"/>
          <w:position w:val="0"/>
        </w:rPr>
        <w:t>四</w:t>
      </w:r>
      <w:bookmarkEnd w:id="174"/>
      <w:r>
        <w:rPr>
          <w:color w:val="000000"/>
          <w:spacing w:val="0"/>
          <w:w w:val="100"/>
          <w:position w:val="0"/>
        </w:rPr>
        <w:t>、</w:t>
        <w:tab/>
        <w:t>资产及负债状况分析</w:t>
      </w:r>
      <w:bookmarkEnd w:id="172"/>
      <w:bookmarkEnd w:id="173"/>
      <w:bookmarkEnd w:id="175"/>
    </w:p>
    <w:p>
      <w:pPr>
        <w:pStyle w:val="Style35"/>
        <w:keepNext/>
        <w:keepLines/>
        <w:widowControl w:val="0"/>
        <w:shd w:val="clear" w:color="auto" w:fill="auto"/>
        <w:bidi w:val="0"/>
        <w:spacing w:before="0" w:after="240" w:line="322" w:lineRule="exact"/>
        <w:ind w:left="0" w:right="0" w:firstLine="64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38"/>
        <w:keepNext w:val="0"/>
        <w:keepLines w:val="0"/>
        <w:widowControl w:val="0"/>
        <w:shd w:val="clear" w:color="auto" w:fill="auto"/>
        <w:bidi w:val="0"/>
        <w:spacing w:before="0" w:after="0" w:line="350" w:lineRule="exact"/>
        <w:ind w:left="640" w:right="0" w:firstLine="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8"/>
        <w:keepNext w:val="0"/>
        <w:keepLines w:val="0"/>
        <w:widowControl w:val="0"/>
        <w:shd w:val="clear" w:color="auto" w:fill="auto"/>
        <w:bidi w:val="0"/>
        <w:spacing w:before="0" w:after="60" w:line="350" w:lineRule="exact"/>
        <w:ind w:left="0" w:right="640" w:firstLine="0"/>
        <w:jc w:val="right"/>
      </w:pPr>
      <w:r>
        <w:rPr>
          <w:color w:val="000000"/>
          <w:spacing w:val="0"/>
          <w:w w:val="100"/>
          <w:position w:val="0"/>
        </w:rPr>
        <w:t>单位：元</w:t>
      </w:r>
    </w:p>
    <w:tbl>
      <w:tblPr>
        <w:tblOverlap w:val="never"/>
        <w:jc w:val="center"/>
        <w:tblLayout w:type="fixed"/>
      </w:tblPr>
      <w:tblGrid>
        <w:gridCol w:w="1373"/>
        <w:gridCol w:w="1493"/>
        <w:gridCol w:w="1066"/>
        <w:gridCol w:w="1574"/>
        <w:gridCol w:w="1066"/>
        <w:gridCol w:w="797"/>
        <w:gridCol w:w="25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69,313,030.80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275,044,709.06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3,063,284,697.92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2,939,498,025.89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142,862,832.00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220,824,023.43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10,409,079.40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10,409,196.20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490,689,289.99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767,617,444.95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主要系报告期新增固定资产 较去年下降，同时部分固定资 产存在减值迹象，计提了固定 资产减值准备。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1,223,942,024.15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1,303,940,905.12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1,865,846,868.75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2,047,447,425.36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412,531,000.53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报告期末长期借款均为一年 内到期的借款，调整至</w:t>
            </w:r>
            <w:r>
              <w:rPr>
                <w:color w:val="000000"/>
                <w:spacing w:val="0"/>
                <w:w w:val="100"/>
                <w:position w:val="0"/>
              </w:rPr>
              <w:t>"</w:t>
            </w:r>
            <w:r>
              <w:rPr>
                <w:color w:val="000000"/>
                <w:spacing w:val="0"/>
                <w:w w:val="100"/>
                <w:position w:val="0"/>
              </w:rPr>
              <w:t>一年 内到期的非流动负债”科目</w:t>
            </w:r>
          </w:p>
        </w:tc>
      </w:tr>
    </w:tbl>
    <w:p>
      <w:pPr>
        <w:pStyle w:val="Style35"/>
        <w:keepNext/>
        <w:keepLines/>
        <w:widowControl w:val="0"/>
        <w:shd w:val="clear" w:color="auto" w:fill="auto"/>
        <w:bidi w:val="0"/>
        <w:spacing w:before="0" w:line="240" w:lineRule="auto"/>
        <w:ind w:left="0" w:right="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、以公允价值计量的资产和负债</w:t>
      </w:r>
      <w:bookmarkEnd w:id="180"/>
      <w:bookmarkEnd w:id="181"/>
      <w:bookmarkEnd w:id="183"/>
    </w:p>
    <w:p>
      <w:pPr>
        <w:pStyle w:val="Style28"/>
        <w:keepNext w:val="0"/>
        <w:keepLines w:val="0"/>
        <w:widowControl w:val="0"/>
        <w:shd w:val="clear" w:color="auto" w:fill="auto"/>
        <w:bidi w:val="0"/>
        <w:spacing w:before="0" w:after="120" w:line="240" w:lineRule="auto"/>
        <w:ind w:left="0" w:right="0" w:firstLine="4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2"/>
        <w:gridCol w:w="1291"/>
        <w:gridCol w:w="1061"/>
        <w:gridCol w:w="1195"/>
        <w:gridCol w:w="931"/>
        <w:gridCol w:w="1195"/>
        <w:gridCol w:w="1378"/>
        <w:gridCol w:w="1138"/>
        <w:gridCol w:w="130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26,585,470.00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16,495,210.00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77,085,470.00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66,995,210.00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其他变动的内容：主要为外币财务报表折算差额。</w:t>
      </w:r>
    </w:p>
    <w:p>
      <w:pPr>
        <w:pStyle w:val="Style2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8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line="240" w:lineRule="auto"/>
        <w:ind w:left="0" w:right="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p>
      <w:pPr>
        <w:pStyle w:val="Style38"/>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本企业截至报告期期末的资产权利受限情况详见附注七</w:t>
      </w:r>
      <w:r>
        <w:rPr>
          <w:rFonts w:ascii="Times New Roman" w:eastAsia="Times New Roman" w:hAnsi="Times New Roman" w:cs="Times New Roman"/>
          <w:color w:val="000000"/>
          <w:spacing w:val="0"/>
          <w:w w:val="100"/>
          <w:position w:val="0"/>
        </w:rPr>
        <w:t>61</w:t>
      </w:r>
      <w:r>
        <w:rPr>
          <w:color w:val="000000"/>
          <w:spacing w:val="0"/>
          <w:w w:val="100"/>
          <w:position w:val="0"/>
        </w:rPr>
        <w:t>、所有权或使用权受到限制的资产。</w:t>
      </w:r>
    </w:p>
    <w:p>
      <w:pPr>
        <w:pStyle w:val="Style26"/>
        <w:keepNext/>
        <w:keepLines/>
        <w:widowControl w:val="0"/>
        <w:shd w:val="clear" w:color="auto" w:fill="auto"/>
        <w:bidi w:val="0"/>
        <w:spacing w:before="0" w:after="380" w:line="240" w:lineRule="auto"/>
        <w:ind w:left="0" w:right="0" w:firstLine="480"/>
        <w:jc w:val="left"/>
      </w:pPr>
      <w:bookmarkStart w:id="188" w:name="bookmark188"/>
      <w:bookmarkStart w:id="189" w:name="bookmark189"/>
      <w:bookmarkStart w:id="190" w:name="bookmark190"/>
      <w:bookmarkStart w:id="191" w:name="bookmark191"/>
      <w:r>
        <w:rPr>
          <w:color w:val="000000"/>
          <w:spacing w:val="0"/>
          <w:w w:val="100"/>
          <w:position w:val="0"/>
        </w:rPr>
        <w:t>五</w:t>
      </w:r>
      <w:bookmarkEnd w:id="190"/>
      <w:r>
        <w:rPr>
          <w:color w:val="000000"/>
          <w:spacing w:val="0"/>
          <w:w w:val="100"/>
          <w:position w:val="0"/>
        </w:rPr>
        <w:t>、投资状况分析</w:t>
      </w:r>
      <w:bookmarkEnd w:id="188"/>
      <w:bookmarkEnd w:id="189"/>
      <w:bookmarkEnd w:id="191"/>
    </w:p>
    <w:p>
      <w:pPr>
        <w:pStyle w:val="Style35"/>
        <w:keepNext/>
        <w:keepLines/>
        <w:widowControl w:val="0"/>
        <w:shd w:val="clear" w:color="auto" w:fill="auto"/>
        <w:tabs>
          <w:tab w:pos="848" w:val="left"/>
        </w:tabs>
        <w:bidi w:val="0"/>
        <w:spacing w:before="0" w:line="240" w:lineRule="auto"/>
        <w:ind w:left="0" w:right="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w:t>
        <w:tab/>
        <w:t>总体情况</w:t>
      </w:r>
      <w:bookmarkEnd w:id="192"/>
      <w:bookmarkEnd w:id="193"/>
      <w:bookmarkEnd w:id="195"/>
    </w:p>
    <w:p>
      <w:pPr>
        <w:pStyle w:val="Style28"/>
        <w:keepNext w:val="0"/>
        <w:keepLines w:val="0"/>
        <w:widowControl w:val="0"/>
        <w:shd w:val="clear" w:color="auto" w:fill="auto"/>
        <w:bidi w:val="0"/>
        <w:spacing w:before="0" w:after="38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858" w:val="left"/>
        </w:tabs>
        <w:bidi w:val="0"/>
        <w:spacing w:before="0" w:line="240" w:lineRule="auto"/>
        <w:ind w:left="0" w:right="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报告期内获取的重大的股权投资情况</w:t>
      </w:r>
      <w:bookmarkEnd w:id="196"/>
      <w:bookmarkEnd w:id="197"/>
      <w:bookmarkEnd w:id="199"/>
    </w:p>
    <w:p>
      <w:pPr>
        <w:pStyle w:val="Style28"/>
        <w:keepNext w:val="0"/>
        <w:keepLines w:val="0"/>
        <w:widowControl w:val="0"/>
        <w:shd w:val="clear" w:color="auto" w:fill="auto"/>
        <w:bidi w:val="0"/>
        <w:spacing w:before="0" w:after="38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858" w:val="left"/>
        </w:tabs>
        <w:bidi w:val="0"/>
        <w:spacing w:before="0" w:line="240" w:lineRule="auto"/>
        <w:ind w:left="0" w:right="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报告期内正在进行的重大的非股权投资情况</w:t>
      </w:r>
      <w:bookmarkEnd w:id="200"/>
      <w:bookmarkEnd w:id="201"/>
      <w:bookmarkEnd w:id="203"/>
    </w:p>
    <w:p>
      <w:pPr>
        <w:pStyle w:val="Style28"/>
        <w:keepNext w:val="0"/>
        <w:keepLines w:val="0"/>
        <w:widowControl w:val="0"/>
        <w:shd w:val="clear" w:color="auto" w:fill="auto"/>
        <w:bidi w:val="0"/>
        <w:spacing w:before="0" w:after="38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858" w:val="left"/>
        </w:tabs>
        <w:bidi w:val="0"/>
        <w:spacing w:before="0" w:line="240" w:lineRule="auto"/>
        <w:ind w:left="0" w:right="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以公允价值计量的金融资产</w:t>
      </w:r>
      <w:bookmarkEnd w:id="204"/>
      <w:bookmarkEnd w:id="205"/>
      <w:bookmarkEnd w:id="207"/>
    </w:p>
    <w:p>
      <w:pPr>
        <w:pStyle w:val="Style28"/>
        <w:keepNext w:val="0"/>
        <w:keepLines w:val="0"/>
        <w:widowControl w:val="0"/>
        <w:shd w:val="clear" w:color="auto" w:fill="auto"/>
        <w:bidi w:val="0"/>
        <w:spacing w:before="0" w:after="38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bidi w:val="0"/>
        <w:spacing w:before="0" w:line="240" w:lineRule="auto"/>
        <w:ind w:left="0" w:right="0" w:firstLine="82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28"/>
        <w:keepNext w:val="0"/>
        <w:keepLines w:val="0"/>
        <w:widowControl w:val="0"/>
        <w:shd w:val="clear" w:color="auto" w:fill="auto"/>
        <w:bidi w:val="0"/>
        <w:spacing w:before="0" w:after="380" w:line="240" w:lineRule="auto"/>
        <w:ind w:left="0" w:right="0" w:firstLine="8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keepLines/>
        <w:widowControl w:val="0"/>
        <w:shd w:val="clear" w:color="auto" w:fill="auto"/>
        <w:bidi w:val="0"/>
        <w:spacing w:before="0" w:after="380" w:line="240" w:lineRule="auto"/>
        <w:ind w:left="0" w:right="0" w:firstLine="82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2"/>
      <w:bookmarkEnd w:id="213"/>
      <w:bookmarkEnd w:id="215"/>
    </w:p>
    <w:p>
      <w:pPr>
        <w:pStyle w:val="Style28"/>
        <w:keepNext w:val="0"/>
        <w:keepLines w:val="0"/>
        <w:widowControl w:val="0"/>
        <w:shd w:val="clear" w:color="auto" w:fill="auto"/>
        <w:bidi w:val="0"/>
        <w:spacing w:before="0" w:line="240" w:lineRule="auto"/>
        <w:ind w:left="0" w:right="0" w:firstLine="8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560" w:right="0" w:firstLine="0"/>
        <w:jc w:val="left"/>
      </w:pPr>
      <w:r>
        <w:rPr>
          <w:color w:val="000000"/>
          <w:spacing w:val="0"/>
          <w:w w:val="100"/>
          <w:position w:val="0"/>
        </w:rPr>
        <w:t>单位：万元</w:t>
      </w:r>
    </w:p>
    <w:tbl>
      <w:tblPr>
        <w:tblOverlap w:val="never"/>
        <w:jc w:val="center"/>
        <w:tblLayout w:type="fixed"/>
      </w:tblPr>
      <w:tblGrid>
        <w:gridCol w:w="869"/>
        <w:gridCol w:w="874"/>
        <w:gridCol w:w="869"/>
        <w:gridCol w:w="869"/>
        <w:gridCol w:w="1099"/>
        <w:gridCol w:w="869"/>
        <w:gridCol w:w="869"/>
        <w:gridCol w:w="869"/>
        <w:gridCol w:w="869"/>
        <w:gridCol w:w="874"/>
        <w:gridCol w:w="87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 年以上 募集资 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39,336.42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110,262.56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公开发 行可转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53,820.82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 动资金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216,436.95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48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经中国证监会证监许可</w:t>
            </w:r>
            <w:r>
              <w:rPr>
                <w:rFonts w:ascii="Times New Roman" w:eastAsia="Times New Roman" w:hAnsi="Times New Roman" w:cs="Times New Roman"/>
                <w:color w:val="000000"/>
                <w:spacing w:val="0"/>
                <w:w w:val="100"/>
                <w:position w:val="0"/>
                <w:sz w:val="18"/>
                <w:szCs w:val="18"/>
              </w:rPr>
              <w:t>[2012]41</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2,450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日，公司共募集资金</w:t>
            </w:r>
            <w:r>
              <w:rPr>
                <w:rFonts w:ascii="Times New Roman" w:eastAsia="Times New Roman" w:hAnsi="Times New Roman" w:cs="Times New Roman"/>
                <w:color w:val="000000"/>
                <w:spacing w:val="0"/>
                <w:w w:val="100"/>
                <w:position w:val="0"/>
                <w:sz w:val="18"/>
                <w:szCs w:val="18"/>
              </w:rPr>
              <w:t>39,200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3,924.33</w:t>
            </w:r>
            <w:r>
              <w:rPr>
                <w:color w:val="000000"/>
                <w:spacing w:val="0"/>
                <w:w w:val="100"/>
                <w:position w:val="0"/>
              </w:rPr>
              <w:t>万元，募集资金净额</w:t>
            </w:r>
            <w:r>
              <w:rPr>
                <w:rFonts w:ascii="Times New Roman" w:eastAsia="Times New Roman" w:hAnsi="Times New Roman" w:cs="Times New Roman"/>
                <w:color w:val="000000"/>
                <w:spacing w:val="0"/>
                <w:w w:val="100"/>
                <w:position w:val="0"/>
                <w:sz w:val="18"/>
                <w:szCs w:val="18"/>
              </w:rPr>
              <w:t>35275.67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日，公司累计使用募集资金</w:t>
            </w:r>
            <w:r>
              <w:rPr>
                <w:rFonts w:ascii="Times New Roman" w:eastAsia="Times New Roman" w:hAnsi="Times New Roman" w:cs="Times New Roman"/>
                <w:color w:val="000000"/>
                <w:spacing w:val="0"/>
                <w:w w:val="100"/>
                <w:position w:val="0"/>
                <w:sz w:val="18"/>
                <w:szCs w:val="18"/>
              </w:rPr>
              <w:t>35,412.09</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35,275.67</w:t>
            </w:r>
            <w:r>
              <w:rPr>
                <w:color w:val="000000"/>
                <w:spacing w:val="0"/>
                <w:w w:val="100"/>
                <w:position w:val="0"/>
              </w:rPr>
              <w:t>万元、银行手续费</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万元、银行利息收入</w:t>
            </w:r>
            <w:r>
              <w:rPr>
                <w:rFonts w:ascii="Times New Roman" w:eastAsia="Times New Roman" w:hAnsi="Times New Roman" w:cs="Times New Roman"/>
                <w:color w:val="000000"/>
                <w:spacing w:val="0"/>
                <w:w w:val="100"/>
                <w:position w:val="0"/>
                <w:sz w:val="18"/>
                <w:szCs w:val="18"/>
              </w:rPr>
              <w:t xml:space="preserve">137.60 </w:t>
            </w:r>
            <w:r>
              <w:rPr>
                <w:color w:val="000000"/>
                <w:spacing w:val="0"/>
                <w:w w:val="100"/>
                <w:position w:val="0"/>
              </w:rPr>
              <w:t>万元。</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经中国证监会证监许可</w:t>
            </w:r>
            <w:r>
              <w:rPr>
                <w:rFonts w:ascii="Times New Roman" w:eastAsia="Times New Roman" w:hAnsi="Times New Roman" w:cs="Times New Roman"/>
                <w:color w:val="000000"/>
                <w:spacing w:val="0"/>
                <w:w w:val="100"/>
                <w:position w:val="0"/>
                <w:sz w:val="18"/>
                <w:szCs w:val="18"/>
              </w:rPr>
              <w:t>[2015]356</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日向特定投资者非公开发行普通股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24,610,235</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17.96</w:t>
            </w:r>
            <w:r>
              <w:rPr>
                <w:color w:val="000000"/>
                <w:spacing w:val="0"/>
                <w:w w:val="100"/>
                <w:position w:val="0"/>
              </w:rPr>
              <w:t>元</w:t>
            </w:r>
            <w:r>
              <w:rPr>
                <w:color w:val="000000"/>
                <w:spacing w:val="0"/>
                <w:w w:val="100"/>
                <w:position w:val="0"/>
                <w:sz w:val="18"/>
                <w:szCs w:val="18"/>
              </w:rPr>
              <w:t>，</w:t>
            </w:r>
            <w:r>
              <w:rPr>
                <w:color w:val="000000"/>
                <w:spacing w:val="0"/>
                <w:w w:val="100"/>
                <w:position w:val="0"/>
              </w:rPr>
              <w:t>用于 购买资产和募集配套资金。截至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日，公司共募集配套资金</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1,793.33</w:t>
            </w:r>
            <w:r>
              <w:rPr>
                <w:color w:val="000000"/>
                <w:spacing w:val="0"/>
                <w:w w:val="100"/>
                <w:position w:val="0"/>
              </w:rPr>
              <w:t>元，募集资 金净额</w:t>
            </w:r>
            <w:r>
              <w:rPr>
                <w:rFonts w:ascii="Times New Roman" w:eastAsia="Times New Roman" w:hAnsi="Times New Roman" w:cs="Times New Roman"/>
                <w:color w:val="000000"/>
                <w:spacing w:val="0"/>
                <w:w w:val="100"/>
                <w:position w:val="0"/>
                <w:sz w:val="18"/>
                <w:szCs w:val="18"/>
              </w:rPr>
              <w:t>11,206.67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日，公司累计使用募集资金</w:t>
            </w:r>
            <w:r>
              <w:rPr>
                <w:rFonts w:ascii="Times New Roman" w:eastAsia="Times New Roman" w:hAnsi="Times New Roman" w:cs="Times New Roman"/>
                <w:color w:val="000000"/>
                <w:spacing w:val="0"/>
                <w:w w:val="100"/>
                <w:position w:val="0"/>
                <w:sz w:val="18"/>
                <w:szCs w:val="18"/>
              </w:rPr>
              <w:t>13,017.15</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 银行手续费</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万元、银行利息收入</w:t>
            </w:r>
            <w:r>
              <w:rPr>
                <w:rFonts w:ascii="Times New Roman" w:eastAsia="Times New Roman" w:hAnsi="Times New Roman" w:cs="Times New Roman"/>
                <w:color w:val="000000"/>
                <w:spacing w:val="0"/>
                <w:w w:val="100"/>
                <w:position w:val="0"/>
                <w:sz w:val="18"/>
                <w:szCs w:val="18"/>
              </w:rPr>
              <w:t>17.34</w:t>
            </w:r>
            <w:r>
              <w:rPr>
                <w:color w:val="000000"/>
                <w:spacing w:val="0"/>
                <w:w w:val="100"/>
                <w:position w:val="0"/>
              </w:rPr>
              <w:t>万元。</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经中国证监会证监许可</w:t>
            </w:r>
            <w:r>
              <w:rPr>
                <w:rFonts w:ascii="Times New Roman" w:eastAsia="Times New Roman" w:hAnsi="Times New Roman" w:cs="Times New Roman"/>
                <w:color w:val="000000"/>
                <w:spacing w:val="0"/>
                <w:w w:val="100"/>
                <w:position w:val="0"/>
                <w:sz w:val="18"/>
                <w:szCs w:val="18"/>
              </w:rPr>
              <w:t>[2016]616</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日向特定投资者非公开发行普通股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84,355,828</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13.04</w:t>
            </w:r>
            <w:r>
              <w:rPr>
                <w:color w:val="000000"/>
                <w:spacing w:val="0"/>
                <w:w w:val="100"/>
                <w:position w:val="0"/>
              </w:rPr>
              <w:t>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用于购买资产和募集配套资金。截至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日，公司募集配套资金</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4,281.85</w:t>
            </w:r>
            <w:r>
              <w:rPr>
                <w:color w:val="000000"/>
                <w:spacing w:val="0"/>
                <w:w w:val="100"/>
                <w:position w:val="0"/>
              </w:rPr>
              <w:t>万元， 募集资金净额</w:t>
            </w:r>
            <w:r>
              <w:rPr>
                <w:rFonts w:ascii="Times New Roman" w:eastAsia="Times New Roman" w:hAnsi="Times New Roman" w:cs="Times New Roman"/>
                <w:color w:val="000000"/>
                <w:spacing w:val="0"/>
                <w:w w:val="100"/>
                <w:position w:val="0"/>
                <w:sz w:val="18"/>
                <w:szCs w:val="18"/>
              </w:rPr>
              <w:t>105,718.15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日，公司累计使用募集资金</w:t>
            </w:r>
            <w:r>
              <w:rPr>
                <w:rFonts w:ascii="Times New Roman" w:eastAsia="Times New Roman" w:hAnsi="Times New Roman" w:cs="Times New Roman"/>
                <w:color w:val="000000"/>
                <w:spacing w:val="0"/>
                <w:w w:val="100"/>
                <w:position w:val="0"/>
                <w:sz w:val="18"/>
                <w:szCs w:val="18"/>
              </w:rPr>
              <w:t>110,262.56</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 xml:space="preserve">110,000.00 </w:t>
            </w:r>
            <w:r>
              <w:rPr>
                <w:color w:val="000000"/>
                <w:spacing w:val="0"/>
                <w:w w:val="100"/>
                <w:position w:val="0"/>
              </w:rPr>
              <w:t>万元、银行手续费</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万元、银行利息收入</w:t>
            </w:r>
            <w:r>
              <w:rPr>
                <w:rFonts w:ascii="Times New Roman" w:eastAsia="Times New Roman" w:hAnsi="Times New Roman" w:cs="Times New Roman"/>
                <w:color w:val="000000"/>
                <w:spacing w:val="0"/>
                <w:w w:val="100"/>
                <w:position w:val="0"/>
                <w:sz w:val="18"/>
                <w:szCs w:val="18"/>
              </w:rPr>
              <w:t>263.62</w:t>
            </w:r>
            <w:r>
              <w:rPr>
                <w:color w:val="000000"/>
                <w:spacing w:val="0"/>
                <w:w w:val="100"/>
                <w:position w:val="0"/>
              </w:rPr>
              <w:t>万元。</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经中国证监会证监许可</w:t>
            </w:r>
            <w:r>
              <w:rPr>
                <w:rFonts w:ascii="Times New Roman" w:eastAsia="Times New Roman" w:hAnsi="Times New Roman" w:cs="Times New Roman"/>
                <w:color w:val="000000"/>
                <w:spacing w:val="0"/>
                <w:w w:val="100"/>
                <w:position w:val="0"/>
                <w:sz w:val="18"/>
                <w:szCs w:val="18"/>
              </w:rPr>
              <w:t>[2018]1063</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日采用向原股东优先配售，原股东优先配售后余额部分（含原股东放弃优先配售部分）通过深圳证券交易所交易</w:t>
            </w:r>
          </w:p>
        </w:tc>
      </w:tr>
    </w:tbl>
    <w:p>
      <w:pPr>
        <w:spacing w:lineRule="exact" w:line="1"/>
        <w:rPr>
          <w:sz w:val="2"/>
          <w:szCs w:val="2"/>
        </w:rPr>
      </w:pPr>
      <w:r>
        <w:br w:type="page"/>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2" w:lineRule="exact"/>
        <w:ind w:left="820" w:right="0"/>
        <w:jc w:val="left"/>
      </w:pPr>
      <w:r>
        <w:rPr>
          <w:color w:val="000000"/>
          <w:spacing w:val="0"/>
          <w:w w:val="100"/>
          <w:position w:val="0"/>
        </w:rPr>
        <w:t>系统网上向社会公众投资者发行的方式发行可转换公司债券</w:t>
      </w:r>
      <w:r>
        <w:rPr>
          <w:rFonts w:ascii="Times New Roman" w:eastAsia="Times New Roman" w:hAnsi="Times New Roman" w:cs="Times New Roman"/>
          <w:color w:val="000000"/>
          <w:spacing w:val="0"/>
          <w:w w:val="100"/>
          <w:position w:val="0"/>
          <w:sz w:val="18"/>
          <w:szCs w:val="18"/>
        </w:rPr>
        <w:t>538</w:t>
      </w:r>
      <w:r>
        <w:rPr>
          <w:color w:val="000000"/>
          <w:spacing w:val="0"/>
          <w:w w:val="100"/>
          <w:position w:val="0"/>
        </w:rPr>
        <w:t>万张，每张面值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53,800.00</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日，本公司共募集资金</w:t>
      </w:r>
      <w:r>
        <w:rPr>
          <w:rFonts w:ascii="Times New Roman" w:eastAsia="Times New Roman" w:hAnsi="Times New Roman" w:cs="Times New Roman"/>
          <w:color w:val="000000"/>
          <w:spacing w:val="0"/>
          <w:w w:val="100"/>
          <w:position w:val="0"/>
          <w:sz w:val="18"/>
          <w:szCs w:val="18"/>
        </w:rPr>
        <w:t>538,00.00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13,48.11</w:t>
      </w:r>
      <w:r>
        <w:rPr>
          <w:color w:val="000000"/>
          <w:spacing w:val="0"/>
          <w:w w:val="100"/>
          <w:position w:val="0"/>
        </w:rPr>
        <w:t>万元，募集资金净额为</w:t>
      </w:r>
      <w:r>
        <w:rPr>
          <w:rFonts w:ascii="Times New Roman" w:eastAsia="Times New Roman" w:hAnsi="Times New Roman" w:cs="Times New Roman"/>
          <w:color w:val="000000"/>
          <w:spacing w:val="0"/>
          <w:w w:val="100"/>
          <w:position w:val="0"/>
          <w:sz w:val="18"/>
          <w:szCs w:val="18"/>
        </w:rPr>
        <w:t>524,51.89</w:t>
      </w:r>
      <w:r>
        <w:rPr>
          <w:color w:val="000000"/>
          <w:spacing w:val="0"/>
          <w:w w:val="100"/>
          <w:position w:val="0"/>
        </w:rPr>
        <w:t>万元。截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日，公司累计使用募集资金</w:t>
      </w:r>
      <w:r>
        <w:rPr>
          <w:rFonts w:ascii="Times New Roman" w:eastAsia="Times New Roman" w:hAnsi="Times New Roman" w:cs="Times New Roman"/>
          <w:color w:val="000000"/>
          <w:spacing w:val="0"/>
          <w:w w:val="100"/>
          <w:position w:val="0"/>
          <w:sz w:val="18"/>
          <w:szCs w:val="18"/>
        </w:rPr>
        <w:t>53,820.82</w:t>
      </w:r>
      <w:r>
        <w:rPr>
          <w:color w:val="000000"/>
          <w:spacing w:val="0"/>
          <w:w w:val="100"/>
          <w:position w:val="0"/>
        </w:rPr>
        <w:t>万元，募集资金专户余额为</w:t>
      </w:r>
      <w:r>
        <w:rPr>
          <w:rFonts w:ascii="Times New Roman" w:eastAsia="Times New Roman" w:hAnsi="Times New Roman" w:cs="Times New Roman"/>
          <w:color w:val="000000"/>
          <w:spacing w:val="0"/>
          <w:w w:val="100"/>
          <w:position w:val="0"/>
          <w:sz w:val="18"/>
          <w:szCs w:val="18"/>
        </w:rPr>
        <w:t>20.46</w:t>
      </w:r>
      <w:r>
        <w:rPr>
          <w:color w:val="000000"/>
          <w:spacing w:val="0"/>
          <w:w w:val="100"/>
          <w:position w:val="0"/>
        </w:rPr>
        <w:t>万元。</w:t>
      </w:r>
    </w:p>
    <w:p>
      <w:pPr>
        <w:pStyle w:val="Style48"/>
        <w:keepNext/>
        <w:keepLines/>
        <w:widowControl w:val="0"/>
        <w:numPr>
          <w:ilvl w:val="0"/>
          <w:numId w:val="5"/>
        </w:numPr>
        <w:shd w:val="clear" w:color="auto" w:fill="auto"/>
        <w:bidi w:val="0"/>
        <w:spacing w:before="0" w:after="400" w:line="240" w:lineRule="auto"/>
        <w:ind w:left="0" w:right="0" w:firstLine="820"/>
        <w:jc w:val="both"/>
      </w:pPr>
      <w:bookmarkStart w:id="216" w:name="bookmark216"/>
      <w:bookmarkStart w:id="217" w:name="bookmark217"/>
      <w:bookmarkStart w:id="218" w:name="bookmark218"/>
      <w:bookmarkStart w:id="219" w:name="bookmark219"/>
      <w:bookmarkEnd w:id="218"/>
      <w:r>
        <w:rPr>
          <w:color w:val="000000"/>
          <w:spacing w:val="0"/>
          <w:w w:val="100"/>
          <w:position w:val="0"/>
        </w:rPr>
        <w:t>募集资金承诺项目情况</w:t>
      </w:r>
      <w:bookmarkEnd w:id="216"/>
      <w:bookmarkEnd w:id="217"/>
      <w:bookmarkEnd w:id="219"/>
    </w:p>
    <w:p>
      <w:pPr>
        <w:pStyle w:val="Style28"/>
        <w:keepNext w:val="0"/>
        <w:keepLines w:val="0"/>
        <w:widowControl w:val="0"/>
        <w:shd w:val="clear" w:color="auto" w:fill="auto"/>
        <w:bidi w:val="0"/>
        <w:spacing w:before="0" w:after="120" w:line="240" w:lineRule="auto"/>
        <w:ind w:left="0" w:right="0" w:firstLine="8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9562" w:right="0" w:firstLine="0"/>
        <w:jc w:val="left"/>
      </w:pPr>
      <w:r>
        <w:rPr>
          <w:color w:val="000000"/>
          <w:spacing w:val="0"/>
          <w:w w:val="100"/>
          <w:position w:val="0"/>
        </w:rPr>
        <w:t>单位：万元</w:t>
      </w:r>
    </w:p>
    <w:tbl>
      <w:tblPr>
        <w:tblOverlap w:val="never"/>
        <w:jc w:val="center"/>
        <w:tblLayout w:type="fixed"/>
      </w:tblPr>
      <w:tblGrid>
        <w:gridCol w:w="1402"/>
        <w:gridCol w:w="725"/>
        <w:gridCol w:w="1037"/>
        <w:gridCol w:w="1138"/>
        <w:gridCol w:w="730"/>
        <w:gridCol w:w="1147"/>
        <w:gridCol w:w="898"/>
        <w:gridCol w:w="984"/>
        <w:gridCol w:w="725"/>
        <w:gridCol w:w="1056"/>
        <w:gridCol w:w="725"/>
        <w:gridCol w:w="739"/>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 和超募资金投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7"/>
                <w:szCs w:val="17"/>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调整后投资</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计投入金额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0" w:lineRule="exact"/>
              <w:ind w:left="0" w:right="0" w:firstLine="400"/>
              <w:jc w:val="left"/>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0" w:lineRule="exact"/>
              <w:ind w:left="180" w:right="0" w:firstLine="0"/>
              <w:jc w:val="left"/>
            </w:pPr>
            <w:r>
              <w:rPr>
                <w:color w:val="000000"/>
                <w:spacing w:val="0"/>
                <w:w w:val="100"/>
                <w:position w:val="0"/>
              </w:rPr>
              <w:t>本报 告期 实现 的效</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项目 可行 性是 否发 生重 大变</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全网综合监控 审计平台项目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UltraUTM </w:t>
            </w:r>
            <w:r>
              <w:rPr>
                <w:color w:val="000000"/>
                <w:spacing w:val="0"/>
                <w:w w:val="100"/>
                <w:position w:val="0"/>
              </w:rPr>
              <w:t>统一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安全网关项目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服务器安全综 合监测平台项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NxSOC</w:t>
            </w:r>
            <w:r>
              <w:rPr>
                <w:color w:val="000000"/>
                <w:spacing w:val="0"/>
                <w:w w:val="100"/>
                <w:position w:val="0"/>
              </w:rPr>
              <w:t>新一代</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安全综合运维 管理平台项目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研发及培训中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3,924.33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3,924.33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永久补充流动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8,655.14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支付收购广州 华炜科技有限 公司的现金对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补充广州华炜 科技有限公司 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中介机构费用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1,793.33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1,793.33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02"/>
        <w:gridCol w:w="725"/>
        <w:gridCol w:w="1037"/>
        <w:gridCol w:w="1138"/>
        <w:gridCol w:w="730"/>
        <w:gridCol w:w="1147"/>
        <w:gridCol w:w="898"/>
        <w:gridCol w:w="984"/>
        <w:gridCol w:w="725"/>
        <w:gridCol w:w="1056"/>
        <w:gridCol w:w="725"/>
        <w:gridCol w:w="73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节余募集配套 资金永久补充 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支付收购中经 汇通电子商务 有限公司和汇 通宝支付有限 责任公司的现 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蓝盾信息西南 总部及研发基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20,085.22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上市公司信息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补充上市公司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补充蓝盾信息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安全技术有限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补充中经汇通 电子商务有限 公司和汇通宝 支付有限责任 公司的流动资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偿还上市公司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支付中介机构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节余募集配套 资金永久补充 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蓝盾大安全研 发与产业化基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基地基建建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一站式安全 云计算体系研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02"/>
        <w:gridCol w:w="725"/>
        <w:gridCol w:w="1037"/>
        <w:gridCol w:w="1138"/>
        <w:gridCol w:w="730"/>
        <w:gridCol w:w="1147"/>
        <w:gridCol w:w="898"/>
        <w:gridCol w:w="984"/>
        <w:gridCol w:w="725"/>
        <w:gridCol w:w="1056"/>
        <w:gridCol w:w="725"/>
        <w:gridCol w:w="73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网络综合态 势预警平台研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企业移动信 息化安全管理 体系研发项目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16,092.23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节余募集配套 资金永久补充 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201,756.33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202,157.76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34,472.27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互联网舆情分 析平台项目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2,163.35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蓝盾股份信息 安全产业基地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补充流动资金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超募资金投向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14,279.19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7,477.91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216,436.95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 度或预计收益 的情况和原因</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（分具体项目）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截至报告期公开发行可转换公司债券募集资金的三个承诺募投项目累计实现效益</w:t>
            </w:r>
            <w:r>
              <w:rPr>
                <w:rFonts w:ascii="Times New Roman" w:eastAsia="Times New Roman" w:hAnsi="Times New Roman" w:cs="Times New Roman"/>
                <w:color w:val="000000"/>
                <w:spacing w:val="0"/>
                <w:w w:val="100"/>
                <w:position w:val="0"/>
                <w:sz w:val="18"/>
                <w:szCs w:val="18"/>
              </w:rPr>
              <w:t>2,367.68</w:t>
            </w:r>
            <w:r>
              <w:rPr>
                <w:color w:val="000000"/>
                <w:spacing w:val="0"/>
                <w:w w:val="100"/>
                <w:position w:val="0"/>
              </w:rPr>
              <w:t>万元，整体完成计划的</w:t>
            </w:r>
            <w:r>
              <w:rPr>
                <w:rFonts w:ascii="Times New Roman" w:eastAsia="Times New Roman" w:hAnsi="Times New Roman" w:cs="Times New Roman"/>
                <w:color w:val="000000"/>
                <w:spacing w:val="0"/>
                <w:w w:val="100"/>
                <w:position w:val="0"/>
                <w:sz w:val="18"/>
                <w:szCs w:val="18"/>
              </w:rPr>
              <w:t>46.34%</w:t>
            </w:r>
            <w:r>
              <w:rPr>
                <w:color w:val="000000"/>
                <w:spacing w:val="0"/>
                <w:w w:val="100"/>
                <w:position w:val="0"/>
              </w:rPr>
              <w:t>, 未达预计收益，主要受新冠肺炎疫情影响，产品的推广及销售受到限制，导致截至报告期末累计实现效益低于预期。</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项目可行性发 生重大变化的 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 额、用途及使用 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日公司第一届董事会第十八次会议审议通过了《关于使用部分超募资金永久性补充流动资金的议案》。公 司使用超募资金人民币</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万元用于永久性补充流动资金。</w:t>
            </w:r>
          </w:p>
          <w:p>
            <w:pPr>
              <w:pStyle w:val="Style2"/>
              <w:keepNext w:val="0"/>
              <w:keepLines w:val="0"/>
              <w:widowControl w:val="0"/>
              <w:shd w:val="clear" w:color="auto" w:fill="auto"/>
              <w:tabs>
                <w:tab w:pos="274"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年年度股东大会审议通过了《关于使用部分超募资金对子公司广东蓝盾信息安全技术有限 公司进行增资的议案》，公司拟使用部分超募资金对子公司广东蓝盾信息安全技术有限公司进行增资，本次增资</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 元，增资完成后公司出资</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万元，占注册资本比例为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日办妥工商变更手续。本次增资</w:t>
            </w:r>
          </w:p>
        </w:tc>
      </w:tr>
    </w:tbl>
    <w:p>
      <w:pPr>
        <w:spacing w:lineRule="exact" w:line="1"/>
        <w:rPr>
          <w:sz w:val="2"/>
          <w:szCs w:val="2"/>
        </w:rPr>
      </w:pPr>
      <w:r>
        <w:br w:type="page"/>
      </w:r>
    </w:p>
    <w:tbl>
      <w:tblPr>
        <w:tblOverlap w:val="never"/>
        <w:jc w:val="center"/>
        <w:tblLayout w:type="fixed"/>
      </w:tblPr>
      <w:tblGrid>
        <w:gridCol w:w="1402"/>
        <w:gridCol w:w="9902"/>
      </w:tblGrid>
      <w:tr>
        <w:trPr>
          <w:trHeight w:val="298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用途为：建设互联网舆情分析平台项目。</w:t>
            </w:r>
          </w:p>
          <w:p>
            <w:pPr>
              <w:pStyle w:val="Style2"/>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年年度股东大会审议通过了《关于使用部分超募资金建设蓝盾股份信息安全产业基地的议 案》及相关的可行性研究报告，公司拟使用超募资金</w:t>
            </w:r>
            <w:r>
              <w:rPr>
                <w:rFonts w:ascii="Times New Roman" w:eastAsia="Times New Roman" w:hAnsi="Times New Roman" w:cs="Times New Roman"/>
                <w:color w:val="000000"/>
                <w:spacing w:val="0"/>
                <w:w w:val="100"/>
                <w:position w:val="0"/>
                <w:sz w:val="18"/>
                <w:szCs w:val="18"/>
              </w:rPr>
              <w:t>7,943.67</w:t>
            </w:r>
            <w:r>
              <w:rPr>
                <w:color w:val="000000"/>
                <w:spacing w:val="0"/>
                <w:w w:val="100"/>
                <w:position w:val="0"/>
              </w:rPr>
              <w:t>万元建设蓝盾股份信息安全产业基地。公司独立董事、保荐机 构和监事会分别对此事项发表了同意意见。</w:t>
            </w:r>
          </w:p>
          <w:p>
            <w:pPr>
              <w:pStyle w:val="Style2"/>
              <w:keepNext w:val="0"/>
              <w:keepLines w:val="0"/>
              <w:widowControl w:val="0"/>
              <w:shd w:val="clear" w:color="auto" w:fill="auto"/>
              <w:tabs>
                <w:tab w:pos="206"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日公司第二届董事会第九次（临时）会议审议通过了《关于对蓝盾股份信息安全产业基地追加投资的议案》， 使用自有资金追加投资</w:t>
            </w:r>
            <w:r>
              <w:rPr>
                <w:rFonts w:ascii="Times New Roman" w:eastAsia="Times New Roman" w:hAnsi="Times New Roman" w:cs="Times New Roman"/>
                <w:color w:val="000000"/>
                <w:spacing w:val="0"/>
                <w:w w:val="100"/>
                <w:position w:val="0"/>
                <w:sz w:val="18"/>
                <w:szCs w:val="18"/>
              </w:rPr>
              <w:t>4,640.37</w:t>
            </w:r>
            <w:r>
              <w:rPr>
                <w:color w:val="000000"/>
                <w:spacing w:val="0"/>
                <w:w w:val="100"/>
                <w:position w:val="0"/>
              </w:rPr>
              <w:t>万元，追加后的总投资额为</w:t>
            </w:r>
            <w:r>
              <w:rPr>
                <w:rFonts w:ascii="Times New Roman" w:eastAsia="Times New Roman" w:hAnsi="Times New Roman" w:cs="Times New Roman"/>
                <w:color w:val="000000"/>
                <w:spacing w:val="0"/>
                <w:w w:val="100"/>
                <w:position w:val="0"/>
                <w:sz w:val="18"/>
                <w:szCs w:val="18"/>
              </w:rPr>
              <w:t>17,698.77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月，公司取得了广州市规划局颁发的</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《建设工程规划验收合格证》。</w:t>
            </w:r>
          </w:p>
          <w:p>
            <w:pPr>
              <w:pStyle w:val="Style2"/>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年第五次临时股东大会审议通过了《关于使用剩余超募资金永久补充流动资金的议案》，公 司已将剩余超募资金及专户利息收入</w:t>
            </w:r>
            <w:r>
              <w:rPr>
                <w:rFonts w:ascii="Times New Roman" w:eastAsia="Times New Roman" w:hAnsi="Times New Roman" w:cs="Times New Roman"/>
                <w:color w:val="000000"/>
                <w:spacing w:val="0"/>
                <w:w w:val="100"/>
                <w:position w:val="0"/>
                <w:sz w:val="18"/>
                <w:szCs w:val="18"/>
              </w:rPr>
              <w:t>1,378.42</w:t>
            </w:r>
            <w:r>
              <w:rPr>
                <w:color w:val="000000"/>
                <w:spacing w:val="0"/>
                <w:w w:val="100"/>
                <w:position w:val="0"/>
              </w:rPr>
              <w:t>万元永久补充流动资金。</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40" w:after="0" w:line="312" w:lineRule="exact"/>
              <w:ind w:left="0" w:right="0" w:firstLine="0"/>
              <w:jc w:val="left"/>
            </w:pPr>
            <w:r>
              <w:rPr>
                <w:color w:val="000000"/>
                <w:spacing w:val="0"/>
                <w:w w:val="100"/>
                <w:position w:val="0"/>
              </w:rPr>
              <w:t>募集资金投资 项目实施地点 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339"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公司经过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年第六次临时股东大会审议通过了《关于变更部分募集资金投资项目及其实施主体的议案》，同意公司将原计 划用于“上市公司区域运营中心”项目的募集资金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万元变更用途于“蓝盾信息西南总部及研发基地”项目，该项目其 余资金由公司自筹解决。鉴于项目变更后的实施地点及经营主体情况，“蓝盾信息西南总部及研发基地”项目的实施主体变 更为公司的全资子公司成都蓝盾网信科技有限公司，项目的实施地点相应变更。</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2002" w:hRule="exact"/>
        </w:trPr>
        <w:tc>
          <w:tcPr>
            <w:tcBorders>
              <w:left w:val="single" w:sz="4"/>
            </w:tcBorders>
            <w:shd w:val="clear" w:color="auto" w:fill="D3D3D3"/>
            <w:vAlign w:val="top"/>
          </w:tcPr>
          <w:p>
            <w:pPr>
              <w:pStyle w:val="Style2"/>
              <w:keepNext w:val="0"/>
              <w:keepLines w:val="0"/>
              <w:widowControl w:val="0"/>
              <w:shd w:val="clear" w:color="auto" w:fill="auto"/>
              <w:bidi w:val="0"/>
              <w:spacing w:before="80" w:after="0" w:line="312" w:lineRule="exact"/>
              <w:ind w:left="0" w:right="0" w:firstLine="0"/>
              <w:jc w:val="left"/>
            </w:pPr>
            <w:r>
              <w:rPr>
                <w:color w:val="000000"/>
                <w:spacing w:val="0"/>
                <w:w w:val="100"/>
                <w:position w:val="0"/>
              </w:rPr>
              <w:t>募集资金投资 项目实施方式 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公司经过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年第六次临时股东大会审议通过了《关于变更部分募集资金投资项目及其实施主体的议案》，同意公司将 原计划用于“上市公司区域运营中心”项目的募集资金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万元变更用途于“蓝盾信息西南总部及研发基地”项目，该项</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目其余资金由公司自筹解决，实施主体为公司的全资子公司成都蓝盾网信科技有限公司。</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公司经过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年第一次临时股东大会审议通过了《关于变更募集资金用途暨使用募集资金向全资子公司增资的议案》， 同意公司根据募集资金使用计划及实际经营需要，使用募集资金向全资子公司蓝盾信息安全技术有限公司（以下简称''蓝盾 技术”）增资人民币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万元，用于补充蓝盾技术流动资金。</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482"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 项目先期投入 及置换情况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26"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日公司第一届董事会第十七次会议审议通过了《关于使用募集资金置换预先投入募集资金投资项目的自筹 资金的议案》。截至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日，公司以自筹资金预先投入募集资金投资项目的实际投资额为</w:t>
            </w:r>
            <w:r>
              <w:rPr>
                <w:rFonts w:ascii="Times New Roman" w:eastAsia="Times New Roman" w:hAnsi="Times New Roman" w:cs="Times New Roman"/>
                <w:color w:val="000000"/>
                <w:spacing w:val="0"/>
                <w:w w:val="100"/>
                <w:position w:val="0"/>
                <w:sz w:val="18"/>
                <w:szCs w:val="18"/>
              </w:rPr>
              <w:t>1,453.16</w:t>
            </w:r>
            <w:r>
              <w:rPr>
                <w:color w:val="000000"/>
                <w:spacing w:val="0"/>
                <w:w w:val="100"/>
                <w:position w:val="0"/>
              </w:rPr>
              <w:t>万元，公司以 募集资金置换预先投入募集资金投资项目的自筹资金</w:t>
            </w:r>
            <w:r>
              <w:rPr>
                <w:rFonts w:ascii="Times New Roman" w:eastAsia="Times New Roman" w:hAnsi="Times New Roman" w:cs="Times New Roman"/>
                <w:color w:val="000000"/>
                <w:spacing w:val="0"/>
                <w:w w:val="100"/>
                <w:position w:val="0"/>
                <w:sz w:val="18"/>
                <w:szCs w:val="18"/>
              </w:rPr>
              <w:t>1,453.16</w:t>
            </w:r>
            <w:r>
              <w:rPr>
                <w:color w:val="000000"/>
                <w:spacing w:val="0"/>
                <w:w w:val="100"/>
                <w:position w:val="0"/>
              </w:rPr>
              <w:t>万元，上述投入及置换情况已经北京永拓会计师事务所有限责 任公司审核，并由其出具京永专字〔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31059</w:t>
            </w:r>
            <w:r>
              <w:rPr>
                <w:color w:val="000000"/>
                <w:spacing w:val="0"/>
                <w:w w:val="100"/>
                <w:position w:val="0"/>
              </w:rPr>
              <w:t>号《关于蓝盾信息安全技术股份有限公司以募集资金置换预先已投入募 集资金项目的自筹资金的鉴证报告》。截至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日，公司置换了上述预先投入募投项目的自筹资金。</w:t>
            </w:r>
          </w:p>
          <w:p>
            <w:pPr>
              <w:pStyle w:val="Style2"/>
              <w:keepNext w:val="0"/>
              <w:keepLines w:val="0"/>
              <w:widowControl w:val="0"/>
              <w:shd w:val="clear" w:color="auto" w:fill="auto"/>
              <w:tabs>
                <w:tab w:pos="250"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日公司第三届董事会第二十二次（临时）会议审议通过了《关于使用募集资金置换预先已投入部分募投项 目自筹资金的议案》。截至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日，公司以自筹资金预先投入募集资金投资项目的实际投资额为</w:t>
            </w:r>
            <w:r>
              <w:rPr>
                <w:rFonts w:ascii="Times New Roman" w:eastAsia="Times New Roman" w:hAnsi="Times New Roman" w:cs="Times New Roman"/>
                <w:color w:val="000000"/>
                <w:spacing w:val="0"/>
                <w:w w:val="100"/>
                <w:position w:val="0"/>
                <w:sz w:val="18"/>
                <w:szCs w:val="18"/>
              </w:rPr>
              <w:t>1,715.72</w:t>
            </w:r>
            <w:r>
              <w:rPr>
                <w:color w:val="000000"/>
                <w:spacing w:val="0"/>
                <w:w w:val="100"/>
                <w:position w:val="0"/>
              </w:rPr>
              <w:t>万元， 公司以非公开发行股票募集的部分配套资金置换预先投入募集资金投资项目的自筹资金</w:t>
            </w:r>
            <w:r>
              <w:rPr>
                <w:rFonts w:ascii="Times New Roman" w:eastAsia="Times New Roman" w:hAnsi="Times New Roman" w:cs="Times New Roman"/>
                <w:color w:val="000000"/>
                <w:spacing w:val="0"/>
                <w:w w:val="100"/>
                <w:position w:val="0"/>
                <w:sz w:val="18"/>
                <w:szCs w:val="18"/>
              </w:rPr>
              <w:t>1,022.45</w:t>
            </w:r>
            <w:r>
              <w:rPr>
                <w:color w:val="000000"/>
                <w:spacing w:val="0"/>
                <w:w w:val="100"/>
                <w:position w:val="0"/>
              </w:rPr>
              <w:t>万元，上述投入及置换情况 已经大华会计师事务所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审核，并由其出具大华核字</w:t>
            </w:r>
            <w:r>
              <w:rPr>
                <w:rFonts w:ascii="Times New Roman" w:eastAsia="Times New Roman" w:hAnsi="Times New Roman" w:cs="Times New Roman"/>
                <w:color w:val="000000"/>
                <w:spacing w:val="0"/>
                <w:w w:val="100"/>
                <w:position w:val="0"/>
                <w:sz w:val="18"/>
                <w:szCs w:val="18"/>
              </w:rPr>
              <w:t>[2016]004051</w:t>
            </w:r>
            <w:r>
              <w:rPr>
                <w:color w:val="000000"/>
                <w:spacing w:val="0"/>
                <w:w w:val="100"/>
                <w:position w:val="0"/>
              </w:rPr>
              <w:t>号《蓝盾信息安全技术股份有限公司以自筹 资金预先投入募集资金投资项目的鉴证报告》。公司以非公开发行股票募集的部分配套资金在对应项目使用计划的额度范围 内置换预先投入募集资金投资项目的自筹资金</w:t>
            </w:r>
            <w:r>
              <w:rPr>
                <w:rFonts w:ascii="Times New Roman" w:eastAsia="Times New Roman" w:hAnsi="Times New Roman" w:cs="Times New Roman"/>
                <w:color w:val="000000"/>
                <w:spacing w:val="0"/>
                <w:w w:val="100"/>
                <w:position w:val="0"/>
                <w:sz w:val="18"/>
                <w:szCs w:val="18"/>
              </w:rPr>
              <w:t>1,022.45</w:t>
            </w:r>
            <w:r>
              <w:rPr>
                <w:color w:val="000000"/>
                <w:spacing w:val="0"/>
                <w:w w:val="100"/>
                <w:position w:val="0"/>
              </w:rPr>
              <w:t>万元，其中，上市公司信息安全产业园项目，置换金额为</w:t>
            </w:r>
            <w:r>
              <w:rPr>
                <w:rFonts w:ascii="Times New Roman" w:eastAsia="Times New Roman" w:hAnsi="Times New Roman" w:cs="Times New Roman"/>
                <w:color w:val="000000"/>
                <w:spacing w:val="0"/>
                <w:w w:val="100"/>
                <w:position w:val="0"/>
                <w:sz w:val="18"/>
                <w:szCs w:val="18"/>
              </w:rPr>
              <w:t>961.30</w:t>
            </w:r>
            <w:r>
              <w:rPr>
                <w:color w:val="000000"/>
                <w:spacing w:val="0"/>
                <w:w w:val="100"/>
                <w:position w:val="0"/>
              </w:rPr>
              <w:t>万元； 用于支付本次交易的中介机构费用，置换的金额为</w:t>
            </w:r>
            <w:r>
              <w:rPr>
                <w:rFonts w:ascii="Times New Roman" w:eastAsia="Times New Roman" w:hAnsi="Times New Roman" w:cs="Times New Roman"/>
                <w:color w:val="000000"/>
                <w:spacing w:val="0"/>
                <w:w w:val="100"/>
                <w:position w:val="0"/>
                <w:sz w:val="18"/>
                <w:szCs w:val="18"/>
              </w:rPr>
              <w:t>61.15</w:t>
            </w:r>
            <w:r>
              <w:rPr>
                <w:color w:val="000000"/>
                <w:spacing w:val="0"/>
                <w:w w:val="100"/>
                <w:position w:val="0"/>
              </w:rPr>
              <w:t>万元。</w:t>
            </w:r>
          </w:p>
          <w:p>
            <w:pPr>
              <w:pStyle w:val="Style2"/>
              <w:keepNext w:val="0"/>
              <w:keepLines w:val="0"/>
              <w:widowControl w:val="0"/>
              <w:shd w:val="clear" w:color="auto" w:fill="auto"/>
              <w:tabs>
                <w:tab w:pos="240" w:val="left"/>
              </w:tabs>
              <w:bidi w:val="0"/>
              <w:spacing w:before="0" w:after="4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日公司第四届董事会第八次（临时）会议审议通过了《关于使用募集资金置换预先投入募投项目自筹资金 的议案》。截止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日，公司以自筹资金预先投入募集资金投资项目的实际投资额为</w:t>
            </w:r>
            <w:r>
              <w:rPr>
                <w:rFonts w:ascii="Times New Roman" w:eastAsia="Times New Roman" w:hAnsi="Times New Roman" w:cs="Times New Roman"/>
                <w:color w:val="000000"/>
                <w:spacing w:val="0"/>
                <w:w w:val="100"/>
                <w:position w:val="0"/>
                <w:sz w:val="18"/>
                <w:szCs w:val="18"/>
              </w:rPr>
              <w:t>38,137.32</w:t>
            </w:r>
            <w:r>
              <w:rPr>
                <w:color w:val="000000"/>
                <w:spacing w:val="0"/>
                <w:w w:val="100"/>
                <w:position w:val="0"/>
              </w:rPr>
              <w:t>万元，公司以公开 发行可转换公司债券募集资金置换预先投入募集资金投资项目的自筹资金</w:t>
            </w:r>
            <w:r>
              <w:rPr>
                <w:rFonts w:ascii="Times New Roman" w:eastAsia="Times New Roman" w:hAnsi="Times New Roman" w:cs="Times New Roman"/>
                <w:color w:val="000000"/>
                <w:spacing w:val="0"/>
                <w:w w:val="100"/>
                <w:position w:val="0"/>
                <w:sz w:val="18"/>
                <w:szCs w:val="18"/>
              </w:rPr>
              <w:t>13,637.23</w:t>
            </w:r>
            <w:r>
              <w:rPr>
                <w:color w:val="000000"/>
                <w:spacing w:val="0"/>
                <w:w w:val="100"/>
                <w:position w:val="0"/>
              </w:rPr>
              <w:t>万元，上述投入及置换情况已经大华会 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审核，并由其出具大华核字</w:t>
            </w:r>
            <w:r>
              <w:rPr>
                <w:rFonts w:ascii="Times New Roman" w:eastAsia="Times New Roman" w:hAnsi="Times New Roman" w:cs="Times New Roman"/>
                <w:color w:val="000000"/>
                <w:spacing w:val="0"/>
                <w:w w:val="100"/>
                <w:position w:val="0"/>
                <w:sz w:val="18"/>
                <w:szCs w:val="18"/>
              </w:rPr>
              <w:t>[2018]004868</w:t>
            </w:r>
            <w:r>
              <w:rPr>
                <w:color w:val="000000"/>
                <w:spacing w:val="0"/>
                <w:w w:val="100"/>
                <w:position w:val="0"/>
              </w:rPr>
              <w:t>号《蓝盾信息安全技术股份有限公司以自筹资金预先投 入募集资金投资项目的鉴证报告》。</w:t>
            </w:r>
          </w:p>
        </w:tc>
      </w:tr>
    </w:tbl>
    <w:p>
      <w:pPr>
        <w:spacing w:lineRule="exact" w:line="1"/>
        <w:rPr>
          <w:sz w:val="2"/>
          <w:szCs w:val="2"/>
        </w:rPr>
      </w:pPr>
      <w:r>
        <w:br w:type="page"/>
      </w:r>
    </w:p>
    <w:tbl>
      <w:tblPr>
        <w:tblOverlap w:val="never"/>
        <w:jc w:val="center"/>
        <w:tblLayout w:type="fixed"/>
      </w:tblPr>
      <w:tblGrid>
        <w:gridCol w:w="1402"/>
        <w:gridCol w:w="9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 金暂时补充流 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公司经过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年第二次临时股东大会审议通过了《关于使用部分闲置募集资金暂时性补充流动资金及归还银行贷款的议案》， 同意公司使用募集资金中的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万元闲置募集资金暂时性补充流动资金及归还银行贷款，其中</w:t>
            </w:r>
            <w:r>
              <w:rPr>
                <w:rFonts w:ascii="Times New Roman" w:eastAsia="Times New Roman" w:hAnsi="Times New Roman" w:cs="Times New Roman"/>
                <w:color w:val="000000"/>
                <w:spacing w:val="0"/>
                <w:w w:val="100"/>
                <w:position w:val="0"/>
                <w:sz w:val="18"/>
                <w:szCs w:val="18"/>
              </w:rPr>
              <w:t>2,626.00</w:t>
            </w:r>
            <w:r>
              <w:rPr>
                <w:color w:val="000000"/>
                <w:spacing w:val="0"/>
                <w:w w:val="100"/>
                <w:position w:val="0"/>
              </w:rPr>
              <w:t>万元用于补充 流动资金，</w:t>
            </w:r>
            <w:r>
              <w:rPr>
                <w:rFonts w:ascii="Times New Roman" w:eastAsia="Times New Roman" w:hAnsi="Times New Roman" w:cs="Times New Roman"/>
                <w:color w:val="000000"/>
                <w:spacing w:val="0"/>
                <w:w w:val="100"/>
                <w:position w:val="0"/>
                <w:sz w:val="18"/>
                <w:szCs w:val="18"/>
              </w:rPr>
              <w:t>7,374.00</w:t>
            </w:r>
            <w:r>
              <w:rPr>
                <w:color w:val="000000"/>
                <w:spacing w:val="0"/>
                <w:w w:val="100"/>
                <w:position w:val="0"/>
              </w:rPr>
              <w:t>万元用于归还银行贷款，使用期限不超过股东大会批准之日起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个月，到期将归还至募集资金专户。公 司独立董事、保荐机构和监事会分别对此事项发表了同意意见。(该事项详见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日证监会指定创业板信息披露 网站)。本次使用闲置募集资金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万元暂时性补充流动资金及归还银行贷款的到期日为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日，公司于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日已将</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万元人民币归还至公司募集资金专用账户，并及时通知了公司保荐机构广发证券股份有限公 司及保荐代表人。至此，本次用于补充流动资金及归还银行贷款的闲置募集资金已归还完毕。</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募集资金结余</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53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首次公开发行募集资金：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公司在项目实施进程中公司较好地利用了前期积累的研发资源，对募投项目的研发和实施环节进行了优化，使得实际投入较 计划有一定幅度的减少，从而降低了项目总支出。公司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日召开的第二届董事会第十六次(临时)会议和</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年第二次临时股东大会，审议通过了《关于使用募投项目节余资金永久补充流动资金的议案》，截 至报告期末，公司已将五个募集资金投资项目的节余资金</w:t>
            </w:r>
            <w:r>
              <w:rPr>
                <w:rFonts w:ascii="Times New Roman" w:eastAsia="Times New Roman" w:hAnsi="Times New Roman" w:cs="Times New Roman"/>
                <w:color w:val="000000"/>
                <w:spacing w:val="0"/>
                <w:w w:val="100"/>
                <w:position w:val="0"/>
                <w:sz w:val="18"/>
                <w:szCs w:val="18"/>
              </w:rPr>
              <w:t>8,655.14</w:t>
            </w:r>
            <w:r>
              <w:rPr>
                <w:color w:val="000000"/>
                <w:spacing w:val="0"/>
                <w:w w:val="100"/>
                <w:position w:val="0"/>
              </w:rPr>
              <w:t>万元永久补充流动资金。</w:t>
            </w:r>
          </w:p>
          <w:p>
            <w:pPr>
              <w:pStyle w:val="Style2"/>
              <w:keepNext w:val="0"/>
              <w:keepLines w:val="0"/>
              <w:widowControl w:val="0"/>
              <w:shd w:val="clear" w:color="auto" w:fill="auto"/>
              <w:tabs>
                <w:tab w:pos="283"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发行股份募集配套资金(广州华炜项目)：</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公司收购华炜科技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股权事项中实际支付的中介费用低于原预算，因此该次配套募集资金有所节余。公司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日召开第三届董事会第二十一次会议审议通过了《关于使用节余配套募集资金永久性补充流动资金的议案》，公司已将该 次配套募集资金的节余资金</w:t>
            </w:r>
            <w:r>
              <w:rPr>
                <w:rFonts w:ascii="Times New Roman" w:eastAsia="Times New Roman" w:hAnsi="Times New Roman" w:cs="Times New Roman"/>
                <w:color w:val="000000"/>
                <w:spacing w:val="0"/>
                <w:w w:val="100"/>
                <w:position w:val="0"/>
                <w:sz w:val="18"/>
                <w:szCs w:val="18"/>
              </w:rPr>
              <w:t>423.82</w:t>
            </w:r>
            <w:r>
              <w:rPr>
                <w:color w:val="000000"/>
                <w:spacing w:val="0"/>
                <w:w w:val="100"/>
                <w:position w:val="0"/>
              </w:rPr>
              <w:t>万元永久补充流动资金。</w:t>
            </w:r>
          </w:p>
          <w:p>
            <w:pPr>
              <w:pStyle w:val="Style2"/>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发行股份募集配套资金(中经项目)：</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因部分募投项目的募集资金已使用完毕，截至报告期末，公司已将该等募集资金账户的结余利息合计</w:t>
            </w:r>
            <w:r>
              <w:rPr>
                <w:rFonts w:ascii="Times New Roman" w:eastAsia="Times New Roman" w:hAnsi="Times New Roman" w:cs="Times New Roman"/>
                <w:color w:val="000000"/>
                <w:spacing w:val="0"/>
                <w:w w:val="100"/>
                <w:position w:val="0"/>
                <w:sz w:val="18"/>
                <w:szCs w:val="18"/>
              </w:rPr>
              <w:t>93.19</w:t>
            </w:r>
            <w:r>
              <w:rPr>
                <w:color w:val="000000"/>
                <w:spacing w:val="0"/>
                <w:w w:val="100"/>
                <w:position w:val="0"/>
              </w:rPr>
              <w:t>万元转至公司或 相关子公司的基本户，用于永久补充流动资金。</w:t>
            </w:r>
          </w:p>
          <w:p>
            <w:pPr>
              <w:pStyle w:val="Style2"/>
              <w:keepNext w:val="0"/>
              <w:keepLines w:val="0"/>
              <w:widowControl w:val="0"/>
              <w:shd w:val="clear" w:color="auto" w:fill="auto"/>
              <w:tabs>
                <w:tab w:pos="28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公开发行可转换公司债券募集资金：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鉴于公司经营管理的需要，公司将存放于平安银行股份有限公司广州分行专户的募集资金更换到江西银行股份有限公司广州 越秀支行进行专户存储。截至报告期末，公司已将平安银行股份有限公司广州分行专户进行注销并将结余利息</w:t>
            </w:r>
            <w:r>
              <w:rPr>
                <w:rFonts w:ascii="Times New Roman" w:eastAsia="Times New Roman" w:hAnsi="Times New Roman" w:cs="Times New Roman"/>
                <w:color w:val="000000"/>
                <w:spacing w:val="0"/>
                <w:w w:val="100"/>
                <w:position w:val="0"/>
                <w:sz w:val="18"/>
                <w:szCs w:val="18"/>
              </w:rPr>
              <w:t>291.96</w:t>
            </w:r>
            <w:r>
              <w:rPr>
                <w:color w:val="000000"/>
                <w:spacing w:val="0"/>
                <w:w w:val="100"/>
                <w:position w:val="0"/>
              </w:rPr>
              <w:t>元转至 相关子公司的基本户，用于永久补充流动资金。</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尚未使用的募 集资金用途及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公司尚未使用的募集资金拟用于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补充流动资金”项目。</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 及披露中存在 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8"/>
        <w:keepNext/>
        <w:keepLines/>
        <w:widowControl w:val="0"/>
        <w:numPr>
          <w:ilvl w:val="0"/>
          <w:numId w:val="7"/>
        </w:numPr>
        <w:shd w:val="clear" w:color="auto" w:fill="auto"/>
        <w:bidi w:val="0"/>
        <w:spacing w:before="0" w:after="380" w:line="240" w:lineRule="auto"/>
        <w:ind w:left="0" w:right="0" w:firstLine="940"/>
        <w:jc w:val="both"/>
      </w:pPr>
      <w:bookmarkStart w:id="220" w:name="bookmark220"/>
      <w:bookmarkStart w:id="221" w:name="bookmark221"/>
      <w:bookmarkStart w:id="222" w:name="bookmark222"/>
      <w:bookmarkStart w:id="223" w:name="bookmark223"/>
      <w:bookmarkEnd w:id="222"/>
      <w:r>
        <w:rPr>
          <w:color w:val="000000"/>
          <w:spacing w:val="0"/>
          <w:w w:val="100"/>
          <w:position w:val="0"/>
        </w:rPr>
        <w:t>募集资金变更项目情况</w:t>
      </w:r>
      <w:bookmarkEnd w:id="220"/>
      <w:bookmarkEnd w:id="221"/>
      <w:bookmarkEnd w:id="223"/>
    </w:p>
    <w:p>
      <w:pPr>
        <w:pStyle w:val="Style28"/>
        <w:keepNext w:val="0"/>
        <w:keepLines w:val="0"/>
        <w:widowControl w:val="0"/>
        <w:shd w:val="clear" w:color="auto" w:fill="auto"/>
        <w:bidi w:val="0"/>
        <w:spacing w:before="0" w:line="240" w:lineRule="auto"/>
        <w:ind w:left="0" w:right="0" w:firstLine="8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 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对应的原 承诺项目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变更后项 目拟投入 募集资金</w:t>
            </w:r>
          </w:p>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实际投入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截至期末 实际累计 投入金额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本报告期 实现的效</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变更后的 项目可行 性是否发 生重大变</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蓝盾信息 西南总部 及研发基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上市公司 区域运营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补充蓝盾 技术流动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补充上市 公司流动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40,099.13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74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 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蓝盾信息西南总部及研发基地：因国内的宏观经济、市场环境有所变化，尤其是全 国各地的房地产价格出现了较大波动，区域运营中心项目的投资建设成本明显增加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根据公司的发展规划，公司将计划用于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上市公司区域运营中心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项目的全部募集资 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蓝盾信息西南总部及研发基地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项目。公司经过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六次临时股东大会决议通过《关于变更部分募集资金投资项目及其实施主体的议 案》。具体内容详见公司于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日披露的《关于变更部分募集资金投资 项目及其实施主体的公告》及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 大会决议的公告》。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补充蓝盾技术流动资金：为进一步增强蓝盾技术的业务拓展能力和资金实力，公司 使用''补充上市公司流动资金''项目的募集资金向全资子公司蓝盾技术增资人民币 </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万元，本次增资完成后，蓝盾技术注册资本将由</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 xml:space="preserve">55,000 </w:t>
            </w:r>
            <w:r>
              <w:rPr>
                <w:color w:val="000000"/>
                <w:spacing w:val="0"/>
                <w:w w:val="100"/>
                <w:position w:val="0"/>
              </w:rPr>
              <w:t>万元，公司持有其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股权。公司经过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年第一次临时股东大会审议通过了《关 于变更募集资金用途暨使用募集资金向全资子公司增资的议案》，同意公司根据募集 资金使用计划及实际经营需要，使用募集资金向全资子公司蓝盾信息安全技术有限 公司增资人民币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 xml:space="preserve">万元，用于补充蓝盾技术流动资金。具体内容详见公司于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日披露的《关于变更募集资金用途暨使用募集资金向全资子公司增 资的补充公告》及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年第一次临时股东大会决议的公 告》。</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 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 化的情况说明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6"/>
        <w:keepNext/>
        <w:keepLines/>
        <w:widowControl w:val="0"/>
        <w:shd w:val="clear" w:color="auto" w:fill="auto"/>
        <w:bidi w:val="0"/>
        <w:spacing w:before="0" w:after="380" w:line="240" w:lineRule="auto"/>
        <w:ind w:left="1060" w:right="0" w:firstLine="0"/>
        <w:jc w:val="both"/>
      </w:pPr>
      <w:bookmarkStart w:id="224" w:name="bookmark224"/>
      <w:bookmarkStart w:id="225" w:name="bookmark225"/>
      <w:bookmarkStart w:id="226" w:name="bookmark226"/>
      <w:bookmarkStart w:id="227" w:name="bookmark227"/>
      <w:r>
        <w:rPr>
          <w:color w:val="000000"/>
          <w:spacing w:val="0"/>
          <w:w w:val="100"/>
          <w:position w:val="0"/>
        </w:rPr>
        <w:t>六</w:t>
      </w:r>
      <w:bookmarkEnd w:id="226"/>
      <w:r>
        <w:rPr>
          <w:color w:val="000000"/>
          <w:spacing w:val="0"/>
          <w:w w:val="100"/>
          <w:position w:val="0"/>
        </w:rPr>
        <w:t>、重大资产和股权出售</w:t>
      </w:r>
      <w:bookmarkEnd w:id="224"/>
      <w:bookmarkEnd w:id="225"/>
      <w:bookmarkEnd w:id="227"/>
    </w:p>
    <w:p>
      <w:pPr>
        <w:pStyle w:val="Style35"/>
        <w:keepNext/>
        <w:keepLines/>
        <w:widowControl w:val="0"/>
        <w:shd w:val="clear" w:color="auto" w:fill="auto"/>
        <w:tabs>
          <w:tab w:pos="1428" w:val="left"/>
        </w:tabs>
        <w:bidi w:val="0"/>
        <w:spacing w:before="0" w:line="240" w:lineRule="auto"/>
        <w:ind w:left="1060" w:right="0" w:firstLine="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w:t>
        <w:tab/>
        <w:t>出售重大资产情况</w:t>
      </w:r>
      <w:bookmarkEnd w:id="228"/>
      <w:bookmarkEnd w:id="229"/>
      <w:bookmarkEnd w:id="231"/>
    </w:p>
    <w:p>
      <w:pPr>
        <w:pStyle w:val="Style28"/>
        <w:keepNext w:val="0"/>
        <w:keepLines w:val="0"/>
        <w:widowControl w:val="0"/>
        <w:shd w:val="clear" w:color="auto" w:fill="auto"/>
        <w:bidi w:val="0"/>
        <w:spacing w:before="0" w:after="120" w:line="240" w:lineRule="auto"/>
        <w:ind w:left="106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060" w:right="0" w:firstLine="0"/>
        <w:jc w:val="both"/>
      </w:pPr>
      <w:r>
        <w:rPr>
          <w:color w:val="000000"/>
          <w:spacing w:val="0"/>
          <w:w w:val="100"/>
          <w:position w:val="0"/>
        </w:rPr>
        <w:t>公司报告期未出售重大资产。</w:t>
      </w:r>
    </w:p>
    <w:p>
      <w:pPr>
        <w:pStyle w:val="Style35"/>
        <w:keepNext/>
        <w:keepLines/>
        <w:widowControl w:val="0"/>
        <w:shd w:val="clear" w:color="auto" w:fill="auto"/>
        <w:tabs>
          <w:tab w:pos="1438" w:val="left"/>
        </w:tabs>
        <w:bidi w:val="0"/>
        <w:spacing w:before="0" w:line="240" w:lineRule="auto"/>
        <w:ind w:left="1060" w:right="0" w:firstLine="0"/>
        <w:jc w:val="both"/>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出售重大股权情况</w:t>
      </w:r>
      <w:bookmarkEnd w:id="232"/>
      <w:bookmarkEnd w:id="233"/>
      <w:bookmarkEnd w:id="235"/>
    </w:p>
    <w:p>
      <w:pPr>
        <w:pStyle w:val="Style28"/>
        <w:keepNext w:val="0"/>
        <w:keepLines w:val="0"/>
        <w:widowControl w:val="0"/>
        <w:shd w:val="clear" w:color="auto" w:fill="auto"/>
        <w:bidi w:val="0"/>
        <w:spacing w:before="0" w:after="380" w:line="240" w:lineRule="auto"/>
        <w:ind w:left="106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6"/>
        <w:keepNext/>
        <w:keepLines/>
        <w:widowControl w:val="0"/>
        <w:shd w:val="clear" w:color="auto" w:fill="auto"/>
        <w:bidi w:val="0"/>
        <w:spacing w:before="0" w:after="360" w:line="240" w:lineRule="auto"/>
        <w:ind w:left="1060" w:right="0" w:firstLine="0"/>
        <w:jc w:val="both"/>
      </w:pPr>
      <w:bookmarkStart w:id="236" w:name="bookmark236"/>
      <w:bookmarkStart w:id="237" w:name="bookmark237"/>
      <w:bookmarkStart w:id="238" w:name="bookmark238"/>
      <w:bookmarkStart w:id="239" w:name="bookmark239"/>
      <w:r>
        <w:rPr>
          <w:color w:val="000000"/>
          <w:spacing w:val="0"/>
          <w:w w:val="100"/>
          <w:position w:val="0"/>
        </w:rPr>
        <w:t>七</w:t>
      </w:r>
      <w:bookmarkEnd w:id="238"/>
      <w:r>
        <w:rPr>
          <w:color w:val="000000"/>
          <w:spacing w:val="0"/>
          <w:w w:val="100"/>
          <w:position w:val="0"/>
        </w:rPr>
        <w:t>、主要控股参股公司分析</w:t>
      </w:r>
      <w:bookmarkEnd w:id="236"/>
      <w:bookmarkEnd w:id="237"/>
      <w:bookmarkEnd w:id="239"/>
    </w:p>
    <w:p>
      <w:pPr>
        <w:pStyle w:val="Style28"/>
        <w:keepNext w:val="0"/>
        <w:keepLines w:val="0"/>
        <w:widowControl w:val="0"/>
        <w:shd w:val="clear" w:color="auto" w:fill="auto"/>
        <w:bidi w:val="0"/>
        <w:spacing w:before="0" w:line="240" w:lineRule="auto"/>
        <w:ind w:left="106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106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46"/>
        <w:gridCol w:w="1042"/>
        <w:gridCol w:w="1363"/>
        <w:gridCol w:w="1536"/>
        <w:gridCol w:w="1498"/>
        <w:gridCol w:w="1430"/>
        <w:gridCol w:w="1483"/>
        <w:gridCol w:w="143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 安全技术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 产品、安全 集成、安全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2,381,086,851.48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899,380,695.34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662,135,849.88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-13,516,411.46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3,208,889.93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中经汇通 电子商务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电子商务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353,562,617.00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2,466,761,847.10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418,208,001.60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20,928,166.17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-321,861,381.36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-404,883,802.71</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深圳市蓝 盾满泰科 技发展有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工控安全 监测和自 动化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658,705,693.44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371,973,415.06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157,526,298.76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-23,250,814.16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-16,778,209.74</w:t>
            </w:r>
          </w:p>
        </w:tc>
      </w:tr>
    </w:tbl>
    <w:p>
      <w:pPr>
        <w:widowControl w:val="0"/>
        <w:spacing w:after="79" w:line="1" w:lineRule="exact"/>
      </w:pPr>
    </w:p>
    <w:p>
      <w:pPr>
        <w:pStyle w:val="Style28"/>
        <w:keepNext w:val="0"/>
        <w:keepLines w:val="0"/>
        <w:widowControl w:val="0"/>
        <w:shd w:val="clear" w:color="auto" w:fill="auto"/>
        <w:bidi w:val="0"/>
        <w:spacing w:before="0" w:line="240" w:lineRule="auto"/>
        <w:ind w:left="1060" w:right="0" w:firstLine="0"/>
        <w:jc w:val="both"/>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106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蓝盾汇通电子商务有限公司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肇庆蓝盾创新信息安全技术有限公司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江门蓝盾创新信息安全技术有限公司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广东蓝盾智能信息安全技术有限公司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宜宾蓝盾量子科技有限公司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广州蓝盾华创信息安全技术有限公司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广东蓝盾量子科技有限公司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广东蓝盾聚能新能源科技有限公司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广东中经汇通交通运输有限公司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26"/>
        <w:keepNext/>
        <w:keepLines/>
        <w:widowControl w:val="0"/>
        <w:shd w:val="clear" w:color="auto" w:fill="auto"/>
        <w:tabs>
          <w:tab w:pos="1577" w:val="left"/>
        </w:tabs>
        <w:bidi w:val="0"/>
        <w:spacing w:before="0" w:after="360" w:line="240" w:lineRule="auto"/>
        <w:ind w:left="1060" w:right="0" w:firstLine="0"/>
        <w:jc w:val="both"/>
      </w:pPr>
      <w:bookmarkStart w:id="240" w:name="bookmark240"/>
      <w:bookmarkStart w:id="241" w:name="bookmark241"/>
      <w:bookmarkStart w:id="242" w:name="bookmark242"/>
      <w:bookmarkStart w:id="243" w:name="bookmark243"/>
      <w:r>
        <w:rPr>
          <w:color w:val="000000"/>
          <w:spacing w:val="0"/>
          <w:w w:val="100"/>
          <w:position w:val="0"/>
        </w:rPr>
        <w:t>八</w:t>
      </w:r>
      <w:bookmarkEnd w:id="242"/>
      <w:r>
        <w:rPr>
          <w:color w:val="000000"/>
          <w:spacing w:val="0"/>
          <w:w w:val="100"/>
          <w:position w:val="0"/>
        </w:rPr>
        <w:t>、</w:t>
        <w:tab/>
        <w:t>公司控制的结构化主体情况</w:t>
      </w:r>
      <w:bookmarkEnd w:id="240"/>
      <w:bookmarkEnd w:id="241"/>
      <w:bookmarkEnd w:id="243"/>
    </w:p>
    <w:p>
      <w:pPr>
        <w:pStyle w:val="Style28"/>
        <w:keepNext w:val="0"/>
        <w:keepLines w:val="0"/>
        <w:widowControl w:val="0"/>
        <w:shd w:val="clear" w:color="auto" w:fill="auto"/>
        <w:bidi w:val="0"/>
        <w:spacing w:before="0" w:after="360" w:line="240" w:lineRule="auto"/>
        <w:ind w:left="106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1577" w:val="left"/>
        </w:tabs>
        <w:bidi w:val="0"/>
        <w:spacing w:before="0" w:after="360" w:line="240" w:lineRule="auto"/>
        <w:ind w:left="1060" w:right="0" w:firstLine="0"/>
        <w:jc w:val="both"/>
      </w:pPr>
      <w:bookmarkStart w:id="244" w:name="bookmark244"/>
      <w:bookmarkStart w:id="245" w:name="bookmark245"/>
      <w:bookmarkStart w:id="246" w:name="bookmark246"/>
      <w:bookmarkStart w:id="247" w:name="bookmark247"/>
      <w:r>
        <w:rPr>
          <w:color w:val="000000"/>
          <w:spacing w:val="0"/>
          <w:w w:val="100"/>
          <w:position w:val="0"/>
        </w:rPr>
        <w:t>九</w:t>
      </w:r>
      <w:bookmarkEnd w:id="246"/>
      <w:r>
        <w:rPr>
          <w:color w:val="000000"/>
          <w:spacing w:val="0"/>
          <w:w w:val="100"/>
          <w:position w:val="0"/>
        </w:rPr>
        <w:t>、</w:t>
        <w:tab/>
        <w:t>公司未来发展的展望</w:t>
      </w:r>
      <w:bookmarkEnd w:id="244"/>
      <w:bookmarkEnd w:id="245"/>
      <w:bookmarkEnd w:id="247"/>
    </w:p>
    <w:p>
      <w:pPr>
        <w:pStyle w:val="Style38"/>
        <w:keepNext w:val="0"/>
        <w:keepLines w:val="0"/>
        <w:widowControl w:val="0"/>
        <w:shd w:val="clear" w:color="auto" w:fill="auto"/>
        <w:bidi w:val="0"/>
        <w:spacing w:before="0" w:after="240" w:line="240" w:lineRule="auto"/>
        <w:ind w:left="1600" w:right="0" w:firstLine="0"/>
        <w:jc w:val="left"/>
      </w:pPr>
      <w:bookmarkStart w:id="248" w:name="bookmark248"/>
      <w:r>
        <w:rPr>
          <w:b/>
          <w:bCs/>
          <w:color w:val="000000"/>
          <w:spacing w:val="0"/>
          <w:w w:val="100"/>
          <w:position w:val="0"/>
        </w:rPr>
        <w:t>（</w:t>
      </w:r>
      <w:bookmarkEnd w:id="248"/>
      <w:r>
        <w:rPr>
          <w:b/>
          <w:bCs/>
          <w:color w:val="000000"/>
          <w:spacing w:val="0"/>
          <w:w w:val="100"/>
          <w:position w:val="0"/>
        </w:rPr>
        <w:t>一）公司未来发展战略及</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年经营计划</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公司将继续秉承</w:t>
      </w:r>
      <w:r>
        <w:rPr>
          <w:rFonts w:ascii="Times New Roman" w:eastAsia="Times New Roman" w:hAnsi="Times New Roman" w:cs="Times New Roman"/>
          <w:color w:val="000000"/>
          <w:spacing w:val="0"/>
          <w:w w:val="100"/>
          <w:position w:val="0"/>
        </w:rPr>
        <w:t>“</w:t>
      </w:r>
      <w:r>
        <w:rPr>
          <w:color w:val="000000"/>
          <w:spacing w:val="0"/>
          <w:w w:val="100"/>
          <w:position w:val="0"/>
        </w:rPr>
        <w:t>智慧安全领导者</w:t>
      </w:r>
      <w:r>
        <w:rPr>
          <w:rFonts w:ascii="Times New Roman" w:eastAsia="Times New Roman" w:hAnsi="Times New Roman" w:cs="Times New Roman"/>
          <w:color w:val="000000"/>
          <w:spacing w:val="0"/>
          <w:w w:val="100"/>
          <w:position w:val="0"/>
        </w:rPr>
        <w:t>''</w:t>
      </w:r>
      <w:r>
        <w:rPr>
          <w:color w:val="000000"/>
          <w:spacing w:val="0"/>
          <w:w w:val="100"/>
          <w:position w:val="0"/>
        </w:rPr>
        <w:t>的理念与使命，聚焦网络信息安全主业，把握政策红利，积极参与 国家网络安全体系建设。此外，公司将尽快与相关债权人就债务解决方案达成一致意见，有效化解公司债 务风险，尽快让公司回归正常发展轨道。</w:t>
      </w:r>
    </w:p>
    <w:p>
      <w:pPr>
        <w:pStyle w:val="Style38"/>
        <w:keepNext w:val="0"/>
        <w:keepLines w:val="0"/>
        <w:widowControl w:val="0"/>
        <w:shd w:val="clear" w:color="auto" w:fill="auto"/>
        <w:bidi w:val="0"/>
        <w:spacing w:before="0" w:after="0" w:line="313" w:lineRule="exact"/>
        <w:ind w:left="148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年度，公司的主要经营计划如下：</w:t>
      </w:r>
    </w:p>
    <w:p>
      <w:pPr>
        <w:pStyle w:val="Style38"/>
        <w:keepNext w:val="0"/>
        <w:keepLines w:val="0"/>
        <w:widowControl w:val="0"/>
        <w:shd w:val="clear" w:color="auto" w:fill="auto"/>
        <w:tabs>
          <w:tab w:pos="1803" w:val="left"/>
        </w:tabs>
        <w:bidi w:val="0"/>
        <w:spacing w:before="0" w:after="0" w:line="313" w:lineRule="exact"/>
        <w:ind w:left="1480" w:right="0" w:firstLine="0"/>
        <w:jc w:val="both"/>
      </w:pPr>
      <w:bookmarkStart w:id="249" w:name="bookmark249"/>
      <w:r>
        <w:rPr>
          <w:rFonts w:ascii="Times New Roman" w:eastAsia="Times New Roman" w:hAnsi="Times New Roman" w:cs="Times New Roman"/>
          <w:b/>
          <w:bCs/>
          <w:color w:val="000000"/>
          <w:spacing w:val="0"/>
          <w:w w:val="100"/>
          <w:position w:val="0"/>
        </w:rPr>
        <w:t>1</w:t>
      </w:r>
      <w:bookmarkEnd w:id="249"/>
      <w:r>
        <w:rPr>
          <w:b/>
          <w:bCs/>
          <w:color w:val="000000"/>
          <w:spacing w:val="0"/>
          <w:w w:val="100"/>
          <w:position w:val="0"/>
        </w:rPr>
        <w:t>、</w:t>
        <w:tab/>
        <w:t>以政策为契机，积极参与国家网络安全体系建设</w:t>
      </w:r>
    </w:p>
    <w:p>
      <w:pPr>
        <w:pStyle w:val="Style38"/>
        <w:keepNext w:val="0"/>
        <w:keepLines w:val="0"/>
        <w:widowControl w:val="0"/>
        <w:shd w:val="clear" w:color="auto" w:fill="auto"/>
        <w:bidi w:val="0"/>
        <w:spacing w:before="0" w:after="0" w:line="313" w:lineRule="exact"/>
        <w:ind w:left="1060" w:right="920" w:firstLine="420"/>
        <w:jc w:val="both"/>
      </w:pPr>
      <w:r>
        <w:rPr>
          <w:color w:val="000000"/>
          <w:spacing w:val="0"/>
          <w:w w:val="100"/>
          <w:position w:val="0"/>
        </w:rPr>
        <w:t>近年来，随着我国《网络安全法》、</w:t>
      </w:r>
      <w:r>
        <w:rPr>
          <w:rFonts w:ascii="Times New Roman" w:eastAsia="Times New Roman" w:hAnsi="Times New Roman" w:cs="Times New Roman"/>
          <w:color w:val="000000"/>
          <w:spacing w:val="0"/>
          <w:w w:val="100"/>
          <w:position w:val="0"/>
        </w:rPr>
        <w:t>“</w:t>
      </w:r>
      <w:r>
        <w:rPr>
          <w:color w:val="000000"/>
          <w:spacing w:val="0"/>
          <w:w w:val="100"/>
          <w:position w:val="0"/>
        </w:rPr>
        <w:t>等保</w:t>
      </w:r>
      <w:r>
        <w:rPr>
          <w:rFonts w:ascii="Times New Roman" w:eastAsia="Times New Roman" w:hAnsi="Times New Roman" w:cs="Times New Roman"/>
          <w:color w:val="000000"/>
          <w:spacing w:val="0"/>
          <w:w w:val="100"/>
          <w:position w:val="0"/>
        </w:rPr>
        <w:t>2.0”</w:t>
      </w:r>
      <w:r>
        <w:rPr>
          <w:color w:val="000000"/>
          <w:spacing w:val="0"/>
          <w:w w:val="100"/>
          <w:position w:val="0"/>
        </w:rPr>
        <w:t>、《网络安全审查办法》等网络信息安全领域重磅政策、 标准的正式实施及深入推进，政府、企业等客户在网络信息安全方面投入在逐年增长，我国网络信息安全 行业有望持续保持较快的增长。</w:t>
      </w:r>
      <w:r>
        <w:rPr>
          <w:rFonts w:ascii="Times New Roman" w:eastAsia="Times New Roman" w:hAnsi="Times New Roman" w:cs="Times New Roman"/>
          <w:color w:val="000000"/>
          <w:spacing w:val="0"/>
          <w:w w:val="100"/>
          <w:position w:val="0"/>
        </w:rPr>
        <w:t>2021</w:t>
      </w:r>
      <w:r>
        <w:rPr>
          <w:color w:val="000000"/>
          <w:spacing w:val="0"/>
          <w:w w:val="100"/>
          <w:position w:val="0"/>
        </w:rPr>
        <w:t>年，公司将聚焦网络信息安全主业，把握政策红利，牢牢把握</w:t>
      </w:r>
      <w:r>
        <w:rPr>
          <w:rFonts w:ascii="Times New Roman" w:eastAsia="Times New Roman" w:hAnsi="Times New Roman" w:cs="Times New Roman"/>
          <w:color w:val="000000"/>
          <w:spacing w:val="0"/>
          <w:w w:val="100"/>
          <w:position w:val="0"/>
        </w:rPr>
        <w:t>“</w:t>
      </w:r>
      <w:r>
        <w:rPr>
          <w:color w:val="000000"/>
          <w:spacing w:val="0"/>
          <w:w w:val="100"/>
          <w:position w:val="0"/>
        </w:rPr>
        <w:t>智慧 城市</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雪亮工程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等保</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自主可控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安可项目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数字政府</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新型基础设施建设</w:t>
      </w:r>
      <w:r>
        <w:rPr>
          <w:rFonts w:ascii="Times New Roman" w:eastAsia="Times New Roman" w:hAnsi="Times New Roman" w:cs="Times New Roman"/>
          <w:color w:val="000000"/>
          <w:spacing w:val="0"/>
          <w:w w:val="100"/>
          <w:position w:val="0"/>
        </w:rPr>
        <w:t>”</w:t>
      </w:r>
      <w:r>
        <w:rPr>
          <w:color w:val="000000"/>
          <w:spacing w:val="0"/>
          <w:w w:val="100"/>
          <w:position w:val="0"/>
        </w:rPr>
        <w:t>等 国家重点项目建设带来的机遇，依托公司在网络信息安全领域的产品、研发、资质、一站式安全解决方案 能力、各大行业成功案例等核心优势，加强业务拓展，有效进行业务拓展，积极参与国家网络安全体系建 设。</w:t>
      </w:r>
    </w:p>
    <w:p>
      <w:pPr>
        <w:pStyle w:val="Style38"/>
        <w:keepNext w:val="0"/>
        <w:keepLines w:val="0"/>
        <w:widowControl w:val="0"/>
        <w:shd w:val="clear" w:color="auto" w:fill="auto"/>
        <w:tabs>
          <w:tab w:pos="1806" w:val="left"/>
        </w:tabs>
        <w:bidi w:val="0"/>
        <w:spacing w:before="0" w:after="0" w:line="313" w:lineRule="exact"/>
        <w:ind w:left="1480" w:right="0" w:firstLine="0"/>
        <w:jc w:val="both"/>
      </w:pPr>
      <w:bookmarkStart w:id="250" w:name="bookmark250"/>
      <w:r>
        <w:rPr>
          <w:rFonts w:ascii="Times New Roman" w:eastAsia="Times New Roman" w:hAnsi="Times New Roman" w:cs="Times New Roman"/>
          <w:b/>
          <w:bCs/>
          <w:color w:val="000000"/>
          <w:spacing w:val="0"/>
          <w:w w:val="100"/>
          <w:position w:val="0"/>
        </w:rPr>
        <w:t>2</w:t>
      </w:r>
      <w:bookmarkEnd w:id="250"/>
      <w:r>
        <w:rPr>
          <w:b/>
          <w:bCs/>
          <w:color w:val="000000"/>
          <w:spacing w:val="0"/>
          <w:w w:val="100"/>
          <w:position w:val="0"/>
        </w:rPr>
        <w:t>、</w:t>
        <w:tab/>
        <w:t>多措并举，加快化解公司债务风险</w:t>
      </w:r>
    </w:p>
    <w:p>
      <w:pPr>
        <w:pStyle w:val="Style38"/>
        <w:keepNext w:val="0"/>
        <w:keepLines w:val="0"/>
        <w:widowControl w:val="0"/>
        <w:shd w:val="clear" w:color="auto" w:fill="auto"/>
        <w:bidi w:val="0"/>
        <w:spacing w:before="0" w:after="0" w:line="315" w:lineRule="exact"/>
        <w:ind w:left="1060" w:right="0" w:firstLine="420"/>
        <w:jc w:val="both"/>
      </w:pPr>
      <w:r>
        <w:rPr>
          <w:color w:val="000000"/>
          <w:spacing w:val="0"/>
          <w:w w:val="100"/>
          <w:position w:val="0"/>
        </w:rPr>
        <w:t>目前，公司已与部分债权人达成债务和解，公司债务风险得到一定程度化解。后续，公司将结合现有 的经验与方案，尽快与其余债权人就债务解决方案达成一致意见，包括但不限于展期、部分偿还等方式； 同时，公司将通过加快回收应收账款、处置资产、供应链金融、继续深化与地方政府合作等多种方式全力 筹措资金以化解公司债务风险，妥善处理因债务风险引发的相关诉讼事项，尽快让公司回归正常发展轨道。</w:t>
      </w:r>
    </w:p>
    <w:p>
      <w:pPr>
        <w:pStyle w:val="Style38"/>
        <w:keepNext w:val="0"/>
        <w:keepLines w:val="0"/>
        <w:widowControl w:val="0"/>
        <w:shd w:val="clear" w:color="auto" w:fill="auto"/>
        <w:tabs>
          <w:tab w:pos="1806" w:val="left"/>
        </w:tabs>
        <w:bidi w:val="0"/>
        <w:spacing w:before="0" w:after="0" w:line="313" w:lineRule="exact"/>
        <w:ind w:left="1480" w:right="0" w:firstLine="0"/>
        <w:jc w:val="both"/>
      </w:pPr>
      <w:bookmarkStart w:id="251" w:name="bookmark251"/>
      <w:r>
        <w:rPr>
          <w:rFonts w:ascii="Times New Roman" w:eastAsia="Times New Roman" w:hAnsi="Times New Roman" w:cs="Times New Roman"/>
          <w:b/>
          <w:bCs/>
          <w:color w:val="000000"/>
          <w:spacing w:val="0"/>
          <w:w w:val="100"/>
          <w:position w:val="0"/>
        </w:rPr>
        <w:t>3</w:t>
      </w:r>
      <w:bookmarkEnd w:id="251"/>
      <w:r>
        <w:rPr>
          <w:b/>
          <w:bCs/>
          <w:color w:val="000000"/>
          <w:spacing w:val="0"/>
          <w:w w:val="100"/>
          <w:position w:val="0"/>
        </w:rPr>
        <w:t>、</w:t>
        <w:tab/>
        <w:t>提升安全产品性能及竞争力，强化管理提升公司经营效益</w:t>
      </w:r>
    </w:p>
    <w:p>
      <w:pPr>
        <w:pStyle w:val="Style38"/>
        <w:keepNext w:val="0"/>
        <w:keepLines w:val="0"/>
        <w:widowControl w:val="0"/>
        <w:shd w:val="clear" w:color="auto" w:fill="auto"/>
        <w:bidi w:val="0"/>
        <w:spacing w:before="0" w:after="0" w:line="314" w:lineRule="exact"/>
        <w:ind w:left="106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年，公司将结合行业发展趋势与市场需求，持续、全面提升安全产品性能及竞争力，满足国产化 替代的要求，并加大对部分新产品的市场推广力度，为公司创造新的利润增长点。同时，公司将持续落实 </w:t>
      </w:r>
      <w:r>
        <w:rPr>
          <w:rFonts w:ascii="Times New Roman" w:eastAsia="Times New Roman" w:hAnsi="Times New Roman" w:cs="Times New Roman"/>
          <w:color w:val="000000"/>
          <w:spacing w:val="0"/>
          <w:w w:val="100"/>
          <w:position w:val="0"/>
        </w:rPr>
        <w:t>“</w:t>
      </w:r>
      <w:r>
        <w:rPr>
          <w:color w:val="000000"/>
          <w:spacing w:val="0"/>
          <w:w w:val="100"/>
          <w:position w:val="0"/>
        </w:rPr>
        <w:t>战略协同</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利润创造</w:t>
      </w:r>
      <w:r>
        <w:rPr>
          <w:rFonts w:ascii="Times New Roman" w:eastAsia="Times New Roman" w:hAnsi="Times New Roman" w:cs="Times New Roman"/>
          <w:color w:val="000000"/>
          <w:spacing w:val="0"/>
          <w:w w:val="100"/>
          <w:position w:val="0"/>
        </w:rPr>
        <w:t>”</w:t>
      </w:r>
      <w:r>
        <w:rPr>
          <w:color w:val="000000"/>
          <w:spacing w:val="0"/>
          <w:w w:val="100"/>
          <w:position w:val="0"/>
        </w:rPr>
        <w:t>的经营理念，对集团旗下多家子公司进行规划和梳理，帮助其进行新产品的业务 拓展，改善经营状况；在产品线和解决方案不断丰富的同时，也将更加注重各业务板块投入产出比的科学 平衡以及风险管理，进一步发挥各业务板块的技术和业务协同效应。此外，公司将持续优化营销人员的绩 效考核机制，探索实施股权激励、项目收益分成、与应收账款回款率挂钩的绩效奖金等多维度薪酬模式， 通过科学的管理有效提升公司经营效益。</w:t>
      </w:r>
    </w:p>
    <w:p>
      <w:pPr>
        <w:pStyle w:val="Style38"/>
        <w:keepNext w:val="0"/>
        <w:keepLines w:val="0"/>
        <w:widowControl w:val="0"/>
        <w:shd w:val="clear" w:color="auto" w:fill="auto"/>
        <w:tabs>
          <w:tab w:pos="1806" w:val="left"/>
        </w:tabs>
        <w:bidi w:val="0"/>
        <w:spacing w:before="0" w:after="0" w:line="313" w:lineRule="exact"/>
        <w:ind w:left="1060" w:right="0" w:firstLine="420"/>
        <w:jc w:val="both"/>
      </w:pPr>
      <w:bookmarkStart w:id="252" w:name="bookmark252"/>
      <w:r>
        <w:rPr>
          <w:rFonts w:ascii="Times New Roman" w:eastAsia="Times New Roman" w:hAnsi="Times New Roman" w:cs="Times New Roman"/>
          <w:b/>
          <w:bCs/>
          <w:color w:val="000000"/>
          <w:spacing w:val="0"/>
          <w:w w:val="100"/>
          <w:position w:val="0"/>
        </w:rPr>
        <w:t>4</w:t>
      </w:r>
      <w:bookmarkEnd w:id="252"/>
      <w:r>
        <w:rPr>
          <w:b/>
          <w:bCs/>
          <w:color w:val="000000"/>
          <w:spacing w:val="0"/>
          <w:w w:val="100"/>
          <w:position w:val="0"/>
        </w:rPr>
        <w:t>、</w:t>
        <w:tab/>
        <w:t>配合推进控股股东股权转让事项，深化探索与地方政府的合作形式</w:t>
      </w:r>
    </w:p>
    <w:p>
      <w:pPr>
        <w:pStyle w:val="Style38"/>
        <w:keepNext w:val="0"/>
        <w:keepLines w:val="0"/>
        <w:widowControl w:val="0"/>
        <w:shd w:val="clear" w:color="auto" w:fill="auto"/>
        <w:bidi w:val="0"/>
        <w:spacing w:before="0" w:after="0" w:line="313" w:lineRule="exact"/>
        <w:ind w:left="106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年，公司将积极配合推进控股股东及其一致行动人股权转让事项，加快引入战略投资者，优化公 司股权结构。与此同时，公司将深化探索与地方政府的合作形式，为公司引进更多产业及业务资源，拓宽 融资渠道，加快公司战略布局，促进公司整体业务发展。</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上述经营计划、经营目标并不代表本公司对</w:t>
      </w:r>
      <w:r>
        <w:rPr>
          <w:rFonts w:ascii="Times New Roman" w:eastAsia="Times New Roman" w:hAnsi="Times New Roman" w:cs="Times New Roman"/>
          <w:color w:val="000000"/>
          <w:spacing w:val="0"/>
          <w:w w:val="100"/>
          <w:position w:val="0"/>
        </w:rPr>
        <w:t>2021</w:t>
      </w:r>
      <w:r>
        <w:rPr>
          <w:color w:val="000000"/>
          <w:spacing w:val="0"/>
          <w:w w:val="100"/>
          <w:position w:val="0"/>
        </w:rPr>
        <w:t>年度的盈利做出了预测，其是否可实现将取决于企业 外部环境的影响和企业自身的经营状况等诸多因素，存在较大的不确定性，特提请投资者注意投资风险。</w:t>
      </w:r>
    </w:p>
    <w:p>
      <w:pPr>
        <w:pStyle w:val="Style38"/>
        <w:keepNext w:val="0"/>
        <w:keepLines w:val="0"/>
        <w:widowControl w:val="0"/>
        <w:shd w:val="clear" w:color="auto" w:fill="auto"/>
        <w:bidi w:val="0"/>
        <w:spacing w:before="0" w:after="80" w:line="313" w:lineRule="exact"/>
        <w:ind w:left="1480" w:right="0" w:firstLine="0"/>
        <w:jc w:val="both"/>
      </w:pPr>
      <w:bookmarkStart w:id="253" w:name="bookmark253"/>
      <w:r>
        <w:rPr>
          <w:b/>
          <w:bCs/>
          <w:color w:val="000000"/>
          <w:spacing w:val="0"/>
          <w:w w:val="100"/>
          <w:position w:val="0"/>
        </w:rPr>
        <w:t>（</w:t>
      </w:r>
      <w:bookmarkEnd w:id="253"/>
      <w:r>
        <w:rPr>
          <w:b/>
          <w:bCs/>
          <w:color w:val="000000"/>
          <w:spacing w:val="0"/>
          <w:w w:val="100"/>
          <w:position w:val="0"/>
        </w:rPr>
        <w:t>二）影响公司发展的主要风险及对策</w:t>
      </w:r>
    </w:p>
    <w:p>
      <w:pPr>
        <w:pStyle w:val="Style38"/>
        <w:keepNext w:val="0"/>
        <w:keepLines w:val="0"/>
        <w:widowControl w:val="0"/>
        <w:shd w:val="clear" w:color="auto" w:fill="auto"/>
        <w:tabs>
          <w:tab w:pos="1803" w:val="left"/>
        </w:tabs>
        <w:bidi w:val="0"/>
        <w:spacing w:before="0" w:after="0" w:line="326" w:lineRule="auto"/>
        <w:ind w:left="1480" w:right="0" w:firstLine="0"/>
        <w:jc w:val="both"/>
      </w:pPr>
      <w:bookmarkStart w:id="254" w:name="bookmark254"/>
      <w:r>
        <w:rPr>
          <w:rFonts w:ascii="Times New Roman" w:eastAsia="Times New Roman" w:hAnsi="Times New Roman" w:cs="Times New Roman"/>
          <w:b/>
          <w:bCs/>
          <w:color w:val="000000"/>
          <w:spacing w:val="0"/>
          <w:w w:val="100"/>
          <w:position w:val="0"/>
        </w:rPr>
        <w:t>1</w:t>
      </w:r>
      <w:bookmarkEnd w:id="254"/>
      <w:r>
        <w:rPr>
          <w:b/>
          <w:bCs/>
          <w:color w:val="000000"/>
          <w:spacing w:val="0"/>
          <w:w w:val="100"/>
          <w:position w:val="0"/>
        </w:rPr>
        <w:t>、</w:t>
        <w:tab/>
        <w:t>投资并购及管理风险</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虽然公司近年的收购方案已实施完成，但后续仍可能存在整合效果不达预期风险、资产减值风险、标 的资产经营风险等多项风险因素。如果公司收购的子公司未来经营状况出现恶化或者效益未能达到预期， 将会对公司的盈利能力和经营业绩产生不利影响。同时随着投资并购项目的增加，公司的子公司、孙公司 逐渐增多，管理体系更加复杂，团队的稳定性、新业务领域的开拓风险等都将给公司管理带来新的挑战。</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对此，公司采取了集团化管理模式，逐渐形成了一整套规避主要经营风险的整合策略和措施，从研发、 销售、财务、采购、人事、行政、市场资料、企业文化、企业发展规划等各个方面进行协同管理，严格规 范子公司运作和管理，充分调动子公司的积极性，加快并购协同效应的发挥。</w:t>
      </w:r>
    </w:p>
    <w:p>
      <w:pPr>
        <w:pStyle w:val="Style38"/>
        <w:keepNext w:val="0"/>
        <w:keepLines w:val="0"/>
        <w:widowControl w:val="0"/>
        <w:shd w:val="clear" w:color="auto" w:fill="auto"/>
        <w:tabs>
          <w:tab w:pos="1806" w:val="left"/>
        </w:tabs>
        <w:bidi w:val="0"/>
        <w:spacing w:before="0" w:after="0" w:line="313" w:lineRule="exact"/>
        <w:ind w:left="1060" w:right="0" w:firstLine="420"/>
        <w:jc w:val="both"/>
      </w:pPr>
      <w:bookmarkStart w:id="255" w:name="bookmark255"/>
      <w:r>
        <w:rPr>
          <w:rFonts w:ascii="Times New Roman" w:eastAsia="Times New Roman" w:hAnsi="Times New Roman" w:cs="Times New Roman"/>
          <w:b/>
          <w:bCs/>
          <w:color w:val="000000"/>
          <w:spacing w:val="0"/>
          <w:w w:val="100"/>
          <w:position w:val="0"/>
        </w:rPr>
        <w:t>2</w:t>
      </w:r>
      <w:bookmarkEnd w:id="255"/>
      <w:r>
        <w:rPr>
          <w:b/>
          <w:bCs/>
          <w:color w:val="000000"/>
          <w:spacing w:val="0"/>
          <w:w w:val="100"/>
          <w:position w:val="0"/>
        </w:rPr>
        <w:t>、</w:t>
        <w:tab/>
        <w:t>固定资产折旧、无形资产摊销、限制性股票费用摊销给公司经营业绩造成的风险</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 xml:space="preserve">公司已建成的募投项目，每年将新增一定的固定资产折旧及无形资产摊销，虽然公司在对项目进行可 行性研究时，已经充分考虑了折旧、摊销费用等因素，同时这些费用也可通过提升经营业绩和项目利润予 以消化，但若因国家产业政策调整、市场需求变化等各种因素导致市场发生重大变化，使公司募投项目不 </w:t>
      </w:r>
      <w:r>
        <w:rPr>
          <w:color w:val="000000"/>
          <w:spacing w:val="0"/>
          <w:w w:val="100"/>
          <w:position w:val="0"/>
        </w:rPr>
        <w:t>能如期产生效益或实际收益低于盈亏平衡点的收益，则新增的折旧、摊销费用将对公司的经营业绩造成不 利影响。</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对此，公司将加大对募投项目的推广和市场开拓工作，积极推进产品的销售，坚持以国家政策与市场 需求为导向，不断调整策略，努力使募投项目产生预期收益。</w:t>
      </w:r>
    </w:p>
    <w:p>
      <w:pPr>
        <w:pStyle w:val="Style38"/>
        <w:keepNext w:val="0"/>
        <w:keepLines w:val="0"/>
        <w:widowControl w:val="0"/>
        <w:shd w:val="clear" w:color="auto" w:fill="auto"/>
        <w:tabs>
          <w:tab w:pos="1817" w:val="left"/>
        </w:tabs>
        <w:bidi w:val="0"/>
        <w:spacing w:before="0" w:after="0" w:line="313" w:lineRule="exact"/>
        <w:ind w:left="1480" w:right="0" w:firstLine="0"/>
        <w:jc w:val="both"/>
      </w:pPr>
      <w:bookmarkStart w:id="256" w:name="bookmark256"/>
      <w:r>
        <w:rPr>
          <w:rFonts w:ascii="Times New Roman" w:eastAsia="Times New Roman" w:hAnsi="Times New Roman" w:cs="Times New Roman"/>
          <w:b/>
          <w:bCs/>
          <w:color w:val="000000"/>
          <w:spacing w:val="0"/>
          <w:w w:val="100"/>
          <w:position w:val="0"/>
        </w:rPr>
        <w:t>3</w:t>
      </w:r>
      <w:bookmarkEnd w:id="256"/>
      <w:r>
        <w:rPr>
          <w:b/>
          <w:bCs/>
          <w:color w:val="000000"/>
          <w:spacing w:val="0"/>
          <w:w w:val="100"/>
          <w:position w:val="0"/>
        </w:rPr>
        <w:t>、</w:t>
        <w:tab/>
        <w:t>技术失密和核心技术人员流失的风险</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信息安全行业属于知识密集型行业，行业内的市场竞争主要体现为产品科技含量和研发技术人员技术 水平的竞争。由于公司的技术水平处于行业领先地位，不排除出现竞争对手通过各种不正当手段窃取公司 技术机密或争夺公司核心技术人员的情形。</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对此，公司将持续努力创建良好的工作环境和工作氛围，防止人才流失，探索对公司核心技术人员和 管理团队具有激励作用的薪酬机制。目前，公司通过内部培养和外部聘请，努力打造一批高端的管理、研 发及营销人才，以适应公司业务发展需要。</w:t>
      </w:r>
    </w:p>
    <w:p>
      <w:pPr>
        <w:pStyle w:val="Style38"/>
        <w:keepNext w:val="0"/>
        <w:keepLines w:val="0"/>
        <w:widowControl w:val="0"/>
        <w:shd w:val="clear" w:color="auto" w:fill="auto"/>
        <w:tabs>
          <w:tab w:pos="1817" w:val="left"/>
        </w:tabs>
        <w:bidi w:val="0"/>
        <w:spacing w:before="0" w:after="0" w:line="313" w:lineRule="exact"/>
        <w:ind w:left="1480" w:right="0" w:firstLine="0"/>
        <w:jc w:val="both"/>
      </w:pPr>
      <w:bookmarkStart w:id="257" w:name="bookmark257"/>
      <w:r>
        <w:rPr>
          <w:rFonts w:ascii="Times New Roman" w:eastAsia="Times New Roman" w:hAnsi="Times New Roman" w:cs="Times New Roman"/>
          <w:b/>
          <w:bCs/>
          <w:color w:val="000000"/>
          <w:spacing w:val="0"/>
          <w:w w:val="100"/>
          <w:position w:val="0"/>
        </w:rPr>
        <w:t>4</w:t>
      </w:r>
      <w:bookmarkEnd w:id="257"/>
      <w:r>
        <w:rPr>
          <w:b/>
          <w:bCs/>
          <w:color w:val="000000"/>
          <w:spacing w:val="0"/>
          <w:w w:val="100"/>
          <w:position w:val="0"/>
        </w:rPr>
        <w:t>、</w:t>
        <w:tab/>
        <w:t>技术开发和升级滞后的风险</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信息安全领域涉及的专业技术门类较多、技术更新速度快、生命周期短，云计算、虚拟化、大数据、 物联网、移动互联网等新技术不断涌现，为了保持竞争优势，公司必须准确预测业内技术发展趋势，及时 将成熟、实用、先进的技术用于自身产品的设计开发和技术升级。如果不能准确地把握行业技术的发展趋 势，在技术开发方向的决策上发生失误，或不能及时将新技术运用于业务的开发和升级，公司将可能丧失 技术研发和市场的领先地位。</w:t>
      </w:r>
    </w:p>
    <w:p>
      <w:pPr>
        <w:pStyle w:val="Style38"/>
        <w:keepNext w:val="0"/>
        <w:keepLines w:val="0"/>
        <w:widowControl w:val="0"/>
        <w:shd w:val="clear" w:color="auto" w:fill="auto"/>
        <w:bidi w:val="0"/>
        <w:spacing w:before="0" w:after="80" w:line="313" w:lineRule="exact"/>
        <w:ind w:left="1060" w:right="0" w:firstLine="420"/>
        <w:jc w:val="both"/>
      </w:pPr>
      <w:r>
        <w:rPr>
          <w:color w:val="000000"/>
          <w:spacing w:val="0"/>
          <w:w w:val="100"/>
          <w:position w:val="0"/>
        </w:rPr>
        <w:t>对此，公司将保持技术研发投入占营业收入的合理比重，进一步完善研发激励机制。同时，公司已成 立前沿技术部门，持续关注国内外相关技术的最新发展动态，积极参与行业技术研讨会议，探索适合公司 战略规划的技术发展方向。</w:t>
      </w:r>
    </w:p>
    <w:p>
      <w:pPr>
        <w:pStyle w:val="Style38"/>
        <w:keepNext w:val="0"/>
        <w:keepLines w:val="0"/>
        <w:widowControl w:val="0"/>
        <w:shd w:val="clear" w:color="auto" w:fill="auto"/>
        <w:tabs>
          <w:tab w:pos="1817" w:val="left"/>
        </w:tabs>
        <w:bidi w:val="0"/>
        <w:spacing w:before="0" w:after="0" w:line="326" w:lineRule="auto"/>
        <w:ind w:left="1480" w:right="0" w:firstLine="0"/>
        <w:jc w:val="both"/>
      </w:pPr>
      <w:bookmarkStart w:id="258" w:name="bookmark258"/>
      <w:r>
        <w:rPr>
          <w:rFonts w:ascii="Times New Roman" w:eastAsia="Times New Roman" w:hAnsi="Times New Roman" w:cs="Times New Roman"/>
          <w:b/>
          <w:bCs/>
          <w:color w:val="000000"/>
          <w:spacing w:val="0"/>
          <w:w w:val="100"/>
          <w:position w:val="0"/>
        </w:rPr>
        <w:t>5</w:t>
      </w:r>
      <w:bookmarkEnd w:id="258"/>
      <w:r>
        <w:rPr>
          <w:b/>
          <w:bCs/>
          <w:color w:val="000000"/>
          <w:spacing w:val="0"/>
          <w:w w:val="100"/>
          <w:position w:val="0"/>
        </w:rPr>
        <w:t>、</w:t>
        <w:tab/>
        <w:t>应收账款风险</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随着公司业务规模的快速扩大，且公司部分合同执行期及结算周期较长，应收账款数额增加，同时根 据子公司中经电商的业务模式，也给予其客户一定的信用政策，致使公司整体应收账款金额较大，部分客 户的应收账款可能存在计提减值准备的风险。</w:t>
      </w:r>
    </w:p>
    <w:p>
      <w:pPr>
        <w:pStyle w:val="Style38"/>
        <w:keepNext w:val="0"/>
        <w:keepLines w:val="0"/>
        <w:widowControl w:val="0"/>
        <w:shd w:val="clear" w:color="auto" w:fill="auto"/>
        <w:bidi w:val="0"/>
        <w:spacing w:before="0" w:after="80" w:line="313" w:lineRule="exact"/>
        <w:ind w:left="1060" w:right="0" w:firstLine="420"/>
        <w:jc w:val="both"/>
      </w:pPr>
      <w:r>
        <w:rPr>
          <w:color w:val="000000"/>
          <w:spacing w:val="0"/>
          <w:w w:val="100"/>
          <w:position w:val="0"/>
        </w:rPr>
        <w:t>对此，公司将不断完善应收账款管理，进一步加强应收账款事前审核、事中控制和事后监管，加大应 收账款责任制实施力度，优化业务人员在收款工作方面的考评，促进应收账款的回款，并根据客户性质的 不同，规定不同的信用期限，将应收账款风险控制在合理的水平。</w:t>
      </w:r>
    </w:p>
    <w:p>
      <w:pPr>
        <w:pStyle w:val="Style38"/>
        <w:keepNext w:val="0"/>
        <w:keepLines w:val="0"/>
        <w:widowControl w:val="0"/>
        <w:shd w:val="clear" w:color="auto" w:fill="auto"/>
        <w:tabs>
          <w:tab w:pos="1817" w:val="left"/>
        </w:tabs>
        <w:bidi w:val="0"/>
        <w:spacing w:before="0" w:after="0" w:line="326" w:lineRule="auto"/>
        <w:ind w:left="1480" w:right="0" w:firstLine="0"/>
        <w:jc w:val="both"/>
      </w:pPr>
      <w:bookmarkStart w:id="259" w:name="bookmark259"/>
      <w:r>
        <w:rPr>
          <w:rFonts w:ascii="Times New Roman" w:eastAsia="Times New Roman" w:hAnsi="Times New Roman" w:cs="Times New Roman"/>
          <w:b/>
          <w:bCs/>
          <w:color w:val="000000"/>
          <w:spacing w:val="0"/>
          <w:w w:val="100"/>
          <w:position w:val="0"/>
        </w:rPr>
        <w:t>6</w:t>
      </w:r>
      <w:bookmarkEnd w:id="259"/>
      <w:r>
        <w:rPr>
          <w:b/>
          <w:bCs/>
          <w:color w:val="000000"/>
          <w:spacing w:val="0"/>
          <w:w w:val="100"/>
          <w:position w:val="0"/>
        </w:rPr>
        <w:t>、</w:t>
        <w:tab/>
        <w:t>债务逾期及诉讼风险</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报告期内，受资金流动性不足等因素影响，公司及部分全资子公司陆续出现债务逾期的情况，部分债 务逾期涉及诉讼导致公司部分资产已被法院查封。同时，公司部分子公司因未履行生效法律文书确定义务, 被列入失信被执行人。该事项对公司日常生产经营产生较大不利影响，若后续不能及时解决债务逾期问题, 公司可能面临更多的诉讼风险及其他法律风险。</w:t>
      </w:r>
    </w:p>
    <w:p>
      <w:pPr>
        <w:pStyle w:val="Style38"/>
        <w:keepNext w:val="0"/>
        <w:keepLines w:val="0"/>
        <w:widowControl w:val="0"/>
        <w:shd w:val="clear" w:color="auto" w:fill="auto"/>
        <w:bidi w:val="0"/>
        <w:spacing w:before="0" w:after="80" w:line="313" w:lineRule="exact"/>
        <w:ind w:left="1060" w:right="0" w:firstLine="420"/>
        <w:jc w:val="both"/>
      </w:pPr>
      <w:r>
        <w:rPr>
          <w:color w:val="000000"/>
          <w:spacing w:val="0"/>
          <w:w w:val="100"/>
          <w:position w:val="0"/>
        </w:rPr>
        <w:t>对此，公司正在积极采取协商和解方案，争取尽快与相关债权人就债务解决方案达成一致意见，包括 但不限于展期、部分偿还等方式；同时公司将通过加快回收应收账款、处置资产等方式全力筹措资金以解 决相关问题，争取尽快解除上述风险。</w:t>
      </w:r>
    </w:p>
    <w:p>
      <w:pPr>
        <w:pStyle w:val="Style38"/>
        <w:keepNext w:val="0"/>
        <w:keepLines w:val="0"/>
        <w:widowControl w:val="0"/>
        <w:shd w:val="clear" w:color="auto" w:fill="auto"/>
        <w:tabs>
          <w:tab w:pos="1817" w:val="left"/>
        </w:tabs>
        <w:bidi w:val="0"/>
        <w:spacing w:before="0" w:after="0" w:line="326" w:lineRule="auto"/>
        <w:ind w:left="1480" w:right="0" w:firstLine="0"/>
        <w:jc w:val="both"/>
      </w:pPr>
      <w:bookmarkStart w:id="260" w:name="bookmark260"/>
      <w:r>
        <w:rPr>
          <w:rFonts w:ascii="Times New Roman" w:eastAsia="Times New Roman" w:hAnsi="Times New Roman" w:cs="Times New Roman"/>
          <w:b/>
          <w:bCs/>
          <w:color w:val="000000"/>
          <w:spacing w:val="0"/>
          <w:w w:val="100"/>
          <w:position w:val="0"/>
        </w:rPr>
        <w:t>7</w:t>
      </w:r>
      <w:bookmarkEnd w:id="260"/>
      <w:r>
        <w:rPr>
          <w:b/>
          <w:bCs/>
          <w:color w:val="000000"/>
          <w:spacing w:val="0"/>
          <w:w w:val="100"/>
          <w:position w:val="0"/>
        </w:rPr>
        <w:t>、</w:t>
        <w:tab/>
        <w:t>控制权变更风险</w:t>
      </w:r>
    </w:p>
    <w:p>
      <w:pPr>
        <w:pStyle w:val="Style38"/>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公司控股股东部分质押股份存在违约风险及涉及诉讼，且控股股东及其一致行动人持有的本公司股份 已全部被冻结，该事项对公司的生产经营暂无实质性影响，但对公司的控制权稳定性产生一定影响。若控 股股东及其一致行动人所质押、冻结的股份未能实施有效应对措施而在后续被采取司法处置，可能导致公 司控制权发生变更。</w:t>
      </w:r>
    </w:p>
    <w:p>
      <w:pPr>
        <w:pStyle w:val="Style38"/>
        <w:keepNext w:val="0"/>
        <w:keepLines w:val="0"/>
        <w:widowControl w:val="0"/>
        <w:shd w:val="clear" w:color="auto" w:fill="auto"/>
        <w:bidi w:val="0"/>
        <w:spacing w:before="0" w:after="40" w:line="313" w:lineRule="exact"/>
        <w:ind w:left="1480" w:right="0" w:firstLine="0"/>
        <w:jc w:val="both"/>
      </w:pPr>
      <w:r>
        <w:rPr>
          <w:color w:val="000000"/>
          <w:spacing w:val="0"/>
          <w:w w:val="100"/>
          <w:position w:val="0"/>
        </w:rPr>
        <w:t>对此，公司控股股东正积极与相关方保持密切沟通，寻求解决方案，以尽快解除上述风险。</w:t>
      </w:r>
    </w:p>
    <w:p>
      <w:pPr>
        <w:pStyle w:val="Style26"/>
        <w:keepNext/>
        <w:keepLines/>
        <w:widowControl w:val="0"/>
        <w:shd w:val="clear" w:color="auto" w:fill="auto"/>
        <w:bidi w:val="0"/>
        <w:spacing w:before="0" w:after="360" w:line="240" w:lineRule="auto"/>
        <w:ind w:left="1060" w:right="0" w:firstLine="0"/>
        <w:jc w:val="left"/>
      </w:pPr>
      <w:bookmarkStart w:id="261" w:name="bookmark261"/>
      <w:bookmarkStart w:id="262" w:name="bookmark262"/>
      <w:bookmarkStart w:id="263" w:name="bookmark263"/>
      <w:r>
        <w:rPr>
          <w:color w:val="000000"/>
          <w:spacing w:val="0"/>
          <w:w w:val="100"/>
          <w:position w:val="0"/>
        </w:rPr>
        <w:t>十、接待调研、沟通、采访等活动登记表</w:t>
      </w:r>
      <w:bookmarkEnd w:id="261"/>
      <w:bookmarkEnd w:id="262"/>
      <w:bookmarkEnd w:id="263"/>
    </w:p>
    <w:p>
      <w:pPr>
        <w:pStyle w:val="Style35"/>
        <w:keepNext/>
        <w:keepLines/>
        <w:widowControl w:val="0"/>
        <w:shd w:val="clear" w:color="auto" w:fill="auto"/>
        <w:bidi w:val="0"/>
        <w:spacing w:before="0" w:after="360" w:line="240" w:lineRule="auto"/>
        <w:ind w:left="106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、报告期内接待调研、沟通、采访等活动登记表</w:t>
      </w:r>
      <w:bookmarkEnd w:id="264"/>
      <w:bookmarkEnd w:id="265"/>
      <w:bookmarkEnd w:id="267"/>
    </w:p>
    <w:p>
      <w:pPr>
        <w:pStyle w:val="Style28"/>
        <w:keepNext w:val="0"/>
        <w:keepLines w:val="0"/>
        <w:widowControl w:val="0"/>
        <w:shd w:val="clear" w:color="auto" w:fill="auto"/>
        <w:bidi w:val="0"/>
        <w:spacing w:before="0" w:line="240" w:lineRule="auto"/>
        <w:ind w:left="106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1060" w:right="0" w:firstLine="0"/>
        <w:jc w:val="left"/>
        <w:sectPr>
          <w:footnotePr>
            <w:pos w:val="pageBottom"/>
            <w:numFmt w:val="decimal"/>
            <w:numRestart w:val="continuous"/>
          </w:footnotePr>
          <w:pgSz w:w="11900" w:h="16840"/>
          <w:pgMar w:top="1398" w:right="52" w:bottom="1388" w:left="54" w:header="0" w:footer="3" w:gutter="0"/>
          <w:cols w:space="720"/>
          <w:noEndnote/>
          <w:rtlGutter w:val="0"/>
          <w:docGrid w:linePitch="360"/>
        </w:sectPr>
      </w:pPr>
      <w:r>
        <w:rPr>
          <w:color w:val="000000"/>
          <w:spacing w:val="0"/>
          <w:w w:val="100"/>
          <w:position w:val="0"/>
        </w:rPr>
        <w:t>公司报告期内未发生接待调研、沟通、采访等活动。</w:t>
      </w:r>
    </w:p>
    <w:p>
      <w:pPr>
        <w:pStyle w:val="Style17"/>
        <w:keepNext/>
        <w:keepLines/>
        <w:widowControl w:val="0"/>
        <w:shd w:val="clear" w:color="auto" w:fill="auto"/>
        <w:bidi w:val="0"/>
        <w:spacing w:after="540" w:line="240" w:lineRule="auto"/>
        <w:ind w:left="0" w:right="0" w:firstLine="0"/>
        <w:jc w:val="center"/>
      </w:pPr>
      <w:bookmarkStart w:id="268" w:name="bookmark268"/>
      <w:bookmarkStart w:id="269" w:name="bookmark269"/>
      <w:bookmarkStart w:id="270" w:name="bookmark270"/>
      <w:r>
        <w:rPr>
          <w:color w:val="000000"/>
          <w:spacing w:val="0"/>
          <w:w w:val="100"/>
          <w:position w:val="0"/>
        </w:rPr>
        <w:t>第五节重要事项</w:t>
      </w:r>
      <w:bookmarkEnd w:id="268"/>
      <w:bookmarkEnd w:id="269"/>
      <w:bookmarkEnd w:id="270"/>
    </w:p>
    <w:p>
      <w:pPr>
        <w:pStyle w:val="Style26"/>
        <w:keepNext/>
        <w:keepLines/>
        <w:widowControl w:val="0"/>
        <w:shd w:val="clear" w:color="auto" w:fill="auto"/>
        <w:bidi w:val="0"/>
        <w:spacing w:before="0" w:after="240" w:line="240" w:lineRule="auto"/>
        <w:ind w:left="1060" w:right="0" w:firstLine="0"/>
        <w:jc w:val="both"/>
      </w:pPr>
      <w:bookmarkStart w:id="271" w:name="bookmark271"/>
      <w:bookmarkStart w:id="272" w:name="bookmark272"/>
      <w:bookmarkStart w:id="273" w:name="bookmark273"/>
      <w:bookmarkStart w:id="274" w:name="bookmark274"/>
      <w:r>
        <w:rPr>
          <w:color w:val="000000"/>
          <w:spacing w:val="0"/>
          <w:w w:val="100"/>
          <w:position w:val="0"/>
        </w:rPr>
        <w:t>一</w:t>
      </w:r>
      <w:bookmarkEnd w:id="273"/>
      <w:r>
        <w:rPr>
          <w:color w:val="000000"/>
          <w:spacing w:val="0"/>
          <w:w w:val="100"/>
          <w:position w:val="0"/>
        </w:rPr>
        <w:t>、公司普通股利润分配及资本公积金转增股本情况</w:t>
      </w:r>
      <w:bookmarkEnd w:id="271"/>
      <w:bookmarkEnd w:id="272"/>
      <w:bookmarkEnd w:id="274"/>
    </w:p>
    <w:p>
      <w:pPr>
        <w:pStyle w:val="Style38"/>
        <w:keepNext w:val="0"/>
        <w:keepLines w:val="0"/>
        <w:widowControl w:val="0"/>
        <w:shd w:val="clear" w:color="auto" w:fill="auto"/>
        <w:bidi w:val="0"/>
        <w:spacing w:before="0" w:after="40" w:line="350" w:lineRule="exact"/>
        <w:ind w:left="1060" w:right="0" w:firstLine="0"/>
        <w:jc w:val="both"/>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tabs>
          <w:tab w:pos="1908" w:val="left"/>
        </w:tabs>
        <w:bidi w:val="0"/>
        <w:spacing w:before="0" w:after="40" w:line="317" w:lineRule="exact"/>
        <w:ind w:left="1060" w:right="0" w:firstLine="480"/>
        <w:jc w:val="both"/>
      </w:pPr>
      <w:bookmarkStart w:id="275" w:name="bookmark275"/>
      <w:r>
        <w:rPr>
          <w:rFonts w:ascii="Times New Roman" w:eastAsia="Times New Roman" w:hAnsi="Times New Roman" w:cs="Times New Roman"/>
          <w:color w:val="000000"/>
          <w:spacing w:val="0"/>
          <w:w w:val="100"/>
          <w:position w:val="0"/>
        </w:rPr>
        <w:t>1</w:t>
      </w:r>
      <w:bookmarkEnd w:id="275"/>
      <w:r>
        <w:rPr>
          <w:color w:val="000000"/>
          <w:spacing w:val="0"/>
          <w:w w:val="100"/>
          <w:position w:val="0"/>
        </w:rPr>
        <w:t>、</w:t>
        <w:tab/>
        <w:t>报告期内，公司根据《公司章程》的相关要求，制定了《未来三年（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年）股东回报规 划》。</w:t>
      </w:r>
    </w:p>
    <w:p>
      <w:pPr>
        <w:pStyle w:val="Style38"/>
        <w:keepNext w:val="0"/>
        <w:keepLines w:val="0"/>
        <w:widowControl w:val="0"/>
        <w:shd w:val="clear" w:color="auto" w:fill="auto"/>
        <w:bidi w:val="0"/>
        <w:spacing w:before="0" w:after="40" w:line="317" w:lineRule="exact"/>
        <w:ind w:left="1060" w:right="0" w:firstLine="480"/>
        <w:jc w:val="both"/>
      </w:pPr>
      <w:bookmarkStart w:id="276" w:name="bookmark276"/>
      <w:r>
        <w:rPr>
          <w:rFonts w:ascii="Times New Roman" w:eastAsia="Times New Roman" w:hAnsi="Times New Roman" w:cs="Times New Roman"/>
          <w:color w:val="000000"/>
          <w:spacing w:val="0"/>
          <w:w w:val="100"/>
          <w:position w:val="0"/>
        </w:rPr>
        <w:t>2</w:t>
      </w:r>
      <w:bookmarkEnd w:id="276"/>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年年度利润分配预 案〉的议案》，公司</w:t>
      </w:r>
      <w:r>
        <w:rPr>
          <w:rFonts w:ascii="Times New Roman" w:eastAsia="Times New Roman" w:hAnsi="Times New Roman" w:cs="Times New Roman"/>
          <w:color w:val="000000"/>
          <w:spacing w:val="0"/>
          <w:w w:val="100"/>
          <w:position w:val="0"/>
        </w:rPr>
        <w:t>2019</w:t>
      </w:r>
      <w:r>
        <w:rPr>
          <w:color w:val="000000"/>
          <w:spacing w:val="0"/>
          <w:w w:val="100"/>
          <w:position w:val="0"/>
        </w:rPr>
        <w:t>年度累计通过股票回购专用证券账户以集中竞价交易方式回购公司股份数量为</w:t>
      </w:r>
      <w:r>
        <w:rPr>
          <w:rFonts w:ascii="Times New Roman" w:eastAsia="Times New Roman" w:hAnsi="Times New Roman" w:cs="Times New Roman"/>
          <w:color w:val="000000"/>
          <w:spacing w:val="0"/>
          <w:w w:val="100"/>
          <w:position w:val="0"/>
        </w:rPr>
        <w:t xml:space="preserve">43.3 </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0.03%</w:t>
      </w:r>
      <w:r>
        <w:rPr>
          <w:color w:val="000000"/>
          <w:spacing w:val="0"/>
          <w:w w:val="100"/>
          <w:position w:val="0"/>
        </w:rPr>
        <w:t>,支付的总金额为</w:t>
      </w:r>
      <w:r>
        <w:rPr>
          <w:rFonts w:ascii="Times New Roman" w:eastAsia="Times New Roman" w:hAnsi="Times New Roman" w:cs="Times New Roman"/>
          <w:color w:val="000000"/>
          <w:spacing w:val="0"/>
          <w:w w:val="100"/>
          <w:position w:val="0"/>
        </w:rPr>
        <w:t>2,199,192</w:t>
      </w:r>
      <w:r>
        <w:rPr>
          <w:color w:val="000000"/>
          <w:spacing w:val="0"/>
          <w:w w:val="100"/>
          <w:position w:val="0"/>
        </w:rPr>
        <w:t>元人民币（不含交易费用）。根据相关规定公司以 集中竞价方式回购股份的，当年已实施的回购股份金额视同现金分红金额，纳入该年度现金分红的相关比 例计算。因公司</w:t>
      </w:r>
      <w:r>
        <w:rPr>
          <w:rFonts w:ascii="Times New Roman" w:eastAsia="Times New Roman" w:hAnsi="Times New Roman" w:cs="Times New Roman"/>
          <w:color w:val="000000"/>
          <w:spacing w:val="0"/>
          <w:w w:val="100"/>
          <w:position w:val="0"/>
        </w:rPr>
        <w:t>2019</w:t>
      </w:r>
      <w:r>
        <w:rPr>
          <w:color w:val="000000"/>
          <w:spacing w:val="0"/>
          <w:w w:val="100"/>
          <w:position w:val="0"/>
        </w:rPr>
        <w:t>年度净利润为负数，综合公司未来资金需求状况，</w:t>
      </w:r>
      <w:r>
        <w:rPr>
          <w:rFonts w:ascii="Times New Roman" w:eastAsia="Times New Roman" w:hAnsi="Times New Roman" w:cs="Times New Roman"/>
          <w:color w:val="000000"/>
          <w:spacing w:val="0"/>
          <w:w w:val="100"/>
          <w:position w:val="0"/>
        </w:rPr>
        <w:t>2019</w:t>
      </w:r>
      <w:r>
        <w:rPr>
          <w:color w:val="000000"/>
          <w:spacing w:val="0"/>
          <w:w w:val="100"/>
          <w:position w:val="0"/>
        </w:rPr>
        <w:t>年度公司拟不进行利润分配， 亦不进行资本公积金转增股本。</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28"/>
        <w:keepNext w:val="0"/>
        <w:keepLines w:val="0"/>
        <w:widowControl w:val="0"/>
        <w:shd w:val="clear" w:color="auto" w:fill="auto"/>
        <w:bidi w:val="0"/>
        <w:spacing w:before="0" w:line="240" w:lineRule="auto"/>
        <w:ind w:left="1060" w:right="0" w:firstLine="0"/>
        <w:jc w:val="both"/>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line="240" w:lineRule="auto"/>
        <w:ind w:left="1260" w:right="0" w:firstLine="0"/>
        <w:jc w:val="left"/>
      </w:pP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1060" w:right="0" w:firstLine="0"/>
        <w:jc w:val="both"/>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100" w:line="240" w:lineRule="auto"/>
        <w:ind w:left="106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1,249,402,981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-797,295,923.57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6" w:lineRule="exact"/>
        <w:ind w:left="0" w:right="0" w:firstLine="0"/>
        <w:jc w:val="center"/>
      </w:pPr>
      <w:r>
        <w:rPr>
          <w:color w:val="000000"/>
          <w:spacing w:val="0"/>
          <w:w w:val="100"/>
          <w:position w:val="0"/>
        </w:rPr>
        <w:t>利润分配或资本公积金转增预案的详细情况说明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6" w:lineRule="exact"/>
        <w:ind w:left="1180" w:right="0" w:firstLine="0"/>
        <w:jc w:val="left"/>
      </w:pP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年度净利润为负数，为保障公司正常生产经营和未来发展，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年度公司拟不进行利润分配，亦不进行资 本公积金转增股本。</w:t>
      </w:r>
    </w:p>
    <w:p>
      <w:pPr>
        <w:pStyle w:val="Style38"/>
        <w:keepNext w:val="0"/>
        <w:keepLines w:val="0"/>
        <w:widowControl w:val="0"/>
        <w:shd w:val="clear" w:color="auto" w:fill="auto"/>
        <w:bidi w:val="0"/>
        <w:spacing w:before="0" w:after="120" w:line="336" w:lineRule="exact"/>
        <w:ind w:left="106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8"/>
        <w:keepNext w:val="0"/>
        <w:keepLines w:val="0"/>
        <w:widowControl w:val="0"/>
        <w:shd w:val="clear" w:color="auto" w:fill="auto"/>
        <w:tabs>
          <w:tab w:pos="1834" w:val="left"/>
        </w:tabs>
        <w:bidi w:val="0"/>
        <w:spacing w:before="0" w:after="0" w:line="350" w:lineRule="auto"/>
        <w:ind w:left="1480" w:right="0" w:firstLine="0"/>
        <w:jc w:val="both"/>
      </w:pPr>
      <w:bookmarkStart w:id="277" w:name="bookmark277"/>
      <w:r>
        <w:rPr>
          <w:rFonts w:ascii="Times New Roman" w:eastAsia="Times New Roman" w:hAnsi="Times New Roman" w:cs="Times New Roman"/>
          <w:color w:val="000000"/>
          <w:spacing w:val="0"/>
          <w:w w:val="100"/>
          <w:position w:val="0"/>
        </w:rPr>
        <w:t>1</w:t>
      </w:r>
      <w:bookmarkEnd w:id="277"/>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年年度利润分配方案</w:t>
      </w:r>
    </w:p>
    <w:p>
      <w:pPr>
        <w:pStyle w:val="Style38"/>
        <w:keepNext w:val="0"/>
        <w:keepLines w:val="0"/>
        <w:widowControl w:val="0"/>
        <w:shd w:val="clear" w:color="auto" w:fill="auto"/>
        <w:bidi w:val="0"/>
        <w:spacing w:before="0" w:after="120" w:line="336" w:lineRule="exact"/>
        <w:ind w:left="1060" w:right="0" w:firstLine="420"/>
        <w:jc w:val="both"/>
      </w:pPr>
      <w:r>
        <w:rPr>
          <w:color w:val="000000"/>
          <w:spacing w:val="0"/>
          <w:w w:val="100"/>
          <w:position w:val="0"/>
        </w:rPr>
        <w:t>以公司总股本剔除已回购股份后的</w:t>
      </w:r>
      <w:r>
        <w:rPr>
          <w:rFonts w:ascii="Times New Roman" w:eastAsia="Times New Roman" w:hAnsi="Times New Roman" w:cs="Times New Roman"/>
          <w:color w:val="000000"/>
          <w:spacing w:val="0"/>
          <w:w w:val="100"/>
          <w:position w:val="0"/>
        </w:rPr>
        <w:t>1,249,720,007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.319895</w:t>
      </w:r>
      <w:r>
        <w:rPr>
          <w:color w:val="000000"/>
          <w:spacing w:val="0"/>
          <w:w w:val="100"/>
          <w:position w:val="0"/>
        </w:rPr>
        <w:t>元人民币（含 税）。</w:t>
      </w:r>
    </w:p>
    <w:p>
      <w:pPr>
        <w:pStyle w:val="Style38"/>
        <w:keepNext w:val="0"/>
        <w:keepLines w:val="0"/>
        <w:widowControl w:val="0"/>
        <w:shd w:val="clear" w:color="auto" w:fill="auto"/>
        <w:tabs>
          <w:tab w:pos="1853" w:val="left"/>
        </w:tabs>
        <w:bidi w:val="0"/>
        <w:spacing w:before="0" w:after="0" w:line="350" w:lineRule="auto"/>
        <w:ind w:left="1480" w:right="0" w:firstLine="0"/>
        <w:jc w:val="both"/>
      </w:pPr>
      <w:bookmarkStart w:id="278" w:name="bookmark278"/>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年年度利润分配方案</w:t>
      </w:r>
    </w:p>
    <w:p>
      <w:pPr>
        <w:pStyle w:val="Style38"/>
        <w:keepNext w:val="0"/>
        <w:keepLines w:val="0"/>
        <w:widowControl w:val="0"/>
        <w:shd w:val="clear" w:color="auto" w:fill="auto"/>
        <w:bidi w:val="0"/>
        <w:spacing w:before="0" w:after="0" w:line="325" w:lineRule="exact"/>
        <w:ind w:left="106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年度，公司累计通过股票回购专用证券账户以集中竞价交易方式回购公司股份数量为</w:t>
      </w:r>
      <w:r>
        <w:rPr>
          <w:rFonts w:ascii="Times New Roman" w:eastAsia="Times New Roman" w:hAnsi="Times New Roman" w:cs="Times New Roman"/>
          <w:color w:val="000000"/>
          <w:spacing w:val="0"/>
          <w:w w:val="100"/>
          <w:position w:val="0"/>
        </w:rPr>
        <w:t>43.3</w:t>
      </w:r>
      <w:r>
        <w:rPr>
          <w:color w:val="000000"/>
          <w:spacing w:val="0"/>
          <w:w w:val="100"/>
          <w:position w:val="0"/>
        </w:rPr>
        <w:t>万股， 占公司总股本的</w:t>
      </w:r>
      <w:r>
        <w:rPr>
          <w:rFonts w:ascii="Times New Roman" w:eastAsia="Times New Roman" w:hAnsi="Times New Roman" w:cs="Times New Roman"/>
          <w:color w:val="000000"/>
          <w:spacing w:val="0"/>
          <w:w w:val="100"/>
          <w:position w:val="0"/>
        </w:rPr>
        <w:t>0.03%</w:t>
      </w:r>
      <w:r>
        <w:rPr>
          <w:color w:val="000000"/>
          <w:spacing w:val="0"/>
          <w:w w:val="100"/>
          <w:position w:val="0"/>
        </w:rPr>
        <w:t>,支付的总金额为</w:t>
      </w:r>
      <w:r>
        <w:rPr>
          <w:rFonts w:ascii="Times New Roman" w:eastAsia="Times New Roman" w:hAnsi="Times New Roman" w:cs="Times New Roman"/>
          <w:color w:val="000000"/>
          <w:spacing w:val="0"/>
          <w:w w:val="100"/>
          <w:position w:val="0"/>
        </w:rPr>
        <w:t>2,199,192</w:t>
      </w:r>
      <w:r>
        <w:rPr>
          <w:color w:val="000000"/>
          <w:spacing w:val="0"/>
          <w:w w:val="100"/>
          <w:position w:val="0"/>
        </w:rPr>
        <w:t>元人民币（不含交易费用）。根据相关规定公司以集中竞 价方式回购股份的，当年已实施的回购股份金额视同现金分红金额，纳入该年度现金分红的相关比例计算。</w:t>
      </w:r>
    </w:p>
    <w:p>
      <w:pPr>
        <w:pStyle w:val="Style38"/>
        <w:keepNext w:val="0"/>
        <w:keepLines w:val="0"/>
        <w:widowControl w:val="0"/>
        <w:shd w:val="clear" w:color="auto" w:fill="auto"/>
        <w:bidi w:val="0"/>
        <w:spacing w:before="0" w:after="120" w:line="325" w:lineRule="exact"/>
        <w:ind w:left="1060" w:right="0" w:firstLine="420"/>
        <w:jc w:val="both"/>
      </w:pPr>
      <w:r>
        <w:rPr>
          <w:color w:val="000000"/>
          <w:spacing w:val="0"/>
          <w:w w:val="100"/>
          <w:position w:val="0"/>
        </w:rPr>
        <w:t>因公司</w:t>
      </w:r>
      <w:r>
        <w:rPr>
          <w:rFonts w:ascii="Times New Roman" w:eastAsia="Times New Roman" w:hAnsi="Times New Roman" w:cs="Times New Roman"/>
          <w:color w:val="000000"/>
          <w:spacing w:val="0"/>
          <w:w w:val="100"/>
          <w:position w:val="0"/>
        </w:rPr>
        <w:t>2019</w:t>
      </w:r>
      <w:r>
        <w:rPr>
          <w:color w:val="000000"/>
          <w:spacing w:val="0"/>
          <w:w w:val="100"/>
          <w:position w:val="0"/>
        </w:rPr>
        <w:t>年度净利润为负数，为保障公司正常生产经营和未来发展，</w:t>
      </w:r>
      <w:r>
        <w:rPr>
          <w:rFonts w:ascii="Times New Roman" w:eastAsia="Times New Roman" w:hAnsi="Times New Roman" w:cs="Times New Roman"/>
          <w:color w:val="000000"/>
          <w:spacing w:val="0"/>
          <w:w w:val="100"/>
          <w:position w:val="0"/>
        </w:rPr>
        <w:t>2019</w:t>
      </w:r>
      <w:r>
        <w:rPr>
          <w:color w:val="000000"/>
          <w:spacing w:val="0"/>
          <w:w w:val="100"/>
          <w:position w:val="0"/>
        </w:rPr>
        <w:t>年度公司不进行利润分配, 亦不进行资本公积金转增股本。</w:t>
      </w:r>
    </w:p>
    <w:p>
      <w:pPr>
        <w:pStyle w:val="Style38"/>
        <w:keepNext w:val="0"/>
        <w:keepLines w:val="0"/>
        <w:widowControl w:val="0"/>
        <w:shd w:val="clear" w:color="auto" w:fill="auto"/>
        <w:tabs>
          <w:tab w:pos="1853" w:val="left"/>
        </w:tabs>
        <w:bidi w:val="0"/>
        <w:spacing w:before="0" w:after="0" w:line="338" w:lineRule="auto"/>
        <w:ind w:left="1480" w:right="0" w:firstLine="0"/>
        <w:jc w:val="both"/>
      </w:pPr>
      <w:bookmarkStart w:id="279" w:name="bookmark279"/>
      <w:r>
        <w:rPr>
          <w:rFonts w:ascii="Times New Roman" w:eastAsia="Times New Roman" w:hAnsi="Times New Roman" w:cs="Times New Roman"/>
          <w:color w:val="000000"/>
          <w:spacing w:val="0"/>
          <w:w w:val="100"/>
          <w:position w:val="0"/>
        </w:rPr>
        <w:t>3</w:t>
      </w:r>
      <w:bookmarkEnd w:id="27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年年度利润分配预案</w:t>
      </w:r>
    </w:p>
    <w:p>
      <w:pPr>
        <w:pStyle w:val="Style38"/>
        <w:keepNext w:val="0"/>
        <w:keepLines w:val="0"/>
        <w:widowControl w:val="0"/>
        <w:shd w:val="clear" w:color="auto" w:fill="auto"/>
        <w:bidi w:val="0"/>
        <w:spacing w:before="0" w:after="360" w:line="330" w:lineRule="exact"/>
        <w:ind w:left="1480" w:right="0" w:firstLine="0"/>
        <w:jc w:val="both"/>
      </w:pPr>
      <w:r>
        <w:rPr>
          <w:color w:val="000000"/>
          <w:spacing w:val="0"/>
          <w:w w:val="100"/>
          <w:position w:val="0"/>
        </w:rPr>
        <w:t>不派发现金红利，不送红股，不以资本公积金转增股本。</w:t>
      </w:r>
    </w:p>
    <w:p>
      <w:pPr>
        <w:pStyle w:val="Style38"/>
        <w:keepNext w:val="0"/>
        <w:keepLines w:val="0"/>
        <w:widowControl w:val="0"/>
        <w:shd w:val="clear" w:color="auto" w:fill="auto"/>
        <w:bidi w:val="0"/>
        <w:spacing w:before="0" w:after="120" w:line="330" w:lineRule="exact"/>
        <w:ind w:left="1060" w:right="0" w:firstLine="0"/>
        <w:jc w:val="both"/>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382"/>
        <w:gridCol w:w="1560"/>
        <w:gridCol w:w="1334"/>
        <w:gridCol w:w="1195"/>
        <w:gridCol w:w="1358"/>
        <w:gridCol w:w="1349"/>
        <w:gridCol w:w="1426"/>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分红年度合并报 表中归属于上市 公司普通股股东</w:t>
            </w:r>
          </w:p>
          <w:p>
            <w:pPr>
              <w:pStyle w:val="Style2"/>
              <w:keepNext w:val="0"/>
              <w:keepLines w:val="0"/>
              <w:widowControl w:val="0"/>
              <w:shd w:val="clear" w:color="auto" w:fill="auto"/>
              <w:bidi w:val="0"/>
              <w:spacing w:before="0" w:after="0" w:line="310" w:lineRule="exact"/>
              <w:ind w:left="0" w:right="0" w:firstLine="42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以其他方式 （如回购股 份）现金分 红的金额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（含其他方式） 占合并报表中 归属于上市公 司普通股股东 的净利润的比 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-1,092,545,436.06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-936,517,823.35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2,199,192.00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2,199,192.00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39,963,284.79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397,943,111.27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39,963,284.79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r>
    </w:tbl>
    <w:p>
      <w:pPr>
        <w:pStyle w:val="Style28"/>
        <w:keepNext w:val="0"/>
        <w:keepLines w:val="0"/>
        <w:widowControl w:val="0"/>
        <w:shd w:val="clear" w:color="auto" w:fill="auto"/>
        <w:bidi w:val="0"/>
        <w:spacing w:before="0" w:after="120" w:line="341" w:lineRule="exact"/>
        <w:ind w:left="1060" w:right="0" w:firstLine="0"/>
        <w:jc w:val="both"/>
        <w:sectPr>
          <w:footnotePr>
            <w:pos w:val="pageBottom"/>
            <w:numFmt w:val="decimal"/>
            <w:numRestart w:val="continuous"/>
          </w:footnotePr>
          <w:pgSz w:w="11900" w:h="16840"/>
          <w:pgMar w:top="1426" w:right="51" w:bottom="1685" w:left="56"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940"/>
        <w:jc w:val="both"/>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p>
      <w:pPr>
        <w:pStyle w:val="Style26"/>
        <w:keepNext/>
        <w:keepLines/>
        <w:widowControl w:val="0"/>
        <w:shd w:val="clear" w:color="auto" w:fill="auto"/>
        <w:bidi w:val="0"/>
        <w:spacing w:before="0" w:after="360" w:line="240" w:lineRule="auto"/>
        <w:ind w:left="0" w:right="0" w:firstLine="940"/>
        <w:jc w:val="both"/>
      </w:pPr>
      <w:bookmarkStart w:id="280" w:name="bookmark280"/>
      <w:bookmarkStart w:id="281" w:name="bookmark281"/>
      <w:bookmarkStart w:id="282" w:name="bookmark282"/>
      <w:bookmarkStart w:id="283" w:name="bookmark283"/>
      <w:r>
        <w:rPr>
          <w:color w:val="000000"/>
          <w:spacing w:val="0"/>
          <w:w w:val="100"/>
          <w:position w:val="0"/>
        </w:rPr>
        <w:t>二</w:t>
      </w:r>
      <w:bookmarkEnd w:id="282"/>
      <w:r>
        <w:rPr>
          <w:color w:val="000000"/>
          <w:spacing w:val="0"/>
          <w:w w:val="100"/>
          <w:position w:val="0"/>
        </w:rPr>
        <w:t>、承诺事项履行情况</w:t>
      </w:r>
      <w:bookmarkEnd w:id="280"/>
      <w:bookmarkEnd w:id="281"/>
      <w:bookmarkEnd w:id="283"/>
    </w:p>
    <w:p>
      <w:pPr>
        <w:pStyle w:val="Style35"/>
        <w:keepNext/>
        <w:keepLines/>
        <w:widowControl w:val="0"/>
        <w:shd w:val="clear" w:color="auto" w:fill="auto"/>
        <w:bidi w:val="0"/>
        <w:spacing w:before="0" w:after="360" w:line="240" w:lineRule="auto"/>
        <w:ind w:left="0" w:right="0" w:firstLine="94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、公司实际控制人、股东、关联方、收购人以及公司等承诺相关方在报告期内履行完毕及截至报告期末尚未履行完毕的承诺事项</w:t>
      </w:r>
      <w:bookmarkEnd w:id="284"/>
      <w:bookmarkEnd w:id="285"/>
      <w:bookmarkEnd w:id="287"/>
    </w:p>
    <w:p>
      <w:pPr>
        <w:pStyle w:val="Style32"/>
        <w:keepNext w:val="0"/>
        <w:keepLines w:val="0"/>
        <w:widowControl w:val="0"/>
        <w:shd w:val="clear" w:color="auto" w:fill="auto"/>
        <w:bidi w:val="0"/>
        <w:spacing w:before="0" w:after="0" w:line="240" w:lineRule="auto"/>
        <w:ind w:left="93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243"/>
        <w:gridCol w:w="1267"/>
        <w:gridCol w:w="7157"/>
        <w:gridCol w:w="1128"/>
        <w:gridCol w:w="1118"/>
        <w:gridCol w:w="11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2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张远鹏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史利 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梁发柱涨 宇弋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程庆国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黎讴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 冬平涨萍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 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华炜科技原自然人股东承诺如下：除非本人不再持有蓝盾股份的股份，否则本人及本人的 全部关联方不得以任何形式从事、参与或协助他人从事任何与蓝盾股份及其子公司（包括 华炜科技）届时正在从事的业务有直接或间接竞争关系的经营活动，也不直接或间接投资 任何与蓝盾股份及其子公司（包括华炜科技）届时正在从事的业务有直接或间接竞争关系 的经济实体。若本人违反上述约定的，则本人应将通过本次交易取得之上市公司股份无偿 返还予蓝盾股份，蓝盾股份将依据内部决策程序注销本人返还之股份（有关股份已转让的， 应将转让所得价款返还）；若本人因违反上述约定给蓝盾股份或华炜科技造成损失，则除 上述股份返还义务外，本人还将根据蓝盾股份或华炜科技届时实际遭受的损失承担赔偿责 任。在本次重组完成后，本人及本人拥有实际控制权或重大影响的企业及其他关联方将尽 量避免与蓝盾股份及其控股子公司之间发生关联交易；对于确有必要且无法回避的关联交 易，均按照公平、公允和等价有偿的原则进行，交易价格按市场公认的合理价格确定，并 按相关法律、法规以及规范性文件的规定履行交易审批程序及信息披露义务，切实保护蓝 盾股份及其中小股东利益。本人保证严格按照有关法律法规、中国证监会颁布的规章和规 范性文件、深交所颁布的业务规则及蓝盾股份《公司章程》等制度的规定，依法行使股东 权利、履行股东义务，不利用股东的地位谋取不当的利益，不损害蓝盾股份及其中小股东 的合法权益。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正常履行 中</w:t>
            </w:r>
          </w:p>
        </w:tc>
      </w:tr>
      <w:tr>
        <w:trPr>
          <w:trHeight w:val="138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中经汇通有 限责任公司 及其股东、公 司实际控制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承诺人承诺其及其拥有实际控制权或重大影响的企业不得以任何形式（包括但不限于在中 国境内或境外自行或与他人合资、合作）从事、参与或协助他人从事任何与蓝盾股份及其 子公司届时正在从事的业务有直接或间接竞争关系的经营活动，也不直接或间接投资任何 与蓝盾股份及其子公司届时正在从事的业务有直接或间接竞争关系的经济实体。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正常履行 中</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6840" w:h="11900" w:orient="landscape"/>
          <w:pgMar w:top="891" w:right="481" w:bottom="1175" w:left="486" w:header="463" w:footer="3" w:gutter="0"/>
          <w:cols w:space="720"/>
          <w:noEndnote/>
          <w:rtlGutter w:val="0"/>
          <w:docGrid w:linePitch="360"/>
        </w:sectPr>
      </w:pPr>
    </w:p>
    <w:tbl>
      <w:tblPr>
        <w:tblOverlap w:val="never"/>
        <w:jc w:val="center"/>
        <w:tblLayout w:type="fixed"/>
      </w:tblPr>
      <w:tblGrid>
        <w:gridCol w:w="2842"/>
        <w:gridCol w:w="1243"/>
        <w:gridCol w:w="1267"/>
        <w:gridCol w:w="7157"/>
        <w:gridCol w:w="1128"/>
        <w:gridCol w:w="1118"/>
        <w:gridCol w:w="11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10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人、董事、监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事、高级管理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南平市瑞兴 达股权投资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深圳市蓝盾满泰科技发展有限公司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年每年度实现的合并报表扣除非经常性 损益后归属于母公司净利润分别不低于人民币</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9,100</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18"/>
                <w:szCs w:val="18"/>
              </w:rPr>
              <w:t xml:space="preserve">11,600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至利润补偿 义务履行完 毕之日止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已履行完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r>
        <w:trPr>
          <w:trHeight w:val="52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南平市瑞兴 达股权投资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根据《支付现金购买资产及盈利预测补偿协议》，瑞兴达投资承诺对其根据前述协议取得 的公司股份</w:t>
            </w:r>
            <w:r>
              <w:rPr>
                <w:rFonts w:ascii="Times New Roman" w:eastAsia="Times New Roman" w:hAnsi="Times New Roman" w:cs="Times New Roman"/>
                <w:color w:val="000000"/>
                <w:spacing w:val="0"/>
                <w:w w:val="100"/>
                <w:position w:val="0"/>
                <w:sz w:val="18"/>
                <w:szCs w:val="18"/>
              </w:rPr>
              <w:t>17,234,924</w:t>
            </w:r>
            <w:r>
              <w:rPr>
                <w:color w:val="000000"/>
                <w:spacing w:val="0"/>
                <w:w w:val="100"/>
                <w:position w:val="0"/>
              </w:rPr>
              <w:t>股进行锁定，承诺的主要内容如下：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、瑞兴达投资在本次交易中 购买的蓝盾股份股票不超过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的部分自购买完成之日起十二个月内不进行转让；满泰 科技实现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年承诺净利润或者满泰科技未实现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年承诺净利润但瑞兴达投资已完成 业绩补偿且满泰科技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年《专项审核报告》出具之日起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日后，瑞兴达投资可解禁不 超过股票购买总数的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；具体解禁时间以上述可解禁条件同时满足为准。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、瑞兴达投 资在本次交易中购买的蓝盾股份股票超过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但不超过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的部分自购买完成之日起二 十四个月内不进行转让；满泰科技实现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年承诺净利润或者满泰科技未实现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 诺净利润但瑞兴达投资已完成业绩补偿且满泰科技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年《专项审核报告》出具之日起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日后，瑞兴达投资可解禁不超过股票购买总数的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；具体解禁时间以上述可解禁条 件同时满足为准。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、瑞兴达投资在本次交易中购买的蓝盾股份股票超过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的部分自购 买完成之日起三十六个月内不进行转让；满泰科技实现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年承诺净利润或者满泰科技 未实现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年承诺净利润但瑞兴达投资已完成业绩补偿且满泰科技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年《专项审核报 告》及《减值测试报告》出具之日起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日后，瑞兴达投资可解禁不超过股票购买总数的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；具体解禁时间以上述可解禁条件同时满足为准。瑞兴达投资同意，锁定期内因公 司分配股票股利、资本公积转增股本等方式取得的股份，一并按前述期限进行锁定。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至利润补偿 义务履行完 毕之日止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已履行完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柯宗庆；柯宗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分红承诺；关 于同业竞争、 关联交易、资 金占用方面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、分红承诺：公司股东大会根据章程的规定通过利润分配具体方案或修改《公司章程》 中相关利润分配条款时，公司控股股东、实际控制人柯宗庆、柯宗贵承诺将表示同意并投 赞成票。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、关于同业竞争、关联交易、资金占用方面的承诺：为避免未来可能发生的同 业竞争，更好地维护中小股东的利益，公司控股股东、实际控制人柯宗庆、柯宗贵二人出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42"/>
        <w:gridCol w:w="1243"/>
        <w:gridCol w:w="1267"/>
        <w:gridCol w:w="7157"/>
        <w:gridCol w:w="1128"/>
        <w:gridCol w:w="1118"/>
        <w:gridCol w:w="11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65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的承诺；其他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具了《避免同业竞争承诺函》。为减少和规范关联交易，公司控股股东、实际控制人柯宗 庆、柯宗贵出具了《减少和规范关联交易的承诺函》。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、其他承诺：若应广州市有权部门 要求或决定，公司需为员工补缴社会保险和住房公积金，或公司因未为员工缴纳社会保险 和住房公积金而承担任何罚款或损失，公司控股股东、实际控制人柯宗庆、柯宗贵承诺愿 在无需公司支付对价的情况下连带承担所有经济支出。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柯宗庆；柯宗 贵；黄泽华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在任职期间内每年转让的公司股份不超过其所直接和间接持有公司股份总数的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 职后半年内，不转让其所直接和间接持有的公司股份。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任职期间及 离职后半年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正常履行 中</w:t>
            </w:r>
          </w:p>
        </w:tc>
      </w:tr>
      <w:tr>
        <w:trPr>
          <w:trHeight w:val="20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柯宗庆；柯宗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关于公开发 行可转换公 司债券摊薄 即期回报采 取填补措施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、不越权干预公司经营管理活动，不侵占公司利益；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、本人承诺切实履行公司制定的有 关填补回报措施以及本人对此作出的任何有关填补回报措施的承诺，若本人违反该等承诺 并给公司或者投资者造成损失的，本人愿意依法承担对公司或投资者的补偿责任。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正常履行 中</w:t>
            </w:r>
          </w:p>
        </w:tc>
      </w:tr>
      <w:tr>
        <w:trPr>
          <w:trHeight w:val="233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公司全体董 事、高级管理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关于公开发 行可转换公 司债券摊薄 即期回报采 取填补措施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、不无偿或以不公平条件向其他单位或者个人输送利益，也不采用其他方式损害公司利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、对自身的职务消费行为进行约束；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、不动用公司资产从事与自身履行职责无关的 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、由公司董事会或薪酬与考核委员会制订的薪酬制度与公司填补回报 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、如公司未来实施股权激励方案，则未来股权激励方案的行权 条件将与公司填补回报措施的执行情况相挂钩；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、本人承诺切实履行公司制定的有关填 补回报措施以及本人对此作出的任何有关填补回报措施的承诺，若本人违反该等承诺并给 公司或者投资者造成损失的，本人愿意依法承担对公司或投资者的补偿责任。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正常履行 中</w:t>
            </w:r>
          </w:p>
        </w:tc>
      </w:tr>
      <w:tr>
        <w:trPr>
          <w:trHeight w:val="23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蓝盾信息安 全技术股份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关于不使用 募集资金变 相用于财务 性投资的承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、本次公开发行可转换公司债券募集资金到位后，公司将严格按照公告披露的内容进行 使用，按照公司募集资金管理办法的相关规定，对募集资金实行专户存储、专人审批、专 款专用；公司董事会将定期核查募集资金投资项目的进展情况，对募集资金的存放与使用 情况出具专项报告，并在年度审计时，聘请会计师事务所对募集资金存放和使用情况出具 鉴证报告，随时接受监管机构和保荐机构的监督。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、公司不变相通过本次募集资金以实 施财务性投资。本次募集资金不会直接或间接用于持有交易性金融资产和可供出售的金融 资产、借予他人、委托理财等财务性投资，不会直接或间接投资于以买卖有价证券为主要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42"/>
        <w:gridCol w:w="1243"/>
        <w:gridCol w:w="1267"/>
        <w:gridCol w:w="7157"/>
        <w:gridCol w:w="1128"/>
        <w:gridCol w:w="1118"/>
        <w:gridCol w:w="11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6840" w:h="11900" w:orient="landscape"/>
          <w:pgMar w:top="1166" w:right="481" w:bottom="1273" w:left="486" w:header="0" w:footer="3" w:gutter="0"/>
          <w:cols w:space="720"/>
          <w:noEndnote/>
          <w:rtlGutter w:val="0"/>
          <w:docGrid w:linePitch="360"/>
        </w:sectPr>
      </w:pPr>
    </w:p>
    <w:p>
      <w:pPr>
        <w:pStyle w:val="Style35"/>
        <w:keepNext/>
        <w:keepLines/>
        <w:widowControl w:val="0"/>
        <w:shd w:val="clear" w:color="auto" w:fill="auto"/>
        <w:bidi w:val="0"/>
        <w:spacing w:before="0" w:line="317" w:lineRule="exact"/>
        <w:ind w:left="0" w:right="0" w:firstLine="0"/>
        <w:jc w:val="both"/>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、公司资产或项目存在盈利预测，且报告期仍处在盈利预测期间，公司就资产或项目达到原盈利预测及 其原因做出说明</w:t>
      </w:r>
      <w:bookmarkEnd w:id="288"/>
      <w:bookmarkEnd w:id="289"/>
      <w:bookmarkEnd w:id="291"/>
    </w:p>
    <w:p>
      <w:pPr>
        <w:pStyle w:val="Style2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80" w:line="293" w:lineRule="exact"/>
        <w:ind w:left="0" w:right="0" w:firstLine="0"/>
        <w:jc w:val="both"/>
      </w:pPr>
      <w:bookmarkStart w:id="292" w:name="bookmark292"/>
      <w:bookmarkStart w:id="293" w:name="bookmark293"/>
      <w:bookmarkStart w:id="294" w:name="bookmark294"/>
      <w:bookmarkStart w:id="295" w:name="bookmark295"/>
      <w:r>
        <w:rPr>
          <w:color w:val="000000"/>
          <w:spacing w:val="0"/>
          <w:w w:val="100"/>
          <w:position w:val="0"/>
        </w:rPr>
        <w:t>三</w:t>
      </w:r>
      <w:bookmarkEnd w:id="294"/>
      <w:r>
        <w:rPr>
          <w:color w:val="000000"/>
          <w:spacing w:val="0"/>
          <w:w w:val="100"/>
          <w:position w:val="0"/>
        </w:rPr>
        <w:t>、</w:t>
        <w:tab/>
        <w:t>控股股东及其关联方对上市公司的非经营性占用资金情况</w:t>
      </w:r>
      <w:bookmarkEnd w:id="292"/>
      <w:bookmarkEnd w:id="293"/>
      <w:bookmarkEnd w:id="295"/>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20" w:line="404" w:lineRule="exact"/>
        <w:ind w:left="0" w:right="0" w:firstLine="44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after="380" w:line="293"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四</w:t>
      </w:r>
      <w:bookmarkEnd w:id="298"/>
      <w:r>
        <w:rPr>
          <w:color w:val="000000"/>
          <w:spacing w:val="0"/>
          <w:w w:val="100"/>
          <w:position w:val="0"/>
        </w:rPr>
        <w:t>、</w:t>
        <w:tab/>
        <w:t>董事会对最近一期“非标准审计报告”相关情况的说明</w:t>
      </w:r>
      <w:bookmarkEnd w:id="296"/>
      <w:bookmarkEnd w:id="297"/>
      <w:bookmarkEnd w:id="29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320" w:line="398" w:lineRule="exact"/>
        <w:ind w:left="0" w:right="0" w:firstLine="440"/>
        <w:jc w:val="both"/>
      </w:pPr>
      <w:r>
        <w:rPr>
          <w:color w:val="000000"/>
          <w:spacing w:val="0"/>
          <w:w w:val="100"/>
          <w:position w:val="0"/>
        </w:rPr>
        <w:t>公司董事会尊重大华会计师事务所（特殊普通合伙）出具的保留意见审计报告。审计报告中保留意见 涉及事项的说明客观反映了公司的实际情况，董事会表示同意，审计报告中涉及事项不会对公司</w:t>
      </w:r>
      <w:r>
        <w:rPr>
          <w:rFonts w:ascii="Times New Roman" w:eastAsia="Times New Roman" w:hAnsi="Times New Roman" w:cs="Times New Roman"/>
          <w:color w:val="000000"/>
          <w:spacing w:val="0"/>
          <w:w w:val="100"/>
          <w:position w:val="0"/>
        </w:rPr>
        <w:t>2020</w:t>
      </w:r>
      <w:r>
        <w:rPr>
          <w:color w:val="000000"/>
          <w:spacing w:val="0"/>
          <w:w w:val="100"/>
          <w:position w:val="0"/>
        </w:rPr>
        <w:t>年 度财务状况和经营成果产生重大影响。公司将尽力采取相应有效的措施，尽早消除保留意见中涉及的事项， 积极维护广大投资者的利益。</w:t>
      </w:r>
    </w:p>
    <w:p>
      <w:pPr>
        <w:pStyle w:val="Style26"/>
        <w:keepNext/>
        <w:keepLines/>
        <w:widowControl w:val="0"/>
        <w:shd w:val="clear" w:color="auto" w:fill="auto"/>
        <w:tabs>
          <w:tab w:pos="522" w:val="left"/>
        </w:tabs>
        <w:bidi w:val="0"/>
        <w:spacing w:before="0" w:after="380" w:line="293" w:lineRule="exact"/>
        <w:ind w:left="0" w:right="0" w:firstLine="0"/>
        <w:jc w:val="both"/>
      </w:pPr>
      <w:bookmarkStart w:id="300" w:name="bookmark300"/>
      <w:bookmarkStart w:id="301" w:name="bookmark301"/>
      <w:bookmarkStart w:id="302" w:name="bookmark302"/>
      <w:bookmarkStart w:id="303" w:name="bookmark303"/>
      <w:r>
        <w:rPr>
          <w:color w:val="000000"/>
          <w:spacing w:val="0"/>
          <w:w w:val="100"/>
          <w:position w:val="0"/>
        </w:rPr>
        <w:t>五</w:t>
      </w:r>
      <w:bookmarkEnd w:id="302"/>
      <w:r>
        <w:rPr>
          <w:color w:val="000000"/>
          <w:spacing w:val="0"/>
          <w:w w:val="100"/>
          <w:position w:val="0"/>
        </w:rPr>
        <w:t>、</w:t>
        <w:tab/>
        <w:t>董事会、监事会、独立董事（如有）对会计师事务所本报告期“非标准审计报告”的说 明</w:t>
      </w:r>
      <w:bookmarkEnd w:id="300"/>
      <w:bookmarkEnd w:id="301"/>
      <w:bookmarkEnd w:id="303"/>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404" w:lineRule="exact"/>
        <w:ind w:left="0" w:right="0" w:firstLine="440"/>
        <w:jc w:val="both"/>
      </w:pPr>
      <w:bookmarkStart w:id="304" w:name="bookmark304"/>
      <w:r>
        <w:rPr>
          <w:rFonts w:ascii="Times New Roman" w:eastAsia="Times New Roman" w:hAnsi="Times New Roman" w:cs="Times New Roman"/>
          <w:color w:val="000000"/>
          <w:spacing w:val="0"/>
          <w:w w:val="100"/>
          <w:position w:val="0"/>
        </w:rPr>
        <w:t>1</w:t>
      </w:r>
      <w:bookmarkEnd w:id="304"/>
      <w:r>
        <w:rPr>
          <w:color w:val="000000"/>
          <w:spacing w:val="0"/>
          <w:w w:val="100"/>
          <w:position w:val="0"/>
        </w:rPr>
        <w:t>、 公司董事会尊重大华会计师事务所（特殊普通合伙）出具的保留意见审计报告。审计报告中保留 意见涉及事项的说明客观反映了公司的实际情况，董事会表示同意，审计报告中涉及事项不会对公司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年度财务状况和经营成果产生重大影响。公司将尽力采取相应有效的措施，尽早消除保留意见中涉及的事 项，积极维护广大投资者的利益。</w:t>
      </w:r>
    </w:p>
    <w:p>
      <w:pPr>
        <w:pStyle w:val="Style38"/>
        <w:keepNext w:val="0"/>
        <w:keepLines w:val="0"/>
        <w:widowControl w:val="0"/>
        <w:shd w:val="clear" w:color="auto" w:fill="auto"/>
        <w:tabs>
          <w:tab w:pos="780" w:val="left"/>
        </w:tabs>
        <w:bidi w:val="0"/>
        <w:spacing w:before="0" w:after="0" w:line="404" w:lineRule="exact"/>
        <w:ind w:left="0" w:right="0" w:firstLine="440"/>
        <w:jc w:val="both"/>
      </w:pPr>
      <w:bookmarkStart w:id="305" w:name="bookmark305"/>
      <w:r>
        <w:rPr>
          <w:rFonts w:ascii="Times New Roman" w:eastAsia="Times New Roman" w:hAnsi="Times New Roman" w:cs="Times New Roman"/>
          <w:color w:val="000000"/>
          <w:spacing w:val="0"/>
          <w:w w:val="100"/>
          <w:position w:val="0"/>
        </w:rPr>
        <w:t>2</w:t>
      </w:r>
      <w:bookmarkEnd w:id="305"/>
      <w:r>
        <w:rPr>
          <w:color w:val="000000"/>
          <w:spacing w:val="0"/>
          <w:w w:val="100"/>
          <w:position w:val="0"/>
        </w:rPr>
        <w:t>、</w:t>
        <w:tab/>
        <w:t>监事会对《董事会关于公司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年度财务报告非标准审计意见涉及事项的专项说明》进行了审核， 并提出如下书面审核意见：</w:t>
      </w:r>
    </w:p>
    <w:p>
      <w:pPr>
        <w:pStyle w:val="Style38"/>
        <w:keepNext w:val="0"/>
        <w:keepLines w:val="0"/>
        <w:widowControl w:val="0"/>
        <w:shd w:val="clear" w:color="auto" w:fill="auto"/>
        <w:tabs>
          <w:tab w:pos="927" w:val="left"/>
        </w:tabs>
        <w:bidi w:val="0"/>
        <w:spacing w:before="0" w:after="0" w:line="409" w:lineRule="exact"/>
        <w:ind w:left="0" w:right="0" w:firstLine="440"/>
        <w:jc w:val="both"/>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rPr>
        <w:t>1</w:t>
      </w:r>
      <w:r>
        <w:rPr>
          <w:color w:val="000000"/>
          <w:spacing w:val="0"/>
          <w:w w:val="100"/>
          <w:position w:val="0"/>
        </w:rPr>
        <w:t>）</w:t>
        <w:tab/>
        <w:t>监事会对于审计机构出具的审计意见无异议。</w:t>
      </w:r>
    </w:p>
    <w:p>
      <w:pPr>
        <w:pStyle w:val="Style38"/>
        <w:keepNext w:val="0"/>
        <w:keepLines w:val="0"/>
        <w:widowControl w:val="0"/>
        <w:shd w:val="clear" w:color="auto" w:fill="auto"/>
        <w:tabs>
          <w:tab w:pos="1020" w:val="left"/>
        </w:tabs>
        <w:bidi w:val="0"/>
        <w:spacing w:before="0" w:after="0" w:line="409" w:lineRule="exact"/>
        <w:ind w:left="0" w:right="0" w:firstLine="440"/>
        <w:jc w:val="both"/>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rPr>
        <w:t>2</w:t>
      </w:r>
      <w:r>
        <w:rPr>
          <w:color w:val="000000"/>
          <w:spacing w:val="0"/>
          <w:w w:val="100"/>
          <w:position w:val="0"/>
        </w:rPr>
        <w:t>）</w:t>
        <w:tab/>
        <w:t>董事会关于涉及事项的说明符合公司实际情况。为改善公司目前的经营状况，董事会和管理层 已制定了一系列积极的措施，这些措施和安排是切合实际的。公司董事会和管理层应全力做好生产经营工 作，提升盈利能力，降低经营风险，保护全体股东及投资者的利益。</w:t>
      </w:r>
    </w:p>
    <w:p>
      <w:pPr>
        <w:pStyle w:val="Style38"/>
        <w:keepNext w:val="0"/>
        <w:keepLines w:val="0"/>
        <w:widowControl w:val="0"/>
        <w:shd w:val="clear" w:color="auto" w:fill="auto"/>
        <w:bidi w:val="0"/>
        <w:spacing w:before="0" w:after="0" w:line="409" w:lineRule="exact"/>
        <w:ind w:left="0" w:right="0" w:firstLine="440"/>
        <w:jc w:val="both"/>
      </w:pPr>
      <w:bookmarkStart w:id="308" w:name="bookmark308"/>
      <w:r>
        <w:rPr>
          <w:color w:val="000000"/>
          <w:spacing w:val="0"/>
          <w:w w:val="100"/>
          <w:position w:val="0"/>
        </w:rPr>
        <w:t>（</w:t>
      </w:r>
      <w:bookmarkEnd w:id="308"/>
      <w:r>
        <w:rPr>
          <w:rFonts w:ascii="Times New Roman" w:eastAsia="Times New Roman" w:hAnsi="Times New Roman" w:cs="Times New Roman"/>
          <w:color w:val="000000"/>
          <w:spacing w:val="0"/>
          <w:w w:val="100"/>
          <w:position w:val="0"/>
        </w:rPr>
        <w:t>3</w:t>
      </w:r>
      <w:r>
        <w:rPr>
          <w:color w:val="000000"/>
          <w:spacing w:val="0"/>
          <w:w w:val="100"/>
          <w:position w:val="0"/>
        </w:rPr>
        <w:t>） 监事会将继续积极履行监督职责，持续关注公司相关措施的推进工作，同时督促公司依法规范 运作，维护投资者的利益。</w:t>
      </w:r>
    </w:p>
    <w:p>
      <w:pPr>
        <w:pStyle w:val="Style38"/>
        <w:keepNext w:val="0"/>
        <w:keepLines w:val="0"/>
        <w:widowControl w:val="0"/>
        <w:shd w:val="clear" w:color="auto" w:fill="auto"/>
        <w:bidi w:val="0"/>
        <w:spacing w:before="0" w:after="180" w:line="409" w:lineRule="exact"/>
        <w:ind w:left="0" w:right="0" w:firstLine="440"/>
        <w:jc w:val="both"/>
      </w:pPr>
      <w:bookmarkStart w:id="309" w:name="bookmark309"/>
      <w:r>
        <w:rPr>
          <w:rFonts w:ascii="Times New Roman" w:eastAsia="Times New Roman" w:hAnsi="Times New Roman" w:cs="Times New Roman"/>
          <w:color w:val="000000"/>
          <w:spacing w:val="0"/>
          <w:w w:val="100"/>
          <w:position w:val="0"/>
        </w:rPr>
        <w:t>3</w:t>
      </w:r>
      <w:bookmarkEnd w:id="309"/>
      <w:r>
        <w:rPr>
          <w:color w:val="000000"/>
          <w:spacing w:val="0"/>
          <w:w w:val="100"/>
          <w:position w:val="0"/>
        </w:rPr>
        <w:t>、 经过认真的了解和探讨，独立董事认为大华会计师事务所（特殊普通合伙）出具的审计意见客观 真实地反映了公司实际的财务状况及经营情况。独立董事同意《董事会关于公司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年度财务报告非标 准审计意见涉及事项的专项说明》，并将持续关注、督促公司董事会和管理层积极采取有效措施，维护公 司和广大投资者的合法权益。</w:t>
      </w:r>
    </w:p>
    <w:p>
      <w:pPr>
        <w:pStyle w:val="Style26"/>
        <w:keepNext/>
        <w:keepLines/>
        <w:widowControl w:val="0"/>
        <w:shd w:val="clear" w:color="auto" w:fill="auto"/>
        <w:bidi w:val="0"/>
        <w:spacing w:before="0" w:after="36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六</w:t>
      </w:r>
      <w:bookmarkEnd w:id="312"/>
      <w:r>
        <w:rPr>
          <w:color w:val="000000"/>
          <w:spacing w:val="0"/>
          <w:w w:val="100"/>
          <w:position w:val="0"/>
        </w:rPr>
        <w:t>、董事会关于报告期会计政策、会计估计变更或重大会计差错更正的说明</w:t>
      </w:r>
      <w:bookmarkEnd w:id="310"/>
      <w:bookmarkEnd w:id="311"/>
      <w:bookmarkEnd w:id="313"/>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341" w:lineRule="auto"/>
        <w:ind w:left="0" w:right="0" w:firstLine="440"/>
        <w:jc w:val="left"/>
      </w:pPr>
      <w:bookmarkStart w:id="314" w:name="bookmark314"/>
      <w:r>
        <w:rPr>
          <w:rFonts w:ascii="Times New Roman" w:eastAsia="Times New Roman" w:hAnsi="Times New Roman" w:cs="Times New Roman"/>
          <w:color w:val="000000"/>
          <w:spacing w:val="0"/>
          <w:w w:val="100"/>
          <w:position w:val="0"/>
        </w:rPr>
        <w:t>1</w:t>
      </w:r>
      <w:bookmarkEnd w:id="314"/>
      <w:r>
        <w:rPr>
          <w:color w:val="000000"/>
          <w:spacing w:val="0"/>
          <w:w w:val="100"/>
          <w:position w:val="0"/>
        </w:rPr>
        <w:t>、会计政策变更</w:t>
      </w:r>
    </w:p>
    <w:p>
      <w:pPr>
        <w:pStyle w:val="Style38"/>
        <w:keepNext w:val="0"/>
        <w:keepLines w:val="0"/>
        <w:widowControl w:val="0"/>
        <w:shd w:val="clear" w:color="auto" w:fill="auto"/>
        <w:bidi w:val="0"/>
        <w:spacing w:before="0" w:after="0" w:line="326" w:lineRule="exact"/>
        <w:ind w:left="0" w:right="0" w:firstLine="440"/>
        <w:jc w:val="left"/>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rPr>
        <w:t>1</w:t>
      </w:r>
      <w:r>
        <w:rPr>
          <w:color w:val="000000"/>
          <w:spacing w:val="0"/>
          <w:w w:val="100"/>
          <w:position w:val="0"/>
        </w:rPr>
        <w:t>）执行新收入准则对公司的影响</w:t>
      </w:r>
    </w:p>
    <w:p>
      <w:pPr>
        <w:pStyle w:val="Style38"/>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号——收入》，变更后的会计政 策详见附注四。</w:t>
      </w:r>
    </w:p>
    <w:p>
      <w:pPr>
        <w:pStyle w:val="Style38"/>
        <w:keepNext w:val="0"/>
        <w:keepLines w:val="0"/>
        <w:widowControl w:val="0"/>
        <w:shd w:val="clear" w:color="auto" w:fill="auto"/>
        <w:bidi w:val="0"/>
        <w:spacing w:before="0" w:after="0" w:line="326" w:lineRule="exact"/>
        <w:ind w:left="0" w:right="0" w:firstLine="440"/>
        <w:jc w:val="left"/>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38"/>
        <w:keepNext w:val="0"/>
        <w:keepLines w:val="0"/>
        <w:widowControl w:val="0"/>
        <w:shd w:val="clear" w:color="auto" w:fill="auto"/>
        <w:bidi w:val="0"/>
        <w:spacing w:before="0" w:after="0" w:line="312" w:lineRule="exact"/>
        <w:ind w:left="440" w:right="0" w:hanging="440"/>
        <w:jc w:val="left"/>
      </w:pPr>
      <w:r>
        <w:rPr>
          <w:color w:val="000000"/>
          <w:spacing w:val="0"/>
          <w:w w:val="100"/>
          <w:position w:val="0"/>
        </w:rPr>
        <w:t>留存收益及财务报表其他相关项目金额，对可比期间信息不予调整。 执行新收入准则对本期期初资产负债表相关项目的影响列示如下:</w:t>
      </w:r>
    </w:p>
    <w:tbl>
      <w:tblPr>
        <w:tblOverlap w:val="never"/>
        <w:jc w:val="center"/>
        <w:tblLayout w:type="fixed"/>
      </w:tblPr>
      <w:tblGrid>
        <w:gridCol w:w="1531"/>
        <w:gridCol w:w="1829"/>
        <w:gridCol w:w="1579"/>
        <w:gridCol w:w="1411"/>
        <w:gridCol w:w="1478"/>
        <w:gridCol w:w="1858"/>
      </w:tblGrid>
      <w:tr>
        <w:trPr>
          <w:trHeight w:val="43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7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重分类</w:t>
            </w:r>
          </w:p>
          <w:p>
            <w:pPr>
              <w:pStyle w:val="Style2"/>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重新计量</w:t>
            </w:r>
          </w:p>
          <w:p>
            <w:pPr>
              <w:pStyle w:val="Style2"/>
              <w:keepNext w:val="0"/>
              <w:keepLines w:val="0"/>
              <w:widowControl w:val="0"/>
              <w:shd w:val="clear" w:color="auto" w:fill="auto"/>
              <w:bidi w:val="0"/>
              <w:spacing w:before="0" w:after="0" w:line="240" w:lineRule="auto"/>
              <w:ind w:left="0" w:right="0" w:firstLine="340"/>
              <w:jc w:val="left"/>
            </w:pP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2</w:t>
            </w:r>
            <w:r>
              <w:rPr>
                <w:i/>
                <w:i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560"/>
              <w:jc w:val="left"/>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376,719,352.99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376,719,352.99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376,719,352.99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328,031,464.39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328,031,464.39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328,031,464.39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48,687,888.60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48,687,888.60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48,687,888.60</w:t>
            </w:r>
          </w:p>
        </w:tc>
      </w:tr>
      <w:tr>
        <w:trPr>
          <w:trHeight w:val="283"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:说明与收入准则的原规定相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目比，执行本准则</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对首次执行日财务报表相关项目重分类情况。本公</w:t>
            </w:r>
          </w:p>
        </w:tc>
      </w:tr>
    </w:tbl>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司的预收款项被重分类至合同负债。</w:t>
      </w:r>
    </w:p>
    <w:p>
      <w:pPr>
        <w:pStyle w:val="Style38"/>
        <w:keepNext w:val="0"/>
        <w:keepLines w:val="0"/>
        <w:widowControl w:val="0"/>
        <w:shd w:val="clear" w:color="auto" w:fill="auto"/>
        <w:bidi w:val="0"/>
        <w:spacing w:before="0" w:after="0" w:line="307" w:lineRule="exact"/>
        <w:ind w:left="4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：说明与收入准则的原规定相比，执行本准则对首次执行日财务报表相关项目重新计量情况 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日合并资产负债表的影响如下：</w:t>
      </w:r>
    </w:p>
    <w:tbl>
      <w:tblPr>
        <w:tblOverlap w:val="never"/>
        <w:jc w:val="center"/>
        <w:tblLayout w:type="fixed"/>
      </w:tblPr>
      <w:tblGrid>
        <w:gridCol w:w="2448"/>
        <w:gridCol w:w="2410"/>
        <w:gridCol w:w="2410"/>
        <w:gridCol w:w="2419"/>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262,507,955.96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-262,507,955.96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237,785,432.03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237,785,432.03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22,234,083.93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22,234,083.93</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2,488,440.00</w:t>
            </w:r>
          </w:p>
        </w:tc>
      </w:tr>
    </w:tbl>
    <w:p>
      <w:pPr>
        <w:widowControl w:val="0"/>
        <w:spacing w:after="139" w:line="1" w:lineRule="exact"/>
      </w:pPr>
    </w:p>
    <w:p>
      <w:pPr>
        <w:pStyle w:val="Style38"/>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年度合并利润表无影响。</w:t>
      </w:r>
    </w:p>
    <w:p>
      <w:pPr>
        <w:pStyle w:val="Style38"/>
        <w:keepNext w:val="0"/>
        <w:keepLines w:val="0"/>
        <w:widowControl w:val="0"/>
        <w:shd w:val="clear" w:color="auto" w:fill="auto"/>
        <w:bidi w:val="0"/>
        <w:spacing w:before="0" w:after="100" w:line="240" w:lineRule="auto"/>
        <w:ind w:left="0" w:right="0" w:firstLine="440"/>
        <w:jc w:val="left"/>
      </w:pPr>
      <w:bookmarkStart w:id="316" w:name="bookmark316"/>
      <w:r>
        <w:rPr>
          <w:rFonts w:ascii="Times New Roman" w:eastAsia="Times New Roman" w:hAnsi="Times New Roman" w:cs="Times New Roman"/>
          <w:color w:val="000000"/>
          <w:spacing w:val="0"/>
          <w:w w:val="100"/>
          <w:position w:val="0"/>
        </w:rPr>
        <w:t>2</w:t>
      </w:r>
      <w:bookmarkEnd w:id="316"/>
      <w:r>
        <w:rPr>
          <w:color w:val="000000"/>
          <w:spacing w:val="0"/>
          <w:w w:val="100"/>
          <w:position w:val="0"/>
        </w:rPr>
        <w:t>、会计估计变更</w:t>
      </w:r>
    </w:p>
    <w:p>
      <w:pPr>
        <w:pStyle w:val="Style3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本报告期主要会计估计未发生变更。</w:t>
      </w:r>
    </w:p>
    <w:p>
      <w:pPr>
        <w:pStyle w:val="Style26"/>
        <w:keepNext/>
        <w:keepLines/>
        <w:widowControl w:val="0"/>
        <w:shd w:val="clear" w:color="auto" w:fill="auto"/>
        <w:bidi w:val="0"/>
        <w:spacing w:before="0" w:after="36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rPr>
        <w:t>七</w:t>
      </w:r>
      <w:bookmarkEnd w:id="319"/>
      <w:r>
        <w:rPr>
          <w:color w:val="000000"/>
          <w:spacing w:val="0"/>
          <w:w w:val="100"/>
          <w:position w:val="0"/>
        </w:rPr>
        <w:t>、与上年度财务报告相比，合并报表范围发生变化的情况说明</w:t>
      </w:r>
      <w:bookmarkEnd w:id="317"/>
      <w:bookmarkEnd w:id="318"/>
      <w:bookmarkEnd w:id="320"/>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10</w:t>
      </w:r>
      <w:r>
        <w:rPr>
          <w:color w:val="000000"/>
          <w:spacing w:val="0"/>
          <w:w w:val="100"/>
          <w:position w:val="0"/>
        </w:rPr>
        <w:t>户，减少</w:t>
      </w:r>
      <w:r>
        <w:rPr>
          <w:rFonts w:ascii="Times New Roman" w:eastAsia="Times New Roman" w:hAnsi="Times New Roman" w:cs="Times New Roman"/>
          <w:color w:val="000000"/>
          <w:spacing w:val="0"/>
          <w:w w:val="100"/>
          <w:position w:val="0"/>
        </w:rPr>
        <w:t>1</w:t>
      </w:r>
      <w:r>
        <w:rPr>
          <w:color w:val="000000"/>
          <w:spacing w:val="0"/>
          <w:w w:val="100"/>
          <w:position w:val="0"/>
        </w:rPr>
        <w:t>户，其中:</w:t>
      </w:r>
    </w:p>
    <w:p>
      <w:pPr>
        <w:pStyle w:val="Style38"/>
        <w:keepNext w:val="0"/>
        <w:keepLines w:val="0"/>
        <w:widowControl w:val="0"/>
        <w:shd w:val="clear" w:color="auto" w:fill="auto"/>
        <w:bidi w:val="0"/>
        <w:spacing w:before="0" w:after="0" w:line="240" w:lineRule="auto"/>
        <w:ind w:left="0" w:right="0" w:firstLine="440"/>
        <w:jc w:val="left"/>
      </w:pPr>
      <w:bookmarkStart w:id="321" w:name="bookmark321"/>
      <w:r>
        <w:rPr>
          <w:rFonts w:ascii="Times New Roman" w:eastAsia="Times New Roman" w:hAnsi="Times New Roman" w:cs="Times New Roman"/>
          <w:color w:val="000000"/>
          <w:spacing w:val="0"/>
          <w:w w:val="100"/>
          <w:position w:val="0"/>
        </w:rPr>
        <w:t>1</w:t>
      </w:r>
      <w:bookmarkEnd w:id="321"/>
      <w:r>
        <w:rPr>
          <w:color w:val="000000"/>
          <w:spacing w:val="0"/>
          <w:w w:val="100"/>
          <w:position w:val="0"/>
        </w:rPr>
        <w:t>、本期新纳入合并范围的子公司</w:t>
      </w:r>
    </w:p>
    <w:tbl>
      <w:tblPr>
        <w:tblOverlap w:val="never"/>
        <w:jc w:val="center"/>
        <w:tblLayout w:type="fixed"/>
      </w:tblPr>
      <w:tblGrid>
        <w:gridCol w:w="4829"/>
        <w:gridCol w:w="482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广东蓝盾聚能新能源科技有限公司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广东蓝盾量子科技有限公司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宜宾蓝盾量子科技有限公司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广州蓝盾华创信息安全技术有限公司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474" w:right="1002" w:bottom="1464" w:left="1107" w:header="0" w:footer="3" w:gutter="0"/>
          <w:cols w:space="720"/>
          <w:noEndnote/>
          <w:rtlGutter w:val="0"/>
          <w:docGrid w:linePitch="360"/>
        </w:sectPr>
      </w:pPr>
    </w:p>
    <w:tbl>
      <w:tblPr>
        <w:tblOverlap w:val="never"/>
        <w:jc w:val="center"/>
        <w:tblLayout w:type="fixed"/>
      </w:tblPr>
      <w:tblGrid>
        <w:gridCol w:w="4829"/>
        <w:gridCol w:w="482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广东蓝盾网信科技有限公司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江门蓝盾创新信息安全技术有限公司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肇庆蓝盾创新信息安全技术有限公司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广东蓝盾智能信息安全技术有限公司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蓝盾汇通电子商务有限公司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bl>
    <w:p>
      <w:pPr>
        <w:pStyle w:val="Style38"/>
        <w:keepNext w:val="0"/>
        <w:keepLines w:val="0"/>
        <w:widowControl w:val="0"/>
        <w:shd w:val="clear" w:color="auto" w:fill="auto"/>
        <w:bidi w:val="0"/>
        <w:spacing w:before="0" w:after="80" w:line="240" w:lineRule="auto"/>
        <w:ind w:left="1520" w:right="0" w:firstLine="0"/>
        <w:jc w:val="left"/>
      </w:pPr>
      <w:bookmarkStart w:id="325" w:name="bookmark325"/>
      <w:r>
        <w:rPr>
          <w:rFonts w:ascii="Times New Roman" w:eastAsia="Times New Roman" w:hAnsi="Times New Roman" w:cs="Times New Roman"/>
          <w:color w:val="000000"/>
          <w:spacing w:val="0"/>
          <w:w w:val="100"/>
          <w:position w:val="0"/>
        </w:rPr>
        <w:t>2</w:t>
      </w:r>
      <w:bookmarkEnd w:id="325"/>
      <w:r>
        <w:rPr>
          <w:color w:val="000000"/>
          <w:spacing w:val="0"/>
          <w:w w:val="100"/>
          <w:position w:val="0"/>
        </w:rPr>
        <w:t>、本期减少的合并范围内的子公司、特殊目的主体、通过受托经营或承租等方式形成控制权的经营</w:t>
      </w:r>
    </w:p>
    <w:p>
      <w:pPr>
        <w:pStyle w:val="Style3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实体</w:t>
      </w:r>
    </w:p>
    <w:tbl>
      <w:tblPr>
        <w:tblOverlap w:val="never"/>
        <w:jc w:val="center"/>
        <w:tblLayout w:type="fixed"/>
      </w:tblPr>
      <w:tblGrid>
        <w:gridCol w:w="4829"/>
        <w:gridCol w:w="482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广东红端交通运输有限公司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（原名：广东中经汇通交通运输有限公司）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处置</w:t>
            </w:r>
          </w:p>
        </w:tc>
      </w:tr>
    </w:tbl>
    <w:p>
      <w:pPr>
        <w:pStyle w:val="Style38"/>
        <w:keepNext w:val="0"/>
        <w:keepLines w:val="0"/>
        <w:widowControl w:val="0"/>
        <w:shd w:val="clear" w:color="auto" w:fill="auto"/>
        <w:bidi w:val="0"/>
        <w:spacing w:before="0" w:after="360" w:line="240" w:lineRule="auto"/>
        <w:ind w:left="1520" w:right="0" w:firstLine="0"/>
        <w:jc w:val="both"/>
      </w:pPr>
      <w:r>
        <w:rPr>
          <w:color w:val="000000"/>
          <w:spacing w:val="0"/>
          <w:w w:val="100"/>
          <w:position w:val="0"/>
        </w:rPr>
        <w:t>合并范围变更主体的具体信息详见第十二节八、合并范围的变更。</w:t>
      </w:r>
    </w:p>
    <w:p>
      <w:pPr>
        <w:pStyle w:val="Style26"/>
        <w:keepNext/>
        <w:keepLines/>
        <w:widowControl w:val="0"/>
        <w:shd w:val="clear" w:color="auto" w:fill="auto"/>
        <w:bidi w:val="0"/>
        <w:spacing w:before="0" w:after="360" w:line="240" w:lineRule="auto"/>
        <w:ind w:left="1080" w:right="0" w:firstLine="0"/>
        <w:jc w:val="left"/>
      </w:pPr>
      <w:bookmarkStart w:id="326" w:name="bookmark326"/>
      <w:bookmarkStart w:id="327" w:name="bookmark327"/>
      <w:bookmarkStart w:id="328" w:name="bookmark328"/>
      <w:bookmarkStart w:id="329" w:name="bookmark329"/>
      <w:r>
        <w:rPr>
          <w:color w:val="000000"/>
          <w:spacing w:val="0"/>
          <w:w w:val="100"/>
          <w:position w:val="0"/>
        </w:rPr>
        <w:t>八</w:t>
      </w:r>
      <w:bookmarkEnd w:id="328"/>
      <w:r>
        <w:rPr>
          <w:color w:val="000000"/>
          <w:spacing w:val="0"/>
          <w:w w:val="100"/>
          <w:position w:val="0"/>
        </w:rPr>
        <w:t>、聘任、解聘会计师事务所情况</w:t>
      </w:r>
      <w:bookmarkEnd w:id="326"/>
      <w:bookmarkEnd w:id="327"/>
      <w:bookmarkEnd w:id="329"/>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张晓辉、熊玲</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widowControl w:val="0"/>
        <w:spacing w:after="79" w:line="1" w:lineRule="exact"/>
      </w:pPr>
    </w:p>
    <w:p>
      <w:pPr>
        <w:pStyle w:val="Style28"/>
        <w:keepNext w:val="0"/>
        <w:keepLines w:val="0"/>
        <w:widowControl w:val="0"/>
        <w:shd w:val="clear" w:color="auto" w:fill="auto"/>
        <w:bidi w:val="0"/>
        <w:spacing w:before="0" w:line="240" w:lineRule="auto"/>
        <w:ind w:left="108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line="240" w:lineRule="auto"/>
        <w:ind w:left="108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1080" w:right="0" w:firstLine="0"/>
        <w:jc w:val="both"/>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240" w:lineRule="auto"/>
        <w:ind w:left="108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1080" w:right="0" w:firstLine="0"/>
        <w:jc w:val="both"/>
      </w:pPr>
      <w:bookmarkStart w:id="330" w:name="bookmark330"/>
      <w:bookmarkStart w:id="331" w:name="bookmark331"/>
      <w:bookmarkStart w:id="332" w:name="bookmark332"/>
      <w:bookmarkStart w:id="333" w:name="bookmark333"/>
      <w:r>
        <w:rPr>
          <w:color w:val="000000"/>
          <w:spacing w:val="0"/>
          <w:w w:val="100"/>
          <w:position w:val="0"/>
        </w:rPr>
        <w:t>九</w:t>
      </w:r>
      <w:bookmarkEnd w:id="332"/>
      <w:r>
        <w:rPr>
          <w:color w:val="000000"/>
          <w:spacing w:val="0"/>
          <w:w w:val="100"/>
          <w:position w:val="0"/>
        </w:rPr>
        <w:t>、年度报告披露后面临退市情况</w:t>
      </w:r>
      <w:bookmarkEnd w:id="330"/>
      <w:bookmarkEnd w:id="331"/>
      <w:bookmarkEnd w:id="333"/>
    </w:p>
    <w:p>
      <w:pPr>
        <w:pStyle w:val="Style28"/>
        <w:keepNext w:val="0"/>
        <w:keepLines w:val="0"/>
        <w:widowControl w:val="0"/>
        <w:shd w:val="clear" w:color="auto" w:fill="auto"/>
        <w:bidi w:val="0"/>
        <w:spacing w:before="0" w:after="360" w:line="240" w:lineRule="auto"/>
        <w:ind w:left="108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1080" w:right="0" w:firstLine="0"/>
        <w:jc w:val="both"/>
      </w:pPr>
      <w:bookmarkStart w:id="334" w:name="bookmark334"/>
      <w:bookmarkStart w:id="335" w:name="bookmark335"/>
      <w:bookmarkStart w:id="336" w:name="bookmark336"/>
      <w:r>
        <w:rPr>
          <w:color w:val="000000"/>
          <w:spacing w:val="0"/>
          <w:w w:val="100"/>
          <w:position w:val="0"/>
        </w:rPr>
        <w:t>十、破产重整相关事项</w:t>
      </w:r>
      <w:bookmarkEnd w:id="334"/>
      <w:bookmarkEnd w:id="335"/>
      <w:bookmarkEnd w:id="336"/>
    </w:p>
    <w:p>
      <w:pPr>
        <w:pStyle w:val="Style28"/>
        <w:keepNext w:val="0"/>
        <w:keepLines w:val="0"/>
        <w:widowControl w:val="0"/>
        <w:shd w:val="clear" w:color="auto" w:fill="auto"/>
        <w:bidi w:val="0"/>
        <w:spacing w:before="0" w:line="240" w:lineRule="auto"/>
        <w:ind w:left="108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1080" w:right="0" w:firstLine="0"/>
        <w:jc w:val="both"/>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1080" w:right="0" w:firstLine="0"/>
        <w:jc w:val="both"/>
      </w:pPr>
      <w:bookmarkStart w:id="337" w:name="bookmark337"/>
      <w:bookmarkStart w:id="338" w:name="bookmark338"/>
      <w:bookmarkStart w:id="339" w:name="bookmark339"/>
      <w:r>
        <w:rPr>
          <w:color w:val="000000"/>
          <w:spacing w:val="0"/>
          <w:w w:val="100"/>
          <w:position w:val="0"/>
        </w:rPr>
        <w:t>十一、重大诉讼、仲裁事项</w:t>
      </w:r>
      <w:bookmarkEnd w:id="337"/>
      <w:bookmarkEnd w:id="338"/>
      <w:bookmarkEnd w:id="339"/>
    </w:p>
    <w:p>
      <w:pPr>
        <w:pStyle w:val="Style28"/>
        <w:keepNext w:val="0"/>
        <w:keepLines w:val="0"/>
        <w:widowControl w:val="0"/>
        <w:shd w:val="clear" w:color="auto" w:fill="auto"/>
        <w:bidi w:val="0"/>
        <w:spacing w:before="0" w:after="80" w:line="240" w:lineRule="auto"/>
        <w:ind w:left="108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99"/>
        <w:gridCol w:w="1085"/>
        <w:gridCol w:w="1267"/>
        <w:gridCol w:w="1795"/>
        <w:gridCol w:w="1454"/>
        <w:gridCol w:w="1262"/>
        <w:gridCol w:w="1080"/>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月，因蓝盾技术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因该诉讼事宜，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暂未判决执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详见公司披露于</w:t>
            </w:r>
          </w:p>
        </w:tc>
      </w:tr>
    </w:tbl>
    <w:p>
      <w:pPr>
        <w:widowControl w:val="0"/>
        <w:spacing w:line="1" w:lineRule="exact"/>
      </w:pPr>
      <w:r>
        <w:br w:type="page"/>
      </w:r>
    </w:p>
    <w:tbl>
      <w:tblPr>
        <w:tblOverlap w:val="never"/>
        <w:jc w:val="center"/>
        <w:tblLayout w:type="fixed"/>
      </w:tblPr>
      <w:tblGrid>
        <w:gridCol w:w="2299"/>
        <w:gridCol w:w="1085"/>
        <w:gridCol w:w="1267"/>
        <w:gridCol w:w="1795"/>
        <w:gridCol w:w="1454"/>
        <w:gridCol w:w="1262"/>
        <w:gridCol w:w="1080"/>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31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未能按期偿还浦发银行广 州东风支行</w:t>
            </w:r>
            <w:r>
              <w:rPr>
                <w:rFonts w:ascii="Times New Roman" w:eastAsia="Times New Roman" w:hAnsi="Times New Roman" w:cs="Times New Roman"/>
                <w:color w:val="000000"/>
                <w:spacing w:val="0"/>
                <w:w w:val="100"/>
                <w:position w:val="0"/>
                <w:sz w:val="18"/>
                <w:szCs w:val="18"/>
              </w:rPr>
              <w:t>5,699.09</w:t>
            </w:r>
            <w:r>
              <w:rPr>
                <w:color w:val="000000"/>
                <w:spacing w:val="0"/>
                <w:w w:val="100"/>
                <w:position w:val="0"/>
              </w:rPr>
              <w:t>万元 本金及相应利息，债权人向 越秀区法院提起诉讼，要求 蓝盾技术偿还借款本金及 利息</w:t>
            </w:r>
            <w:r>
              <w:rPr>
                <w:rFonts w:ascii="Times New Roman" w:eastAsia="Times New Roman" w:hAnsi="Times New Roman" w:cs="Times New Roman"/>
                <w:color w:val="000000"/>
                <w:spacing w:val="0"/>
                <w:w w:val="100"/>
                <w:position w:val="0"/>
                <w:sz w:val="18"/>
                <w:szCs w:val="18"/>
              </w:rPr>
              <w:t>5,720.33</w:t>
            </w:r>
            <w:r>
              <w:rPr>
                <w:color w:val="000000"/>
                <w:spacing w:val="0"/>
                <w:w w:val="100"/>
                <w:position w:val="0"/>
              </w:rPr>
              <w:t>万元，并要求 公司及实际控制人柯宗庆、 柯宗贵、中经电商等相关方 对蓝盾技术该笔债务承担 连带清偿责任。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广州市越秀区人民 法院向当事人各方 发出传票，该案于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日开庭 审理，暂未判决。</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公司及实际控 制人柯宗庆、柯 宗贵作为担保 方亦被浦发银 行广州东风支 行列为被告提 起诉讼，因浦发 银行广州东风 支行申请诉前 财产保全，公司 位于广州市萝 岗区瑞和路以 西，瑞源路以 北、土地使用权 证为“穗符国用</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050001113 </w:t>
            </w:r>
            <w:r>
              <w:rPr>
                <w:color w:val="000000"/>
                <w:spacing w:val="0"/>
                <w:w w:val="100"/>
                <w:position w:val="0"/>
              </w:rPr>
              <w:t>号” 的土地使用权 及在建工程被 越秀区法院查 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月，因中经电商 未能按期偿还浦发银行广 州东风支行</w:t>
            </w:r>
            <w:r>
              <w:rPr>
                <w:rFonts w:ascii="Times New Roman" w:eastAsia="Times New Roman" w:hAnsi="Times New Roman" w:cs="Times New Roman"/>
                <w:color w:val="000000"/>
                <w:spacing w:val="0"/>
                <w:w w:val="100"/>
                <w:position w:val="0"/>
                <w:sz w:val="18"/>
                <w:szCs w:val="18"/>
              </w:rPr>
              <w:t>4,999.42</w:t>
            </w:r>
            <w:r>
              <w:rPr>
                <w:color w:val="000000"/>
                <w:spacing w:val="0"/>
                <w:w w:val="100"/>
                <w:position w:val="0"/>
              </w:rPr>
              <w:t>万元 本金及相应利息，债权人向 越秀区法院提起诉讼，要求 中经电商偿还本金、利息及 相关费用合计</w:t>
            </w:r>
            <w:r>
              <w:rPr>
                <w:rFonts w:ascii="Times New Roman" w:eastAsia="Times New Roman" w:hAnsi="Times New Roman" w:cs="Times New Roman"/>
                <w:color w:val="000000"/>
                <w:spacing w:val="0"/>
                <w:w w:val="100"/>
                <w:position w:val="0"/>
                <w:sz w:val="18"/>
                <w:szCs w:val="18"/>
              </w:rPr>
              <w:t>5,017.80</w:t>
            </w:r>
            <w:r>
              <w:rPr>
                <w:color w:val="000000"/>
                <w:spacing w:val="0"/>
                <w:w w:val="100"/>
                <w:position w:val="0"/>
              </w:rPr>
              <w:t>万 元，并要求公司及实际控制 人柯宗庆、柯宗贵、蓝盾技 术等相关方对中经电商该 笔债务承担连带清偿责任。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 广州市越秀区人民 法院向当事人各方 发出传票，该案于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日开庭 审理，暂未判决。</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暂未判决执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r>
              <w:rPr>
                <w:color w:val="000000"/>
                <w:spacing w:val="0"/>
                <w:w w:val="100"/>
                <w:position w:val="0"/>
              </w:rPr>
              <w:t>”</w:t>
            </w:r>
          </w:p>
        </w:tc>
      </w:tr>
      <w:tr>
        <w:trPr>
          <w:trHeight w:val="6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月，因中经电商 未能按期偿还长沙银行广 州流花支行</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万元本金 及相应利息,债权人向天河 区法院提起诉讼，要求中经 电商偿还本金、利息及相关 费用合计</w:t>
            </w:r>
            <w:r>
              <w:rPr>
                <w:rFonts w:ascii="Times New Roman" w:eastAsia="Times New Roman" w:hAnsi="Times New Roman" w:cs="Times New Roman"/>
                <w:color w:val="000000"/>
                <w:spacing w:val="0"/>
                <w:w w:val="100"/>
                <w:position w:val="0"/>
                <w:sz w:val="18"/>
                <w:szCs w:val="18"/>
              </w:rPr>
              <w:t>5,311.16</w:t>
            </w:r>
            <w:r>
              <w:rPr>
                <w:color w:val="000000"/>
                <w:spacing w:val="0"/>
                <w:w w:val="100"/>
                <w:position w:val="0"/>
              </w:rPr>
              <w:t>万元，并 要求公司及实际控制人柯 宗庆、柯宗贵为中经电商上 述债务承担连带清偿责任。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5,311.16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是（罚息、仲 裁费等）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广州市天河区法院 就该案件做出判决， 判令中经电商偿还 借款及相关费用，正 处于执行阶段。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因该诉讼事宜， 公司及实际控 制人柯宗庆、柯 宗贵作为担保 方亦被长沙银 行广州分行列 为被告提起诉 讼，因被长沙银 行广州分行申 请诉前财产保 全，公司位于广 州市萝岗区瑞 和路以西，瑞源 路以北、土地使 用权证为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穗符 国用（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050001113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的土地使用权 及在建工程被 天河区法院第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判决执行阶 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299"/>
        <w:gridCol w:w="1085"/>
        <w:gridCol w:w="1267"/>
        <w:gridCol w:w="1795"/>
        <w:gridCol w:w="1454"/>
        <w:gridCol w:w="1262"/>
        <w:gridCol w:w="1080"/>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一次轮候查封。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因中经电商未能按期偿还 兴业银行股份有限公司广 州花城支行</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 xml:space="preserve">万元本金 及相应利息,债权人向广州 市天河区人民法院提起诉 讼，要求中经电商偿还本 金、利息及相关费用合计 </w:t>
            </w:r>
            <w:r>
              <w:rPr>
                <w:rFonts w:ascii="Times New Roman" w:eastAsia="Times New Roman" w:hAnsi="Times New Roman" w:cs="Times New Roman"/>
                <w:color w:val="000000"/>
                <w:spacing w:val="0"/>
                <w:w w:val="100"/>
                <w:position w:val="0"/>
                <w:sz w:val="18"/>
                <w:szCs w:val="18"/>
              </w:rPr>
              <w:t xml:space="preserve">3,039.94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广州市天河区人民 法院就该事项向中 经电商发出传票。该 案件已于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日一审开庭，暂 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暂未判决执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详见公司披露于 巨潮资讯网的《关 于子公司涉及诉 讼事项及被列入 失信被执行人的 风险提示公告》</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因中经电商未能按期偿还 东莞银行股份有限公司广 州分行</w:t>
            </w:r>
            <w:r>
              <w:rPr>
                <w:rFonts w:ascii="Times New Roman" w:eastAsia="Times New Roman" w:hAnsi="Times New Roman" w:cs="Times New Roman"/>
                <w:color w:val="000000"/>
                <w:spacing w:val="0"/>
                <w:w w:val="100"/>
                <w:position w:val="0"/>
                <w:sz w:val="18"/>
                <w:szCs w:val="18"/>
              </w:rPr>
              <w:t>9,700</w:t>
            </w:r>
            <w:r>
              <w:rPr>
                <w:color w:val="000000"/>
                <w:spacing w:val="0"/>
                <w:w w:val="100"/>
                <w:position w:val="0"/>
              </w:rPr>
              <w:t>万元本金及相 应利息，债权人向广州市天 河区人民法院提起诉讼，要 求中经电商偿还本金、利息 及相关费用合计</w:t>
            </w:r>
            <w:r>
              <w:rPr>
                <w:rFonts w:ascii="Times New Roman" w:eastAsia="Times New Roman" w:hAnsi="Times New Roman" w:cs="Times New Roman"/>
                <w:color w:val="000000"/>
                <w:spacing w:val="0"/>
                <w:w w:val="100"/>
                <w:position w:val="0"/>
                <w:sz w:val="18"/>
                <w:szCs w:val="18"/>
              </w:rPr>
              <w:t xml:space="preserve">9,983.15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日，广 州市天河区人民法 院就该事项向中经 电商发出传票。该案 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日一审开庭，暂未判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暂未判决执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详见公司披露于 巨潮资讯网的《关 于子公司涉及诉 讼事项及被列入 失信被执行人的 风险提示公告》</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因中经电商未能按期偿还 江西银行股份有限公司广 州分行</w:t>
            </w:r>
            <w:r>
              <w:rPr>
                <w:rFonts w:ascii="Times New Roman" w:eastAsia="Times New Roman" w:hAnsi="Times New Roman" w:cs="Times New Roman"/>
                <w:color w:val="000000"/>
                <w:spacing w:val="0"/>
                <w:w w:val="100"/>
                <w:position w:val="0"/>
                <w:sz w:val="18"/>
                <w:szCs w:val="18"/>
              </w:rPr>
              <w:t>4,470.15</w:t>
            </w:r>
            <w:r>
              <w:rPr>
                <w:color w:val="000000"/>
                <w:spacing w:val="0"/>
                <w:w w:val="100"/>
                <w:position w:val="0"/>
              </w:rPr>
              <w:t xml:space="preserve">万元本金 及相应利息,债权人向广州 市越秀区人民法院提起诉 讼，要求中经电商偿还本 金、利息及相关费用合计 </w:t>
            </w:r>
            <w:r>
              <w:rPr>
                <w:rFonts w:ascii="Times New Roman" w:eastAsia="Times New Roman" w:hAnsi="Times New Roman" w:cs="Times New Roman"/>
                <w:color w:val="000000"/>
                <w:spacing w:val="0"/>
                <w:w w:val="100"/>
                <w:position w:val="0"/>
                <w:sz w:val="18"/>
                <w:szCs w:val="18"/>
              </w:rPr>
              <w:t xml:space="preserve">4,479.19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日，广 州市越秀区人民法 院就该事项向中经 电商发出传票。该案 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日一审开庭，暂未判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暂未判决执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详见公司披露于 巨潮资讯网的《关 于子公司涉及诉 讼事项及被列入 失信被执行人的 风险提示公告》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因中经电商未能按期偿还 中信银行股份有限公司广 州分行</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万元本金及相 应利息，债权人向广州仲裁 委员会提起仲裁，要求中经 电商偿还本金、利息及相关 费用合计</w:t>
            </w:r>
            <w:r>
              <w:rPr>
                <w:rFonts w:ascii="Times New Roman" w:eastAsia="Times New Roman" w:hAnsi="Times New Roman" w:cs="Times New Roman"/>
                <w:color w:val="000000"/>
                <w:spacing w:val="0"/>
                <w:w w:val="100"/>
                <w:position w:val="0"/>
                <w:sz w:val="18"/>
                <w:szCs w:val="18"/>
              </w:rPr>
              <w:t>4,022.97</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4,022.97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 广州仲裁委员会向 当事人发出《仲裁通 知书》，该案件于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日开 庭，暂未裁决。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暂未裁决执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详见公司披露于 巨潮资讯网的《关 于子公司涉及诉 讼事项及被列入 失信被执行人的 风险提示公告》</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因中经电商未能按期偿还 广州农村商业银行股份有 限公司天河支行</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 xml:space="preserve">万 元本金及相应利息,债权人 向广州仲裁委员会提起仲 裁，要求中经电商偿还本 金、利息及相关费用合计 </w:t>
            </w:r>
            <w:r>
              <w:rPr>
                <w:rFonts w:ascii="Times New Roman" w:eastAsia="Times New Roman" w:hAnsi="Times New Roman" w:cs="Times New Roman"/>
                <w:color w:val="000000"/>
                <w:spacing w:val="0"/>
                <w:w w:val="100"/>
                <w:position w:val="0"/>
                <w:sz w:val="18"/>
                <w:szCs w:val="18"/>
              </w:rPr>
              <w:t xml:space="preserve">24,842.28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24,842.28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是（罚息、仲 裁费等）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日广 州仲裁委员会受理 了申请人的仲裁申 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日，广州仲裁委员会 就该事项做出裁决， 要求中经电商偿还 本息合计</w:t>
            </w:r>
            <w:r>
              <w:rPr>
                <w:rFonts w:ascii="Times New Roman" w:eastAsia="Times New Roman" w:hAnsi="Times New Roman" w:cs="Times New Roman"/>
                <w:color w:val="000000"/>
                <w:spacing w:val="0"/>
                <w:w w:val="100"/>
                <w:position w:val="0"/>
                <w:sz w:val="18"/>
                <w:szCs w:val="18"/>
              </w:rPr>
              <w:t>24,842.28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已裁决待履约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已裁决待履 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详见公司披露于 巨潮资讯网的《关 于子公司涉及诉 讼事项及被列入 失信被执行人的 风险提示公告》</w:t>
            </w:r>
          </w:p>
        </w:tc>
      </w:tr>
    </w:tbl>
    <w:p>
      <w:pPr>
        <w:widowControl w:val="0"/>
        <w:spacing w:line="1" w:lineRule="exact"/>
      </w:pPr>
      <w:r>
        <w:br w:type="page"/>
      </w:r>
    </w:p>
    <w:tbl>
      <w:tblPr>
        <w:tblOverlap w:val="never"/>
        <w:jc w:val="center"/>
        <w:tblLayout w:type="fixed"/>
      </w:tblPr>
      <w:tblGrid>
        <w:gridCol w:w="2299"/>
        <w:gridCol w:w="1085"/>
        <w:gridCol w:w="1267"/>
        <w:gridCol w:w="1795"/>
        <w:gridCol w:w="1454"/>
        <w:gridCol w:w="1262"/>
        <w:gridCol w:w="1080"/>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万元及相关费用。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月，因公司未能 按期偿还厦门国际银行股 份有限公司珠海分行</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 xml:space="preserve">万元本金及相应利息，债权 人向珠海市香洲区人民法 院提起诉讼,要求公司偿还 本金、利息及相关费用合计 </w:t>
            </w:r>
            <w:r>
              <w:rPr>
                <w:rFonts w:ascii="Times New Roman" w:eastAsia="Times New Roman" w:hAnsi="Times New Roman" w:cs="Times New Roman"/>
                <w:color w:val="000000"/>
                <w:spacing w:val="0"/>
                <w:w w:val="100"/>
                <w:position w:val="0"/>
                <w:sz w:val="18"/>
                <w:szCs w:val="18"/>
              </w:rPr>
              <w:t>2,291.24</w:t>
            </w:r>
            <w:r>
              <w:rPr>
                <w:color w:val="000000"/>
                <w:spacing w:val="0"/>
                <w:w w:val="100"/>
                <w:position w:val="0"/>
              </w:rPr>
              <w:t>万元，并要求蓝盾 技术、实际控制人柯宗庆、 柯宗贵等相关方对公司该 笔债务承担连带清偿责任。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珠海市香洲区人民 法院就该事项向公 司及各方发出传票。 该案件已于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日一审开 庭，暂未判决。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暂未判决执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第五节重 要事项”之“八、 诉讼事项”。</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月，因满泰科技 未能按期偿还长沙银行股 份有限公司广州分行</w:t>
            </w: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万元本金及相应利息，债权 人向广州市天河区人民法 院提起诉讼,要求满泰科技 偿还本金、利息及相关费用 合计</w:t>
            </w:r>
            <w:r>
              <w:rPr>
                <w:rFonts w:ascii="Times New Roman" w:eastAsia="Times New Roman" w:hAnsi="Times New Roman" w:cs="Times New Roman"/>
                <w:color w:val="000000"/>
                <w:spacing w:val="0"/>
                <w:w w:val="100"/>
                <w:position w:val="0"/>
                <w:sz w:val="18"/>
                <w:szCs w:val="18"/>
              </w:rPr>
              <w:t>2,511.42</w:t>
            </w:r>
            <w:r>
              <w:rPr>
                <w:color w:val="000000"/>
                <w:spacing w:val="0"/>
                <w:w w:val="100"/>
                <w:position w:val="0"/>
              </w:rPr>
              <w:t>万元，并要求 蓝盾股份、实际控制人柯宗 庆、柯宗贵等相关方对该笔 债务承担连带清偿责任。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是（罚息、仲 裁费等）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日广 州市天河区人民法 院向当事人发出传 票,双方于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日达成和解协 议，广东省广州市天 河区人民法院于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日出 具《民事调解书》， 满泰科技自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分四期偿还该款项。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已和解待履约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已和解待履 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详见公司披露于 巨潮资讯网的《关 于深圳证券交易 所半年报问询函 回复的公告》</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月，因蓝盾技术 未能按期偿还长沙银行股 份有限公司广州分行 </w:t>
            </w:r>
            <w:r>
              <w:rPr>
                <w:rFonts w:ascii="Times New Roman" w:eastAsia="Times New Roman" w:hAnsi="Times New Roman" w:cs="Times New Roman"/>
                <w:color w:val="000000"/>
                <w:spacing w:val="0"/>
                <w:w w:val="100"/>
                <w:position w:val="0"/>
                <w:sz w:val="18"/>
                <w:szCs w:val="18"/>
              </w:rPr>
              <w:t>11,811.52</w:t>
            </w:r>
            <w:r>
              <w:rPr>
                <w:color w:val="000000"/>
                <w:spacing w:val="0"/>
                <w:w w:val="100"/>
                <w:position w:val="0"/>
              </w:rPr>
              <w:t xml:space="preserve">万元本金及相应 利息,债权人向广东省广州 市中级人民法院提起诉讼， 要求蓝盾技术偿还本金、利 息及相关费用合计 </w:t>
            </w:r>
            <w:r>
              <w:rPr>
                <w:rFonts w:ascii="Times New Roman" w:eastAsia="Times New Roman" w:hAnsi="Times New Roman" w:cs="Times New Roman"/>
                <w:color w:val="000000"/>
                <w:spacing w:val="0"/>
                <w:w w:val="100"/>
                <w:position w:val="0"/>
                <w:sz w:val="18"/>
                <w:szCs w:val="18"/>
              </w:rPr>
              <w:t>12,193.69</w:t>
            </w:r>
            <w:r>
              <w:rPr>
                <w:color w:val="000000"/>
                <w:spacing w:val="0"/>
                <w:w w:val="100"/>
                <w:position w:val="0"/>
              </w:rPr>
              <w:t>万元，并要求蓝 盾股份、实际控制人柯宗 庆、柯宗贵等相关方对公司 该笔债务承担连带清偿责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是（罚息、仲 裁费等）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日广州 市中级人民法院向 当事人发出传票，于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日出 具《民事调解书》， 双方达成和解，蓝盾 技术自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月分十 四期偿还该款项。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已和解待履约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已和解待履 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详见公司披露于 巨潮资讯网的《关 于深圳证券交易 所半年报问询函 回复的公告》</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月，因蓝盾技术 未能按期偿还远东国际融 资租赁有限公司</w:t>
            </w:r>
            <w:r>
              <w:rPr>
                <w:rFonts w:ascii="Times New Roman" w:eastAsia="Times New Roman" w:hAnsi="Times New Roman" w:cs="Times New Roman"/>
                <w:color w:val="000000"/>
                <w:spacing w:val="0"/>
                <w:w w:val="100"/>
                <w:position w:val="0"/>
                <w:sz w:val="18"/>
                <w:szCs w:val="18"/>
              </w:rPr>
              <w:t xml:space="preserve">1,952.77 </w:t>
            </w:r>
            <w:r>
              <w:rPr>
                <w:color w:val="000000"/>
                <w:spacing w:val="0"/>
                <w:w w:val="100"/>
                <w:position w:val="0"/>
              </w:rPr>
              <w:t>万元本金及相应利息，债权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是（罚息、仲 裁费等）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日上 海市浦东新区人民 法院向当事人发出 传票，于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已和解待履约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已和解待履 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详见公司披露于 巨潮资讯网的《关 于深圳证券交易 所半年报问询函</w:t>
            </w:r>
          </w:p>
        </w:tc>
      </w:tr>
    </w:tbl>
    <w:p>
      <w:pPr>
        <w:widowControl w:val="0"/>
        <w:spacing w:line="1" w:lineRule="exact"/>
      </w:pPr>
      <w:r>
        <w:br w:type="page"/>
      </w:r>
    </w:p>
    <w:tbl>
      <w:tblPr>
        <w:tblOverlap w:val="never"/>
        <w:jc w:val="center"/>
        <w:tblLayout w:type="fixed"/>
      </w:tblPr>
      <w:tblGrid>
        <w:gridCol w:w="2299"/>
        <w:gridCol w:w="1085"/>
        <w:gridCol w:w="1267"/>
        <w:gridCol w:w="1795"/>
        <w:gridCol w:w="1454"/>
        <w:gridCol w:w="1262"/>
        <w:gridCol w:w="1080"/>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3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人向上海市浦东新区人民 法院提起诉讼，要求蓝盾技 术偿还本金、利息及相关费 用合计</w:t>
            </w:r>
            <w:r>
              <w:rPr>
                <w:rFonts w:ascii="Times New Roman" w:eastAsia="Times New Roman" w:hAnsi="Times New Roman" w:cs="Times New Roman"/>
                <w:color w:val="000000"/>
                <w:spacing w:val="0"/>
                <w:w w:val="100"/>
                <w:position w:val="0"/>
                <w:sz w:val="18"/>
                <w:szCs w:val="18"/>
              </w:rPr>
              <w:t>2,041.30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日出具《民事调 解书》，双方达成和 解，蓝盾信息安全技 术有限公司应当自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月分十三期偿还 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回复的公告》</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月，因蓝盾股份 未能按期偿还远东国际融 资租赁有限公司</w:t>
            </w:r>
            <w:r>
              <w:rPr>
                <w:rFonts w:ascii="Times New Roman" w:eastAsia="Times New Roman" w:hAnsi="Times New Roman" w:cs="Times New Roman"/>
                <w:color w:val="000000"/>
                <w:spacing w:val="0"/>
                <w:w w:val="100"/>
                <w:position w:val="0"/>
                <w:sz w:val="18"/>
                <w:szCs w:val="18"/>
              </w:rPr>
              <w:t xml:space="preserve">2,086.44 </w:t>
            </w:r>
            <w:r>
              <w:rPr>
                <w:color w:val="000000"/>
                <w:spacing w:val="0"/>
                <w:w w:val="100"/>
                <w:position w:val="0"/>
              </w:rPr>
              <w:t>万元本金及相应利息，债权 人向上海市浦东新区人民 法院提起诉讼，要求蓝盾股 份偿还本金、利息及相关费 用合计</w:t>
            </w:r>
            <w:r>
              <w:rPr>
                <w:rFonts w:ascii="Times New Roman" w:eastAsia="Times New Roman" w:hAnsi="Times New Roman" w:cs="Times New Roman"/>
                <w:color w:val="000000"/>
                <w:spacing w:val="0"/>
                <w:w w:val="100"/>
                <w:position w:val="0"/>
                <w:sz w:val="18"/>
                <w:szCs w:val="18"/>
              </w:rPr>
              <w:t>2,126.44</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是（罚息、仲 裁费等）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 海市浦东新区人民 法院向当事人发出 传票，于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日出具《民事调 解书》，双方达成和 解，蓝盾股份应当自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月分十四期偿还 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已和解待履约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已和解待履 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详见公司披露于 巨潮资讯网的《关 于深圳证券交易 所半年报问询函 回复的公告》</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月，因蓝盾技术 未能按期偿还远东国际融 资租赁有限公司</w:t>
            </w:r>
            <w:r>
              <w:rPr>
                <w:rFonts w:ascii="Times New Roman" w:eastAsia="Times New Roman" w:hAnsi="Times New Roman" w:cs="Times New Roman"/>
                <w:color w:val="000000"/>
                <w:spacing w:val="0"/>
                <w:w w:val="100"/>
                <w:position w:val="0"/>
                <w:sz w:val="18"/>
                <w:szCs w:val="18"/>
              </w:rPr>
              <w:t xml:space="preserve">2,086.32 </w:t>
            </w:r>
            <w:r>
              <w:rPr>
                <w:color w:val="000000"/>
                <w:spacing w:val="0"/>
                <w:w w:val="100"/>
                <w:position w:val="0"/>
              </w:rPr>
              <w:t>万元本金及相应利息，债权 人向上海市浦东新区人民 法院提起诉讼，要求蓝盾技 术偿还本金、利息及相关费 用合计</w:t>
            </w:r>
            <w:r>
              <w:rPr>
                <w:rFonts w:ascii="Times New Roman" w:eastAsia="Times New Roman" w:hAnsi="Times New Roman" w:cs="Times New Roman"/>
                <w:color w:val="000000"/>
                <w:spacing w:val="0"/>
                <w:w w:val="100"/>
                <w:position w:val="0"/>
                <w:sz w:val="18"/>
                <w:szCs w:val="18"/>
              </w:rPr>
              <w:t>2,149.90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是（罚息、仲 裁费等）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 海市浦东新区人民 法院向当事人发出 传票，于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日出具《民事调 解书》，双方达成和 解，蓝盾技术自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月分十四期偿还该 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已和解待履约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已和解待履 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详见公司披露于 巨潮资讯网的《关 于深圳证券交易 所半年报问询函 回复的公告》</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因满泰科技未能按期偿还 民生银行股份有限公司广 州分</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万元本金及 相应利息，债权人向广东省 广州市天河区人民法院提 起诉讼，要求其偿还本金、 利息及相关费用，并要求蓝 盾股份及相关担保方对该 笔债务承担连带清偿责任。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日广 州市天河区人民法 院向当事人各方发 出传票，该案件于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日开 庭审理，暂未判决。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详见公司披露于 巨潮资讯网的《关 于深圳证券交易 所关注函回复的 公告》</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因中经电商未能按期偿还 民生银行股份有限公司广 州分行</w:t>
            </w:r>
            <w:r>
              <w:rPr>
                <w:rFonts w:ascii="Times New Roman" w:eastAsia="Times New Roman" w:hAnsi="Times New Roman" w:cs="Times New Roman"/>
                <w:color w:val="000000"/>
                <w:spacing w:val="0"/>
                <w:w w:val="100"/>
                <w:position w:val="0"/>
                <w:sz w:val="18"/>
                <w:szCs w:val="18"/>
              </w:rPr>
              <w:t>3,900.00</w:t>
            </w:r>
            <w:r>
              <w:rPr>
                <w:color w:val="000000"/>
                <w:spacing w:val="0"/>
                <w:w w:val="100"/>
                <w:position w:val="0"/>
              </w:rPr>
              <w:t>万元本金 及相应利息,债权人向广东 省广州市天河区人民法院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日广 州市天河区人民法 院向当事人各方发 出传票，该案件于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详见公司披露于 巨潮资讯网的《关 于深圳证券交易 所关注函回复的 公告》</w:t>
            </w:r>
          </w:p>
        </w:tc>
      </w:tr>
    </w:tbl>
    <w:p>
      <w:pPr>
        <w:widowControl w:val="0"/>
        <w:spacing w:line="1" w:lineRule="exact"/>
      </w:pPr>
      <w:r>
        <w:br w:type="page"/>
      </w:r>
    </w:p>
    <w:tbl>
      <w:tblPr>
        <w:tblOverlap w:val="never"/>
        <w:jc w:val="center"/>
        <w:tblLayout w:type="fixed"/>
      </w:tblPr>
      <w:tblGrid>
        <w:gridCol w:w="2299"/>
        <w:gridCol w:w="1085"/>
        <w:gridCol w:w="1267"/>
        <w:gridCol w:w="1795"/>
        <w:gridCol w:w="1454"/>
        <w:gridCol w:w="1262"/>
        <w:gridCol w:w="1080"/>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提起诉讼，要求其偿还本 金、利息及相关费用，并要 求蓝盾股份及相关担保方 对该笔债务承担连带清偿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庭审理，暂未判决。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因蓝盾技术未能按期偿还 民生银行股份有限公司广 州分行</w:t>
            </w:r>
            <w:r>
              <w:rPr>
                <w:rFonts w:ascii="Times New Roman" w:eastAsia="Times New Roman" w:hAnsi="Times New Roman" w:cs="Times New Roman"/>
                <w:color w:val="000000"/>
                <w:spacing w:val="0"/>
                <w:w w:val="100"/>
                <w:position w:val="0"/>
                <w:sz w:val="18"/>
                <w:szCs w:val="18"/>
              </w:rPr>
              <w:t>7,907.50</w:t>
            </w:r>
            <w:r>
              <w:rPr>
                <w:color w:val="000000"/>
                <w:spacing w:val="0"/>
                <w:w w:val="100"/>
                <w:position w:val="0"/>
              </w:rPr>
              <w:t>万元本金 及相应利息,债权人向广东 省广州市天河区人民法院 提起诉讼，要求其偿还本 金、利息及相关费用，并要 求蓝盾股份及相关担保方 对该笔债务承担连带清偿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日广 州市天河区人民法 院向当事人各方发 出传票，该案件于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日开庭 审理，暂未判决。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详见公司披露于 巨潮资讯网的《关 于深圳证券交易 所关注函回复的 公告》</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因蓝盾技术未能按期偿还 广发银行股份有限公司广 州分行</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万元本金及相 应利息，债权人向广东省广 州市天河区人民法院提起 诉讼,要求蓝盾技术偿还本 金、利息及相关费用，并要 求蓝盾股份对该笔债务承 担连带清偿责任。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日广 州市天河区人民法 院向当事人各方发 出传票，该案件于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日开 庭审理，暂未判决。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详见公司披露于 巨潮资讯网的《关 于深圳证券交易 所关注函回复的 公告》</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因蓝盾股份未能按期偿还 江西银行股份有限公司广 州分行</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 xml:space="preserve">万元本金 及相应利息,债权人向广东 省广州市中级人民法院提 起诉讼，要求蓝盾股份偿还 借款本金、利息及相关费用 </w:t>
            </w:r>
            <w:r>
              <w:rPr>
                <w:rFonts w:ascii="Times New Roman" w:eastAsia="Times New Roman" w:hAnsi="Times New Roman" w:cs="Times New Roman"/>
                <w:color w:val="000000"/>
                <w:spacing w:val="0"/>
                <w:w w:val="100"/>
                <w:position w:val="0"/>
                <w:sz w:val="18"/>
                <w:szCs w:val="18"/>
              </w:rPr>
              <w:t>30,866.30</w:t>
            </w:r>
            <w:r>
              <w:rPr>
                <w:color w:val="000000"/>
                <w:spacing w:val="0"/>
                <w:w w:val="100"/>
                <w:position w:val="0"/>
              </w:rPr>
              <w:t>万元，并要求柯 宗庆、柯宗贵、西咸蓝盾、 成都蓝盾等相关担保方对 该笔债务承担连带清偿责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广东省广州市中级 人民法院向当事人 各方发出传票，该案 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日开庭审理，暂未判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因蓝盾技术和中经电商未 能按期偿还广州银行股份 有限公司淘金支行 </w:t>
            </w:r>
            <w:r>
              <w:rPr>
                <w:rFonts w:ascii="Times New Roman" w:eastAsia="Times New Roman" w:hAnsi="Times New Roman" w:cs="Times New Roman"/>
                <w:color w:val="000000"/>
                <w:spacing w:val="0"/>
                <w:w w:val="100"/>
                <w:position w:val="0"/>
                <w:sz w:val="18"/>
                <w:szCs w:val="18"/>
              </w:rPr>
              <w:t>11,238.85</w:t>
            </w:r>
            <w:r>
              <w:rPr>
                <w:color w:val="000000"/>
                <w:spacing w:val="0"/>
                <w:w w:val="100"/>
                <w:position w:val="0"/>
              </w:rPr>
              <w:t>万元本金及相应 利息,债权人向广东省广州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11,683.09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广州市越秀区人民 法院作出一审判决。</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公司提起上诉，暂未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告》“第五节重要 事项”之</w:t>
            </w:r>
            <w:r>
              <w:rPr>
                <w:i/>
                <w:iCs/>
                <w:color w:val="000000"/>
                <w:spacing w:val="0"/>
                <w:w w:val="100"/>
                <w:position w:val="0"/>
              </w:rPr>
              <w:t>"</w:t>
            </w:r>
            <w:r>
              <w:rPr>
                <w:color w:val="000000"/>
                <w:spacing w:val="0"/>
                <w:w w:val="100"/>
                <w:position w:val="0"/>
              </w:rPr>
              <w:t>^一、</w:t>
            </w:r>
          </w:p>
        </w:tc>
      </w:tr>
    </w:tbl>
    <w:p>
      <w:pPr>
        <w:widowControl w:val="0"/>
        <w:spacing w:line="1" w:lineRule="exact"/>
      </w:pPr>
      <w:r>
        <w:br w:type="page"/>
      </w:r>
    </w:p>
    <w:tbl>
      <w:tblPr>
        <w:tblOverlap w:val="never"/>
        <w:jc w:val="center"/>
        <w:tblLayout w:type="fixed"/>
      </w:tblPr>
      <w:tblGrid>
        <w:gridCol w:w="2299"/>
        <w:gridCol w:w="1085"/>
        <w:gridCol w:w="1267"/>
        <w:gridCol w:w="1795"/>
        <w:gridCol w:w="1454"/>
        <w:gridCol w:w="1262"/>
        <w:gridCol w:w="1080"/>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22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市越秀区人民法院提起诉 讼，要求蓝盾技术和中经电 商偿还借款本金、利息及相 关费用</w:t>
            </w:r>
            <w:r>
              <w:rPr>
                <w:rFonts w:ascii="Times New Roman" w:eastAsia="Times New Roman" w:hAnsi="Times New Roman" w:cs="Times New Roman"/>
                <w:color w:val="000000"/>
                <w:spacing w:val="0"/>
                <w:w w:val="100"/>
                <w:position w:val="0"/>
                <w:sz w:val="18"/>
                <w:szCs w:val="18"/>
              </w:rPr>
              <w:t>11,683.09</w:t>
            </w:r>
            <w:r>
              <w:rPr>
                <w:color w:val="000000"/>
                <w:spacing w:val="0"/>
                <w:w w:val="100"/>
                <w:position w:val="0"/>
              </w:rPr>
              <w:t>万元，并 要求蓝盾股份、柯宗庆、柯 宗贵等相关担保方对该笔 债务承担连带清偿责任。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重大诉讼、仲裁事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因中经电商未能按期偿还 招商银行股份有限公司广 州分行</w:t>
            </w:r>
            <w:r>
              <w:rPr>
                <w:rFonts w:ascii="Times New Roman" w:eastAsia="Times New Roman" w:hAnsi="Times New Roman" w:cs="Times New Roman"/>
                <w:color w:val="000000"/>
                <w:spacing w:val="0"/>
                <w:w w:val="100"/>
                <w:position w:val="0"/>
                <w:sz w:val="18"/>
                <w:szCs w:val="18"/>
              </w:rPr>
              <w:t>4,940.00</w:t>
            </w:r>
            <w:r>
              <w:rPr>
                <w:color w:val="000000"/>
                <w:spacing w:val="0"/>
                <w:w w:val="100"/>
                <w:position w:val="0"/>
              </w:rPr>
              <w:t xml:space="preserve">万元本金 及相应利息,债权人向广州 市南沙区人民法院提起诉 讼，要求中经电商偿还借款 本金、利息及相关费用 </w:t>
            </w:r>
            <w:r>
              <w:rPr>
                <w:rFonts w:ascii="Times New Roman" w:eastAsia="Times New Roman" w:hAnsi="Times New Roman" w:cs="Times New Roman"/>
                <w:color w:val="000000"/>
                <w:spacing w:val="0"/>
                <w:w w:val="100"/>
                <w:position w:val="0"/>
                <w:sz w:val="18"/>
                <w:szCs w:val="18"/>
              </w:rPr>
              <w:t>4,940.00</w:t>
            </w:r>
            <w:r>
              <w:rPr>
                <w:color w:val="000000"/>
                <w:spacing w:val="0"/>
                <w:w w:val="100"/>
                <w:position w:val="0"/>
              </w:rPr>
              <w:t>万元，并要求蓝盾 股份、柯宗庆、柯宗贵等相 关担保方对该笔债务承担 连带清偿责任。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 广州市天河区人民 法院向当事人各方 发出传票，该案件于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日开 庭审理，暂未判决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因蓝盾技术未能按期偿还 中国建设银行股份有限公 司广州经济技术开发区支 行</w:t>
            </w:r>
            <w:r>
              <w:rPr>
                <w:rFonts w:ascii="Times New Roman" w:eastAsia="Times New Roman" w:hAnsi="Times New Roman" w:cs="Times New Roman"/>
                <w:color w:val="000000"/>
                <w:spacing w:val="0"/>
                <w:w w:val="100"/>
                <w:position w:val="0"/>
                <w:sz w:val="18"/>
                <w:szCs w:val="18"/>
              </w:rPr>
              <w:t>4,591.71</w:t>
            </w:r>
            <w:r>
              <w:rPr>
                <w:color w:val="000000"/>
                <w:spacing w:val="0"/>
                <w:w w:val="100"/>
                <w:position w:val="0"/>
              </w:rPr>
              <w:t>万元本金及相 应利息，债权人向广州市黄 埔区人民法院提起诉讼，要 求蓝盾技术偿还借款本金、 利息及相关费用</w:t>
            </w:r>
            <w:r>
              <w:rPr>
                <w:rFonts w:ascii="Times New Roman" w:eastAsia="Times New Roman" w:hAnsi="Times New Roman" w:cs="Times New Roman"/>
                <w:color w:val="000000"/>
                <w:spacing w:val="0"/>
                <w:w w:val="100"/>
                <w:position w:val="0"/>
                <w:sz w:val="18"/>
                <w:szCs w:val="18"/>
              </w:rPr>
              <w:t xml:space="preserve">4,836.42 </w:t>
            </w:r>
            <w:r>
              <w:rPr>
                <w:color w:val="000000"/>
                <w:spacing w:val="0"/>
                <w:w w:val="100"/>
                <w:position w:val="0"/>
              </w:rPr>
              <w:t>万元，并要求蓝盾股份、柯 宗庆、柯宗贵等相关担保方 对该笔债务承担连带清偿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日，广 州市黄埔区人民法 院向当事人各方发 出传票，该案件将于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日开庭 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因蓝盾技术未能按期偿还 中信银行股份有限公司广 州分行</w:t>
            </w:r>
            <w:r>
              <w:rPr>
                <w:rFonts w:ascii="Times New Roman" w:eastAsia="Times New Roman" w:hAnsi="Times New Roman" w:cs="Times New Roman"/>
                <w:color w:val="000000"/>
                <w:spacing w:val="0"/>
                <w:w w:val="100"/>
                <w:position w:val="0"/>
                <w:sz w:val="18"/>
                <w:szCs w:val="18"/>
              </w:rPr>
              <w:t>2,955.85</w:t>
            </w:r>
            <w:r>
              <w:rPr>
                <w:color w:val="000000"/>
                <w:spacing w:val="0"/>
                <w:w w:val="100"/>
                <w:position w:val="0"/>
              </w:rPr>
              <w:t xml:space="preserve">万元本金 及相应利息,债权人向广州 仲裁委员会提起仲裁，要求 蓝盾技术偿还借款本金、利 息及相关费用合计 </w:t>
            </w:r>
            <w:r>
              <w:rPr>
                <w:rFonts w:ascii="Times New Roman" w:eastAsia="Times New Roman" w:hAnsi="Times New Roman" w:cs="Times New Roman"/>
                <w:color w:val="000000"/>
                <w:spacing w:val="0"/>
                <w:w w:val="100"/>
                <w:position w:val="0"/>
                <w:sz w:val="18"/>
                <w:szCs w:val="18"/>
              </w:rPr>
              <w:t>3,166.47</w:t>
            </w:r>
            <w:r>
              <w:rPr>
                <w:color w:val="000000"/>
                <w:spacing w:val="0"/>
                <w:w w:val="100"/>
                <w:position w:val="0"/>
              </w:rPr>
              <w:t>万元，并要求蓝盾 股份、柯宗庆、柯宗贵等相 关担保方对该笔债务承担 连带清偿责任。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3,166.47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 广州仲裁委员会就 该事项做出裁决，要 求蓝盾技术偿还本 息及相关费用合计 </w:t>
            </w:r>
            <w:r>
              <w:rPr>
                <w:rFonts w:ascii="Times New Roman" w:eastAsia="Times New Roman" w:hAnsi="Times New Roman" w:cs="Times New Roman"/>
                <w:color w:val="000000"/>
                <w:spacing w:val="0"/>
                <w:w w:val="100"/>
                <w:position w:val="0"/>
                <w:sz w:val="18"/>
                <w:szCs w:val="18"/>
              </w:rPr>
              <w:t xml:space="preserve">3,166.47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已裁决待履约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已裁决待履 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p>
        </w:tc>
      </w:tr>
    </w:tbl>
    <w:p>
      <w:pPr>
        <w:widowControl w:val="0"/>
        <w:spacing w:line="1" w:lineRule="exact"/>
      </w:pPr>
      <w:r>
        <w:br w:type="page"/>
      </w:r>
    </w:p>
    <w:tbl>
      <w:tblPr>
        <w:tblOverlap w:val="never"/>
        <w:jc w:val="center"/>
        <w:tblLayout w:type="fixed"/>
      </w:tblPr>
      <w:tblGrid>
        <w:gridCol w:w="2299"/>
        <w:gridCol w:w="1085"/>
        <w:gridCol w:w="1267"/>
        <w:gridCol w:w="1795"/>
        <w:gridCol w:w="1454"/>
        <w:gridCol w:w="1262"/>
        <w:gridCol w:w="1080"/>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因蓝盾技术未能按期偿还 广东恒孚融资租赁有限公 司</w:t>
            </w:r>
            <w:r>
              <w:rPr>
                <w:rFonts w:ascii="Times New Roman" w:eastAsia="Times New Roman" w:hAnsi="Times New Roman" w:cs="Times New Roman"/>
                <w:color w:val="000000"/>
                <w:spacing w:val="0"/>
                <w:w w:val="100"/>
                <w:position w:val="0"/>
                <w:sz w:val="18"/>
                <w:szCs w:val="18"/>
              </w:rPr>
              <w:t>2,765.92</w:t>
            </w:r>
            <w:r>
              <w:rPr>
                <w:color w:val="000000"/>
                <w:spacing w:val="0"/>
                <w:w w:val="100"/>
                <w:position w:val="0"/>
              </w:rPr>
              <w:t>万元本金及相 应利息，债权人向珠海横琴 新区人民法院提起诉讼，要 求蓝盾技术偿还借款本金、 利息及相关费用</w:t>
            </w:r>
            <w:r>
              <w:rPr>
                <w:rFonts w:ascii="Times New Roman" w:eastAsia="Times New Roman" w:hAnsi="Times New Roman" w:cs="Times New Roman"/>
                <w:color w:val="000000"/>
                <w:spacing w:val="0"/>
                <w:w w:val="100"/>
                <w:position w:val="0"/>
                <w:sz w:val="18"/>
                <w:szCs w:val="18"/>
              </w:rPr>
              <w:t xml:space="preserve">2,783.97 </w:t>
            </w:r>
            <w:r>
              <w:rPr>
                <w:color w:val="000000"/>
                <w:spacing w:val="0"/>
                <w:w w:val="100"/>
                <w:position w:val="0"/>
              </w:rPr>
              <w:t>万元,并要求相关担保方蓝 盾股份、成都蓝盾、柯宗庆、 柯宗贵对该笔债务承担连 带清偿责任。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日，珠 海横琴新区人民法 院就该事项向当事 人各方发出通知。该 案件于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日被珠海横琴新 区人民法院判决驳 回公司对管辖权提 出的异议。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因蓝盾股份未能按期偿还 广发融资租赁（广东）有限 公司</w:t>
            </w:r>
            <w:r>
              <w:rPr>
                <w:rFonts w:ascii="Times New Roman" w:eastAsia="Times New Roman" w:hAnsi="Times New Roman" w:cs="Times New Roman"/>
                <w:color w:val="000000"/>
                <w:spacing w:val="0"/>
                <w:w w:val="100"/>
                <w:position w:val="0"/>
                <w:sz w:val="18"/>
                <w:szCs w:val="18"/>
              </w:rPr>
              <w:t>5,177.46</w:t>
            </w:r>
            <w:r>
              <w:rPr>
                <w:color w:val="000000"/>
                <w:spacing w:val="0"/>
                <w:w w:val="100"/>
                <w:position w:val="0"/>
              </w:rPr>
              <w:t xml:space="preserve">万元本金及 相应利息，债权人向广州市 南沙区人民法院提起诉讼， 要求蓝盾股份偿还借款本 金、利息及相关费用 </w:t>
            </w:r>
            <w:r>
              <w:rPr>
                <w:rFonts w:ascii="Times New Roman" w:eastAsia="Times New Roman" w:hAnsi="Times New Roman" w:cs="Times New Roman"/>
                <w:color w:val="000000"/>
                <w:spacing w:val="0"/>
                <w:w w:val="100"/>
                <w:position w:val="0"/>
                <w:sz w:val="18"/>
                <w:szCs w:val="18"/>
              </w:rPr>
              <w:t>5,197.37</w:t>
            </w:r>
            <w:r>
              <w:rPr>
                <w:color w:val="000000"/>
                <w:spacing w:val="0"/>
                <w:w w:val="100"/>
                <w:position w:val="0"/>
              </w:rPr>
              <w:t>万元，并要求蓝盾 技术、成都蓝盾等相关担保 方对该笔债务承担连带清 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广州市南沙区人民 法院就该事项向当 事人各方发出传票。 该案件于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日开庭审理。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r>
              <w:rPr>
                <w:color w:val="000000"/>
                <w:spacing w:val="0"/>
                <w:w w:val="100"/>
                <w:position w:val="0"/>
              </w:rPr>
              <w:t>”</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因蓝盾技术、华炜科技、中 经电商、西咸蓝盾未能按期 偿还科学城（广州）投资集 团有限公司</w:t>
            </w:r>
            <w:r>
              <w:rPr>
                <w:rFonts w:ascii="Times New Roman" w:eastAsia="Times New Roman" w:hAnsi="Times New Roman" w:cs="Times New Roman"/>
                <w:color w:val="000000"/>
                <w:spacing w:val="0"/>
                <w:w w:val="100"/>
                <w:position w:val="0"/>
                <w:sz w:val="18"/>
                <w:szCs w:val="18"/>
              </w:rPr>
              <w:t>13,176.55</w:t>
            </w:r>
            <w:r>
              <w:rPr>
                <w:color w:val="000000"/>
                <w:spacing w:val="0"/>
                <w:w w:val="100"/>
                <w:position w:val="0"/>
              </w:rPr>
              <w:t xml:space="preserve">万元 融租租赁业务本金及相应 利息,债权人向广州市黄埔 区人民法院提起诉讼，要求 前述各债务人偿还借款本 金、利息及相关费用 </w:t>
            </w:r>
            <w:r>
              <w:rPr>
                <w:rFonts w:ascii="Times New Roman" w:eastAsia="Times New Roman" w:hAnsi="Times New Roman" w:cs="Times New Roman"/>
                <w:color w:val="000000"/>
                <w:spacing w:val="0"/>
                <w:w w:val="100"/>
                <w:position w:val="0"/>
                <w:sz w:val="18"/>
                <w:szCs w:val="18"/>
              </w:rPr>
              <w:t>14,624.77</w:t>
            </w:r>
            <w:r>
              <w:rPr>
                <w:color w:val="000000"/>
                <w:spacing w:val="0"/>
                <w:w w:val="100"/>
                <w:position w:val="0"/>
              </w:rPr>
              <w:t>万元，并要求相 关担保方对该笔债务承担 连带清偿责任。该事项共涉 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起案件。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广州市黄埔区人民 法院向当事人各方 发出传票，该案件于</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日开 庭审理。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r>
              <w:rPr>
                <w:color w:val="000000"/>
                <w:spacing w:val="0"/>
                <w:w w:val="100"/>
                <w:position w:val="0"/>
              </w:rPr>
              <w:t>”</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因中经电商与纳斯特投资 管理有限公司（以下简称</w:t>
            </w:r>
          </w:p>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“纳斯特投资”）的服务合 同纠纷案件，中国广州仲裁 委员会于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作出（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）穗仲案字第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 中经电商与纳斯特 投资已就上述债权 清偿事项达成庭外 和解，并签署了《和 解协议》。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已和解待履约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已和解待履 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详见公司披露于 巨潮资讯网的《关 于子公司被申请 破产清算的提示 性公告》</w:t>
            </w:r>
          </w:p>
        </w:tc>
      </w:tr>
    </w:tbl>
    <w:p>
      <w:pPr>
        <w:widowControl w:val="0"/>
        <w:spacing w:line="1" w:lineRule="exact"/>
      </w:pPr>
      <w:r>
        <w:br w:type="page"/>
      </w:r>
    </w:p>
    <w:tbl>
      <w:tblPr>
        <w:tblOverlap w:val="never"/>
        <w:jc w:val="center"/>
        <w:tblLayout w:type="fixed"/>
      </w:tblPr>
      <w:tblGrid>
        <w:gridCol w:w="2299"/>
        <w:gridCol w:w="1085"/>
        <w:gridCol w:w="1267"/>
        <w:gridCol w:w="1795"/>
        <w:gridCol w:w="1454"/>
        <w:gridCol w:w="1262"/>
        <w:gridCol w:w="1080"/>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1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 xml:space="preserve">号仲裁裁决书，裁决被 中经电商向纳斯特投资返 还欠款及相关费用合计 </w:t>
            </w:r>
            <w:r>
              <w:rPr>
                <w:rFonts w:ascii="Times New Roman" w:eastAsia="Times New Roman" w:hAnsi="Times New Roman" w:cs="Times New Roman"/>
                <w:color w:val="000000"/>
                <w:spacing w:val="0"/>
                <w:w w:val="100"/>
                <w:position w:val="0"/>
                <w:sz w:val="18"/>
                <w:szCs w:val="18"/>
              </w:rPr>
              <w:t>620.83</w:t>
            </w:r>
            <w:r>
              <w:rPr>
                <w:color w:val="000000"/>
                <w:spacing w:val="0"/>
                <w:w w:val="100"/>
                <w:position w:val="0"/>
              </w:rPr>
              <w:t>万元。中经电商尚未 履行上述生效裁决书所确 定的给付义务，故纳斯特投 资以被中经电商不能清偿 到期债务为由向广东省广 州市中级人民法院申请对 中经电商进行破产清算。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日，纳斯特投 资向广东省广州市 中级人民法院提交 了《撤回破产申请 书》，申请撤回对中 经电商的破产申请。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中经电商其他诉讼事项，主 要为网络服务合同纠纷、合 同纠纷等共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个案件，合 计</w:t>
            </w:r>
            <w:r>
              <w:rPr>
                <w:rFonts w:ascii="Times New Roman" w:eastAsia="Times New Roman" w:hAnsi="Times New Roman" w:cs="Times New Roman"/>
                <w:color w:val="000000"/>
                <w:spacing w:val="0"/>
                <w:w w:val="100"/>
                <w:position w:val="0"/>
                <w:sz w:val="18"/>
                <w:szCs w:val="18"/>
              </w:rPr>
              <w:t>6,876.91</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审理、执行阶段或达 成和解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部分诉讼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在审理阶段、部 分诉讼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 在执行阶段或 达成和解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按照法律法 规执行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详见公司披露于 巨潮资讯网的《关 于子公司涉及诉 讼事项及被列入 失信被执行人的 风险提示公告》</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其他诉讼事项，主要为蓝盾 技术及其他子公司合同纠 纷等共</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项，合计</w:t>
            </w:r>
            <w:r>
              <w:rPr>
                <w:rFonts w:ascii="Times New Roman" w:eastAsia="Times New Roman" w:hAnsi="Times New Roman" w:cs="Times New Roman"/>
                <w:color w:val="000000"/>
                <w:spacing w:val="0"/>
                <w:w w:val="100"/>
                <w:position w:val="0"/>
                <w:sz w:val="18"/>
                <w:szCs w:val="18"/>
              </w:rPr>
              <w:t xml:space="preserve">1,004.22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审理、执行阶段或达 成和解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部分诉讼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在审理阶段、部 分诉讼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 在执行阶段或 达成和解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按照法律法 规执行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详见公司披露于 巨潮资讯网的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告》“第五节重要 事项”之</w:t>
            </w:r>
            <w:r>
              <w:rPr>
                <w:color w:val="000000"/>
                <w:spacing w:val="0"/>
                <w:w w:val="100"/>
                <w:position w:val="0"/>
              </w:rPr>
              <w:t>"</w:t>
            </w:r>
            <w:r>
              <w:rPr>
                <w:color w:val="000000"/>
                <w:spacing w:val="0"/>
                <w:w w:val="100"/>
                <w:position w:val="0"/>
              </w:rPr>
              <w:t>^一、 重大诉讼、仲裁事 项</w:t>
            </w:r>
          </w:p>
        </w:tc>
      </w:tr>
    </w:tbl>
    <w:p>
      <w:pPr>
        <w:widowControl w:val="0"/>
        <w:spacing w:after="319" w:line="1" w:lineRule="exact"/>
      </w:pPr>
    </w:p>
    <w:p>
      <w:pPr>
        <w:pStyle w:val="Style26"/>
        <w:keepNext/>
        <w:keepLines/>
        <w:widowControl w:val="0"/>
        <w:shd w:val="clear" w:color="auto" w:fill="auto"/>
        <w:bidi w:val="0"/>
        <w:spacing w:before="0" w:after="360" w:line="240" w:lineRule="auto"/>
        <w:ind w:left="1100" w:right="0" w:firstLine="0"/>
        <w:jc w:val="left"/>
      </w:pPr>
      <w:bookmarkStart w:id="340" w:name="bookmark340"/>
      <w:bookmarkStart w:id="341" w:name="bookmark341"/>
      <w:bookmarkStart w:id="342" w:name="bookmark342"/>
      <w:r>
        <w:rPr>
          <w:color w:val="000000"/>
          <w:spacing w:val="0"/>
          <w:w w:val="100"/>
          <w:position w:val="0"/>
        </w:rPr>
        <w:t>十二、处罚及整改情况</w:t>
      </w:r>
      <w:bookmarkEnd w:id="340"/>
      <w:bookmarkEnd w:id="341"/>
      <w:bookmarkEnd w:id="342"/>
    </w:p>
    <w:p>
      <w:pPr>
        <w:pStyle w:val="Style28"/>
        <w:keepNext w:val="0"/>
        <w:keepLines w:val="0"/>
        <w:widowControl w:val="0"/>
        <w:shd w:val="clear" w:color="auto" w:fill="auto"/>
        <w:bidi w:val="0"/>
        <w:spacing w:before="0" w:line="240" w:lineRule="auto"/>
        <w:ind w:left="110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1100" w:right="0" w:firstLine="0"/>
        <w:jc w:val="both"/>
      </w:pPr>
      <w:r>
        <w:rPr>
          <w:color w:val="000000"/>
          <w:spacing w:val="0"/>
          <w:w w:val="100"/>
          <w:position w:val="0"/>
        </w:rPr>
        <w:t>公司报告期不存在处罚及整改情况。</w:t>
      </w:r>
    </w:p>
    <w:p>
      <w:pPr>
        <w:pStyle w:val="Style26"/>
        <w:keepNext/>
        <w:keepLines/>
        <w:widowControl w:val="0"/>
        <w:shd w:val="clear" w:color="auto" w:fill="auto"/>
        <w:bidi w:val="0"/>
        <w:spacing w:before="0" w:after="320" w:line="240" w:lineRule="auto"/>
        <w:ind w:left="1100" w:right="0" w:firstLine="0"/>
        <w:jc w:val="both"/>
      </w:pPr>
      <w:bookmarkStart w:id="343" w:name="bookmark343"/>
      <w:bookmarkStart w:id="344" w:name="bookmark344"/>
      <w:bookmarkStart w:id="345" w:name="bookmark345"/>
      <w:r>
        <w:rPr>
          <w:color w:val="000000"/>
          <w:spacing w:val="0"/>
          <w:w w:val="100"/>
          <w:position w:val="0"/>
        </w:rPr>
        <w:t>十三、公司及其控股股东、实际控制人的诚信状况</w:t>
      </w:r>
      <w:bookmarkEnd w:id="343"/>
      <w:bookmarkEnd w:id="344"/>
      <w:bookmarkEnd w:id="345"/>
    </w:p>
    <w:p>
      <w:pPr>
        <w:pStyle w:val="Style38"/>
        <w:keepNext w:val="0"/>
        <w:keepLines w:val="0"/>
        <w:widowControl w:val="0"/>
        <w:shd w:val="clear" w:color="auto" w:fill="auto"/>
        <w:bidi w:val="0"/>
        <w:spacing w:before="0" w:after="0" w:line="318" w:lineRule="exact"/>
        <w:ind w:left="110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tabs>
          <w:tab w:pos="1890" w:val="left"/>
        </w:tabs>
        <w:bidi w:val="0"/>
        <w:spacing w:before="0" w:after="0" w:line="318" w:lineRule="exact"/>
        <w:ind w:left="1100" w:right="0" w:firstLine="420"/>
        <w:jc w:val="both"/>
      </w:pPr>
      <w:bookmarkStart w:id="346" w:name="bookmark346"/>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年以来，受资金流动性不足等因素影响，公司陆续出现债务逾期、涉及诉讼及部分子公司被 列入失信被执行人等事项，日常生产经营受到较大不利影响，偿债能力及盈利能力受到削弱；截至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6"/>
          <w:szCs w:val="26"/>
        </w:rPr>
        <w:t>0，</w:t>
      </w:r>
      <w:r>
        <w:rPr>
          <w:color w:val="000000"/>
          <w:spacing w:val="0"/>
          <w:w w:val="100"/>
          <w:position w:val="0"/>
        </w:rPr>
        <w:t>公司及部分子公司累计债务逾期未偿还金额为</w:t>
      </w:r>
      <w:r>
        <w:rPr>
          <w:rFonts w:ascii="Times New Roman" w:eastAsia="Times New Roman" w:hAnsi="Times New Roman" w:cs="Times New Roman"/>
          <w:color w:val="000000"/>
          <w:spacing w:val="0"/>
          <w:w w:val="100"/>
          <w:position w:val="0"/>
        </w:rPr>
        <w:t>209,163.97</w:t>
      </w:r>
      <w:r>
        <w:rPr>
          <w:color w:val="000000"/>
          <w:spacing w:val="0"/>
          <w:w w:val="100"/>
          <w:position w:val="0"/>
        </w:rPr>
        <w:t>万元。同时，由于涉诉事项被申请诉 前财产保全，公司部分银行账户、资产已被法院冻结</w:t>
      </w:r>
      <w:r>
        <w:rPr>
          <w:rFonts w:ascii="Times New Roman" w:eastAsia="Times New Roman" w:hAnsi="Times New Roman" w:cs="Times New Roman"/>
          <w:color w:val="000000"/>
          <w:spacing w:val="0"/>
          <w:w w:val="100"/>
          <w:position w:val="0"/>
        </w:rPr>
        <w:t>/</w:t>
      </w:r>
      <w:r>
        <w:rPr>
          <w:color w:val="000000"/>
          <w:spacing w:val="0"/>
          <w:w w:val="100"/>
          <w:position w:val="0"/>
        </w:rPr>
        <w:t>查封。详情请查阅公司披露于巨潮资讯网的《关于深 圳证券交易所关注函回复的公告》（公告编号：</w:t>
      </w:r>
      <w:r>
        <w:rPr>
          <w:rFonts w:ascii="Times New Roman" w:eastAsia="Times New Roman" w:hAnsi="Times New Roman" w:cs="Times New Roman"/>
          <w:color w:val="000000"/>
          <w:spacing w:val="0"/>
          <w:w w:val="100"/>
          <w:position w:val="0"/>
        </w:rPr>
        <w:t>2020-123</w:t>
      </w:r>
      <w:r>
        <w:rPr>
          <w:color w:val="000000"/>
          <w:spacing w:val="0"/>
          <w:w w:val="100"/>
          <w:position w:val="0"/>
        </w:rPr>
        <w:t>）</w:t>
      </w:r>
      <w:r>
        <w:rPr>
          <w:color w:val="000000"/>
          <w:spacing w:val="0"/>
          <w:w w:val="100"/>
          <w:position w:val="0"/>
        </w:rPr>
        <w:t>等相关公告。</w:t>
      </w:r>
    </w:p>
    <w:p>
      <w:pPr>
        <w:pStyle w:val="Style38"/>
        <w:keepNext w:val="0"/>
        <w:keepLines w:val="0"/>
        <w:widowControl w:val="0"/>
        <w:shd w:val="clear" w:color="auto" w:fill="auto"/>
        <w:tabs>
          <w:tab w:pos="1890" w:val="left"/>
        </w:tabs>
        <w:bidi w:val="0"/>
        <w:spacing w:before="0" w:after="0" w:line="318" w:lineRule="exact"/>
        <w:ind w:left="1100" w:right="0" w:firstLine="420"/>
        <w:jc w:val="both"/>
      </w:pPr>
      <w:bookmarkStart w:id="347" w:name="bookmark347"/>
      <w:r>
        <w:rPr>
          <w:rFonts w:ascii="Times New Roman" w:eastAsia="Times New Roman" w:hAnsi="Times New Roman" w:cs="Times New Roman"/>
          <w:color w:val="000000"/>
          <w:spacing w:val="0"/>
          <w:w w:val="100"/>
          <w:position w:val="0"/>
        </w:rPr>
        <w:t>2</w:t>
      </w:r>
      <w:bookmarkEnd w:id="347"/>
      <w:r>
        <w:rPr>
          <w:color w:val="000000"/>
          <w:spacing w:val="0"/>
          <w:w w:val="100"/>
          <w:position w:val="0"/>
        </w:rPr>
        <w:t>、</w:t>
        <w:tab/>
        <w:t>截至目前，中国执行信息公开网查询结果显示，子公司中经汇通电子商务有限公司、福建中经汇 通有限责任公司、汇通宝支付有限责任公司存在被列入失信被执行人的情况。</w:t>
      </w:r>
    </w:p>
    <w:p>
      <w:pPr>
        <w:pStyle w:val="Style38"/>
        <w:keepNext w:val="0"/>
        <w:keepLines w:val="0"/>
        <w:widowControl w:val="0"/>
        <w:shd w:val="clear" w:color="auto" w:fill="auto"/>
        <w:tabs>
          <w:tab w:pos="1890" w:val="left"/>
        </w:tabs>
        <w:bidi w:val="0"/>
        <w:spacing w:before="0" w:after="380" w:line="318" w:lineRule="exact"/>
        <w:ind w:left="1100" w:right="0" w:firstLine="420"/>
        <w:jc w:val="both"/>
      </w:pPr>
      <w:bookmarkStart w:id="348" w:name="bookmark348"/>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 xml:space="preserve">因控股股东个人债务纠纷及为公司部分债务提供担保等事项，其涉及较多诉讼事项。此外，公司 控股股东部分质押股份存在违约风险及涉及诉讼，控股股东及其一致行动人持有的本公司股份已全部被冻 </w:t>
      </w:r>
      <w:r>
        <w:rPr>
          <w:color w:val="000000"/>
          <w:spacing w:val="0"/>
          <w:w w:val="100"/>
          <w:position w:val="0"/>
        </w:rPr>
        <w:t>结。详情请查阅公司披露于巨潮资讯网的《关于公司控股股东部分质押股份存在违约风险及涉及诉讼的提 示性公告》(公告编号：</w:t>
      </w:r>
      <w:r>
        <w:rPr>
          <w:rFonts w:ascii="Times New Roman" w:eastAsia="Times New Roman" w:hAnsi="Times New Roman" w:cs="Times New Roman"/>
          <w:color w:val="000000"/>
          <w:spacing w:val="0"/>
          <w:w w:val="100"/>
          <w:position w:val="0"/>
        </w:rPr>
        <w:t>2020-087</w:t>
      </w:r>
      <w:r>
        <w:rPr>
          <w:color w:val="000000"/>
          <w:spacing w:val="0"/>
          <w:w w:val="100"/>
          <w:position w:val="0"/>
        </w:rPr>
        <w:t>)</w:t>
      </w:r>
      <w:r>
        <w:rPr>
          <w:color w:val="000000"/>
          <w:spacing w:val="0"/>
          <w:w w:val="100"/>
          <w:position w:val="0"/>
        </w:rPr>
        <w:t>等相关公告。</w:t>
      </w:r>
    </w:p>
    <w:p>
      <w:pPr>
        <w:pStyle w:val="Style26"/>
        <w:keepNext/>
        <w:keepLines/>
        <w:widowControl w:val="0"/>
        <w:shd w:val="clear" w:color="auto" w:fill="auto"/>
        <w:bidi w:val="0"/>
        <w:spacing w:before="0" w:after="300" w:line="240" w:lineRule="auto"/>
        <w:ind w:left="1100" w:right="0" w:firstLine="0"/>
        <w:jc w:val="both"/>
      </w:pPr>
      <w:bookmarkStart w:id="349" w:name="bookmark349"/>
      <w:bookmarkStart w:id="350" w:name="bookmark350"/>
      <w:bookmarkStart w:id="351" w:name="bookmark351"/>
      <w:r>
        <w:rPr>
          <w:color w:val="000000"/>
          <w:spacing w:val="0"/>
          <w:w w:val="100"/>
          <w:position w:val="0"/>
        </w:rPr>
        <w:t>十四、公司股权激励计划、员工持股计划或其他员工激励措施的实施情况</w:t>
      </w:r>
      <w:bookmarkEnd w:id="349"/>
      <w:bookmarkEnd w:id="350"/>
      <w:bookmarkEnd w:id="351"/>
    </w:p>
    <w:p>
      <w:pPr>
        <w:pStyle w:val="Style38"/>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380" w:line="317" w:lineRule="exact"/>
        <w:ind w:left="1100" w:right="0" w:firstLine="420"/>
        <w:jc w:val="both"/>
      </w:pPr>
      <w:r>
        <w:rPr>
          <w:color w:val="000000"/>
          <w:spacing w:val="0"/>
          <w:w w:val="100"/>
          <w:position w:val="0"/>
        </w:rPr>
        <w:t>股权激励计划：公司于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日召开的第四届董事会第二十一次会议、第四届监事会第十三次 会议审议通过了《关于调整限制性股票回购价格及回购注销部分限制性股票的议案》。公司激励计划授予 的限制性股票第四个解锁期未满足解锁条件，公司将按照规定办理回购注销</w:t>
      </w:r>
      <w:r>
        <w:rPr>
          <w:rFonts w:ascii="Times New Roman" w:eastAsia="Times New Roman" w:hAnsi="Times New Roman" w:cs="Times New Roman"/>
          <w:color w:val="000000"/>
          <w:spacing w:val="0"/>
          <w:w w:val="100"/>
          <w:position w:val="0"/>
        </w:rPr>
        <w:t>15 2</w:t>
      </w:r>
      <w:r>
        <w:rPr>
          <w:color w:val="000000"/>
          <w:spacing w:val="0"/>
          <w:w w:val="100"/>
          <w:position w:val="0"/>
        </w:rPr>
        <w:t>名激励对象持有的已获授 权但尚未解锁的股权激励限制性股票</w:t>
      </w:r>
      <w:r>
        <w:rPr>
          <w:rFonts w:ascii="Times New Roman" w:eastAsia="Times New Roman" w:hAnsi="Times New Roman" w:cs="Times New Roman"/>
          <w:color w:val="000000"/>
          <w:spacing w:val="0"/>
          <w:w w:val="100"/>
          <w:position w:val="0"/>
        </w:rPr>
        <w:t>201</w:t>
      </w:r>
      <w:r>
        <w:rPr>
          <w:color w:val="000000"/>
          <w:spacing w:val="0"/>
          <w:w w:val="100"/>
          <w:position w:val="0"/>
        </w:rPr>
        <w:t>万股。详见公司刊登于巨潮资讯网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)的</w:t>
      </w:r>
      <w:r>
        <w:rPr>
          <w:color w:val="000000"/>
          <w:spacing w:val="0"/>
          <w:w w:val="100"/>
          <w:position w:val="0"/>
        </w:rPr>
        <w:t xml:space="preserve"> 《关于调整限制性股票回购价格及回购注销部分限制性股票的公告》等相关公告。</w:t>
      </w:r>
    </w:p>
    <w:p>
      <w:pPr>
        <w:pStyle w:val="Style26"/>
        <w:keepNext/>
        <w:keepLines/>
        <w:widowControl w:val="0"/>
        <w:shd w:val="clear" w:color="auto" w:fill="auto"/>
        <w:bidi w:val="0"/>
        <w:spacing w:before="0" w:after="380" w:line="240" w:lineRule="auto"/>
        <w:ind w:left="1100" w:right="0" w:firstLine="0"/>
        <w:jc w:val="left"/>
      </w:pPr>
      <w:bookmarkStart w:id="352" w:name="bookmark352"/>
      <w:bookmarkStart w:id="353" w:name="bookmark353"/>
      <w:bookmarkStart w:id="354" w:name="bookmark354"/>
      <w:r>
        <w:rPr>
          <w:color w:val="000000"/>
          <w:spacing w:val="0"/>
          <w:w w:val="100"/>
          <w:position w:val="0"/>
        </w:rPr>
        <w:t>十五、重大关联交易</w:t>
      </w:r>
      <w:bookmarkEnd w:id="352"/>
      <w:bookmarkEnd w:id="353"/>
      <w:bookmarkEnd w:id="354"/>
    </w:p>
    <w:p>
      <w:pPr>
        <w:pStyle w:val="Style35"/>
        <w:keepNext/>
        <w:keepLines/>
        <w:widowControl w:val="0"/>
        <w:shd w:val="clear" w:color="auto" w:fill="auto"/>
        <w:tabs>
          <w:tab w:pos="1468" w:val="left"/>
        </w:tabs>
        <w:bidi w:val="0"/>
        <w:spacing w:before="0" w:after="300" w:line="331" w:lineRule="auto"/>
        <w:ind w:left="110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w:t>
        <w:tab/>
        <w:t>与日常经营相关的关联交易</w:t>
      </w:r>
      <w:bookmarkEnd w:id="355"/>
      <w:bookmarkEnd w:id="356"/>
      <w:bookmarkEnd w:id="358"/>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1478" w:val="left"/>
        </w:tabs>
        <w:bidi w:val="0"/>
        <w:spacing w:before="0" w:after="300" w:line="331" w:lineRule="auto"/>
        <w:ind w:left="110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t>资产或股权收购、出售发生的关联交易</w:t>
      </w:r>
      <w:bookmarkEnd w:id="359"/>
      <w:bookmarkEnd w:id="360"/>
      <w:bookmarkEnd w:id="362"/>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1478" w:val="left"/>
        </w:tabs>
        <w:bidi w:val="0"/>
        <w:spacing w:before="0" w:after="300" w:line="331" w:lineRule="auto"/>
        <w:ind w:left="110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w:t>
        <w:tab/>
        <w:t>共同对外投资的关联交易</w:t>
      </w:r>
      <w:bookmarkEnd w:id="363"/>
      <w:bookmarkEnd w:id="364"/>
      <w:bookmarkEnd w:id="366"/>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1478" w:val="left"/>
        </w:tabs>
        <w:bidi w:val="0"/>
        <w:spacing w:before="0" w:after="300" w:line="331" w:lineRule="auto"/>
        <w:ind w:left="110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4</w:t>
      </w:r>
      <w:bookmarkEnd w:id="369"/>
      <w:r>
        <w:rPr>
          <w:color w:val="000000"/>
          <w:spacing w:val="0"/>
          <w:w w:val="100"/>
          <w:position w:val="0"/>
        </w:rPr>
        <w:t>、</w:t>
        <w:tab/>
        <w:t>关联债权债务往来</w:t>
      </w:r>
      <w:bookmarkEnd w:id="367"/>
      <w:bookmarkEnd w:id="368"/>
      <w:bookmarkEnd w:id="370"/>
    </w:p>
    <w:p>
      <w:pPr>
        <w:pStyle w:val="Style28"/>
        <w:keepNext w:val="0"/>
        <w:keepLines w:val="0"/>
        <w:widowControl w:val="0"/>
        <w:shd w:val="clear" w:color="auto" w:fill="auto"/>
        <w:bidi w:val="0"/>
        <w:spacing w:before="0" w:line="240" w:lineRule="auto"/>
        <w:ind w:left="110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1478" w:val="left"/>
        </w:tabs>
        <w:bidi w:val="0"/>
        <w:spacing w:before="0" w:after="300" w:line="331" w:lineRule="auto"/>
        <w:ind w:left="1100" w:right="0" w:firstLine="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5</w:t>
      </w:r>
      <w:bookmarkEnd w:id="373"/>
      <w:r>
        <w:rPr>
          <w:color w:val="000000"/>
          <w:spacing w:val="0"/>
          <w:w w:val="100"/>
          <w:position w:val="0"/>
        </w:rPr>
        <w:t>、</w:t>
        <w:tab/>
        <w:t>其他重大关联交易</w:t>
      </w:r>
      <w:bookmarkEnd w:id="371"/>
      <w:bookmarkEnd w:id="372"/>
      <w:bookmarkEnd w:id="374"/>
    </w:p>
    <w:p>
      <w:pPr>
        <w:pStyle w:val="Style28"/>
        <w:keepNext w:val="0"/>
        <w:keepLines w:val="0"/>
        <w:widowControl w:val="0"/>
        <w:shd w:val="clear" w:color="auto" w:fill="auto"/>
        <w:bidi w:val="0"/>
        <w:spacing w:before="0" w:line="240" w:lineRule="auto"/>
        <w:ind w:left="110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110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1100" w:right="0" w:firstLine="0"/>
        <w:jc w:val="left"/>
      </w:pPr>
      <w:bookmarkStart w:id="375" w:name="bookmark375"/>
      <w:bookmarkStart w:id="376" w:name="bookmark376"/>
      <w:bookmarkStart w:id="377" w:name="bookmark377"/>
      <w:r>
        <w:rPr>
          <w:color w:val="000000"/>
          <w:spacing w:val="0"/>
          <w:w w:val="100"/>
          <w:position w:val="0"/>
        </w:rPr>
        <w:t>十六、重大合同及其履行情况</w:t>
      </w:r>
      <w:bookmarkEnd w:id="375"/>
      <w:bookmarkEnd w:id="376"/>
      <w:bookmarkEnd w:id="377"/>
    </w:p>
    <w:p>
      <w:pPr>
        <w:pStyle w:val="Style35"/>
        <w:keepNext/>
        <w:keepLines/>
        <w:widowControl w:val="0"/>
        <w:shd w:val="clear" w:color="auto" w:fill="auto"/>
        <w:tabs>
          <w:tab w:pos="1468" w:val="left"/>
        </w:tabs>
        <w:bidi w:val="0"/>
        <w:spacing w:before="0" w:line="240" w:lineRule="auto"/>
        <w:ind w:left="110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托管、承包、租赁事项情况</w:t>
      </w:r>
      <w:bookmarkEnd w:id="378"/>
      <w:bookmarkEnd w:id="379"/>
      <w:bookmarkEnd w:id="381"/>
    </w:p>
    <w:p>
      <w:pPr>
        <w:pStyle w:val="Style35"/>
        <w:keepNext/>
        <w:keepLines/>
        <w:widowControl w:val="0"/>
        <w:numPr>
          <w:ilvl w:val="0"/>
          <w:numId w:val="9"/>
        </w:numPr>
        <w:shd w:val="clear" w:color="auto" w:fill="auto"/>
        <w:tabs>
          <w:tab w:pos="1593" w:val="left"/>
        </w:tabs>
        <w:bidi w:val="0"/>
        <w:spacing w:before="0" w:line="240" w:lineRule="auto"/>
        <w:ind w:left="1100" w:right="0" w:firstLine="0"/>
        <w:jc w:val="left"/>
      </w:pPr>
      <w:bookmarkStart w:id="378" w:name="bookmark378"/>
      <w:bookmarkStart w:id="379" w:name="bookmark379"/>
      <w:bookmarkStart w:id="382" w:name="bookmark382"/>
      <w:bookmarkStart w:id="383" w:name="bookmark383"/>
      <w:bookmarkEnd w:id="382"/>
      <w:r>
        <w:rPr>
          <w:color w:val="000000"/>
          <w:spacing w:val="0"/>
          <w:w w:val="100"/>
          <w:position w:val="0"/>
        </w:rPr>
        <w:t>托管情况</w:t>
      </w:r>
      <w:bookmarkEnd w:id="378"/>
      <w:bookmarkEnd w:id="379"/>
      <w:bookmarkEnd w:id="383"/>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公司报告期不存在托管情况。</w:t>
      </w:r>
    </w:p>
    <w:p>
      <w:pPr>
        <w:pStyle w:val="Style38"/>
        <w:keepNext w:val="0"/>
        <w:keepLines w:val="0"/>
        <w:widowControl w:val="0"/>
        <w:numPr>
          <w:ilvl w:val="0"/>
          <w:numId w:val="9"/>
        </w:numPr>
        <w:shd w:val="clear" w:color="auto" w:fill="auto"/>
        <w:tabs>
          <w:tab w:pos="1593" w:val="left"/>
        </w:tabs>
        <w:bidi w:val="0"/>
        <w:spacing w:before="0" w:after="380" w:line="240" w:lineRule="auto"/>
        <w:ind w:left="1100" w:right="0" w:firstLine="0"/>
        <w:jc w:val="left"/>
      </w:pPr>
      <w:bookmarkStart w:id="384" w:name="bookmark384"/>
      <w:bookmarkStart w:id="385" w:name="bookmark385"/>
      <w:bookmarkEnd w:id="384"/>
      <w:r>
        <w:rPr>
          <w:b/>
          <w:bCs/>
          <w:color w:val="000000"/>
          <w:spacing w:val="0"/>
          <w:w w:val="100"/>
          <w:position w:val="0"/>
        </w:rPr>
        <w:t>承包情况</w:t>
      </w:r>
      <w:bookmarkEnd w:id="385"/>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公司报告期不存在承包情况。</w:t>
      </w:r>
    </w:p>
    <w:p>
      <w:pPr>
        <w:pStyle w:val="Style38"/>
        <w:keepNext w:val="0"/>
        <w:keepLines w:val="0"/>
        <w:widowControl w:val="0"/>
        <w:numPr>
          <w:ilvl w:val="0"/>
          <w:numId w:val="9"/>
        </w:numPr>
        <w:shd w:val="clear" w:color="auto" w:fill="auto"/>
        <w:tabs>
          <w:tab w:pos="1593" w:val="left"/>
        </w:tabs>
        <w:bidi w:val="0"/>
        <w:spacing w:before="0" w:after="380" w:line="240" w:lineRule="auto"/>
        <w:ind w:left="1100" w:right="0" w:firstLine="0"/>
        <w:jc w:val="left"/>
      </w:pPr>
      <w:bookmarkStart w:id="386" w:name="bookmark386"/>
      <w:bookmarkStart w:id="387" w:name="bookmark387"/>
      <w:bookmarkEnd w:id="386"/>
      <w:r>
        <w:rPr>
          <w:b/>
          <w:bCs/>
          <w:color w:val="000000"/>
          <w:spacing w:val="0"/>
          <w:w w:val="100"/>
          <w:position w:val="0"/>
        </w:rPr>
        <w:t>租赁情况</w:t>
      </w:r>
      <w:bookmarkEnd w:id="387"/>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公司报告期不存在租赁情况。</w:t>
      </w:r>
    </w:p>
    <w:p>
      <w:pPr>
        <w:pStyle w:val="Style35"/>
        <w:keepNext/>
        <w:keepLines/>
        <w:widowControl w:val="0"/>
        <w:shd w:val="clear" w:color="auto" w:fill="auto"/>
        <w:tabs>
          <w:tab w:pos="1478" w:val="left"/>
        </w:tabs>
        <w:bidi w:val="0"/>
        <w:spacing w:before="0" w:line="240" w:lineRule="auto"/>
        <w:ind w:left="110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重大担保</w:t>
      </w:r>
      <w:bookmarkEnd w:id="388"/>
      <w:bookmarkEnd w:id="389"/>
      <w:bookmarkEnd w:id="391"/>
    </w:p>
    <w:p>
      <w:pPr>
        <w:pStyle w:val="Style28"/>
        <w:keepNext w:val="0"/>
        <w:keepLines w:val="0"/>
        <w:widowControl w:val="0"/>
        <w:shd w:val="clear" w:color="auto" w:fill="auto"/>
        <w:bidi w:val="0"/>
        <w:spacing w:before="0" w:after="380" w:line="240" w:lineRule="auto"/>
        <w:ind w:left="110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keepLines/>
        <w:widowControl w:val="0"/>
        <w:numPr>
          <w:ilvl w:val="0"/>
          <w:numId w:val="11"/>
        </w:numPr>
        <w:shd w:val="clear" w:color="auto" w:fill="auto"/>
        <w:bidi w:val="0"/>
        <w:spacing w:before="0" w:after="380" w:line="240" w:lineRule="auto"/>
        <w:ind w:left="1100" w:right="0" w:firstLine="0"/>
        <w:jc w:val="left"/>
      </w:pPr>
      <w:bookmarkStart w:id="392" w:name="bookmark392"/>
      <w:bookmarkStart w:id="393" w:name="bookmark393"/>
      <w:bookmarkStart w:id="394" w:name="bookmark394"/>
      <w:bookmarkStart w:id="395" w:name="bookmark395"/>
      <w:bookmarkEnd w:id="394"/>
      <w:r>
        <w:rPr>
          <w:color w:val="000000"/>
          <w:spacing w:val="0"/>
          <w:w w:val="100"/>
          <w:position w:val="0"/>
        </w:rPr>
        <w:t>担保情况</w:t>
      </w:r>
      <w:bookmarkEnd w:id="392"/>
      <w:bookmarkEnd w:id="393"/>
      <w:bookmarkEnd w:id="39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213"/>
        <w:gridCol w:w="922"/>
        <w:gridCol w:w="922"/>
        <w:gridCol w:w="1301"/>
        <w:gridCol w:w="1061"/>
        <w:gridCol w:w="1037"/>
        <w:gridCol w:w="1046"/>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蓝盾信息安全技术有限公 司、广东蓝盾乐庚信息技 术有限公司、中经汇通电 子商务有限公司、西咸新 区蓝盾信息安全技术、成 都蓝盾网信科技有限公 司、深圳市蓝盾满泰科技 发展有限公司、广州华炜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蓝盾信息安全技术有限公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2,858.42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2213"/>
        <w:gridCol w:w="917"/>
        <w:gridCol w:w="912"/>
        <w:gridCol w:w="1315"/>
        <w:gridCol w:w="1046"/>
        <w:gridCol w:w="1051"/>
        <w:gridCol w:w="1046"/>
        <w:gridCol w:w="787"/>
        <w:gridCol w:w="797"/>
      </w:tblGrid>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2,858.42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32,402.22</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302,858.42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204,971.93</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2,858.42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32,402.22</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302,858.42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204,971.93</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 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67,157.71</w:t>
            </w:r>
          </w:p>
        </w:tc>
      </w:tr>
    </w:tbl>
    <w:p>
      <w:pPr>
        <w:widowControl w:val="0"/>
        <w:spacing w:after="319" w:line="1" w:lineRule="exact"/>
      </w:pPr>
    </w:p>
    <w:p>
      <w:pPr>
        <w:pStyle w:val="Style48"/>
        <w:keepNext/>
        <w:keepLines/>
        <w:widowControl w:val="0"/>
        <w:shd w:val="clear" w:color="auto" w:fill="auto"/>
        <w:bidi w:val="0"/>
        <w:spacing w:before="0" w:after="380" w:line="240" w:lineRule="auto"/>
        <w:ind w:left="110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6"/>
      <w:bookmarkEnd w:id="397"/>
      <w:bookmarkEnd w:id="399"/>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公司报告期无违规对外担保情况。</w:t>
      </w:r>
    </w:p>
    <w:p>
      <w:pPr>
        <w:pStyle w:val="Style35"/>
        <w:keepNext/>
        <w:keepLines/>
        <w:widowControl w:val="0"/>
        <w:shd w:val="clear" w:color="auto" w:fill="auto"/>
        <w:tabs>
          <w:tab w:pos="1478" w:val="left"/>
        </w:tabs>
        <w:bidi w:val="0"/>
        <w:spacing w:before="0" w:line="240" w:lineRule="auto"/>
        <w:ind w:left="110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w:t>
        <w:tab/>
        <w:t>日常经营重大合同</w:t>
      </w:r>
      <w:bookmarkEnd w:id="400"/>
      <w:bookmarkEnd w:id="401"/>
      <w:bookmarkEnd w:id="403"/>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无</w:t>
      </w:r>
    </w:p>
    <w:p>
      <w:pPr>
        <w:pStyle w:val="Style35"/>
        <w:keepNext/>
        <w:keepLines/>
        <w:widowControl w:val="0"/>
        <w:shd w:val="clear" w:color="auto" w:fill="auto"/>
        <w:tabs>
          <w:tab w:pos="1478" w:val="left"/>
        </w:tabs>
        <w:bidi w:val="0"/>
        <w:spacing w:before="0" w:line="240" w:lineRule="auto"/>
        <w:ind w:left="110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4</w:t>
      </w:r>
      <w:bookmarkEnd w:id="406"/>
      <w:r>
        <w:rPr>
          <w:color w:val="000000"/>
          <w:spacing w:val="0"/>
          <w:w w:val="100"/>
          <w:position w:val="0"/>
        </w:rPr>
        <w:t>、</w:t>
        <w:tab/>
        <w:t>委托他人进行现金资产管理情况</w:t>
      </w:r>
      <w:bookmarkEnd w:id="404"/>
      <w:bookmarkEnd w:id="405"/>
      <w:bookmarkEnd w:id="407"/>
    </w:p>
    <w:p>
      <w:pPr>
        <w:pStyle w:val="Style48"/>
        <w:keepNext/>
        <w:keepLines/>
        <w:widowControl w:val="0"/>
        <w:shd w:val="clear" w:color="auto" w:fill="auto"/>
        <w:tabs>
          <w:tab w:pos="1593" w:val="left"/>
        </w:tabs>
        <w:bidi w:val="0"/>
        <w:spacing w:before="0" w:after="380" w:line="240" w:lineRule="auto"/>
        <w:ind w:left="110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8"/>
      <w:bookmarkEnd w:id="409"/>
      <w:bookmarkEnd w:id="411"/>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公司报告期不存在委托理财。</w:t>
      </w:r>
    </w:p>
    <w:p>
      <w:pPr>
        <w:pStyle w:val="Style48"/>
        <w:keepNext/>
        <w:keepLines/>
        <w:widowControl w:val="0"/>
        <w:shd w:val="clear" w:color="auto" w:fill="auto"/>
        <w:tabs>
          <w:tab w:pos="1593" w:val="left"/>
        </w:tabs>
        <w:bidi w:val="0"/>
        <w:spacing w:before="0" w:after="380" w:line="240" w:lineRule="auto"/>
        <w:ind w:left="110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2"/>
      <w:bookmarkEnd w:id="413"/>
      <w:bookmarkEnd w:id="415"/>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公司报告期不存在委托贷款。</w:t>
      </w:r>
    </w:p>
    <w:p>
      <w:pPr>
        <w:pStyle w:val="Style35"/>
        <w:keepNext/>
        <w:keepLines/>
        <w:widowControl w:val="0"/>
        <w:shd w:val="clear" w:color="auto" w:fill="auto"/>
        <w:bidi w:val="0"/>
        <w:spacing w:before="0" w:after="300" w:line="326" w:lineRule="auto"/>
        <w:ind w:left="110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5</w:t>
      </w:r>
      <w:bookmarkEnd w:id="418"/>
      <w:r>
        <w:rPr>
          <w:color w:val="000000"/>
          <w:spacing w:val="0"/>
          <w:w w:val="100"/>
          <w:position w:val="0"/>
        </w:rPr>
        <w:t>、其他重大合同</w:t>
      </w:r>
      <w:bookmarkEnd w:id="416"/>
      <w:bookmarkEnd w:id="417"/>
      <w:bookmarkEnd w:id="419"/>
    </w:p>
    <w:p>
      <w:pPr>
        <w:pStyle w:val="Style28"/>
        <w:keepNext w:val="0"/>
        <w:keepLines w:val="0"/>
        <w:widowControl w:val="0"/>
        <w:shd w:val="clear" w:color="auto" w:fill="auto"/>
        <w:bidi w:val="0"/>
        <w:spacing w:before="0" w:after="160" w:line="240" w:lineRule="auto"/>
        <w:ind w:left="110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1100" w:right="0" w:firstLine="0"/>
        <w:jc w:val="both"/>
      </w:pPr>
      <w:r>
        <w:rPr>
          <w:color w:val="000000"/>
          <w:spacing w:val="0"/>
          <w:w w:val="100"/>
          <w:position w:val="0"/>
        </w:rPr>
        <w:t>公司报告期不存在其他重大合同。</w:t>
      </w:r>
    </w:p>
    <w:p>
      <w:pPr>
        <w:pStyle w:val="Style26"/>
        <w:keepNext/>
        <w:keepLines/>
        <w:widowControl w:val="0"/>
        <w:shd w:val="clear" w:color="auto" w:fill="auto"/>
        <w:bidi w:val="0"/>
        <w:spacing w:before="0" w:after="360" w:line="240" w:lineRule="auto"/>
        <w:ind w:left="1100" w:right="0" w:firstLine="0"/>
        <w:jc w:val="both"/>
      </w:pPr>
      <w:bookmarkStart w:id="420" w:name="bookmark420"/>
      <w:bookmarkStart w:id="421" w:name="bookmark421"/>
      <w:bookmarkStart w:id="422" w:name="bookmark422"/>
      <w:r>
        <w:rPr>
          <w:color w:val="000000"/>
          <w:spacing w:val="0"/>
          <w:w w:val="100"/>
          <w:position w:val="0"/>
        </w:rPr>
        <w:t>十七、社会责任情况</w:t>
      </w:r>
      <w:bookmarkEnd w:id="420"/>
      <w:bookmarkEnd w:id="421"/>
      <w:bookmarkEnd w:id="422"/>
    </w:p>
    <w:p>
      <w:pPr>
        <w:pStyle w:val="Style35"/>
        <w:keepNext/>
        <w:keepLines/>
        <w:widowControl w:val="0"/>
        <w:shd w:val="clear" w:color="auto" w:fill="auto"/>
        <w:tabs>
          <w:tab w:pos="1461" w:val="left"/>
        </w:tabs>
        <w:bidi w:val="0"/>
        <w:spacing w:before="0" w:after="160" w:line="326" w:lineRule="auto"/>
        <w:ind w:left="1100" w:right="0" w:firstLine="0"/>
        <w:jc w:val="both"/>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w:t>
        <w:tab/>
        <w:t>履行社会责任情况</w:t>
      </w:r>
      <w:bookmarkEnd w:id="423"/>
      <w:bookmarkEnd w:id="424"/>
      <w:bookmarkEnd w:id="426"/>
    </w:p>
    <w:p>
      <w:pPr>
        <w:pStyle w:val="Style38"/>
        <w:keepNext w:val="0"/>
        <w:keepLines w:val="0"/>
        <w:widowControl w:val="0"/>
        <w:shd w:val="clear" w:color="auto" w:fill="auto"/>
        <w:bidi w:val="0"/>
        <w:spacing w:before="0" w:after="300" w:line="313" w:lineRule="exact"/>
        <w:ind w:left="1100" w:right="0" w:firstLine="0"/>
        <w:jc w:val="both"/>
      </w:pPr>
      <w:r>
        <w:rPr>
          <w:color w:val="000000"/>
          <w:spacing w:val="0"/>
          <w:w w:val="100"/>
          <w:position w:val="0"/>
        </w:rPr>
        <w:t>无。</w:t>
      </w:r>
    </w:p>
    <w:p>
      <w:pPr>
        <w:pStyle w:val="Style35"/>
        <w:keepNext/>
        <w:keepLines/>
        <w:widowControl w:val="0"/>
        <w:shd w:val="clear" w:color="auto" w:fill="auto"/>
        <w:tabs>
          <w:tab w:pos="1471" w:val="left"/>
        </w:tabs>
        <w:bidi w:val="0"/>
        <w:spacing w:before="0" w:after="300" w:line="313" w:lineRule="exact"/>
        <w:ind w:left="1100" w:right="0" w:firstLine="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履行精准扶贫社会责任情况</w:t>
      </w:r>
      <w:bookmarkEnd w:id="427"/>
      <w:bookmarkEnd w:id="428"/>
      <w:bookmarkEnd w:id="430"/>
    </w:p>
    <w:p>
      <w:pPr>
        <w:pStyle w:val="Style38"/>
        <w:keepNext w:val="0"/>
        <w:keepLines w:val="0"/>
        <w:widowControl w:val="0"/>
        <w:shd w:val="clear" w:color="auto" w:fill="auto"/>
        <w:bidi w:val="0"/>
        <w:spacing w:before="0" w:after="360" w:line="313" w:lineRule="exact"/>
        <w:ind w:left="1100" w:right="0" w:firstLine="0"/>
        <w:jc w:val="both"/>
      </w:pPr>
      <w:r>
        <w:rPr>
          <w:color w:val="000000"/>
          <w:spacing w:val="0"/>
          <w:w w:val="100"/>
          <w:position w:val="0"/>
        </w:rPr>
        <w:t>公司报告年度暂未开展精准扶贫工作，也暂无后续精准扶贫计划。</w:t>
      </w:r>
    </w:p>
    <w:p>
      <w:pPr>
        <w:pStyle w:val="Style35"/>
        <w:keepNext/>
        <w:keepLines/>
        <w:widowControl w:val="0"/>
        <w:shd w:val="clear" w:color="auto" w:fill="auto"/>
        <w:tabs>
          <w:tab w:pos="1471" w:val="left"/>
        </w:tabs>
        <w:bidi w:val="0"/>
        <w:spacing w:before="0" w:after="160" w:line="326" w:lineRule="auto"/>
        <w:ind w:left="110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3</w:t>
      </w:r>
      <w:bookmarkEnd w:id="433"/>
      <w:r>
        <w:rPr>
          <w:color w:val="000000"/>
          <w:spacing w:val="0"/>
          <w:w w:val="100"/>
          <w:position w:val="0"/>
        </w:rPr>
        <w:t>、</w:t>
        <w:tab/>
        <w:t>环境保护相关的情况</w:t>
      </w:r>
      <w:bookmarkEnd w:id="431"/>
      <w:bookmarkEnd w:id="432"/>
      <w:bookmarkEnd w:id="434"/>
    </w:p>
    <w:p>
      <w:pPr>
        <w:pStyle w:val="Style38"/>
        <w:keepNext w:val="0"/>
        <w:keepLines w:val="0"/>
        <w:widowControl w:val="0"/>
        <w:shd w:val="clear" w:color="auto" w:fill="auto"/>
        <w:bidi w:val="0"/>
        <w:spacing w:before="0" w:after="360" w:line="355" w:lineRule="exact"/>
        <w:ind w:left="1100" w:right="0" w:firstLine="0"/>
        <w:jc w:val="both"/>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60" w:line="240" w:lineRule="auto"/>
        <w:ind w:left="1100" w:right="0" w:firstLine="0"/>
        <w:jc w:val="both"/>
      </w:pPr>
      <w:bookmarkStart w:id="435" w:name="bookmark435"/>
      <w:bookmarkStart w:id="436" w:name="bookmark436"/>
      <w:bookmarkStart w:id="437" w:name="bookmark437"/>
      <w:r>
        <w:rPr>
          <w:color w:val="000000"/>
          <w:spacing w:val="0"/>
          <w:w w:val="100"/>
          <w:position w:val="0"/>
        </w:rPr>
        <w:t>十八、其他重大事项的说明</w:t>
      </w:r>
      <w:bookmarkEnd w:id="435"/>
      <w:bookmarkEnd w:id="436"/>
      <w:bookmarkEnd w:id="437"/>
    </w:p>
    <w:p>
      <w:pPr>
        <w:pStyle w:val="Style38"/>
        <w:keepNext w:val="0"/>
        <w:keepLines w:val="0"/>
        <w:widowControl w:val="0"/>
        <w:shd w:val="clear" w:color="auto" w:fill="auto"/>
        <w:bidi w:val="0"/>
        <w:spacing w:before="0" w:after="0" w:line="326" w:lineRule="auto"/>
        <w:ind w:left="110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tabs>
          <w:tab w:pos="1867" w:val="left"/>
        </w:tabs>
        <w:bidi w:val="0"/>
        <w:spacing w:before="0" w:after="0" w:line="313" w:lineRule="exact"/>
        <w:ind w:left="1520" w:right="0" w:firstLine="0"/>
        <w:jc w:val="both"/>
      </w:pPr>
      <w:bookmarkStart w:id="438" w:name="bookmark438"/>
      <w:r>
        <w:rPr>
          <w:rFonts w:ascii="Times New Roman" w:eastAsia="Times New Roman" w:hAnsi="Times New Roman" w:cs="Times New Roman"/>
          <w:color w:val="000000"/>
          <w:spacing w:val="0"/>
          <w:w w:val="100"/>
          <w:position w:val="0"/>
        </w:rPr>
        <w:t>1</w:t>
      </w:r>
      <w:bookmarkEnd w:id="438"/>
      <w:r>
        <w:rPr>
          <w:color w:val="000000"/>
          <w:spacing w:val="0"/>
          <w:w w:val="100"/>
          <w:position w:val="0"/>
        </w:rPr>
        <w:t>、</w:t>
        <w:tab/>
        <w:t>《合作框架协议》事项的说明</w:t>
      </w:r>
    </w:p>
    <w:p>
      <w:pPr>
        <w:pStyle w:val="Style38"/>
        <w:keepNext w:val="0"/>
        <w:keepLines w:val="0"/>
        <w:widowControl w:val="0"/>
        <w:shd w:val="clear" w:color="auto" w:fill="auto"/>
        <w:bidi w:val="0"/>
        <w:spacing w:before="0" w:after="0" w:line="313" w:lineRule="exact"/>
        <w:ind w:left="110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日，宜宾市叙州区创益产业投资有限公司与本公司及公司实际控制人柯宗庆先生、柯宗 贵先生及其一致行动人中经汇通有限责任公司签订了《合作框架协议》（以下简称“协议”），各方拟就公 司债务问题、股权转让事项、公司注册主体迁址事项、公司业务发展规划、产业投资等事项展开全面合作。 截至本报告披露日，本公司已在宜宾市设立相关子公司，与宜宾市叙州区人民政府就产业投资事宜签订了 《投资协议书》，宜宾市叙州区人民政府也正在积极对公司债务问题提供相关解决措施。</w:t>
      </w:r>
    </w:p>
    <w:p>
      <w:pPr>
        <w:pStyle w:val="Style38"/>
        <w:keepNext w:val="0"/>
        <w:keepLines w:val="0"/>
        <w:widowControl w:val="0"/>
        <w:shd w:val="clear" w:color="auto" w:fill="auto"/>
        <w:bidi w:val="0"/>
        <w:spacing w:before="0" w:after="0" w:line="313" w:lineRule="exact"/>
        <w:ind w:left="1100" w:right="0" w:firstLine="420"/>
        <w:jc w:val="both"/>
      </w:pPr>
      <w:r>
        <w:rPr>
          <w:color w:val="000000"/>
          <w:spacing w:val="0"/>
          <w:w w:val="100"/>
          <w:position w:val="0"/>
        </w:rPr>
        <w:t>此外，公司注册主体迁址事项已经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年第二次临时股东大会审议通过，相关 迁移手续正在办理中。</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日，宜宾市市场监督管理局向广东省市场监督管理局出具《企业迁移登 记注册通知函》，同意本公司迁移及注册登记。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日，广东省市场监督管理局向宜宾市市场监督 管理局出具《企业迁移登记通知书》及《企业迁移登记注册通知函》，同意公司迁移至宜宾市市场监督管 理局注册登记。目前，公司已在广东省市场监督管理局办理迁出手续，详细内容可查阅公司披露于巨潮资 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）的相关公告。</w:t>
      </w:r>
    </w:p>
    <w:p>
      <w:pPr>
        <w:pStyle w:val="Style38"/>
        <w:keepNext w:val="0"/>
        <w:keepLines w:val="0"/>
        <w:widowControl w:val="0"/>
        <w:shd w:val="clear" w:color="auto" w:fill="auto"/>
        <w:tabs>
          <w:tab w:pos="1886" w:val="left"/>
        </w:tabs>
        <w:bidi w:val="0"/>
        <w:spacing w:before="0" w:after="0" w:line="313" w:lineRule="exact"/>
        <w:ind w:left="1520" w:right="0" w:firstLine="0"/>
        <w:jc w:val="left"/>
      </w:pPr>
      <w:bookmarkStart w:id="439" w:name="bookmark439"/>
      <w:r>
        <w:rPr>
          <w:rFonts w:ascii="Times New Roman" w:eastAsia="Times New Roman" w:hAnsi="Times New Roman" w:cs="Times New Roman"/>
          <w:color w:val="000000"/>
          <w:spacing w:val="0"/>
          <w:w w:val="100"/>
          <w:position w:val="0"/>
        </w:rPr>
        <w:t>2</w:t>
      </w:r>
      <w:bookmarkEnd w:id="439"/>
      <w:r>
        <w:rPr>
          <w:color w:val="000000"/>
          <w:spacing w:val="0"/>
          <w:w w:val="100"/>
          <w:position w:val="0"/>
        </w:rPr>
        <w:t>、</w:t>
        <w:tab/>
        <w:t>公司非公开发行股票事项的说明</w:t>
      </w:r>
    </w:p>
    <w:p>
      <w:pPr>
        <w:pStyle w:val="Style38"/>
        <w:keepNext w:val="0"/>
        <w:keepLines w:val="0"/>
        <w:widowControl w:val="0"/>
        <w:shd w:val="clear" w:color="auto" w:fill="auto"/>
        <w:bidi w:val="0"/>
        <w:spacing w:before="0" w:after="340" w:line="313" w:lineRule="exact"/>
        <w:ind w:left="110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年非公开发行股票事项的 相关议案。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日，公司召开第四届董事会第二十六次（临时）会议、第四届监事会第十七次（临 时）会议审议通过了《关于终止非公开发行股票事项的议案》，公司决定终止</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年非公开发行股票事项。 后续，公司将结合与宜宾市叙州区人民政府的合作方案及债务解决方案进度，加快进行方案调整，适时推 出新的非公开发行方案，待履行相关审批程序后及时进行信息披露。相关进展情况详见公司披露于巨潮资 讯网的《关于非公开发行股票申请获得中国证监会受理的公告》（</w:t>
      </w:r>
      <w:r>
        <w:rPr>
          <w:rFonts w:ascii="Times New Roman" w:eastAsia="Times New Roman" w:hAnsi="Times New Roman" w:cs="Times New Roman"/>
          <w:color w:val="000000"/>
          <w:spacing w:val="0"/>
          <w:w w:val="100"/>
          <w:position w:val="0"/>
        </w:rPr>
        <w:t>2020-037</w:t>
      </w:r>
      <w:r>
        <w:rPr>
          <w:color w:val="000000"/>
          <w:spacing w:val="0"/>
          <w:w w:val="100"/>
          <w:position w:val="0"/>
        </w:rPr>
        <w:t>）、《关于收到〈中国证监会行政 许可项目审查一次反馈意见通知书〉的公告》（</w:t>
      </w:r>
      <w:r>
        <w:rPr>
          <w:rFonts w:ascii="Times New Roman" w:eastAsia="Times New Roman" w:hAnsi="Times New Roman" w:cs="Times New Roman"/>
          <w:color w:val="000000"/>
          <w:spacing w:val="0"/>
          <w:w w:val="100"/>
          <w:position w:val="0"/>
        </w:rPr>
        <w:t>2020-066</w:t>
      </w:r>
      <w:r>
        <w:rPr>
          <w:color w:val="000000"/>
          <w:spacing w:val="0"/>
          <w:w w:val="100"/>
          <w:position w:val="0"/>
        </w:rPr>
        <w:t>）、《关于非公开发行股票事项的进展及风险提示公 告》（</w:t>
      </w:r>
      <w:r>
        <w:rPr>
          <w:rFonts w:ascii="Times New Roman" w:eastAsia="Times New Roman" w:hAnsi="Times New Roman" w:cs="Times New Roman"/>
          <w:color w:val="000000"/>
          <w:spacing w:val="0"/>
          <w:w w:val="100"/>
          <w:position w:val="0"/>
        </w:rPr>
        <w:t>2020-100</w:t>
      </w:r>
      <w:r>
        <w:rPr>
          <w:color w:val="000000"/>
          <w:spacing w:val="0"/>
          <w:w w:val="100"/>
          <w:position w:val="0"/>
        </w:rPr>
        <w:t>）、《关于终止非公开发行股票事项的公告》</w:t>
      </w:r>
      <w:r>
        <w:rPr>
          <w:color w:val="000000"/>
          <w:spacing w:val="0"/>
          <w:w w:val="100"/>
          <w:position w:val="0"/>
        </w:rPr>
        <w:t>（</w:t>
      </w:r>
      <w:r>
        <w:rPr>
          <w:rFonts w:ascii="Times New Roman" w:eastAsia="Times New Roman" w:hAnsi="Times New Roman" w:cs="Times New Roman"/>
          <w:color w:val="000000"/>
          <w:spacing w:val="0"/>
          <w:w w:val="100"/>
          <w:position w:val="0"/>
        </w:rPr>
        <w:t>2021-020</w:t>
      </w:r>
      <w:r>
        <w:rPr>
          <w:color w:val="000000"/>
          <w:spacing w:val="0"/>
          <w:w w:val="100"/>
          <w:position w:val="0"/>
        </w:rPr>
        <w:t>）</w:t>
      </w:r>
      <w:r>
        <w:rPr>
          <w:color w:val="000000"/>
          <w:spacing w:val="0"/>
          <w:w w:val="100"/>
          <w:position w:val="0"/>
        </w:rPr>
        <w:t>等公告。</w:t>
      </w:r>
    </w:p>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w:t>
      </w:r>
    </w:p>
    <w:p>
      <w:pPr>
        <w:pStyle w:val="Style38"/>
        <w:keepNext w:val="0"/>
        <w:keepLines w:val="0"/>
        <w:widowControl w:val="0"/>
        <w:shd w:val="clear" w:color="auto" w:fill="auto"/>
        <w:bidi w:val="0"/>
        <w:spacing w:before="0" w:after="0" w:line="313" w:lineRule="exact"/>
        <w:ind w:left="1100" w:right="0" w:firstLine="0"/>
        <w:jc w:val="both"/>
      </w:pPr>
      <w:r>
        <w:rPr>
          <w:color w:val="000000"/>
          <w:spacing w:val="0"/>
          <w:w w:val="100"/>
          <w:position w:val="0"/>
        </w:rPr>
        <w:t>新增的网络安全相关业务资质的情况</w:t>
      </w:r>
    </w:p>
    <w:p>
      <w:pPr>
        <w:pStyle w:val="Style38"/>
        <w:keepNext w:val="0"/>
        <w:keepLines w:val="0"/>
        <w:widowControl w:val="0"/>
        <w:shd w:val="clear" w:color="auto" w:fill="auto"/>
        <w:bidi w:val="0"/>
        <w:spacing w:before="0" w:after="0" w:line="313" w:lineRule="exact"/>
        <w:ind w:left="1100" w:right="0" w:firstLine="420"/>
        <w:jc w:val="both"/>
      </w:pPr>
      <w:r>
        <w:rPr>
          <w:color w:val="000000"/>
          <w:spacing w:val="0"/>
          <w:w w:val="100"/>
          <w:position w:val="0"/>
        </w:rPr>
        <w:t>公司高度重视网络安全相关业务资质的申请及管理，设有资质管理部专门负责相关业务资质的申请、 续期等管理工作，根据业务需要和认证期限等确保资质有效性。报告期内，公司取得“合作支撑单位”及 “信息系统建设和服务能力评估体系</w:t>
      </w:r>
      <w:r>
        <w:rPr>
          <w:rFonts w:ascii="Times New Roman" w:eastAsia="Times New Roman" w:hAnsi="Times New Roman" w:cs="Times New Roman"/>
          <w:color w:val="000000"/>
          <w:spacing w:val="0"/>
          <w:w w:val="100"/>
          <w:position w:val="0"/>
        </w:rPr>
        <w:t>C S4</w:t>
      </w:r>
      <w:r>
        <w:rPr>
          <w:color w:val="000000"/>
          <w:spacing w:val="0"/>
          <w:w w:val="100"/>
          <w:position w:val="0"/>
        </w:rPr>
        <w:t>级认证”等资质、证书证。公司相关资质在公司产品进入市场、 服务用户等方面持续支持公司业务发展，同时增强和体现了公司技术能力、服务能力，有利于公司更好地 服务用户。</w:t>
      </w:r>
    </w:p>
    <w:p>
      <w:pPr>
        <w:pStyle w:val="Style38"/>
        <w:keepNext w:val="0"/>
        <w:keepLines w:val="0"/>
        <w:widowControl w:val="0"/>
        <w:shd w:val="clear" w:color="auto" w:fill="auto"/>
        <w:bidi w:val="0"/>
        <w:spacing w:before="0" w:after="0" w:line="313" w:lineRule="exact"/>
        <w:ind w:left="1100" w:right="0" w:firstLine="420"/>
        <w:jc w:val="both"/>
      </w:pPr>
      <w:r>
        <w:rPr>
          <w:color w:val="000000"/>
          <w:spacing w:val="0"/>
          <w:w w:val="100"/>
          <w:position w:val="0"/>
        </w:rPr>
        <w:t>公司相关安全产品在推向市场之前，已经过测评认证、取得计算机信息系统安全产品销售许可证、通 过信息技术产品安全检测、取得网络安全服务相关资质等验证、检测程序，严格准守网络安全相关制度、 法规的管理规定。</w:t>
      </w:r>
    </w:p>
    <w:p>
      <w:pPr>
        <w:pStyle w:val="Style38"/>
        <w:keepNext w:val="0"/>
        <w:keepLines w:val="0"/>
        <w:widowControl w:val="0"/>
        <w:shd w:val="clear" w:color="auto" w:fill="auto"/>
        <w:bidi w:val="0"/>
        <w:spacing w:before="0" w:after="0" w:line="313" w:lineRule="exact"/>
        <w:ind w:left="1100" w:right="0" w:firstLine="420"/>
        <w:jc w:val="both"/>
      </w:pPr>
      <w:r>
        <w:rPr>
          <w:color w:val="000000"/>
          <w:spacing w:val="0"/>
          <w:w w:val="100"/>
          <w:position w:val="0"/>
        </w:rPr>
        <w:t>报告期内，公司不存在相关资质证书因违反网络安全相关法律法规被吊销、收回或失去效力的情况， 以及因公司产品（服务）不符合强制性标准或未通过相关认证、检测、审查导致无法对外销售的情况。</w:t>
      </w:r>
    </w:p>
    <w:p>
      <w:pPr>
        <w:pStyle w:val="Style38"/>
        <w:keepNext w:val="0"/>
        <w:keepLines w:val="0"/>
        <w:widowControl w:val="0"/>
        <w:shd w:val="clear" w:color="auto" w:fill="auto"/>
        <w:bidi w:val="0"/>
        <w:spacing w:before="0" w:after="0" w:line="313" w:lineRule="exact"/>
        <w:ind w:left="1100" w:right="0" w:firstLine="420"/>
        <w:jc w:val="both"/>
      </w:pPr>
      <w:r>
        <w:rPr>
          <w:color w:val="000000"/>
          <w:spacing w:val="0"/>
          <w:w w:val="100"/>
          <w:position w:val="0"/>
        </w:rPr>
        <w:t>网络安全行业受多个主管部门监管，国家发改委、国家工业和信息化部负责产业政策的研究制定、行 业的管理和规划等。报告期内，公司严格遵守各主管部门的监管规定。</w:t>
      </w:r>
    </w:p>
    <w:p>
      <w:pPr>
        <w:pStyle w:val="Style38"/>
        <w:keepNext w:val="0"/>
        <w:keepLines w:val="0"/>
        <w:widowControl w:val="0"/>
        <w:shd w:val="clear" w:color="auto" w:fill="auto"/>
        <w:bidi w:val="0"/>
        <w:spacing w:before="0" w:after="0" w:line="313" w:lineRule="exact"/>
        <w:ind w:left="1100" w:right="0" w:firstLine="420"/>
        <w:jc w:val="both"/>
      </w:pPr>
      <w:r>
        <w:rPr>
          <w:color w:val="000000"/>
          <w:spacing w:val="0"/>
          <w:w w:val="100"/>
          <w:position w:val="0"/>
        </w:rPr>
        <w:t>报告期内，公司不存在因网络安全相关业务经营活动涉嫌违法违规行为被行业主管部门要求自查，或 被行业主管部门采取立案调查等行政措施的情况及进展。</w:t>
      </w:r>
    </w:p>
    <w:p>
      <w:pPr>
        <w:pStyle w:val="Style38"/>
        <w:keepNext w:val="0"/>
        <w:keepLines w:val="0"/>
        <w:widowControl w:val="0"/>
        <w:shd w:val="clear" w:color="auto" w:fill="auto"/>
        <w:bidi w:val="0"/>
        <w:spacing w:before="0" w:after="0" w:line="313" w:lineRule="exact"/>
        <w:ind w:left="1520" w:right="0" w:firstLine="0"/>
        <w:jc w:val="left"/>
      </w:pPr>
      <w:r>
        <w:rPr>
          <w:color w:val="000000"/>
          <w:spacing w:val="0"/>
          <w:w w:val="100"/>
          <w:position w:val="0"/>
        </w:rPr>
        <w:t>报告期内，公司不存在被行业主管部门依据网络安全相关法律法规给予行政处罚的情况。</w:t>
      </w:r>
    </w:p>
    <w:p>
      <w:pPr>
        <w:pStyle w:val="Style38"/>
        <w:keepNext w:val="0"/>
        <w:keepLines w:val="0"/>
        <w:widowControl w:val="0"/>
        <w:shd w:val="clear" w:color="auto" w:fill="auto"/>
        <w:bidi w:val="0"/>
        <w:spacing w:before="0" w:after="360" w:line="313" w:lineRule="exact"/>
        <w:ind w:left="1100" w:right="0" w:firstLine="420"/>
        <w:jc w:val="both"/>
      </w:pPr>
      <w:r>
        <w:rPr>
          <w:color w:val="000000"/>
          <w:spacing w:val="0"/>
          <w:w w:val="100"/>
          <w:position w:val="0"/>
        </w:rPr>
        <w:t>公司自成立以来，高度重视产品（服务）质量与安全的管理，以高水平、高质量和专业的产品及服务 满足各类客户的需求。公司以网络安全行业的国际标准（技术规范）、国家标准和行业标准等制订了质量 管理标准并通过多年积累的经验，不断优化公司质量管理的部门职责和流程，在产品及业务的市场需求定 位、设计开发、生产检验和安装服务等过程中，建立完善了一整套产品及业务的质量控制的管理体系，包 括公司的各个部门和人员，覆盖了公司所有产品及业务的流程。</w:t>
      </w:r>
    </w:p>
    <w:p>
      <w:pPr>
        <w:pStyle w:val="Style26"/>
        <w:keepNext/>
        <w:keepLines/>
        <w:widowControl w:val="0"/>
        <w:shd w:val="clear" w:color="auto" w:fill="auto"/>
        <w:bidi w:val="0"/>
        <w:spacing w:before="0" w:after="280" w:line="240" w:lineRule="auto"/>
        <w:ind w:left="1100" w:right="0" w:firstLine="0"/>
        <w:jc w:val="both"/>
      </w:pPr>
      <w:bookmarkStart w:id="440" w:name="bookmark440"/>
      <w:bookmarkStart w:id="441" w:name="bookmark441"/>
      <w:bookmarkStart w:id="442" w:name="bookmark442"/>
      <w:r>
        <w:rPr>
          <w:color w:val="000000"/>
          <w:spacing w:val="0"/>
          <w:w w:val="100"/>
          <w:position w:val="0"/>
        </w:rPr>
        <w:t>十九、公司子公司重大事项</w:t>
      </w:r>
      <w:bookmarkEnd w:id="440"/>
      <w:bookmarkEnd w:id="441"/>
      <w:bookmarkEnd w:id="442"/>
    </w:p>
    <w:p>
      <w:pPr>
        <w:pStyle w:val="Style38"/>
        <w:keepNext w:val="0"/>
        <w:keepLines w:val="0"/>
        <w:widowControl w:val="0"/>
        <w:shd w:val="clear" w:color="auto" w:fill="auto"/>
        <w:bidi w:val="0"/>
        <w:spacing w:before="0" w:after="0" w:line="315" w:lineRule="exact"/>
        <w:ind w:left="110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160" w:line="315" w:lineRule="exact"/>
        <w:ind w:left="110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日，广东省广州市中级人民法院向子公司中经电商发出编号为（</w:t>
      </w:r>
      <w:r>
        <w:rPr>
          <w:rFonts w:ascii="Times New Roman" w:eastAsia="Times New Roman" w:hAnsi="Times New Roman" w:cs="Times New Roman"/>
          <w:color w:val="000000"/>
          <w:spacing w:val="0"/>
          <w:w w:val="100"/>
          <w:position w:val="0"/>
        </w:rPr>
        <w:t>2021</w:t>
      </w:r>
      <w:r>
        <w:rPr>
          <w:color w:val="000000"/>
          <w:spacing w:val="0"/>
          <w:w w:val="100"/>
          <w:position w:val="0"/>
        </w:rPr>
        <w:t>）粤</w:t>
      </w:r>
      <w:r>
        <w:rPr>
          <w:rFonts w:ascii="Times New Roman" w:eastAsia="Times New Roman" w:hAnsi="Times New Roman" w:cs="Times New Roman"/>
          <w:color w:val="000000"/>
          <w:spacing w:val="0"/>
          <w:w w:val="100"/>
          <w:position w:val="0"/>
        </w:rPr>
        <w:t>01</w:t>
      </w:r>
      <w:r>
        <w:rPr>
          <w:color w:val="000000"/>
          <w:spacing w:val="0"/>
          <w:w w:val="100"/>
          <w:position w:val="0"/>
        </w:rPr>
        <w:t>破申</w:t>
      </w:r>
      <w:r>
        <w:rPr>
          <w:rFonts w:ascii="Times New Roman" w:eastAsia="Times New Roman" w:hAnsi="Times New Roman" w:cs="Times New Roman"/>
          <w:color w:val="000000"/>
          <w:spacing w:val="0"/>
          <w:w w:val="100"/>
          <w:position w:val="0"/>
        </w:rPr>
        <w:t>96-2</w:t>
      </w:r>
      <w:r>
        <w:rPr>
          <w:color w:val="000000"/>
          <w:spacing w:val="0"/>
          <w:w w:val="100"/>
          <w:position w:val="0"/>
        </w:rPr>
        <w:t>号的 《通知书》，债权人纳斯特投资管理有限公司以中经电商不能清偿到期债务为由向广东省广州市中级人民 法院申请对中经电商进行破产清算。</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日，广东省广州市中级人民法院对该事项进行了听证，中 经电商已于当日向法院提交了《异议书》；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日，中经电商与纳斯特投资已就上述债权清偿事项 达成庭外和解，并签署了《和解协议》。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日，纳斯特投资向广东省广州市中级人民法院提交了 《撤回破产申请书》，申请撤回对中经电商的破产申请。</w:t>
      </w:r>
      <w:r>
        <w:br w:type="page"/>
      </w:r>
    </w:p>
    <w:p>
      <w:pPr>
        <w:pStyle w:val="Style17"/>
        <w:keepNext/>
        <w:keepLines/>
        <w:widowControl w:val="0"/>
        <w:shd w:val="clear" w:color="auto" w:fill="auto"/>
        <w:bidi w:val="0"/>
        <w:spacing w:before="0" w:after="520" w:line="240" w:lineRule="auto"/>
        <w:ind w:left="0" w:right="0" w:firstLine="0"/>
        <w:jc w:val="center"/>
      </w:pPr>
      <w:bookmarkStart w:id="443" w:name="bookmark443"/>
      <w:bookmarkStart w:id="444" w:name="bookmark444"/>
      <w:bookmarkStart w:id="445" w:name="bookmark445"/>
      <w:r>
        <w:rPr>
          <w:color w:val="000000"/>
          <w:spacing w:val="0"/>
          <w:w w:val="100"/>
          <w:position w:val="0"/>
        </w:rPr>
        <w:t>第六节股份变动及股东情况</w:t>
      </w:r>
      <w:bookmarkEnd w:id="443"/>
      <w:bookmarkEnd w:id="444"/>
      <w:bookmarkEnd w:id="445"/>
    </w:p>
    <w:p>
      <w:pPr>
        <w:pStyle w:val="Style26"/>
        <w:keepNext/>
        <w:keepLines/>
        <w:widowControl w:val="0"/>
        <w:shd w:val="clear" w:color="auto" w:fill="auto"/>
        <w:bidi w:val="0"/>
        <w:spacing w:before="0" w:after="360" w:line="240" w:lineRule="auto"/>
        <w:ind w:left="1100" w:right="0" w:firstLine="0"/>
        <w:jc w:val="both"/>
      </w:pPr>
      <w:bookmarkStart w:id="446" w:name="bookmark446"/>
      <w:bookmarkStart w:id="447" w:name="bookmark447"/>
      <w:bookmarkStart w:id="448" w:name="bookmark448"/>
      <w:bookmarkStart w:id="449" w:name="bookmark449"/>
      <w:r>
        <w:rPr>
          <w:color w:val="000000"/>
          <w:spacing w:val="0"/>
          <w:w w:val="100"/>
          <w:position w:val="0"/>
        </w:rPr>
        <w:t>一</w:t>
      </w:r>
      <w:bookmarkEnd w:id="448"/>
      <w:r>
        <w:rPr>
          <w:color w:val="000000"/>
          <w:spacing w:val="0"/>
          <w:w w:val="100"/>
          <w:position w:val="0"/>
        </w:rPr>
        <w:t>、股份变动情况</w:t>
      </w:r>
      <w:bookmarkEnd w:id="446"/>
      <w:bookmarkEnd w:id="447"/>
      <w:bookmarkEnd w:id="449"/>
    </w:p>
    <w:p>
      <w:pPr>
        <w:pStyle w:val="Style35"/>
        <w:keepNext/>
        <w:keepLines/>
        <w:widowControl w:val="0"/>
        <w:shd w:val="clear" w:color="auto" w:fill="auto"/>
        <w:bidi w:val="0"/>
        <w:spacing w:before="0" w:after="360" w:line="240" w:lineRule="auto"/>
        <w:ind w:left="110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、股份变动情况</w:t>
      </w:r>
      <w:bookmarkEnd w:id="450"/>
      <w:bookmarkEnd w:id="451"/>
      <w:bookmarkEnd w:id="4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301"/>
        <w:gridCol w:w="893"/>
        <w:gridCol w:w="576"/>
        <w:gridCol w:w="758"/>
        <w:gridCol w:w="826"/>
        <w:gridCol w:w="1118"/>
        <w:gridCol w:w="1243"/>
        <w:gridCol w:w="1315"/>
        <w:gridCol w:w="94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277,564,476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-31,962,208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245,602,268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277,323,276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-31,962,208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245,361,068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270,429,306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-25,068,238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245,361,068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972,231,718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1,004,231,953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972,231,718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1,004,231,953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1,249,796,194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1,249,834,221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8"/>
        <w:keepNext w:val="0"/>
        <w:keepLines w:val="0"/>
        <w:widowControl w:val="0"/>
        <w:shd w:val="clear" w:color="auto" w:fill="auto"/>
        <w:bidi w:val="0"/>
        <w:spacing w:before="0" w:after="0" w:line="350" w:lineRule="exact"/>
        <w:ind w:left="1100" w:right="0" w:firstLine="0"/>
        <w:jc w:val="both"/>
      </w:pPr>
      <w:r>
        <w:rPr>
          <w:color w:val="000000"/>
          <w:spacing w:val="0"/>
          <w:w w:val="100"/>
          <w:position w:val="0"/>
        </w:rPr>
        <w:t xml:space="preserve">股份变动的原因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311" w:lineRule="exact"/>
        <w:ind w:left="1100" w:right="0" w:firstLine="420"/>
        <w:jc w:val="both"/>
      </w:pPr>
      <w:bookmarkStart w:id="454" w:name="bookmark454"/>
      <w:r>
        <w:rPr>
          <w:rFonts w:ascii="Times New Roman" w:eastAsia="Times New Roman" w:hAnsi="Times New Roman" w:cs="Times New Roman"/>
          <w:color w:val="000000"/>
          <w:spacing w:val="0"/>
          <w:w w:val="100"/>
          <w:position w:val="0"/>
        </w:rPr>
        <w:t>1</w:t>
      </w:r>
      <w:bookmarkEnd w:id="454"/>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日召开第四届董事会第二十三次（临时）会议审议通过了《关于深圳市蓝盾 满泰科技发展有限公司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年度业绩承诺实现情况的议案》，根据大华会计师事务所（特殊普通合伙）出 具的《专项审核报告（大华核字</w:t>
      </w:r>
      <w:r>
        <w:rPr>
          <w:rFonts w:ascii="Times New Roman" w:eastAsia="Times New Roman" w:hAnsi="Times New Roman" w:cs="Times New Roman"/>
          <w:color w:val="000000"/>
          <w:spacing w:val="0"/>
          <w:w w:val="100"/>
          <w:position w:val="0"/>
        </w:rPr>
        <w:t>[2020]003557</w:t>
      </w:r>
      <w:r>
        <w:rPr>
          <w:color w:val="000000"/>
          <w:spacing w:val="0"/>
          <w:w w:val="100"/>
          <w:position w:val="0"/>
        </w:rPr>
        <w:t>号）》，满泰科技</w:t>
      </w:r>
      <w:r>
        <w:rPr>
          <w:rFonts w:ascii="Times New Roman" w:eastAsia="Times New Roman" w:hAnsi="Times New Roman" w:cs="Times New Roman"/>
          <w:color w:val="000000"/>
          <w:spacing w:val="0"/>
          <w:w w:val="100"/>
          <w:position w:val="0"/>
        </w:rPr>
        <w:t>2016</w:t>
      </w:r>
      <w:r>
        <w:rPr>
          <w:color w:val="000000"/>
          <w:spacing w:val="0"/>
          <w:w w:val="100"/>
          <w:position w:val="0"/>
        </w:rPr>
        <w:t>至</w:t>
      </w:r>
      <w:r>
        <w:rPr>
          <w:rFonts w:ascii="Times New Roman" w:eastAsia="Times New Roman" w:hAnsi="Times New Roman" w:cs="Times New Roman"/>
          <w:color w:val="000000"/>
          <w:spacing w:val="0"/>
          <w:w w:val="100"/>
          <w:position w:val="0"/>
        </w:rPr>
        <w:t>2019</w:t>
      </w:r>
      <w:r>
        <w:rPr>
          <w:color w:val="000000"/>
          <w:spacing w:val="0"/>
          <w:w w:val="100"/>
          <w:position w:val="0"/>
        </w:rPr>
        <w:t>年累计承诺净利润金额为</w:t>
      </w:r>
      <w:r>
        <w:rPr>
          <w:rFonts w:ascii="Times New Roman" w:eastAsia="Times New Roman" w:hAnsi="Times New Roman" w:cs="Times New Roman"/>
          <w:color w:val="000000"/>
          <w:spacing w:val="0"/>
          <w:w w:val="100"/>
          <w:position w:val="0"/>
        </w:rPr>
        <w:t xml:space="preserve">33,300.00 </w:t>
      </w:r>
      <w:r>
        <w:rPr>
          <w:color w:val="000000"/>
          <w:spacing w:val="0"/>
          <w:w w:val="100"/>
          <w:position w:val="0"/>
        </w:rPr>
        <w:t>万元，累计实现净利润金额为</w:t>
      </w:r>
      <w:r>
        <w:rPr>
          <w:rFonts w:ascii="Times New Roman" w:eastAsia="Times New Roman" w:hAnsi="Times New Roman" w:cs="Times New Roman"/>
          <w:color w:val="000000"/>
          <w:spacing w:val="0"/>
          <w:w w:val="100"/>
          <w:position w:val="0"/>
        </w:rPr>
        <w:t>33,641.74</w:t>
      </w:r>
      <w:r>
        <w:rPr>
          <w:color w:val="000000"/>
          <w:spacing w:val="0"/>
          <w:w w:val="100"/>
          <w:position w:val="0"/>
        </w:rPr>
        <w:t>万元。根据公司与交易对方签署的《支付现金购买资产及盈利预测 补偿协议》，瑞兴达投资当期应补偿金额为</w:t>
      </w:r>
      <w:r>
        <w:rPr>
          <w:rFonts w:ascii="Times New Roman" w:eastAsia="Times New Roman" w:hAnsi="Times New Roman" w:cs="Times New Roman"/>
          <w:color w:val="000000"/>
          <w:spacing w:val="0"/>
          <w:w w:val="100"/>
          <w:position w:val="0"/>
        </w:rPr>
        <w:t>0</w:t>
      </w:r>
      <w:r>
        <w:rPr>
          <w:color w:val="000000"/>
          <w:spacing w:val="0"/>
          <w:w w:val="100"/>
          <w:position w:val="0"/>
        </w:rPr>
        <w:t xml:space="preserve">元，无需进行业绩补偿。瑞兴达投资所持全部限售股份合计 </w:t>
      </w:r>
      <w:r>
        <w:rPr>
          <w:rFonts w:ascii="Times New Roman" w:eastAsia="Times New Roman" w:hAnsi="Times New Roman" w:cs="Times New Roman"/>
          <w:color w:val="000000"/>
          <w:spacing w:val="0"/>
          <w:w w:val="100"/>
          <w:position w:val="0"/>
        </w:rPr>
        <w:t>6,893,970</w:t>
      </w:r>
      <w:r>
        <w:rPr>
          <w:color w:val="000000"/>
          <w:spacing w:val="0"/>
          <w:w w:val="100"/>
          <w:position w:val="0"/>
        </w:rPr>
        <w:t>股可按约定解除限售，上述股份已于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日上市流通；</w:t>
      </w:r>
    </w:p>
    <w:p>
      <w:pPr>
        <w:pStyle w:val="Style38"/>
        <w:keepNext w:val="0"/>
        <w:keepLines w:val="0"/>
        <w:widowControl w:val="0"/>
        <w:shd w:val="clear" w:color="auto" w:fill="auto"/>
        <w:tabs>
          <w:tab w:pos="1893" w:val="left"/>
        </w:tabs>
        <w:bidi w:val="0"/>
        <w:spacing w:before="0" w:after="0" w:line="311" w:lineRule="exact"/>
        <w:ind w:left="1520" w:right="0" w:firstLine="0"/>
        <w:jc w:val="both"/>
      </w:pPr>
      <w:bookmarkStart w:id="455" w:name="bookmark455"/>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t>报告期内，因高管锁定股锁定额度变动，公司有限售条件股份减少</w:t>
      </w:r>
      <w:r>
        <w:rPr>
          <w:rFonts w:ascii="Times New Roman" w:eastAsia="Times New Roman" w:hAnsi="Times New Roman" w:cs="Times New Roman"/>
          <w:color w:val="000000"/>
          <w:spacing w:val="0"/>
          <w:w w:val="100"/>
          <w:position w:val="0"/>
        </w:rPr>
        <w:t>25,068,238</w:t>
      </w:r>
      <w:r>
        <w:rPr>
          <w:color w:val="000000"/>
          <w:spacing w:val="0"/>
          <w:w w:val="100"/>
          <w:position w:val="0"/>
        </w:rPr>
        <w:t>股；</w:t>
      </w:r>
    </w:p>
    <w:p>
      <w:pPr>
        <w:pStyle w:val="Style38"/>
        <w:keepNext w:val="0"/>
        <w:keepLines w:val="0"/>
        <w:widowControl w:val="0"/>
        <w:shd w:val="clear" w:color="auto" w:fill="auto"/>
        <w:tabs>
          <w:tab w:pos="1895" w:val="left"/>
        </w:tabs>
        <w:bidi w:val="0"/>
        <w:spacing w:before="0" w:after="360" w:line="311" w:lineRule="exact"/>
        <w:ind w:left="1100" w:right="0" w:firstLine="420"/>
        <w:jc w:val="both"/>
      </w:pPr>
      <w:bookmarkStart w:id="456" w:name="bookmark456"/>
      <w:r>
        <w:rPr>
          <w:rFonts w:ascii="Times New Roman" w:eastAsia="Times New Roman" w:hAnsi="Times New Roman" w:cs="Times New Roman"/>
          <w:color w:val="000000"/>
          <w:spacing w:val="0"/>
          <w:w w:val="100"/>
          <w:position w:val="0"/>
        </w:rPr>
        <w:t>3</w:t>
      </w:r>
      <w:bookmarkEnd w:id="456"/>
      <w:r>
        <w:rPr>
          <w:color w:val="000000"/>
          <w:spacing w:val="0"/>
          <w:w w:val="100"/>
          <w:position w:val="0"/>
        </w:rPr>
        <w:t>、</w:t>
        <w:tab/>
        <w:t>根据相关规定和公司《创业板公开发行可转换公司债券募集说明书》约定，“蓝盾转债”自</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rFonts w:ascii="SimHei" w:eastAsia="SimHei" w:hAnsi="SimHei" w:cs="SimHei"/>
          <w:color w:val="000000"/>
          <w:spacing w:val="0"/>
          <w:w w:val="100"/>
          <w:position w:val="0"/>
          <w:sz w:val="26"/>
          <w:szCs w:val="26"/>
        </w:rPr>
        <w:t>0</w:t>
      </w:r>
      <w:r>
        <w:rPr>
          <w:color w:val="000000"/>
          <w:spacing w:val="0"/>
          <w:w w:val="100"/>
          <w:position w:val="0"/>
        </w:rPr>
        <w:t>起可转换为公司股份。报告期内，因“蓝盾转债”转股，公司总股本增加</w:t>
      </w:r>
      <w:r>
        <w:rPr>
          <w:rFonts w:ascii="Times New Roman" w:eastAsia="Times New Roman" w:hAnsi="Times New Roman" w:cs="Times New Roman"/>
          <w:color w:val="000000"/>
          <w:spacing w:val="0"/>
          <w:w w:val="100"/>
          <w:position w:val="0"/>
        </w:rPr>
        <w:t>38,027</w:t>
      </w:r>
      <w:r>
        <w:rPr>
          <w:color w:val="000000"/>
          <w:spacing w:val="0"/>
          <w:w w:val="100"/>
          <w:position w:val="0"/>
        </w:rPr>
        <w:t>股。</w:t>
      </w:r>
    </w:p>
    <w:p>
      <w:pPr>
        <w:pStyle w:val="Style28"/>
        <w:keepNext w:val="0"/>
        <w:keepLines w:val="0"/>
        <w:widowControl w:val="0"/>
        <w:shd w:val="clear" w:color="auto" w:fill="auto"/>
        <w:bidi w:val="0"/>
        <w:spacing w:before="0" w:line="240" w:lineRule="auto"/>
        <w:ind w:left="110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详见上述“股份变动的原因”。</w:t>
      </w:r>
    </w:p>
    <w:p>
      <w:pPr>
        <w:pStyle w:val="Style28"/>
        <w:keepNext w:val="0"/>
        <w:keepLines w:val="0"/>
        <w:widowControl w:val="0"/>
        <w:shd w:val="clear" w:color="auto" w:fill="auto"/>
        <w:bidi w:val="0"/>
        <w:spacing w:before="0" w:line="240" w:lineRule="auto"/>
        <w:ind w:left="110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110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110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110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110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11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110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2</w:t>
      </w:r>
      <w:bookmarkEnd w:id="459"/>
      <w:r>
        <w:rPr>
          <w:color w:val="000000"/>
          <w:spacing w:val="0"/>
          <w:w w:val="100"/>
          <w:position w:val="0"/>
        </w:rPr>
        <w:t>、限售股份变动情况</w:t>
      </w:r>
      <w:bookmarkEnd w:id="457"/>
      <w:bookmarkEnd w:id="458"/>
      <w:bookmarkEnd w:id="460"/>
    </w:p>
    <w:p>
      <w:pPr>
        <w:pStyle w:val="Style28"/>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拟解除限售日期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134,256,678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12,919,050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121,337,628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高管锁定股每年 按持股总数的 </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133,464,408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12,151,688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121,312,720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高管锁定股每年 按持股总数的 </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南平市瑞兴 达股权投资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6,893,970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6,893,970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672,420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权激励限售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高管锁定股每年 按持股总数的 </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锁定；该部分 股权激励限售股 未满足解锁条件， 公司需回购注销</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其他董监高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股权激励对 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2,277,000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权激励限售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高管锁定股每年 按持股总数的 </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锁定；该部分 股权激励限售股 未满足解锁条件，</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59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公司需回购注销</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277,564,476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31,964,708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245,602,268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tabs>
          <w:tab w:pos="1617" w:val="left"/>
        </w:tabs>
        <w:bidi w:val="0"/>
        <w:spacing w:before="0" w:after="300" w:line="240" w:lineRule="auto"/>
        <w:ind w:left="1100" w:right="0" w:firstLine="0"/>
        <w:jc w:val="both"/>
      </w:pPr>
      <w:bookmarkStart w:id="461" w:name="bookmark461"/>
      <w:bookmarkStart w:id="462" w:name="bookmark462"/>
      <w:bookmarkStart w:id="463" w:name="bookmark463"/>
      <w:bookmarkStart w:id="464" w:name="bookmark464"/>
      <w:r>
        <w:rPr>
          <w:color w:val="000000"/>
          <w:spacing w:val="0"/>
          <w:w w:val="100"/>
          <w:position w:val="0"/>
        </w:rPr>
        <w:t>二</w:t>
      </w:r>
      <w:bookmarkEnd w:id="463"/>
      <w:r>
        <w:rPr>
          <w:color w:val="000000"/>
          <w:spacing w:val="0"/>
          <w:w w:val="100"/>
          <w:position w:val="0"/>
        </w:rPr>
        <w:t>、</w:t>
        <w:tab/>
        <w:t>证券发行与上市情况</w:t>
      </w:r>
      <w:bookmarkEnd w:id="461"/>
      <w:bookmarkEnd w:id="462"/>
      <w:bookmarkEnd w:id="464"/>
    </w:p>
    <w:p>
      <w:pPr>
        <w:pStyle w:val="Style35"/>
        <w:keepNext/>
        <w:keepLines/>
        <w:widowControl w:val="0"/>
        <w:shd w:val="clear" w:color="auto" w:fill="auto"/>
        <w:tabs>
          <w:tab w:pos="1468" w:val="left"/>
        </w:tabs>
        <w:bidi w:val="0"/>
        <w:spacing w:before="0" w:line="317" w:lineRule="exact"/>
        <w:ind w:left="110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w:t>
        <w:tab/>
        <w:t>报告期内证券发行（不含优先股）情况</w:t>
      </w:r>
      <w:bookmarkEnd w:id="465"/>
      <w:bookmarkEnd w:id="466"/>
      <w:bookmarkEnd w:id="468"/>
    </w:p>
    <w:p>
      <w:pPr>
        <w:pStyle w:val="Style28"/>
        <w:keepNext w:val="0"/>
        <w:keepLines w:val="0"/>
        <w:widowControl w:val="0"/>
        <w:shd w:val="clear" w:color="auto" w:fill="auto"/>
        <w:bidi w:val="0"/>
        <w:spacing w:before="0" w:after="300" w:line="240" w:lineRule="auto"/>
        <w:ind w:left="110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478" w:val="left"/>
        </w:tabs>
        <w:bidi w:val="0"/>
        <w:spacing w:before="0" w:line="317" w:lineRule="exact"/>
        <w:ind w:left="110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w:t>
        <w:tab/>
        <w:t>公司股份总数及股东结构的变动、公司资产和负债结构的变动情况说明</w:t>
      </w:r>
      <w:bookmarkEnd w:id="469"/>
      <w:bookmarkEnd w:id="470"/>
      <w:bookmarkEnd w:id="472"/>
    </w:p>
    <w:p>
      <w:pPr>
        <w:pStyle w:val="Style38"/>
        <w:keepNext w:val="0"/>
        <w:keepLines w:val="0"/>
        <w:widowControl w:val="0"/>
        <w:shd w:val="clear" w:color="auto" w:fill="auto"/>
        <w:bidi w:val="0"/>
        <w:spacing w:before="0" w:after="0" w:line="331" w:lineRule="auto"/>
        <w:ind w:left="110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300" w:line="317" w:lineRule="exact"/>
        <w:ind w:left="1100" w:right="0" w:firstLine="420"/>
        <w:jc w:val="both"/>
      </w:pPr>
      <w:r>
        <w:rPr>
          <w:color w:val="000000"/>
          <w:spacing w:val="0"/>
          <w:w w:val="100"/>
          <w:position w:val="0"/>
        </w:rPr>
        <w:t>根据相关规定和公司《创业板公开发行可转换公司债券募集说明书》约定，</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日起可转换为公司股份。报告期内，因“蓝盾转债”转股，公司总股本增加</w:t>
      </w:r>
      <w:r>
        <w:rPr>
          <w:rFonts w:ascii="Times New Roman" w:eastAsia="Times New Roman" w:hAnsi="Times New Roman" w:cs="Times New Roman"/>
          <w:color w:val="000000"/>
          <w:spacing w:val="0"/>
          <w:w w:val="100"/>
          <w:position w:val="0"/>
        </w:rPr>
        <w:t>38,027</w:t>
      </w:r>
      <w:r>
        <w:rPr>
          <w:color w:val="000000"/>
          <w:spacing w:val="0"/>
          <w:w w:val="100"/>
          <w:position w:val="0"/>
        </w:rPr>
        <w:t>股。</w:t>
      </w:r>
    </w:p>
    <w:p>
      <w:pPr>
        <w:pStyle w:val="Style35"/>
        <w:keepNext/>
        <w:keepLines/>
        <w:widowControl w:val="0"/>
        <w:shd w:val="clear" w:color="auto" w:fill="auto"/>
        <w:tabs>
          <w:tab w:pos="1478" w:val="left"/>
        </w:tabs>
        <w:bidi w:val="0"/>
        <w:spacing w:before="0" w:line="317" w:lineRule="exact"/>
        <w:ind w:left="1100" w:right="0" w:firstLine="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w:t>
        <w:tab/>
        <w:t>现存的内部职工股情况</w:t>
      </w:r>
      <w:bookmarkEnd w:id="473"/>
      <w:bookmarkEnd w:id="474"/>
      <w:bookmarkEnd w:id="476"/>
    </w:p>
    <w:p>
      <w:pPr>
        <w:pStyle w:val="Style28"/>
        <w:keepNext w:val="0"/>
        <w:keepLines w:val="0"/>
        <w:widowControl w:val="0"/>
        <w:shd w:val="clear" w:color="auto" w:fill="auto"/>
        <w:bidi w:val="0"/>
        <w:spacing w:before="0" w:after="380" w:line="240" w:lineRule="auto"/>
        <w:ind w:left="110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1617" w:val="left"/>
        </w:tabs>
        <w:bidi w:val="0"/>
        <w:spacing w:before="0" w:after="300" w:line="240" w:lineRule="auto"/>
        <w:ind w:left="1100" w:right="0" w:firstLine="0"/>
        <w:jc w:val="both"/>
      </w:pPr>
      <w:bookmarkStart w:id="477" w:name="bookmark477"/>
      <w:bookmarkStart w:id="478" w:name="bookmark478"/>
      <w:bookmarkStart w:id="479" w:name="bookmark479"/>
      <w:bookmarkStart w:id="480" w:name="bookmark480"/>
      <w:r>
        <w:rPr>
          <w:color w:val="000000"/>
          <w:spacing w:val="0"/>
          <w:w w:val="100"/>
          <w:position w:val="0"/>
        </w:rPr>
        <w:t>三</w:t>
      </w:r>
      <w:bookmarkEnd w:id="479"/>
      <w:r>
        <w:rPr>
          <w:color w:val="000000"/>
          <w:spacing w:val="0"/>
          <w:w w:val="100"/>
          <w:position w:val="0"/>
        </w:rPr>
        <w:t>、</w:t>
        <w:tab/>
        <w:t>股东和实际控制人情况</w:t>
      </w:r>
      <w:bookmarkEnd w:id="477"/>
      <w:bookmarkEnd w:id="478"/>
      <w:bookmarkEnd w:id="480"/>
    </w:p>
    <w:p>
      <w:pPr>
        <w:pStyle w:val="Style35"/>
        <w:keepNext/>
        <w:keepLines/>
        <w:widowControl w:val="0"/>
        <w:shd w:val="clear" w:color="auto" w:fill="auto"/>
        <w:bidi w:val="0"/>
        <w:spacing w:before="0" w:line="317" w:lineRule="exact"/>
        <w:ind w:left="110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、公司股东数量及持股情况</w:t>
      </w:r>
      <w:bookmarkEnd w:id="481"/>
      <w:bookmarkEnd w:id="482"/>
      <w:bookmarkEnd w:id="4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1195"/>
        <w:gridCol w:w="1090"/>
        <w:gridCol w:w="1262"/>
        <w:gridCol w:w="1291"/>
        <w:gridCol w:w="1243"/>
        <w:gridCol w:w="1142"/>
        <w:gridCol w:w="1066"/>
        <w:gridCol w:w="1253"/>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87,753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年度报告披露日前上一月 末表决权恢复的优先股股 东总数（如有）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12.08%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150,956,904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-10,826,600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121,337,628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29,619,276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146,622,894</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150,956,904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11.79%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147,337,292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-14,413,001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121,312,720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26,024,572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146,880,376</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147,337,292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深圳市博益投 资发展有限公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103,266,900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103,266,900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89,935,042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89,935,042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89,770,000</w:t>
            </w:r>
          </w:p>
        </w:tc>
      </w:tr>
    </w:tbl>
    <w:p>
      <w:pPr>
        <w:widowControl w:val="0"/>
        <w:spacing w:line="1" w:lineRule="exact"/>
      </w:pPr>
      <w:r>
        <w:br w:type="page"/>
      </w:r>
    </w:p>
    <w:tbl>
      <w:tblPr>
        <w:tblOverlap w:val="never"/>
        <w:jc w:val="center"/>
        <w:tblLayout w:type="fixed"/>
      </w:tblPr>
      <w:tblGrid>
        <w:gridCol w:w="1426"/>
        <w:gridCol w:w="1195"/>
        <w:gridCol w:w="1090"/>
        <w:gridCol w:w="1262"/>
        <w:gridCol w:w="1291"/>
        <w:gridCol w:w="1243"/>
        <w:gridCol w:w="1142"/>
        <w:gridCol w:w="1066"/>
        <w:gridCol w:w="125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89,870,000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8,380,531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1,339,248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8,380,531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南平市瑞兴达 股权投资合伙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3,139,721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JPMORGAN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CHASE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BANK,NATIO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ASSOCIATION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2,687,116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2,687,116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宁旭俭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MORGAN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STANLEY </w:t>
            </w:r>
            <w:r>
              <w:rPr>
                <w:rFonts w:ascii="Times New Roman" w:eastAsia="Times New Roman" w:hAnsi="Times New Roman" w:cs="Times New Roman"/>
                <w:color w:val="000000"/>
                <w:spacing w:val="0"/>
                <w:w w:val="100"/>
                <w:position w:val="0"/>
                <w:sz w:val="18"/>
                <w:szCs w:val="18"/>
              </w:rPr>
              <w:t>&amp;</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 PLC.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陈汉清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1,812,745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1,812,745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柯宗庆、柯宗贵与中经汇通系一致行动关系。除此之外，公司未知上述其他股东之间是否存在关联关系， 也未知是否属于一致行动人。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深圳市博益投资发展有限公司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0" w:right="0" w:firstLine="0"/>
              <w:jc w:val="left"/>
              <w:rPr>
                <w:sz w:val="18"/>
                <w:szCs w:val="18"/>
              </w:rPr>
            </w:pPr>
            <w:r>
              <w:rPr>
                <w:rFonts w:ascii="Times New Roman" w:eastAsia="Times New Roman" w:hAnsi="Times New Roman" w:cs="Times New Roman"/>
                <w:color w:val="000000"/>
                <w:spacing w:val="0"/>
                <w:w w:val="100"/>
                <w:position w:val="0"/>
                <w:sz w:val="18"/>
                <w:szCs w:val="18"/>
              </w:rPr>
              <w:t>103,266,900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103,266,900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中经汇通有限责任公司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100" w:right="0" w:firstLine="0"/>
              <w:jc w:val="left"/>
              <w:rPr>
                <w:sz w:val="18"/>
                <w:szCs w:val="18"/>
              </w:rPr>
            </w:pPr>
            <w:r>
              <w:rPr>
                <w:rFonts w:ascii="Times New Roman" w:eastAsia="Times New Roman" w:hAnsi="Times New Roman" w:cs="Times New Roman"/>
                <w:color w:val="000000"/>
                <w:spacing w:val="0"/>
                <w:w w:val="100"/>
                <w:position w:val="0"/>
                <w:sz w:val="18"/>
                <w:szCs w:val="18"/>
              </w:rPr>
              <w:t>89,935,042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89,935,042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100" w:right="0" w:firstLine="0"/>
              <w:jc w:val="left"/>
              <w:rPr>
                <w:sz w:val="18"/>
                <w:szCs w:val="18"/>
              </w:rPr>
            </w:pPr>
            <w:r>
              <w:rPr>
                <w:rFonts w:ascii="Times New Roman" w:eastAsia="Times New Roman" w:hAnsi="Times New Roman" w:cs="Times New Roman"/>
                <w:color w:val="000000"/>
                <w:spacing w:val="0"/>
                <w:w w:val="100"/>
                <w:position w:val="0"/>
                <w:sz w:val="18"/>
                <w:szCs w:val="18"/>
              </w:rPr>
              <w:t>29,619,276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29,619,276</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100" w:right="0" w:firstLine="0"/>
              <w:jc w:val="left"/>
              <w:rPr>
                <w:sz w:val="18"/>
                <w:szCs w:val="18"/>
              </w:rPr>
            </w:pPr>
            <w:r>
              <w:rPr>
                <w:rFonts w:ascii="Times New Roman" w:eastAsia="Times New Roman" w:hAnsi="Times New Roman" w:cs="Times New Roman"/>
                <w:color w:val="000000"/>
                <w:spacing w:val="0"/>
                <w:w w:val="100"/>
                <w:position w:val="0"/>
                <w:sz w:val="18"/>
                <w:szCs w:val="18"/>
              </w:rPr>
              <w:t>26,024,572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26,024,572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0" w:right="0" w:firstLine="0"/>
              <w:jc w:val="left"/>
              <w:rPr>
                <w:sz w:val="18"/>
                <w:szCs w:val="18"/>
              </w:rPr>
            </w:pPr>
            <w:r>
              <w:rPr>
                <w:rFonts w:ascii="Times New Roman" w:eastAsia="Times New Roman" w:hAnsi="Times New Roman" w:cs="Times New Roman"/>
                <w:color w:val="000000"/>
                <w:spacing w:val="0"/>
                <w:w w:val="100"/>
                <w:position w:val="0"/>
                <w:sz w:val="18"/>
                <w:szCs w:val="18"/>
              </w:rPr>
              <w:t>8,380,531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8,380,531</w:t>
            </w: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南平市瑞兴达股权投资合伙企 业（有限合伙）</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0" w:right="0" w:firstLine="0"/>
              <w:jc w:val="left"/>
              <w:rPr>
                <w:sz w:val="18"/>
                <w:szCs w:val="18"/>
              </w:rPr>
            </w:pPr>
            <w:r>
              <w:rPr>
                <w:rFonts w:ascii="Times New Roman" w:eastAsia="Times New Roman" w:hAnsi="Times New Roman" w:cs="Times New Roman"/>
                <w:color w:val="000000"/>
                <w:spacing w:val="0"/>
                <w:w w:val="100"/>
                <w:position w:val="0"/>
                <w:sz w:val="18"/>
                <w:szCs w:val="18"/>
              </w:rPr>
              <w:t>3,230,121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3,230,121</w:t>
            </w:r>
          </w:p>
        </w:tc>
      </w:tr>
    </w:tbl>
    <w:p>
      <w:pPr>
        <w:widowControl w:val="0"/>
        <w:spacing w:line="1" w:lineRule="exact"/>
      </w:pPr>
      <w:r>
        <w:br w:type="page"/>
      </w:r>
    </w:p>
    <w:tbl>
      <w:tblPr>
        <w:tblOverlap w:val="never"/>
        <w:jc w:val="center"/>
        <w:tblLayout w:type="fixed"/>
      </w:tblPr>
      <w:tblGrid>
        <w:gridCol w:w="2621"/>
        <w:gridCol w:w="6029"/>
        <w:gridCol w:w="1066"/>
        <w:gridCol w:w="1253"/>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JPMORGAN CHASE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BANK,NATIONAL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ASSOCIATION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0" w:right="0" w:firstLine="0"/>
              <w:jc w:val="left"/>
              <w:rPr>
                <w:sz w:val="18"/>
                <w:szCs w:val="18"/>
              </w:rPr>
            </w:pPr>
            <w:r>
              <w:rPr>
                <w:rFonts w:ascii="Times New Roman" w:eastAsia="Times New Roman" w:hAnsi="Times New Roman" w:cs="Times New Roman"/>
                <w:color w:val="000000"/>
                <w:spacing w:val="0"/>
                <w:w w:val="100"/>
                <w:position w:val="0"/>
                <w:sz w:val="18"/>
                <w:szCs w:val="18"/>
              </w:rPr>
              <w:t>2,687,116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2,687,116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宁旭俭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0" w:right="0" w:firstLine="0"/>
              <w:jc w:val="left"/>
              <w:rPr>
                <w:sz w:val="18"/>
                <w:szCs w:val="18"/>
              </w:rPr>
            </w:pPr>
            <w:r>
              <w:rPr>
                <w:rFonts w:ascii="Times New Roman" w:eastAsia="Times New Roman" w:hAnsi="Times New Roman" w:cs="Times New Roman"/>
                <w:color w:val="000000"/>
                <w:spacing w:val="0"/>
                <w:w w:val="100"/>
                <w:position w:val="0"/>
                <w:sz w:val="18"/>
                <w:szCs w:val="18"/>
              </w:rPr>
              <w:t>2,089,300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2,089,300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MORGAN STANLEY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CO.</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PLC.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0" w:right="0" w:firstLine="0"/>
              <w:jc w:val="left"/>
              <w:rPr>
                <w:sz w:val="18"/>
                <w:szCs w:val="18"/>
              </w:rPr>
            </w:pPr>
            <w:r>
              <w:rPr>
                <w:rFonts w:ascii="Times New Roman" w:eastAsia="Times New Roman" w:hAnsi="Times New Roman" w:cs="Times New Roman"/>
                <w:color w:val="000000"/>
                <w:spacing w:val="0"/>
                <w:w w:val="100"/>
                <w:position w:val="0"/>
                <w:sz w:val="18"/>
                <w:szCs w:val="18"/>
              </w:rPr>
              <w:t>1,888,500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1,888,500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陈汉清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0" w:right="0" w:firstLine="0"/>
              <w:jc w:val="left"/>
              <w:rPr>
                <w:sz w:val="18"/>
                <w:szCs w:val="18"/>
              </w:rPr>
            </w:pPr>
            <w:r>
              <w:rPr>
                <w:rFonts w:ascii="Times New Roman" w:eastAsia="Times New Roman" w:hAnsi="Times New Roman" w:cs="Times New Roman"/>
                <w:color w:val="000000"/>
                <w:spacing w:val="0"/>
                <w:w w:val="100"/>
                <w:position w:val="0"/>
                <w:sz w:val="18"/>
                <w:szCs w:val="18"/>
              </w:rPr>
              <w:t>1,812,745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1,812,745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 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柯宗庆、柯宗贵与中经汇通系一致行动关系。除此之外，公司未知上述其他股东之间是否存在关联关系， 也未知是否属于一致行动人。</w:t>
            </w:r>
          </w:p>
        </w:tc>
      </w:tr>
      <w:tr>
        <w:trPr>
          <w:trHeight w:val="20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参与融资融券业务股东情况说 明（如有）</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40"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公司股东中经汇通除通过普通证券账户持有</w:t>
            </w:r>
            <w:r>
              <w:rPr>
                <w:rFonts w:ascii="Times New Roman" w:eastAsia="Times New Roman" w:hAnsi="Times New Roman" w:cs="Times New Roman"/>
                <w:color w:val="000000"/>
                <w:spacing w:val="0"/>
                <w:w w:val="100"/>
                <w:position w:val="0"/>
                <w:sz w:val="18"/>
                <w:szCs w:val="18"/>
              </w:rPr>
              <w:t>89,870,000</w:t>
            </w:r>
            <w:r>
              <w:rPr>
                <w:color w:val="000000"/>
                <w:spacing w:val="0"/>
                <w:w w:val="100"/>
                <w:position w:val="0"/>
              </w:rPr>
              <w:t>股外，还通过东北证券股份有限公司客户信用 交易担保证券账户持有</w:t>
            </w:r>
            <w:r>
              <w:rPr>
                <w:rFonts w:ascii="Times New Roman" w:eastAsia="Times New Roman" w:hAnsi="Times New Roman" w:cs="Times New Roman"/>
                <w:color w:val="000000"/>
                <w:spacing w:val="0"/>
                <w:w w:val="100"/>
                <w:position w:val="0"/>
                <w:sz w:val="18"/>
                <w:szCs w:val="18"/>
              </w:rPr>
              <w:t>65,042</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89,935,042</w:t>
            </w:r>
            <w:r>
              <w:rPr>
                <w:color w:val="000000"/>
                <w:spacing w:val="0"/>
                <w:w w:val="100"/>
                <w:position w:val="0"/>
              </w:rPr>
              <w:t>股；</w:t>
            </w:r>
          </w:p>
          <w:p>
            <w:pPr>
              <w:pStyle w:val="Style2"/>
              <w:keepNext w:val="0"/>
              <w:keepLines w:val="0"/>
              <w:widowControl w:val="0"/>
              <w:shd w:val="clear" w:color="auto" w:fill="auto"/>
              <w:tabs>
                <w:tab w:pos="28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公司股东宁旭俭通过招商证券股份有限公司客户信用交易担保证券账户持有</w:t>
            </w:r>
            <w:r>
              <w:rPr>
                <w:rFonts w:ascii="Times New Roman" w:eastAsia="Times New Roman" w:hAnsi="Times New Roman" w:cs="Times New Roman"/>
                <w:color w:val="000000"/>
                <w:spacing w:val="0"/>
                <w:w w:val="100"/>
                <w:position w:val="0"/>
                <w:sz w:val="18"/>
                <w:szCs w:val="18"/>
              </w:rPr>
              <w:t>2,089,300</w:t>
            </w:r>
            <w:r>
              <w:rPr>
                <w:color w:val="000000"/>
                <w:spacing w:val="0"/>
                <w:w w:val="100"/>
                <w:position w:val="0"/>
              </w:rPr>
              <w:t xml:space="preserve">股，实际合计 持有 </w:t>
            </w:r>
            <w:r>
              <w:rPr>
                <w:rFonts w:ascii="Times New Roman" w:eastAsia="Times New Roman" w:hAnsi="Times New Roman" w:cs="Times New Roman"/>
                <w:color w:val="000000"/>
                <w:spacing w:val="0"/>
                <w:w w:val="100"/>
                <w:position w:val="0"/>
                <w:sz w:val="18"/>
                <w:szCs w:val="18"/>
              </w:rPr>
              <w:t xml:space="preserve">2,089,300 </w:t>
            </w:r>
            <w:r>
              <w:rPr>
                <w:color w:val="000000"/>
                <w:spacing w:val="0"/>
                <w:w w:val="100"/>
                <w:position w:val="0"/>
              </w:rPr>
              <w:t>股；</w:t>
            </w:r>
          </w:p>
          <w:p>
            <w:pPr>
              <w:pStyle w:val="Style2"/>
              <w:keepNext w:val="0"/>
              <w:keepLines w:val="0"/>
              <w:widowControl w:val="0"/>
              <w:shd w:val="clear" w:color="auto" w:fill="auto"/>
              <w:tabs>
                <w:tab w:pos="26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公司股东陈汉清除通过普通证券账户持有</w:t>
            </w:r>
            <w:r>
              <w:rPr>
                <w:rFonts w:ascii="Times New Roman" w:eastAsia="Times New Roman" w:hAnsi="Times New Roman" w:cs="Times New Roman"/>
                <w:color w:val="000000"/>
                <w:spacing w:val="0"/>
                <w:w w:val="100"/>
                <w:position w:val="0"/>
                <w:sz w:val="18"/>
                <w:szCs w:val="18"/>
              </w:rPr>
              <w:t>166,500</w:t>
            </w:r>
            <w:r>
              <w:rPr>
                <w:color w:val="000000"/>
                <w:spacing w:val="0"/>
                <w:w w:val="100"/>
                <w:position w:val="0"/>
              </w:rPr>
              <w:t>股外，还通过世纪证券有限责任公司客户信用交易 担保证券账户持有</w:t>
            </w:r>
            <w:r>
              <w:rPr>
                <w:rFonts w:ascii="Times New Roman" w:eastAsia="Times New Roman" w:hAnsi="Times New Roman" w:cs="Times New Roman"/>
                <w:color w:val="000000"/>
                <w:spacing w:val="0"/>
                <w:w w:val="100"/>
                <w:position w:val="0"/>
                <w:sz w:val="18"/>
                <w:szCs w:val="18"/>
              </w:rPr>
              <w:t>1,646,245</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1,812,745</w:t>
            </w:r>
            <w:r>
              <w:rPr>
                <w:color w:val="000000"/>
                <w:spacing w:val="0"/>
                <w:w w:val="100"/>
                <w:position w:val="0"/>
              </w:rPr>
              <w:t>股。</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20" w:line="240" w:lineRule="auto"/>
        <w:ind w:left="0" w:right="0" w:firstLine="6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6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line="240" w:lineRule="auto"/>
        <w:ind w:left="0" w:right="0" w:firstLine="64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、公司控股股东情况</w:t>
      </w:r>
      <w:bookmarkEnd w:id="485"/>
      <w:bookmarkEnd w:id="486"/>
      <w:bookmarkEnd w:id="488"/>
    </w:p>
    <w:p>
      <w:pPr>
        <w:pStyle w:val="Style28"/>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柯宗庆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年至今任本公司董事长；柯宗贵</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年至今任本公司副董事 长兼总裁。</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20" w:line="240" w:lineRule="auto"/>
        <w:ind w:left="0" w:right="0" w:firstLine="6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公司报告期控股股东未发生变更。</w:t>
      </w:r>
      <w:r>
        <w:br w:type="page"/>
      </w:r>
    </w:p>
    <w:p>
      <w:pPr>
        <w:pStyle w:val="Style35"/>
        <w:keepNext/>
        <w:keepLines/>
        <w:widowControl w:val="0"/>
        <w:shd w:val="clear" w:color="auto" w:fill="auto"/>
        <w:bidi w:val="0"/>
        <w:spacing w:before="0" w:line="240" w:lineRule="auto"/>
        <w:ind w:left="112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、公司实际控制人及其一致行动人</w:t>
      </w:r>
      <w:bookmarkEnd w:id="489"/>
      <w:bookmarkEnd w:id="490"/>
      <w:bookmarkEnd w:id="492"/>
    </w:p>
    <w:p>
      <w:pPr>
        <w:pStyle w:val="Style28"/>
        <w:keepNext w:val="0"/>
        <w:keepLines w:val="0"/>
        <w:widowControl w:val="0"/>
        <w:shd w:val="clear" w:color="auto" w:fill="auto"/>
        <w:bidi w:val="0"/>
        <w:spacing w:before="0" w:line="240" w:lineRule="auto"/>
        <w:ind w:left="112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1120" w:right="0" w:firstLine="0"/>
        <w:jc w:val="left"/>
      </w:pPr>
      <w:r>
        <w:rPr>
          <w:color w:val="000000"/>
          <w:spacing w:val="0"/>
          <w:w w:val="100"/>
          <w:position w:val="0"/>
        </w:rPr>
        <w:t>实际控制人类型：自然人</w:t>
      </w:r>
    </w:p>
    <w:tbl>
      <w:tblPr>
        <w:tblOverlap w:val="never"/>
        <w:jc w:val="right"/>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年至今任本公司董事长；柯宗贵</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年至今任本公司副董事长兼总裁。</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112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11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112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260" w:line="240" w:lineRule="auto"/>
        <w:ind w:left="112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77990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5"/>
                    <a:stretch/>
                  </pic:blipFill>
                  <pic:spPr>
                    <a:xfrm>
                      <a:ext cx="4596130" cy="1779905"/>
                    </a:xfrm>
                    <a:prstGeom prst="rect"/>
                  </pic:spPr>
                </pic:pic>
              </a:graphicData>
            </a:graphic>
          </wp:inline>
        </w:drawing>
      </w:r>
    </w:p>
    <w:p>
      <w:pPr>
        <w:widowControl w:val="0"/>
        <w:spacing w:after="259" w:line="1" w:lineRule="exact"/>
      </w:pPr>
    </w:p>
    <w:p>
      <w:pPr>
        <w:pStyle w:val="Style28"/>
        <w:keepNext w:val="0"/>
        <w:keepLines w:val="0"/>
        <w:widowControl w:val="0"/>
        <w:shd w:val="clear" w:color="auto" w:fill="auto"/>
        <w:bidi w:val="0"/>
        <w:spacing w:before="0" w:line="240" w:lineRule="auto"/>
        <w:ind w:left="112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11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498" w:val="left"/>
        </w:tabs>
        <w:bidi w:val="0"/>
        <w:spacing w:before="0" w:line="240" w:lineRule="auto"/>
        <w:ind w:left="112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4</w:t>
      </w:r>
      <w:bookmarkEnd w:id="49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3"/>
      <w:bookmarkEnd w:id="494"/>
      <w:bookmarkEnd w:id="496"/>
    </w:p>
    <w:p>
      <w:pPr>
        <w:pStyle w:val="Style28"/>
        <w:keepNext w:val="0"/>
        <w:keepLines w:val="0"/>
        <w:widowControl w:val="0"/>
        <w:shd w:val="clear" w:color="auto" w:fill="auto"/>
        <w:bidi w:val="0"/>
        <w:spacing w:before="0" w:after="380" w:line="240" w:lineRule="auto"/>
        <w:ind w:left="11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498" w:val="left"/>
        </w:tabs>
        <w:bidi w:val="0"/>
        <w:spacing w:before="0" w:line="240" w:lineRule="auto"/>
        <w:ind w:left="112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5</w:t>
      </w:r>
      <w:bookmarkEnd w:id="499"/>
      <w:r>
        <w:rPr>
          <w:color w:val="000000"/>
          <w:spacing w:val="0"/>
          <w:w w:val="100"/>
          <w:position w:val="0"/>
        </w:rPr>
        <w:t>、</w:t>
        <w:tab/>
        <w:t>控股股东、实际控制人、重组方及其他承诺主体股份限制减持情况</w:t>
      </w:r>
      <w:bookmarkEnd w:id="497"/>
      <w:bookmarkEnd w:id="498"/>
      <w:bookmarkEnd w:id="500"/>
    </w:p>
    <w:p>
      <w:pPr>
        <w:pStyle w:val="Style28"/>
        <w:keepNext w:val="0"/>
        <w:keepLines w:val="0"/>
        <w:widowControl w:val="0"/>
        <w:shd w:val="clear" w:color="auto" w:fill="auto"/>
        <w:bidi w:val="0"/>
        <w:spacing w:before="0" w:after="200" w:line="240" w:lineRule="auto"/>
        <w:ind w:left="11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3072765</wp:posOffset>
                </wp:positionH>
                <wp:positionV relativeFrom="paragraph">
                  <wp:posOffset>0</wp:posOffset>
                </wp:positionV>
                <wp:extent cx="2170430" cy="247015"/>
                <wp:wrapTopAndBottom/>
                <wp:docPr id="38" name="Shape 38"/>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322" w:name="bookmark322"/>
                            <w:bookmarkStart w:id="323" w:name="bookmark323"/>
                            <w:bookmarkStart w:id="324" w:name="bookmark324"/>
                            <w:r>
                              <w:rPr>
                                <w:color w:val="000000"/>
                                <w:spacing w:val="0"/>
                                <w:w w:val="100"/>
                                <w:position w:val="0"/>
                              </w:rPr>
                              <w:t>第七节优先股相关情况</w:t>
                            </w:r>
                            <w:bookmarkEnd w:id="322"/>
                            <w:bookmarkEnd w:id="323"/>
                            <w:bookmarkEnd w:id="324"/>
                          </w:p>
                        </w:txbxContent>
                      </wps:txbx>
                      <wps:bodyPr wrap="none" lIns="0" tIns="0" rIns="0" bIns="0">
                        <a:noAutoFit/>
                      </wps:bodyPr>
                    </wps:wsp>
                  </a:graphicData>
                </a:graphic>
              </wp:anchor>
            </w:drawing>
          </mc:Choice>
          <mc:Fallback>
            <w:pict>
              <v:shape id="_x0000_s1064" type="#_x0000_t202" style="position:absolute;margin-left:241.95000000000002pt;margin-top:0;width:170.90000000000001pt;height:19.44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322" w:name="bookmark322"/>
                      <w:bookmarkStart w:id="323" w:name="bookmark323"/>
                      <w:bookmarkStart w:id="324" w:name="bookmark324"/>
                      <w:r>
                        <w:rPr>
                          <w:color w:val="000000"/>
                          <w:spacing w:val="0"/>
                          <w:w w:val="100"/>
                          <w:position w:val="0"/>
                        </w:rPr>
                        <w:t>第七节优先股相关情况</w:t>
                      </w:r>
                      <w:bookmarkEnd w:id="322"/>
                      <w:bookmarkEnd w:id="323"/>
                      <w:bookmarkEnd w:id="324"/>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11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1120" w:right="0" w:firstLine="0"/>
        <w:jc w:val="left"/>
        <w:sectPr>
          <w:footnotePr>
            <w:pos w:val="pageBottom"/>
            <w:numFmt w:val="decimal"/>
            <w:numRestart w:val="continuous"/>
          </w:footnotePr>
          <w:pgSz w:w="11900" w:h="16840"/>
          <w:pgMar w:top="1412" w:right="24" w:bottom="1455" w:left="24"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0" w:after="480" w:line="240" w:lineRule="auto"/>
        <w:ind w:left="0" w:right="0" w:firstLine="0"/>
        <w:jc w:val="center"/>
      </w:pPr>
      <w:bookmarkStart w:id="501" w:name="bookmark501"/>
      <w:bookmarkStart w:id="502" w:name="bookmark502"/>
      <w:bookmarkStart w:id="503" w:name="bookmark503"/>
      <w:r>
        <w:rPr>
          <w:color w:val="000000"/>
          <w:spacing w:val="0"/>
          <w:w w:val="100"/>
          <w:position w:val="0"/>
        </w:rPr>
        <w:t>第八节可转换公司债券相关情况</w:t>
      </w:r>
      <w:bookmarkEnd w:id="501"/>
      <w:bookmarkEnd w:id="502"/>
      <w:bookmarkEnd w:id="503"/>
    </w:p>
    <w:p>
      <w:pPr>
        <w:pStyle w:val="Style38"/>
        <w:keepNext w:val="0"/>
        <w:keepLines w:val="0"/>
        <w:widowControl w:val="0"/>
        <w:shd w:val="clear" w:color="auto" w:fill="auto"/>
        <w:bidi w:val="0"/>
        <w:spacing w:before="0" w:after="340" w:line="313" w:lineRule="exact"/>
        <w:ind w:left="0" w:right="0" w:firstLine="60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keepLines/>
        <w:widowControl w:val="0"/>
        <w:shd w:val="clear" w:color="auto" w:fill="auto"/>
        <w:tabs>
          <w:tab w:pos="1099" w:val="left"/>
        </w:tabs>
        <w:bidi w:val="0"/>
        <w:spacing w:before="0" w:after="280" w:line="240" w:lineRule="auto"/>
        <w:ind w:left="0" w:right="0" w:firstLine="600"/>
        <w:jc w:val="both"/>
      </w:pPr>
      <w:bookmarkStart w:id="504" w:name="bookmark504"/>
      <w:bookmarkStart w:id="505" w:name="bookmark505"/>
      <w:bookmarkStart w:id="506" w:name="bookmark506"/>
      <w:bookmarkStart w:id="507" w:name="bookmark507"/>
      <w:r>
        <w:rPr>
          <w:color w:val="000000"/>
          <w:spacing w:val="0"/>
          <w:w w:val="100"/>
          <w:position w:val="0"/>
        </w:rPr>
        <w:t>一</w:t>
      </w:r>
      <w:bookmarkEnd w:id="506"/>
      <w:r>
        <w:rPr>
          <w:color w:val="000000"/>
          <w:spacing w:val="0"/>
          <w:w w:val="100"/>
          <w:position w:val="0"/>
        </w:rPr>
        <w:t>、</w:t>
        <w:tab/>
        <w:t>转股价格历次调整情况</w:t>
      </w:r>
      <w:bookmarkEnd w:id="504"/>
      <w:bookmarkEnd w:id="505"/>
      <w:bookmarkEnd w:id="507"/>
    </w:p>
    <w:p>
      <w:pPr>
        <w:pStyle w:val="Style38"/>
        <w:keepNext w:val="0"/>
        <w:keepLines w:val="0"/>
        <w:widowControl w:val="0"/>
        <w:shd w:val="clear" w:color="auto" w:fill="auto"/>
        <w:tabs>
          <w:tab w:pos="1378" w:val="left"/>
        </w:tabs>
        <w:bidi w:val="0"/>
        <w:spacing w:before="0" w:after="0" w:line="313" w:lineRule="exact"/>
        <w:ind w:left="600" w:right="0" w:firstLine="420"/>
        <w:jc w:val="both"/>
      </w:pPr>
      <w:bookmarkStart w:id="508" w:name="bookmark508"/>
      <w:r>
        <w:rPr>
          <w:rFonts w:ascii="Times New Roman" w:eastAsia="Times New Roman" w:hAnsi="Times New Roman" w:cs="Times New Roman"/>
          <w:color w:val="000000"/>
          <w:spacing w:val="0"/>
          <w:w w:val="100"/>
          <w:position w:val="0"/>
        </w:rPr>
        <w:t>1</w:t>
      </w:r>
      <w:bookmarkEnd w:id="508"/>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日公开发行了</w:t>
      </w:r>
      <w:r>
        <w:rPr>
          <w:rFonts w:ascii="Times New Roman" w:eastAsia="Times New Roman" w:hAnsi="Times New Roman" w:cs="Times New Roman"/>
          <w:color w:val="000000"/>
          <w:spacing w:val="0"/>
          <w:w w:val="100"/>
          <w:position w:val="0"/>
        </w:rPr>
        <w:t>538</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53,800</w:t>
      </w:r>
      <w:r>
        <w:rPr>
          <w:color w:val="000000"/>
          <w:spacing w:val="0"/>
          <w:w w:val="100"/>
          <w:position w:val="0"/>
        </w:rPr>
        <w:t>万元， 期限</w:t>
      </w:r>
      <w:r>
        <w:rPr>
          <w:rFonts w:ascii="Times New Roman" w:eastAsia="Times New Roman" w:hAnsi="Times New Roman" w:cs="Times New Roman"/>
          <w:color w:val="000000"/>
          <w:spacing w:val="0"/>
          <w:w w:val="100"/>
          <w:position w:val="0"/>
        </w:rPr>
        <w:t>6</w:t>
      </w:r>
      <w:r>
        <w:rPr>
          <w:color w:val="000000"/>
          <w:spacing w:val="0"/>
          <w:w w:val="100"/>
          <w:position w:val="0"/>
        </w:rPr>
        <w:t>年。公司可转换公司债券已于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日在深圳证券交易所挂牌交易上市，债券简称</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债券代码</w:t>
      </w:r>
      <w:r>
        <w:rPr>
          <w:rFonts w:ascii="Times New Roman" w:eastAsia="Times New Roman" w:hAnsi="Times New Roman" w:cs="Times New Roman"/>
          <w:color w:val="000000"/>
          <w:spacing w:val="0"/>
          <w:w w:val="100"/>
          <w:position w:val="0"/>
        </w:rPr>
        <w:t>“123015”</w:t>
      </w:r>
      <w:r>
        <w:rPr>
          <w:color w:val="000000"/>
          <w:spacing w:val="0"/>
          <w:w w:val="100"/>
          <w:position w:val="0"/>
        </w:rPr>
        <w:t>。根据相关规定和公司《创业板公开发行可转换公司债券募集说明书》约定，公司本次 发行的</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日起可转换为公司股份，初始转股价格为</w:t>
      </w:r>
      <w:r>
        <w:rPr>
          <w:rFonts w:ascii="Times New Roman" w:eastAsia="Times New Roman" w:hAnsi="Times New Roman" w:cs="Times New Roman"/>
          <w:color w:val="000000"/>
          <w:spacing w:val="0"/>
          <w:w w:val="100"/>
          <w:position w:val="0"/>
        </w:rPr>
        <w:t>7.8</w:t>
      </w:r>
      <w:r>
        <w:rPr>
          <w:rFonts w:ascii="Times New Roman" w:eastAsia="Times New Roman" w:hAnsi="Times New Roman" w:cs="Times New Roman"/>
          <w:color w:val="000000"/>
          <w:spacing w:val="0"/>
          <w:w w:val="100"/>
          <w:position w:val="0"/>
        </w:rPr>
        <w:t>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股。鉴于公司股价已经 出现任意连续三十个交易日中有十五个交易日的收盘价低于当期转股价格的</w:t>
      </w:r>
      <w:r>
        <w:rPr>
          <w:rFonts w:ascii="Times New Roman" w:eastAsia="Times New Roman" w:hAnsi="Times New Roman" w:cs="Times New Roman"/>
          <w:color w:val="000000"/>
          <w:spacing w:val="0"/>
          <w:w w:val="100"/>
          <w:position w:val="0"/>
        </w:rPr>
        <w:t>85%</w:t>
      </w:r>
      <w:r>
        <w:rPr>
          <w:color w:val="000000"/>
          <w:spacing w:val="0"/>
          <w:w w:val="100"/>
          <w:position w:val="0"/>
        </w:rPr>
        <w:t>（</w:t>
      </w:r>
      <w:r>
        <w:rPr>
          <w:rFonts w:ascii="Times New Roman" w:eastAsia="Times New Roman" w:hAnsi="Times New Roman" w:cs="Times New Roman"/>
          <w:color w:val="000000"/>
          <w:spacing w:val="0"/>
          <w:w w:val="100"/>
          <w:position w:val="0"/>
        </w:rPr>
        <w:t>7.89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 xml:space="preserve">x85%=6.7065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股），为优化公司资本结构、支持公司的长期发展，公司于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w:t>
      </w:r>
      <w:r>
        <w:rPr>
          <w:rFonts w:ascii="Times New Roman" w:eastAsia="Times New Roman" w:hAnsi="Times New Roman" w:cs="Times New Roman"/>
          <w:color w:val="000000"/>
          <w:spacing w:val="0"/>
          <w:w w:val="100"/>
          <w:position w:val="0"/>
        </w:rPr>
        <w:t>2018</w:t>
      </w:r>
      <w:r>
        <w:rPr>
          <w:color w:val="000000"/>
          <w:spacing w:val="0"/>
          <w:w w:val="100"/>
          <w:position w:val="0"/>
        </w:rPr>
        <w:t>年第六次临时股东 大会及第四届董事会第九次（临时）会议，审议通过了向下修正</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w:t>
      </w:r>
      <w:r>
        <w:rPr>
          <w:color w:val="000000"/>
          <w:spacing w:val="0"/>
          <w:w w:val="100"/>
          <w:position w:val="0"/>
        </w:rPr>
        <w:t xml:space="preserve">转股价格的相关议案，决议自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日起将</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w:t>
      </w:r>
      <w:r>
        <w:rPr>
          <w:color w:val="000000"/>
          <w:spacing w:val="0"/>
          <w:w w:val="100"/>
          <w:position w:val="0"/>
        </w:rPr>
        <w:t>转股价格由原</w:t>
      </w:r>
      <w:r>
        <w:rPr>
          <w:rFonts w:ascii="Times New Roman" w:eastAsia="Times New Roman" w:hAnsi="Times New Roman" w:cs="Times New Roman"/>
          <w:color w:val="000000"/>
          <w:spacing w:val="0"/>
          <w:w w:val="100"/>
          <w:position w:val="0"/>
        </w:rPr>
        <w:t>7.89</w:t>
      </w:r>
      <w:r>
        <w:rPr>
          <w:rFonts w:ascii="Times New Roman" w:eastAsia="Times New Roman" w:hAnsi="Times New Roman" w:cs="Times New Roman"/>
          <w:color w:val="000000"/>
          <w:spacing w:val="0"/>
          <w:w w:val="100"/>
          <w:position w:val="0"/>
        </w:rPr>
        <w:t>/</w:t>
      </w:r>
      <w:r>
        <w:rPr>
          <w:color w:val="000000"/>
          <w:spacing w:val="0"/>
          <w:w w:val="100"/>
          <w:position w:val="0"/>
        </w:rPr>
        <w:t>股向下修正为</w:t>
      </w:r>
      <w:r>
        <w:rPr>
          <w:rFonts w:ascii="Times New Roman" w:eastAsia="Times New Roman" w:hAnsi="Times New Roman" w:cs="Times New Roman"/>
          <w:color w:val="000000"/>
          <w:spacing w:val="0"/>
          <w:w w:val="100"/>
          <w:position w:val="0"/>
        </w:rPr>
        <w:t xml:space="preserve">5.8 </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8"/>
        <w:keepNext w:val="0"/>
        <w:keepLines w:val="0"/>
        <w:widowControl w:val="0"/>
        <w:shd w:val="clear" w:color="auto" w:fill="auto"/>
        <w:tabs>
          <w:tab w:pos="1373" w:val="left"/>
        </w:tabs>
        <w:bidi w:val="0"/>
        <w:spacing w:before="0" w:after="0" w:line="313" w:lineRule="exact"/>
        <w:ind w:left="600" w:right="0" w:firstLine="420"/>
        <w:jc w:val="both"/>
      </w:pPr>
      <w:bookmarkStart w:id="509" w:name="bookmark509"/>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公司已于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日在中国结算深圳分公司完成了部分限制性股票的回购和注销登记手续。根 据相关规定，公司需对</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w:t>
      </w:r>
      <w:r>
        <w:rPr>
          <w:color w:val="000000"/>
          <w:spacing w:val="0"/>
          <w:w w:val="100"/>
          <w:position w:val="0"/>
        </w:rPr>
        <w:t>转股价格进行调整，但由于所回购股份对总股本影响较小，</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 xml:space="preserve">” </w:t>
      </w:r>
      <w:r>
        <w:rPr>
          <w:color w:val="000000"/>
          <w:spacing w:val="0"/>
          <w:w w:val="100"/>
          <w:position w:val="0"/>
        </w:rPr>
        <w:t>转股价格调整后仍为人民币</w:t>
      </w:r>
      <w:r>
        <w:rPr>
          <w:rFonts w:ascii="Times New Roman" w:eastAsia="Times New Roman" w:hAnsi="Times New Roman" w:cs="Times New Roman"/>
          <w:color w:val="000000"/>
          <w:spacing w:val="0"/>
          <w:w w:val="100"/>
          <w:position w:val="0"/>
        </w:rPr>
        <w:t>5.82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股，即调整前后转股价格不变，故本次可转债转股价格不需要调整。</w:t>
      </w:r>
    </w:p>
    <w:p>
      <w:pPr>
        <w:pStyle w:val="Style38"/>
        <w:keepNext w:val="0"/>
        <w:keepLines w:val="0"/>
        <w:widowControl w:val="0"/>
        <w:shd w:val="clear" w:color="auto" w:fill="auto"/>
        <w:tabs>
          <w:tab w:pos="1378" w:val="left"/>
        </w:tabs>
        <w:bidi w:val="0"/>
        <w:spacing w:before="0" w:after="0" w:line="313" w:lineRule="exact"/>
        <w:ind w:left="600" w:right="0" w:firstLine="420"/>
        <w:jc w:val="both"/>
      </w:pPr>
      <w:bookmarkStart w:id="510" w:name="bookmark510"/>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 xml:space="preserve">鉴于公司实施了 </w:t>
      </w:r>
      <w:r>
        <w:rPr>
          <w:rFonts w:ascii="Times New Roman" w:eastAsia="Times New Roman" w:hAnsi="Times New Roman" w:cs="Times New Roman"/>
          <w:color w:val="000000"/>
          <w:spacing w:val="0"/>
          <w:w w:val="100"/>
          <w:position w:val="0"/>
        </w:rPr>
        <w:t>2018</w:t>
      </w:r>
      <w:r>
        <w:rPr>
          <w:color w:val="000000"/>
          <w:spacing w:val="0"/>
          <w:w w:val="100"/>
          <w:position w:val="0"/>
        </w:rPr>
        <w:t>年年度权益分派方案（向全体股东每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.319895</w:t>
      </w:r>
      <w:r>
        <w:rPr>
          <w:color w:val="000000"/>
          <w:spacing w:val="0"/>
          <w:w w:val="100"/>
          <w:position w:val="0"/>
        </w:rPr>
        <w:t>元（含税）， 权益分派股权登记日为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日），根据《募集说明书》相关条款，</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w:t>
      </w:r>
      <w:r>
        <w:rPr>
          <w:color w:val="000000"/>
          <w:spacing w:val="0"/>
          <w:w w:val="100"/>
          <w:position w:val="0"/>
        </w:rPr>
        <w:t xml:space="preserve">的转股价格调整如下： </w:t>
      </w:r>
      <w:r>
        <w:rPr>
          <w:rFonts w:ascii="Times New Roman" w:eastAsia="Times New Roman" w:hAnsi="Times New Roman" w:cs="Times New Roman"/>
          <w:color w:val="000000"/>
          <w:spacing w:val="0"/>
          <w:w w:val="100"/>
          <w:position w:val="0"/>
        </w:rPr>
        <w:t>P1=P0-D=5.82-0.0319895=5.7</w:t>
      </w:r>
      <w:r>
        <w:rPr>
          <w:rFonts w:ascii="Times New Roman" w:eastAsia="Times New Roman" w:hAnsi="Times New Roman" w:cs="Times New Roman"/>
          <w:color w:val="000000"/>
          <w:spacing w:val="0"/>
          <w:w w:val="100"/>
          <w:position w:val="0"/>
        </w:rPr>
        <w:t>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股。因此，</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w:t>
      </w:r>
      <w:r>
        <w:rPr>
          <w:color w:val="000000"/>
          <w:spacing w:val="0"/>
          <w:w w:val="100"/>
          <w:position w:val="0"/>
        </w:rPr>
        <w:t>的转股价格调整为</w:t>
      </w:r>
      <w:r>
        <w:rPr>
          <w:rFonts w:ascii="Times New Roman" w:eastAsia="Times New Roman" w:hAnsi="Times New Roman" w:cs="Times New Roman"/>
          <w:color w:val="000000"/>
          <w:spacing w:val="0"/>
          <w:w w:val="100"/>
          <w:position w:val="0"/>
        </w:rPr>
        <w:t>5.79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股，调整后的转股价格自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日起生效。具体内容详见公司于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日披露的《关于可转债转股价格调整的公告》（编 号</w:t>
      </w:r>
      <w:r>
        <w:rPr>
          <w:rFonts w:ascii="Times New Roman" w:eastAsia="Times New Roman" w:hAnsi="Times New Roman" w:cs="Times New Roman"/>
          <w:color w:val="000000"/>
          <w:spacing w:val="0"/>
          <w:w w:val="100"/>
          <w:position w:val="0"/>
        </w:rPr>
        <w:t>2019-071</w:t>
      </w:r>
      <w:r>
        <w:rPr>
          <w:color w:val="000000"/>
          <w:spacing w:val="0"/>
          <w:w w:val="100"/>
          <w:position w:val="0"/>
        </w:rPr>
        <w:t>）。</w:t>
      </w:r>
    </w:p>
    <w:p>
      <w:pPr>
        <w:pStyle w:val="Style38"/>
        <w:keepNext w:val="0"/>
        <w:keepLines w:val="0"/>
        <w:widowControl w:val="0"/>
        <w:shd w:val="clear" w:color="auto" w:fill="auto"/>
        <w:bidi w:val="0"/>
        <w:spacing w:before="0" w:after="340" w:line="313" w:lineRule="exact"/>
        <w:ind w:left="1020" w:right="0" w:firstLine="0"/>
        <w:jc w:val="both"/>
      </w:pPr>
      <w:r>
        <w:rPr>
          <w:color w:val="000000"/>
          <w:spacing w:val="0"/>
          <w:w w:val="100"/>
          <w:position w:val="0"/>
        </w:rPr>
        <w:t>经上述调整后，</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w:t>
      </w:r>
      <w:r>
        <w:rPr>
          <w:color w:val="000000"/>
          <w:spacing w:val="0"/>
          <w:w w:val="100"/>
          <w:position w:val="0"/>
        </w:rPr>
        <w:t>最新的转股价格为</w:t>
      </w:r>
      <w:r>
        <w:rPr>
          <w:rFonts w:ascii="Times New Roman" w:eastAsia="Times New Roman" w:hAnsi="Times New Roman" w:cs="Times New Roman"/>
          <w:color w:val="000000"/>
          <w:spacing w:val="0"/>
          <w:w w:val="100"/>
          <w:position w:val="0"/>
        </w:rPr>
        <w:t>5.79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6"/>
        <w:keepNext/>
        <w:keepLines/>
        <w:widowControl w:val="0"/>
        <w:shd w:val="clear" w:color="auto" w:fill="auto"/>
        <w:tabs>
          <w:tab w:pos="1099" w:val="left"/>
        </w:tabs>
        <w:bidi w:val="0"/>
        <w:spacing w:before="0" w:after="340" w:line="240" w:lineRule="auto"/>
        <w:ind w:left="0" w:right="0" w:firstLine="600"/>
        <w:jc w:val="both"/>
      </w:pPr>
      <w:bookmarkStart w:id="511" w:name="bookmark511"/>
      <w:bookmarkStart w:id="512" w:name="bookmark512"/>
      <w:bookmarkStart w:id="513" w:name="bookmark513"/>
      <w:bookmarkStart w:id="514" w:name="bookmark514"/>
      <w:r>
        <w:rPr>
          <w:color w:val="000000"/>
          <w:spacing w:val="0"/>
          <w:w w:val="100"/>
          <w:position w:val="0"/>
        </w:rPr>
        <w:t>二</w:t>
      </w:r>
      <w:bookmarkEnd w:id="513"/>
      <w:r>
        <w:rPr>
          <w:color w:val="000000"/>
          <w:spacing w:val="0"/>
          <w:w w:val="100"/>
          <w:position w:val="0"/>
        </w:rPr>
        <w:t>、</w:t>
        <w:tab/>
        <w:t>累计转股情况</w:t>
      </w:r>
      <w:bookmarkEnd w:id="511"/>
      <w:bookmarkEnd w:id="512"/>
      <w:bookmarkEnd w:id="514"/>
    </w:p>
    <w:p>
      <w:pPr>
        <w:pStyle w:val="Style32"/>
        <w:keepNext w:val="0"/>
        <w:keepLines w:val="0"/>
        <w:widowControl w:val="0"/>
        <w:shd w:val="clear" w:color="auto" w:fill="auto"/>
        <w:bidi w:val="0"/>
        <w:spacing w:before="0" w:after="0" w:line="240" w:lineRule="auto"/>
        <w:ind w:left="725" w:right="0" w:firstLine="0"/>
        <w:jc w:val="left"/>
      </w:pP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6"/>
        <w:gridCol w:w="1402"/>
        <w:gridCol w:w="1454"/>
        <w:gridCol w:w="1061"/>
        <w:gridCol w:w="1258"/>
        <w:gridCol w:w="1411"/>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转股起止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发行总量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累计转股金额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累计转股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转股数量占 转股开始日 前公司已发 行股份总额</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尚未转股金额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未转股金 额占发行 总金额的 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437,729,300.00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75,210,317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100,270,700.00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w:t>
            </w:r>
          </w:p>
        </w:tc>
      </w:tr>
    </w:tbl>
    <w:p>
      <w:pPr>
        <w:widowControl w:val="0"/>
        <w:spacing w:after="439" w:line="1" w:lineRule="exact"/>
      </w:pPr>
    </w:p>
    <w:p>
      <w:pPr>
        <w:pStyle w:val="Style26"/>
        <w:keepNext/>
        <w:keepLines/>
        <w:widowControl w:val="0"/>
        <w:shd w:val="clear" w:color="auto" w:fill="auto"/>
        <w:bidi w:val="0"/>
        <w:spacing w:before="0" w:after="400" w:line="240" w:lineRule="auto"/>
        <w:ind w:left="0" w:right="0" w:firstLine="840"/>
        <w:jc w:val="both"/>
      </w:pPr>
      <w:bookmarkStart w:id="515" w:name="bookmark515"/>
      <w:bookmarkStart w:id="516" w:name="bookmark516"/>
      <w:bookmarkStart w:id="517" w:name="bookmark517"/>
      <w:r>
        <w:rPr>
          <w:color w:val="000000"/>
          <w:spacing w:val="0"/>
          <w:w w:val="100"/>
          <w:position w:val="0"/>
        </w:rPr>
        <w:t>、前十名可转债持有人情况</w:t>
      </w:r>
      <w:bookmarkEnd w:id="515"/>
      <w:bookmarkEnd w:id="516"/>
      <w:bookmarkEnd w:id="517"/>
    </w:p>
    <w:p>
      <w:pPr>
        <w:pStyle w:val="Style28"/>
        <w:keepNext w:val="0"/>
        <w:keepLines w:val="0"/>
        <w:widowControl w:val="0"/>
        <w:shd w:val="clear" w:color="auto" w:fill="auto"/>
        <w:bidi w:val="0"/>
        <w:spacing w:before="0" w:after="340" w:line="240" w:lineRule="auto"/>
        <w:ind w:left="0" w:right="580" w:firstLine="0"/>
        <w:jc w:val="right"/>
        <w:sectPr>
          <w:footnotePr>
            <w:pos w:val="pageBottom"/>
            <w:numFmt w:val="decimal"/>
            <w:numRestart w:val="continuous"/>
          </w:footnotePr>
          <w:pgSz w:w="11900" w:h="16840"/>
          <w:pgMar w:top="1935" w:right="521" w:bottom="1935" w:left="526" w:header="0" w:footer="3" w:gutter="0"/>
          <w:cols w:space="720"/>
          <w:noEndnote/>
          <w:rtlGutter w:val="0"/>
          <w:docGrid w:linePitch="360"/>
        </w:sectPr>
      </w:pPr>
      <w:r>
        <w:rPr>
          <w:color w:val="000000"/>
          <w:spacing w:val="0"/>
          <w:w w:val="100"/>
          <w:position w:val="0"/>
        </w:rPr>
        <w:t>单位：张</w:t>
      </w: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90" w:right="1194" w:bottom="1200" w:left="1112" w:header="0" w:footer="3" w:gutter="0"/>
          <w:cols w:space="720"/>
          <w:noEndnote/>
          <w:rtlGutter w:val="0"/>
          <w:docGrid w:linePitch="360"/>
        </w:sectPr>
      </w:pPr>
    </w:p>
    <w:tbl>
      <w:tblPr>
        <w:tblOverlap w:val="never"/>
        <w:jc w:val="left"/>
        <w:tblLayout w:type="fixed"/>
      </w:tblPr>
      <w:tblGrid>
        <w:gridCol w:w="1166"/>
        <w:gridCol w:w="2030"/>
        <w:gridCol w:w="1603"/>
      </w:tblGrid>
      <w:tr>
        <w:trPr>
          <w:trHeight w:val="720" w:hRule="exact"/>
        </w:trPr>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4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righ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317" w:lineRule="exact"/>
              <w:ind w:left="0" w:right="0" w:firstLine="0"/>
              <w:jc w:val="center"/>
            </w:pPr>
            <w:r>
              <w:rPr>
                <w:color w:val="000000"/>
                <w:spacing w:val="0"/>
                <w:w w:val="100"/>
                <w:position w:val="0"/>
              </w:rPr>
              <w:t>可转债持有人性 质</w:t>
            </w:r>
          </w:p>
        </w:tc>
      </w:tr>
      <w:tr>
        <w:trPr>
          <w:trHeight w:val="398" w:hRule="exact"/>
        </w:trPr>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贺宇</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403" w:hRule="exact"/>
        </w:trPr>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朱桂英</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1027" w:hRule="exact"/>
        </w:trPr>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312" w:lineRule="exact"/>
              <w:ind w:left="0" w:right="0" w:firstLine="0"/>
              <w:jc w:val="left"/>
            </w:pPr>
            <w:r>
              <w:rPr>
                <w:color w:val="000000"/>
                <w:spacing w:val="0"/>
                <w:w w:val="100"/>
                <w:position w:val="0"/>
              </w:rPr>
              <w:t>上海明波投资管理有限 公司一明法</w:t>
            </w:r>
            <w:r>
              <w:rPr>
                <w:rFonts w:ascii="Times New Roman" w:eastAsia="Times New Roman" w:hAnsi="Times New Roman" w:cs="Times New Roman"/>
                <w:color w:val="000000"/>
                <w:spacing w:val="0"/>
                <w:w w:val="100"/>
                <w:position w:val="0"/>
                <w:sz w:val="18"/>
                <w:szCs w:val="18"/>
              </w:rPr>
              <w:t>CTA</w:t>
            </w:r>
            <w:r>
              <w:rPr>
                <w:color w:val="000000"/>
                <w:spacing w:val="0"/>
                <w:w w:val="100"/>
                <w:position w:val="0"/>
              </w:rPr>
              <w:t>进取 一号基金</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沈芸珠</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98" w:hRule="exact"/>
        </w:trPr>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张志平</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715" w:hRule="exact"/>
        </w:trPr>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317" w:lineRule="exact"/>
              <w:ind w:left="0" w:right="0" w:firstLine="0"/>
              <w:jc w:val="left"/>
            </w:pPr>
            <w:r>
              <w:rPr>
                <w:color w:val="000000"/>
                <w:spacing w:val="0"/>
                <w:w w:val="100"/>
                <w:position w:val="0"/>
              </w:rPr>
              <w:t>佛山市帝海完美佳陶瓷 有限公司</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403" w:hRule="exact"/>
        </w:trPr>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刘磊</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1027" w:hRule="exact"/>
        </w:trPr>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312" w:lineRule="exact"/>
              <w:ind w:left="0" w:right="0" w:firstLine="0"/>
              <w:jc w:val="left"/>
            </w:pPr>
            <w:r>
              <w:rPr>
                <w:color w:val="000000"/>
                <w:spacing w:val="0"/>
                <w:w w:val="100"/>
                <w:position w:val="0"/>
              </w:rPr>
              <w:t>上海甄投资产管理有限 公司一甄投创鑫</w:t>
            </w:r>
            <w:r>
              <w:rPr>
                <w:i/>
                <w:iCs/>
                <w:color w:val="000000"/>
                <w:spacing w:val="0"/>
                <w:w w:val="100"/>
                <w:position w:val="0"/>
              </w:rPr>
              <w:t>29</w:t>
            </w:r>
            <w:r>
              <w:rPr>
                <w:color w:val="000000"/>
                <w:spacing w:val="0"/>
                <w:w w:val="100"/>
                <w:position w:val="0"/>
              </w:rPr>
              <w:t>号 私募证券投资基金</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tcBorders>
              <w:top w:val="single" w:sz="4"/>
              <w:left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蔡长征</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肖志章</w:t>
            </w:r>
          </w:p>
        </w:tc>
        <w:tc>
          <w:tcPr>
            <w:tcBorders>
              <w:top w:val="single" w:sz="4"/>
              <w:left w:val="single" w:sz="4"/>
              <w:bottom w:val="single" w:sz="4"/>
              <w:right w:val="single" w:sz="4"/>
            </w:tcBorders>
            <w:shd w:val="clear" w:color="auto" w:fill="FFFFFF"/>
            <w:vAlign w:val="center"/>
          </w:tcPr>
          <w:p>
            <w:pPr>
              <w:pStyle w:val="Style2"/>
              <w:keepNext w:val="0"/>
              <w:keepLines w:val="0"/>
              <w:framePr w:w="4800" w:h="6307"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境内自然人</w:t>
            </w:r>
          </w:p>
        </w:tc>
      </w:tr>
    </w:tbl>
    <w:p>
      <w:pPr>
        <w:framePr w:w="4800" w:h="6307" w:wrap="none" w:vAnchor="text" w:hAnchor="page" w:x="1127" w:y="21"/>
        <w:widowControl w:val="0"/>
        <w:spacing w:line="1" w:lineRule="exact"/>
      </w:pPr>
    </w:p>
    <w:tbl>
      <w:tblPr>
        <w:tblOverlap w:val="never"/>
        <w:jc w:val="left"/>
        <w:tblLayout w:type="fixed"/>
      </w:tblPr>
      <w:tblGrid>
        <w:gridCol w:w="1603"/>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framePr w:w="4800" w:h="6307" w:wrap="none" w:vAnchor="text" w:hAnchor="page" w:x="5908" w:y="21"/>
              <w:widowControl w:val="0"/>
              <w:shd w:val="clear" w:color="auto" w:fill="auto"/>
              <w:bidi w:val="0"/>
              <w:spacing w:before="0" w:after="0" w:line="312" w:lineRule="exact"/>
              <w:ind w:left="0" w:right="0" w:firstLine="0"/>
              <w:jc w:val="center"/>
            </w:pPr>
            <w:r>
              <w:rPr>
                <w:color w:val="000000"/>
                <w:spacing w:val="0"/>
                <w:w w:val="100"/>
                <w:position w:val="0"/>
              </w:rPr>
              <w:t>报告期末持有可 转债数量（张）</w:t>
            </w:r>
          </w:p>
        </w:tc>
        <w:tc>
          <w:tcPr>
            <w:tcBorders>
              <w:top w:val="single" w:sz="4"/>
              <w:left w:val="single" w:sz="4"/>
            </w:tcBorders>
            <w:shd w:val="clear" w:color="auto" w:fill="D3D3D3"/>
            <w:vAlign w:val="center"/>
          </w:tcPr>
          <w:p>
            <w:pPr>
              <w:pStyle w:val="Style2"/>
              <w:keepNext w:val="0"/>
              <w:keepLines w:val="0"/>
              <w:framePr w:w="4800" w:h="6307" w:wrap="none" w:vAnchor="text" w:hAnchor="page" w:x="5908" w:y="21"/>
              <w:widowControl w:val="0"/>
              <w:shd w:val="clear" w:color="auto" w:fill="auto"/>
              <w:bidi w:val="0"/>
              <w:spacing w:before="0" w:after="0" w:line="307" w:lineRule="exact"/>
              <w:ind w:left="0" w:right="0" w:firstLine="0"/>
              <w:jc w:val="center"/>
            </w:pPr>
            <w:r>
              <w:rPr>
                <w:color w:val="000000"/>
                <w:spacing w:val="0"/>
                <w:w w:val="100"/>
                <w:position w:val="0"/>
              </w:rPr>
              <w:t>报告期末持有可 转债金额（元）</w:t>
            </w:r>
          </w:p>
        </w:tc>
        <w:tc>
          <w:tcPr>
            <w:tcBorders>
              <w:top w:val="single" w:sz="4"/>
              <w:left w:val="single" w:sz="4"/>
              <w:right w:val="single" w:sz="4"/>
            </w:tcBorders>
            <w:shd w:val="clear" w:color="auto" w:fill="D3D3D3"/>
            <w:vAlign w:val="center"/>
          </w:tcPr>
          <w:p>
            <w:pPr>
              <w:pStyle w:val="Style2"/>
              <w:keepNext w:val="0"/>
              <w:keepLines w:val="0"/>
              <w:framePr w:w="4800" w:h="6307" w:wrap="none" w:vAnchor="text" w:hAnchor="page" w:x="5908" w:y="21"/>
              <w:widowControl w:val="0"/>
              <w:shd w:val="clear" w:color="auto" w:fill="auto"/>
              <w:bidi w:val="0"/>
              <w:spacing w:before="0" w:after="0" w:line="312" w:lineRule="exact"/>
              <w:ind w:left="0" w:right="0" w:firstLine="0"/>
              <w:jc w:val="center"/>
            </w:pPr>
            <w:r>
              <w:rPr>
                <w:color w:val="000000"/>
                <w:spacing w:val="0"/>
                <w:w w:val="100"/>
                <w:position w:val="0"/>
              </w:rPr>
              <w:t>报告期末持有可 转债占比</w:t>
            </w:r>
          </w:p>
        </w:tc>
      </w:tr>
      <w:tr>
        <w:trPr>
          <w:trHeight w:val="398" w:hRule="exact"/>
        </w:trPr>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w:t>
            </w:r>
          </w:p>
        </w:tc>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1,113,000.00</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1027" w:hRule="exact"/>
        </w:trPr>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7,460</w:t>
            </w:r>
          </w:p>
        </w:tc>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746,000.00</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6,430</w:t>
            </w:r>
          </w:p>
        </w:tc>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643,000.00</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398" w:hRule="exact"/>
        </w:trPr>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5,320</w:t>
            </w:r>
          </w:p>
        </w:tc>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532,000.00</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715" w:hRule="exact"/>
        </w:trPr>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4,930</w:t>
            </w:r>
          </w:p>
        </w:tc>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493,000.00</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03" w:hRule="exact"/>
        </w:trPr>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1027" w:hRule="exact"/>
        </w:trPr>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398" w:hRule="exact"/>
        </w:trPr>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4,250</w:t>
            </w:r>
          </w:p>
        </w:tc>
        <w:tc>
          <w:tcPr>
            <w:tcBorders>
              <w:top w:val="single" w:sz="4"/>
              <w:lef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righ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2"/>
              <w:keepNext w:val="0"/>
              <w:keepLines w:val="0"/>
              <w:framePr w:w="4800" w:h="6307" w:wrap="none" w:vAnchor="text" w:hAnchor="page" w:x="590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bl>
    <w:p>
      <w:pPr>
        <w:framePr w:w="4800" w:h="6307" w:wrap="none" w:vAnchor="text" w:hAnchor="page" w:x="5908" w:y="21"/>
        <w:widowControl w:val="0"/>
        <w:spacing w:line="1" w:lineRule="exact"/>
      </w:pPr>
    </w:p>
    <w:p>
      <w:pPr>
        <w:pStyle w:val="Style26"/>
        <w:keepNext/>
        <w:keepLines/>
        <w:framePr w:w="6763" w:h="293" w:wrap="none" w:vAnchor="text" w:hAnchor="page" w:x="1132" w:y="6615"/>
        <w:widowControl w:val="0"/>
        <w:shd w:val="clear" w:color="auto" w:fill="auto"/>
        <w:bidi w:val="0"/>
        <w:spacing w:before="0" w:after="0" w:line="240" w:lineRule="auto"/>
        <w:ind w:left="0" w:right="0" w:firstLine="0"/>
        <w:jc w:val="left"/>
      </w:pPr>
      <w:bookmarkStart w:id="518" w:name="bookmark518"/>
      <w:bookmarkStart w:id="519" w:name="bookmark519"/>
      <w:bookmarkStart w:id="520" w:name="bookmark520"/>
      <w:r>
        <w:rPr>
          <w:color w:val="000000"/>
          <w:spacing w:val="0"/>
          <w:w w:val="100"/>
          <w:position w:val="0"/>
        </w:rPr>
        <w:t>四、担保人盈利能力、资产状况和信用状况发生重大变化的情况</w:t>
      </w:r>
      <w:bookmarkEnd w:id="518"/>
      <w:bookmarkEnd w:id="519"/>
      <w:bookmarkEnd w:id="520"/>
    </w:p>
    <w:p>
      <w:pPr>
        <w:pStyle w:val="Style28"/>
        <w:keepNext w:val="0"/>
        <w:keepLines w:val="0"/>
        <w:framePr w:w="8232" w:h="1488" w:wrap="none" w:vAnchor="text" w:hAnchor="page" w:x="1113" w:y="7254"/>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framePr w:w="8232" w:h="1488" w:wrap="none" w:vAnchor="text" w:hAnchor="page" w:x="1113" w:y="7254"/>
        <w:widowControl w:val="0"/>
        <w:shd w:val="clear" w:color="auto" w:fill="auto"/>
        <w:bidi w:val="0"/>
        <w:spacing w:before="0" w:after="360" w:line="240" w:lineRule="auto"/>
        <w:ind w:left="0" w:right="0" w:firstLine="0"/>
        <w:jc w:val="left"/>
      </w:pPr>
      <w:bookmarkStart w:id="521" w:name="bookmark521"/>
      <w:bookmarkStart w:id="522" w:name="bookmark522"/>
      <w:bookmarkStart w:id="523" w:name="bookmark523"/>
      <w:r>
        <w:rPr>
          <w:color w:val="000000"/>
          <w:spacing w:val="0"/>
          <w:w w:val="100"/>
          <w:position w:val="0"/>
        </w:rPr>
        <w:t>五、报告期末公司的负债情况、资信变化情况以及在未来年度还债的现金安排</w:t>
      </w:r>
      <w:bookmarkEnd w:id="521"/>
      <w:bookmarkEnd w:id="522"/>
      <w:bookmarkEnd w:id="523"/>
    </w:p>
    <w:p>
      <w:pPr>
        <w:pStyle w:val="Style38"/>
        <w:keepNext w:val="0"/>
        <w:keepLines w:val="0"/>
        <w:framePr w:w="8232" w:h="1488" w:wrap="none" w:vAnchor="text" w:hAnchor="page" w:x="1113" w:y="7254"/>
        <w:widowControl w:val="0"/>
        <w:shd w:val="clear" w:color="auto" w:fill="auto"/>
        <w:bidi w:val="0"/>
        <w:spacing w:before="0" w:after="360" w:line="240" w:lineRule="auto"/>
        <w:ind w:left="0" w:right="0" w:firstLine="0"/>
        <w:jc w:val="left"/>
      </w:pPr>
      <w:r>
        <w:rPr>
          <w:color w:val="000000"/>
          <w:spacing w:val="0"/>
          <w:w w:val="100"/>
          <w:position w:val="0"/>
        </w:rPr>
        <w:t>详见第十一节“公司债券相关情况”。</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190" w:right="1194" w:bottom="1200" w:left="1112" w:header="0" w:footer="3" w:gutter="0"/>
          <w:cols w:space="720"/>
          <w:noEndnote/>
          <w:rtlGutter w:val="0"/>
          <w:docGrid w:linePitch="360"/>
        </w:sectPr>
      </w:pPr>
    </w:p>
    <w:p>
      <w:pPr>
        <w:pStyle w:val="Style17"/>
        <w:keepNext/>
        <w:keepLines/>
        <w:widowControl w:val="0"/>
        <w:shd w:val="clear" w:color="auto" w:fill="auto"/>
        <w:bidi w:val="0"/>
        <w:spacing w:before="540" w:after="520" w:line="240" w:lineRule="auto"/>
        <w:ind w:left="0" w:right="0" w:firstLine="0"/>
        <w:jc w:val="center"/>
      </w:pPr>
      <w:bookmarkStart w:id="524" w:name="bookmark524"/>
      <w:bookmarkStart w:id="525" w:name="bookmark525"/>
      <w:bookmarkStart w:id="526" w:name="bookmark526"/>
      <w:r>
        <w:rPr>
          <w:color w:val="000000"/>
          <w:spacing w:val="0"/>
          <w:w w:val="100"/>
          <w:position w:val="0"/>
        </w:rPr>
        <w:t>第九节 董事、监事、高级管理人员和员工情况</w:t>
      </w:r>
      <w:bookmarkEnd w:id="524"/>
      <w:bookmarkEnd w:id="525"/>
      <w:bookmarkEnd w:id="526"/>
    </w:p>
    <w:p>
      <w:pPr>
        <w:pStyle w:val="Style26"/>
        <w:keepNext/>
        <w:keepLines/>
        <w:widowControl w:val="0"/>
        <w:shd w:val="clear" w:color="auto" w:fill="auto"/>
        <w:bidi w:val="0"/>
        <w:spacing w:before="0" w:after="320" w:line="240" w:lineRule="auto"/>
        <w:ind w:left="0" w:right="0" w:firstLine="1000"/>
        <w:jc w:val="left"/>
      </w:pPr>
      <w:bookmarkStart w:id="527" w:name="bookmark527"/>
      <w:bookmarkStart w:id="528" w:name="bookmark528"/>
      <w:bookmarkStart w:id="529" w:name="bookmark529"/>
      <w:r>
        <w:rPr>
          <w:color w:val="000000"/>
          <w:spacing w:val="0"/>
          <w:w w:val="100"/>
          <w:position w:val="0"/>
        </w:rPr>
        <w:t>、董事、监事和高级管理人员持股变动</w:t>
      </w:r>
      <w:bookmarkEnd w:id="527"/>
      <w:bookmarkEnd w:id="528"/>
      <w:bookmarkEnd w:id="529"/>
    </w:p>
    <w:tbl>
      <w:tblPr>
        <w:tblOverlap w:val="never"/>
        <w:jc w:val="center"/>
        <w:tblLayout w:type="fixed"/>
      </w:tblPr>
      <w:tblGrid>
        <w:gridCol w:w="806"/>
        <w:gridCol w:w="974"/>
        <w:gridCol w:w="960"/>
        <w:gridCol w:w="614"/>
        <w:gridCol w:w="638"/>
        <w:gridCol w:w="1070"/>
        <w:gridCol w:w="1099"/>
        <w:gridCol w:w="1138"/>
        <w:gridCol w:w="802"/>
        <w:gridCol w:w="1118"/>
        <w:gridCol w:w="802"/>
        <w:gridCol w:w="1142"/>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本期减持股 份数量（股）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right"/>
            </w:pPr>
            <w:r>
              <w:rPr>
                <w:color w:val="000000"/>
                <w:spacing w:val="0"/>
                <w:w w:val="100"/>
                <w:position w:val="0"/>
              </w:rPr>
              <w:t>其他增 减变动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161,750,293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147,337,292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161,783,504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150,956,904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324,560,357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25,487,101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299,073,256</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740"/>
        <w:jc w:val="both"/>
      </w:pPr>
      <w:bookmarkStart w:id="530" w:name="bookmark530"/>
      <w:bookmarkStart w:id="531" w:name="bookmark531"/>
      <w:bookmarkStart w:id="532" w:name="bookmark532"/>
      <w:bookmarkStart w:id="533" w:name="bookmark533"/>
      <w:r>
        <w:rPr>
          <w:color w:val="000000"/>
          <w:spacing w:val="0"/>
          <w:w w:val="100"/>
          <w:position w:val="0"/>
        </w:rPr>
        <w:t>二</w:t>
      </w:r>
      <w:bookmarkEnd w:id="532"/>
      <w:r>
        <w:rPr>
          <w:color w:val="000000"/>
          <w:spacing w:val="0"/>
          <w:w w:val="100"/>
          <w:position w:val="0"/>
        </w:rPr>
        <w:t>、公司董事、监事、高级管理人员变动情况</w:t>
      </w:r>
      <w:bookmarkEnd w:id="530"/>
      <w:bookmarkEnd w:id="531"/>
      <w:bookmarkEnd w:id="533"/>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李根森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副总裁、董事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董事会同意聘任为公司副总裁、董事会秘书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740"/>
        <w:jc w:val="both"/>
      </w:pPr>
      <w:bookmarkStart w:id="534" w:name="bookmark534"/>
      <w:bookmarkStart w:id="535" w:name="bookmark535"/>
      <w:bookmarkStart w:id="536" w:name="bookmark536"/>
      <w:bookmarkStart w:id="537" w:name="bookmark537"/>
      <w:r>
        <w:rPr>
          <w:color w:val="000000"/>
          <w:spacing w:val="0"/>
          <w:w w:val="100"/>
          <w:position w:val="0"/>
        </w:rPr>
        <w:t>三</w:t>
      </w:r>
      <w:bookmarkEnd w:id="536"/>
      <w:r>
        <w:rPr>
          <w:color w:val="000000"/>
          <w:spacing w:val="0"/>
          <w:w w:val="100"/>
          <w:position w:val="0"/>
        </w:rPr>
        <w:t>、任职情况</w:t>
      </w:r>
      <w:bookmarkEnd w:id="534"/>
      <w:bookmarkEnd w:id="535"/>
      <w:bookmarkEnd w:id="537"/>
    </w:p>
    <w:p>
      <w:pPr>
        <w:pStyle w:val="Style38"/>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公司现任董事、监事、高级管理人员专业背景、主要工作经历以及目前在公司的主要职责</w:t>
      </w:r>
    </w:p>
    <w:p>
      <w:pPr>
        <w:pStyle w:val="Style38"/>
        <w:keepNext w:val="0"/>
        <w:keepLines w:val="0"/>
        <w:widowControl w:val="0"/>
        <w:shd w:val="clear" w:color="auto" w:fill="auto"/>
        <w:bidi w:val="0"/>
        <w:spacing w:before="0" w:after="320" w:line="314" w:lineRule="exact"/>
        <w:ind w:left="740" w:right="0" w:firstLine="20"/>
        <w:jc w:val="both"/>
      </w:pPr>
      <w:r>
        <w:rPr>
          <w:b/>
          <w:bCs/>
          <w:color w:val="000000"/>
          <w:spacing w:val="0"/>
          <w:w w:val="100"/>
          <w:position w:val="0"/>
        </w:rPr>
        <w:t>柯宗庆：</w:t>
      </w:r>
      <w:r>
        <w:rPr>
          <w:color w:val="000000"/>
          <w:spacing w:val="0"/>
          <w:w w:val="100"/>
          <w:position w:val="0"/>
        </w:rPr>
        <w:t>男，</w:t>
      </w:r>
      <w:r>
        <w:rPr>
          <w:rFonts w:ascii="Times New Roman" w:eastAsia="Times New Roman" w:hAnsi="Times New Roman" w:cs="Times New Roman"/>
          <w:color w:val="000000"/>
          <w:spacing w:val="0"/>
          <w:w w:val="100"/>
          <w:position w:val="0"/>
        </w:rPr>
        <w:t>1956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1981</w:t>
      </w:r>
      <w:r>
        <w:rPr>
          <w:color w:val="000000"/>
          <w:spacing w:val="0"/>
          <w:w w:val="100"/>
          <w:position w:val="0"/>
        </w:rPr>
        <w:t>年毕业于华南师范大学物理系，广东省计 算机信息网络安全协会副会长，广东省计算机学会副理事长。曾任职于华南师范大学生物系、华南师范大 学微电子所、广东水晶球技术发展有限公司、广州水晶球信息技术有限公司；</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月任职广 东天海威数码技术有限公司，</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年至今任蓝盾信息安全技术股份有限公司董事长。</w:t>
      </w:r>
    </w:p>
    <w:p>
      <w:pPr>
        <w:pStyle w:val="Style38"/>
        <w:keepNext w:val="0"/>
        <w:keepLines w:val="0"/>
        <w:widowControl w:val="0"/>
        <w:shd w:val="clear" w:color="auto" w:fill="auto"/>
        <w:bidi w:val="0"/>
        <w:spacing w:before="0" w:after="0" w:line="313" w:lineRule="exact"/>
        <w:ind w:left="760" w:right="0" w:firstLine="0"/>
        <w:jc w:val="both"/>
      </w:pPr>
      <w:r>
        <w:rPr>
          <w:b/>
          <w:bCs/>
          <w:color w:val="000000"/>
          <w:spacing w:val="0"/>
          <w:w w:val="100"/>
          <w:position w:val="0"/>
        </w:rPr>
        <w:t>柯宗贵：</w:t>
      </w: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1992</w:t>
      </w:r>
      <w:r>
        <w:rPr>
          <w:color w:val="000000"/>
          <w:spacing w:val="0"/>
          <w:w w:val="100"/>
          <w:position w:val="0"/>
        </w:rPr>
        <w:t>年毕业于深圳大学电子工程系，获学士学 位，广东省计算机信息网络安全协会信息网络安全技术专家委员会委员，广州市计算机信息网络安全协会 副会长，广州城建职业学院客座教授。曾获公安部科学技术三等奖、广州市科技进步二等奖、广州市科学 技术三等奖，编著《计算机网络安全实用技术》。曾任职于香港中银电脑（深圳）软件开发中心、广东水 晶球技术发展有限公司、广州水晶球信息技术有限公司；</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月任职于广东天海威数码技术 有限公司，</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年至今任蓝盾信息安全技术股份有限公司副董事长兼总裁。</w:t>
      </w:r>
    </w:p>
    <w:p>
      <w:pPr>
        <w:pStyle w:val="Style38"/>
        <w:keepNext w:val="0"/>
        <w:keepLines w:val="0"/>
        <w:widowControl w:val="0"/>
        <w:shd w:val="clear" w:color="auto" w:fill="auto"/>
        <w:bidi w:val="0"/>
        <w:spacing w:before="0" w:after="0" w:line="312" w:lineRule="exact"/>
        <w:ind w:left="760" w:right="0" w:firstLine="0"/>
        <w:jc w:val="both"/>
      </w:pPr>
      <w:r>
        <w:rPr>
          <w:b/>
          <w:bCs/>
          <w:color w:val="000000"/>
          <w:spacing w:val="0"/>
          <w:w w:val="100"/>
          <w:position w:val="0"/>
        </w:rPr>
        <w:t>赵庆伦：</w:t>
      </w:r>
      <w:r>
        <w:rPr>
          <w:color w:val="000000"/>
          <w:spacing w:val="0"/>
          <w:w w:val="100"/>
          <w:position w:val="0"/>
        </w:rPr>
        <w:t>男，</w:t>
      </w:r>
      <w:r>
        <w:rPr>
          <w:rFonts w:ascii="Times New Roman" w:eastAsia="Times New Roman" w:hAnsi="Times New Roman" w:cs="Times New Roman"/>
          <w:color w:val="000000"/>
          <w:spacing w:val="0"/>
          <w:w w:val="100"/>
          <w:position w:val="0"/>
        </w:rPr>
        <w:t>1957</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年毕业于中南林学院森林工业系运输机械 专业，获讲师职称。</w:t>
      </w:r>
      <w:r>
        <w:rPr>
          <w:rFonts w:ascii="Times New Roman" w:eastAsia="Times New Roman" w:hAnsi="Times New Roman" w:cs="Times New Roman"/>
          <w:color w:val="000000"/>
          <w:spacing w:val="0"/>
          <w:w w:val="100"/>
          <w:position w:val="0"/>
        </w:rPr>
        <w:t>1974</w:t>
      </w:r>
      <w:r>
        <w:rPr>
          <w:color w:val="000000"/>
          <w:spacing w:val="0"/>
          <w:w w:val="100"/>
          <w:position w:val="0"/>
        </w:rPr>
        <w:t>年参加工作，</w:t>
      </w:r>
      <w:r>
        <w:rPr>
          <w:rFonts w:ascii="Times New Roman" w:eastAsia="Times New Roman" w:hAnsi="Times New Roman" w:cs="Times New Roman"/>
          <w:color w:val="000000"/>
          <w:spacing w:val="0"/>
          <w:w w:val="100"/>
          <w:position w:val="0"/>
        </w:rPr>
        <w:t>2004</w:t>
      </w:r>
      <w:r>
        <w:rPr>
          <w:color w:val="000000"/>
          <w:spacing w:val="0"/>
          <w:w w:val="100"/>
          <w:position w:val="0"/>
        </w:rPr>
        <w:t>年退休。曾任职于广东省林业厅下属林场，任副场长；曾任职 广东省林业中专学校，任党委副书记、副校长；曾任职广州市文化、广播电视、新闻出版局，任办公室副 主任、事业处处长、科技处处长、网络安全处处长</w:t>
      </w:r>
      <w:r>
        <w:rPr>
          <w:rFonts w:ascii="Times New Roman" w:eastAsia="Times New Roman" w:hAnsi="Times New Roman" w:cs="Times New Roman"/>
          <w:color w:val="000000"/>
          <w:spacing w:val="0"/>
          <w:w w:val="100"/>
          <w:position w:val="0"/>
        </w:rPr>
        <w:t>（</w:t>
      </w:r>
      <w:r>
        <w:rPr>
          <w:color w:val="000000"/>
          <w:spacing w:val="0"/>
          <w:w w:val="100"/>
          <w:position w:val="0"/>
        </w:rPr>
        <w:t>兼局机关党委委员、支部书记、广州市建筑智能化专家 组成员</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月至今任蓝盾信息安全技术股份有限公司董事。</w:t>
      </w:r>
    </w:p>
    <w:p>
      <w:pPr>
        <w:pStyle w:val="Style38"/>
        <w:keepNext w:val="0"/>
        <w:keepLines w:val="0"/>
        <w:widowControl w:val="0"/>
        <w:shd w:val="clear" w:color="auto" w:fill="auto"/>
        <w:bidi w:val="0"/>
        <w:spacing w:before="0" w:after="0" w:line="315" w:lineRule="exact"/>
        <w:ind w:left="760" w:right="0" w:firstLine="0"/>
        <w:jc w:val="both"/>
      </w:pPr>
      <w:r>
        <w:rPr>
          <w:b/>
          <w:bCs/>
          <w:color w:val="000000"/>
          <w:spacing w:val="0"/>
          <w:w w:val="100"/>
          <w:position w:val="0"/>
        </w:rPr>
        <w:t>余曜青：</w:t>
      </w:r>
      <w:r>
        <w:rPr>
          <w:color w:val="000000"/>
          <w:spacing w:val="0"/>
          <w:w w:val="100"/>
          <w:position w:val="0"/>
        </w:rPr>
        <w:t>男，</w:t>
      </w:r>
      <w:r>
        <w:rPr>
          <w:rFonts w:ascii="Times New Roman" w:eastAsia="Times New Roman" w:hAnsi="Times New Roman" w:cs="Times New Roman"/>
          <w:color w:val="000000"/>
          <w:spacing w:val="0"/>
          <w:w w:val="100"/>
          <w:position w:val="0"/>
        </w:rPr>
        <w:t>1956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 xml:space="preserve">年毕业于广东广播电视大学电子类专业。 </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月参加工作，为广东省国营平沙农场知青；</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月，在广东粤华发电有限责任公 司检修部、材料科、生技科、企管办信息中心、黄电实业总公司综合部等各部门工作，任计算机应用工程 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月至今任蓝盾信息安全技术股份有限公司顾问；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月至今任蓝盾信息安全技术股份有 限公司董事。</w:t>
      </w:r>
    </w:p>
    <w:p>
      <w:pPr>
        <w:pStyle w:val="Style38"/>
        <w:keepNext w:val="0"/>
        <w:keepLines w:val="0"/>
        <w:widowControl w:val="0"/>
        <w:shd w:val="clear" w:color="auto" w:fill="auto"/>
        <w:bidi w:val="0"/>
        <w:spacing w:before="0" w:after="0" w:line="315" w:lineRule="exact"/>
        <w:ind w:left="760" w:right="0" w:firstLine="0"/>
        <w:jc w:val="both"/>
      </w:pPr>
      <w:r>
        <w:rPr>
          <w:b/>
          <w:bCs/>
          <w:color w:val="000000"/>
          <w:spacing w:val="0"/>
          <w:w w:val="100"/>
          <w:position w:val="0"/>
        </w:rPr>
        <w:t>桂振华：</w:t>
      </w:r>
      <w:r>
        <w:rPr>
          <w:color w:val="000000"/>
          <w:spacing w:val="0"/>
          <w:w w:val="100"/>
          <w:position w:val="0"/>
        </w:rPr>
        <w:t>男，</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年出生，中国国籍，管理学博士，</w:t>
      </w:r>
      <w:r>
        <w:rPr>
          <w:rFonts w:ascii="Times New Roman" w:eastAsia="Times New Roman" w:hAnsi="Times New Roman" w:cs="Times New Roman"/>
          <w:color w:val="000000"/>
          <w:spacing w:val="0"/>
          <w:w w:val="100"/>
          <w:position w:val="0"/>
        </w:rPr>
        <w:t>2008</w:t>
      </w:r>
      <w:r>
        <w:rPr>
          <w:color w:val="000000"/>
          <w:spacing w:val="0"/>
          <w:w w:val="100"/>
          <w:position w:val="0"/>
        </w:rPr>
        <w:t>年至今连续三届担任民革中央专委会委员（人口 资源环境委员会），是享誉海内外的绿色城市发展理念和实践先行者，专注研究和践行绿色城市发展</w:t>
      </w:r>
      <w:r>
        <w:rPr>
          <w:rFonts w:ascii="Times New Roman" w:eastAsia="Times New Roman" w:hAnsi="Times New Roman" w:cs="Times New Roman"/>
          <w:color w:val="000000"/>
          <w:spacing w:val="0"/>
          <w:w w:val="100"/>
          <w:position w:val="0"/>
        </w:rPr>
        <w:t>20</w:t>
      </w:r>
      <w:r>
        <w:rPr>
          <w:color w:val="000000"/>
          <w:spacing w:val="0"/>
          <w:w w:val="100"/>
          <w:position w:val="0"/>
        </w:rPr>
        <w:t>余 年，推动国家绿色城市建设并被纳入国家十三五规划当中，在国内外绿色发展领域特别是绿色城市发展 研究领域具有重要影响力。曾在联合国环境与发展论坛、博鳌亚洲论坛、欧亚经济论坛及贵阳生态文明国 际论坛等国内外上百个知名论坛发表演讲数百次。历任国家环保总局深圳培训中心高级顾问兼驻京办主任、 国家林业局中国绿色画报社社长、中国绿色发展高层论坛执行主席兼秘书长、中国华夏文化遗产基金会绿 色发展基金（中国绿色发展基金）执行主席等职务，曾兼任中共中央党校中国领导科学研究会学术委员会 副主任、中国绿色城市研究中心主任、《中国城市绿色发展报告》主编、全国多地市政府顾问、香港环境 保护协会荣誉主席等职务。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月至今任蓝盾信息安全技术股份有限公司董事。</w:t>
      </w:r>
    </w:p>
    <w:p>
      <w:pPr>
        <w:pStyle w:val="Style38"/>
        <w:keepNext w:val="0"/>
        <w:keepLines w:val="0"/>
        <w:widowControl w:val="0"/>
        <w:shd w:val="clear" w:color="auto" w:fill="auto"/>
        <w:bidi w:val="0"/>
        <w:spacing w:before="0" w:after="0" w:line="314" w:lineRule="exact"/>
        <w:ind w:left="760" w:right="0" w:firstLine="0"/>
        <w:jc w:val="both"/>
      </w:pPr>
      <w:r>
        <w:rPr>
          <w:b/>
          <w:bCs/>
          <w:color w:val="000000"/>
          <w:spacing w:val="0"/>
          <w:w w:val="100"/>
          <w:position w:val="0"/>
        </w:rPr>
        <w:t>王丹舟：</w:t>
      </w:r>
      <w:r>
        <w:rPr>
          <w:color w:val="000000"/>
          <w:spacing w:val="0"/>
          <w:w w:val="100"/>
          <w:position w:val="0"/>
        </w:rPr>
        <w:t>女，</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年出生，中国国籍，无境外永久居留权，西南财经大学财务管理专业，博士、教授。</w:t>
      </w:r>
      <w:r>
        <w:rPr>
          <w:rFonts w:ascii="Times New Roman" w:eastAsia="Times New Roman" w:hAnsi="Times New Roman" w:cs="Times New Roman"/>
          <w:color w:val="000000"/>
          <w:spacing w:val="0"/>
          <w:w w:val="100"/>
          <w:position w:val="0"/>
        </w:rPr>
        <w:t xml:space="preserve">1986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月至今在暨南大学管理学院会计系从事一线教学研究工作；近年来主持并参与国家、省部级等各级科 研项目近</w:t>
      </w:r>
      <w:r>
        <w:rPr>
          <w:rFonts w:ascii="Times New Roman" w:eastAsia="Times New Roman" w:hAnsi="Times New Roman" w:cs="Times New Roman"/>
          <w:color w:val="000000"/>
          <w:spacing w:val="0"/>
          <w:w w:val="100"/>
          <w:position w:val="0"/>
        </w:rPr>
        <w:t>10</w:t>
      </w:r>
      <w:r>
        <w:rPr>
          <w:color w:val="000000"/>
          <w:spacing w:val="0"/>
          <w:w w:val="100"/>
          <w:position w:val="0"/>
        </w:rPr>
        <w:t>项，发表相关论文数十篇。曾任蓝盾信息安全技术股份有限公司、中山达华智能科技股份有限 公司、深圳太辰光通信股份有限公司独立董事、广东百合医疗科技股份有限公司独立董事、广州安必平医 药科技股份有限公司独立董事，现任暨南大学管理学院教授、广东电声市场营销股份有限公司独立董事、 广州中康资讯股份有限公司独立董事、广东金莱特电器股份有限公司独立董事。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月至今任蓝盾信 息安全技术股份有限公司独立董事。</w:t>
      </w:r>
    </w:p>
    <w:p>
      <w:pPr>
        <w:pStyle w:val="Style38"/>
        <w:keepNext w:val="0"/>
        <w:keepLines w:val="0"/>
        <w:widowControl w:val="0"/>
        <w:shd w:val="clear" w:color="auto" w:fill="auto"/>
        <w:bidi w:val="0"/>
        <w:spacing w:before="0" w:after="0" w:line="315" w:lineRule="exact"/>
        <w:ind w:left="760" w:right="0" w:firstLine="0"/>
        <w:jc w:val="both"/>
      </w:pPr>
      <w:r>
        <w:rPr>
          <w:b/>
          <w:bCs/>
          <w:color w:val="000000"/>
          <w:spacing w:val="0"/>
          <w:w w:val="100"/>
          <w:position w:val="0"/>
        </w:rPr>
        <w:t>周涛：</w:t>
      </w:r>
      <w:r>
        <w:rPr>
          <w:color w:val="000000"/>
          <w:spacing w:val="0"/>
          <w:w w:val="100"/>
          <w:position w:val="0"/>
        </w:rPr>
        <w:t>男，</w:t>
      </w:r>
      <w:r>
        <w:rPr>
          <w:rFonts w:ascii="Times New Roman" w:eastAsia="Times New Roman" w:hAnsi="Times New Roman" w:cs="Times New Roman"/>
          <w:color w:val="000000"/>
          <w:spacing w:val="0"/>
          <w:w w:val="100"/>
          <w:position w:val="0"/>
        </w:rPr>
        <w:t>1955</w:t>
      </w:r>
      <w:r>
        <w:rPr>
          <w:color w:val="000000"/>
          <w:spacing w:val="0"/>
          <w:w w:val="100"/>
          <w:position w:val="0"/>
        </w:rPr>
        <w:t>年出生，中国国籍，无境外永久居留权，毕业于解放军通信工程学院，大学本科学历。长 期在院校担任教职工作，</w:t>
      </w:r>
      <w:r>
        <w:rPr>
          <w:rFonts w:ascii="Times New Roman" w:eastAsia="Times New Roman" w:hAnsi="Times New Roman" w:cs="Times New Roman"/>
          <w:color w:val="000000"/>
          <w:spacing w:val="0"/>
          <w:w w:val="100"/>
          <w:position w:val="0"/>
        </w:rPr>
        <w:t>1977</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年，先后在广州军区通信训练大队，桂林陆军学院通信大队、解放 军广州通信学院担任教员、讲师；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年先后在解放军体育学院教研部保密技术教研室、广州城 建职业学院信息工程系、广东创新科技职业学院计算机和通信系、广东食品药品职业学院软件学院担任副 教授。工作期间曾在国家及省部级刊物发表学术论文数十篇，参与编写教材数部。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月至今任蓝盾 信息安全技术股份有限公司独立董事。</w:t>
      </w:r>
    </w:p>
    <w:p>
      <w:pPr>
        <w:pStyle w:val="Style38"/>
        <w:keepNext w:val="0"/>
        <w:keepLines w:val="0"/>
        <w:widowControl w:val="0"/>
        <w:shd w:val="clear" w:color="auto" w:fill="auto"/>
        <w:bidi w:val="0"/>
        <w:spacing w:before="0" w:after="0" w:line="313" w:lineRule="exact"/>
        <w:ind w:left="760" w:right="0" w:firstLine="0"/>
        <w:jc w:val="both"/>
      </w:pPr>
      <w:r>
        <w:rPr>
          <w:b/>
          <w:bCs/>
          <w:color w:val="000000"/>
          <w:spacing w:val="0"/>
          <w:w w:val="100"/>
          <w:position w:val="0"/>
        </w:rPr>
        <w:t>蔡镇顺：</w:t>
      </w:r>
      <w:r>
        <w:rPr>
          <w:color w:val="000000"/>
          <w:spacing w:val="0"/>
          <w:w w:val="100"/>
          <w:position w:val="0"/>
        </w:rPr>
        <w:t>男，</w:t>
      </w:r>
      <w:r>
        <w:rPr>
          <w:rFonts w:ascii="Times New Roman" w:eastAsia="Times New Roman" w:hAnsi="Times New Roman" w:cs="Times New Roman"/>
          <w:color w:val="000000"/>
          <w:spacing w:val="0"/>
          <w:w w:val="100"/>
          <w:position w:val="0"/>
        </w:rPr>
        <w:t>1956</w:t>
      </w:r>
      <w:r>
        <w:rPr>
          <w:color w:val="000000"/>
          <w:spacing w:val="0"/>
          <w:w w:val="100"/>
          <w:position w:val="0"/>
        </w:rPr>
        <w:t>年出生，中国国籍，无永久境外居留权，研究生学历，法学教授。现任广东外语外贸大 学法学院教授、广东岭南律师事务所律师、广东省法学会副会长、广东省港澳法学研究会会长、广州仲裁 委员会委员、雅安正兴汉白玉股份有限公司独立董事；曾任最高法院经济庭书记员、汕头大学法学院教授、 中南财经政法大学兼职博士生导师、广东省人大常委会法律专家顾问、广东省科学技术协会法律顾问、南 方电网法律顾问、广州市政府法律专家顾问；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月至今任蓝盾信息安全技术股份有限公司独立董事。</w:t>
      </w:r>
    </w:p>
    <w:p>
      <w:pPr>
        <w:pStyle w:val="Style38"/>
        <w:keepNext w:val="0"/>
        <w:keepLines w:val="0"/>
        <w:widowControl w:val="0"/>
        <w:shd w:val="clear" w:color="auto" w:fill="auto"/>
        <w:bidi w:val="0"/>
        <w:spacing w:before="0" w:after="0" w:line="317" w:lineRule="exact"/>
        <w:ind w:left="720" w:right="0" w:firstLine="40"/>
        <w:jc w:val="both"/>
      </w:pPr>
      <w:r>
        <w:rPr>
          <w:b/>
          <w:bCs/>
          <w:color w:val="000000"/>
          <w:spacing w:val="0"/>
          <w:w w:val="100"/>
          <w:position w:val="0"/>
        </w:rPr>
        <w:t>陈文浩：</w:t>
      </w:r>
      <w:r>
        <w:rPr>
          <w:color w:val="000000"/>
          <w:spacing w:val="0"/>
          <w:w w:val="100"/>
          <w:position w:val="0"/>
        </w:rPr>
        <w:t>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月毕业于广州通信学院；曾任广东水 晶球技术发展有限公司工程师、广东天海威数码技术有限公司开发部副总经理；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 蓝盾信息安全技术股份有限公司监事；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月至今任蓝盾信息安全技术股份有限公司监事会主席。</w:t>
      </w:r>
    </w:p>
    <w:p>
      <w:pPr>
        <w:pStyle w:val="Style38"/>
        <w:keepNext w:val="0"/>
        <w:keepLines w:val="0"/>
        <w:widowControl w:val="0"/>
        <w:shd w:val="clear" w:color="auto" w:fill="auto"/>
        <w:bidi w:val="0"/>
        <w:spacing w:before="0" w:after="0" w:line="319" w:lineRule="exact"/>
        <w:ind w:left="720" w:right="0" w:firstLine="40"/>
        <w:jc w:val="both"/>
      </w:pPr>
      <w:r>
        <w:rPr>
          <w:b/>
          <w:bCs/>
          <w:color w:val="000000"/>
          <w:spacing w:val="0"/>
          <w:w w:val="100"/>
          <w:position w:val="0"/>
        </w:rPr>
        <w:t>詹桂彬：</w:t>
      </w:r>
      <w:r>
        <w:rPr>
          <w:color w:val="000000"/>
          <w:spacing w:val="0"/>
          <w:w w:val="100"/>
          <w:position w:val="0"/>
        </w:rPr>
        <w:t>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年出生，中国国籍，无境外永久居留权，高中学历。曾任广东水晶球技术发展有限公司 技术主管及经理、广东天海威数码技术有限公司项目经理，新产品部经理与采购部经理，</w:t>
      </w:r>
      <w:r>
        <w:rPr>
          <w:rFonts w:ascii="Times New Roman" w:eastAsia="Times New Roman" w:hAnsi="Times New Roman" w:cs="Times New Roman"/>
          <w:color w:val="000000"/>
          <w:spacing w:val="0"/>
          <w:w w:val="100"/>
          <w:position w:val="0"/>
        </w:rPr>
        <w:t>2009</w:t>
      </w:r>
      <w:r>
        <w:rPr>
          <w:color w:val="000000"/>
          <w:spacing w:val="0"/>
          <w:w w:val="100"/>
          <w:position w:val="0"/>
        </w:rPr>
        <w:t>年至今任蓝 盾信息安全技术股份有限公司职工代表监事。</w:t>
      </w:r>
    </w:p>
    <w:p>
      <w:pPr>
        <w:pStyle w:val="Style38"/>
        <w:keepNext w:val="0"/>
        <w:keepLines w:val="0"/>
        <w:widowControl w:val="0"/>
        <w:shd w:val="clear" w:color="auto" w:fill="auto"/>
        <w:bidi w:val="0"/>
        <w:spacing w:before="0" w:after="0" w:line="317" w:lineRule="exact"/>
        <w:ind w:left="720" w:right="0" w:firstLine="40"/>
        <w:jc w:val="both"/>
      </w:pPr>
      <w:r>
        <w:rPr>
          <w:b/>
          <w:bCs/>
          <w:color w:val="000000"/>
          <w:spacing w:val="0"/>
          <w:w w:val="100"/>
          <w:position w:val="0"/>
        </w:rPr>
        <w:t>冯明强：</w:t>
      </w:r>
      <w:r>
        <w:rPr>
          <w:color w:val="000000"/>
          <w:spacing w:val="0"/>
          <w:w w:val="100"/>
          <w:position w:val="0"/>
        </w:rPr>
        <w:t>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1992</w:t>
      </w:r>
      <w:r>
        <w:rPr>
          <w:color w:val="000000"/>
          <w:spacing w:val="0"/>
          <w:w w:val="100"/>
          <w:position w:val="0"/>
        </w:rPr>
        <w:t>年毕业于四川技术学院电子信息工程系， 获学士学位。曾任四川成都新兴集团技术部经理、广东水晶球技术发展有限公司技术人员、广东天海威数 码技术有限公司工程师，</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年至今任蓝盾信息安全技术股份有限公司生产部主管；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月至今任蓝 盾信息安全技术股份有限公司监事会监事。</w:t>
      </w:r>
    </w:p>
    <w:p>
      <w:pPr>
        <w:pStyle w:val="Style38"/>
        <w:keepNext w:val="0"/>
        <w:keepLines w:val="0"/>
        <w:widowControl w:val="0"/>
        <w:shd w:val="clear" w:color="auto" w:fill="auto"/>
        <w:bidi w:val="0"/>
        <w:spacing w:before="0" w:after="0" w:line="312" w:lineRule="exact"/>
        <w:ind w:left="720" w:right="0" w:firstLine="40"/>
        <w:jc w:val="both"/>
      </w:pPr>
      <w:r>
        <w:rPr>
          <w:b/>
          <w:bCs/>
          <w:color w:val="000000"/>
          <w:spacing w:val="0"/>
          <w:w w:val="100"/>
          <w:position w:val="0"/>
        </w:rPr>
        <w:t>李根森：</w:t>
      </w:r>
      <w:r>
        <w:rPr>
          <w:color w:val="000000"/>
          <w:spacing w:val="0"/>
          <w:w w:val="100"/>
          <w:position w:val="0"/>
        </w:rPr>
        <w:t>男，</w:t>
      </w:r>
      <w:r>
        <w:rPr>
          <w:rFonts w:ascii="Times New Roman" w:eastAsia="Times New Roman" w:hAnsi="Times New Roman" w:cs="Times New Roman"/>
          <w:color w:val="000000"/>
          <w:spacing w:val="0"/>
          <w:w w:val="100"/>
          <w:position w:val="0"/>
        </w:rPr>
        <w:t>1960</w:t>
      </w:r>
      <w:r>
        <w:rPr>
          <w:color w:val="000000"/>
          <w:spacing w:val="0"/>
          <w:w w:val="100"/>
          <w:position w:val="0"/>
        </w:rPr>
        <w:t>年出生，中国国籍，无境外永久居留权，高级工程师，</w:t>
      </w:r>
      <w:r>
        <w:rPr>
          <w:rFonts w:ascii="Times New Roman" w:eastAsia="Times New Roman" w:hAnsi="Times New Roman" w:cs="Times New Roman"/>
          <w:color w:val="000000"/>
          <w:spacing w:val="0"/>
          <w:w w:val="100"/>
          <w:position w:val="0"/>
        </w:rPr>
        <w:t>1982</w:t>
      </w:r>
      <w:r>
        <w:rPr>
          <w:color w:val="000000"/>
          <w:spacing w:val="0"/>
          <w:w w:val="100"/>
          <w:position w:val="0"/>
        </w:rPr>
        <w:t>年毕业于上海交通大学计算 机科学技术专业，广东省计算机安全协会理事。曾获广州市科学技术三等奖、广州市科技进步二等奖。</w:t>
      </w:r>
      <w:r>
        <w:rPr>
          <w:rFonts w:ascii="Times New Roman" w:eastAsia="Times New Roman" w:hAnsi="Times New Roman" w:cs="Times New Roman"/>
          <w:color w:val="000000"/>
          <w:spacing w:val="0"/>
          <w:w w:val="100"/>
          <w:position w:val="0"/>
        </w:rPr>
        <w:t xml:space="preserve">1984 </w:t>
      </w:r>
      <w:r>
        <w:rPr>
          <w:color w:val="000000"/>
          <w:spacing w:val="0"/>
          <w:w w:val="100"/>
          <w:position w:val="0"/>
        </w:rPr>
        <w:t>年赴美国参加</w:t>
      </w:r>
      <w:r>
        <w:rPr>
          <w:rFonts w:ascii="Times New Roman" w:eastAsia="Times New Roman" w:hAnsi="Times New Roman" w:cs="Times New Roman"/>
          <w:color w:val="000000"/>
          <w:spacing w:val="0"/>
          <w:w w:val="100"/>
          <w:position w:val="0"/>
        </w:rPr>
        <w:t>TTS</w:t>
      </w:r>
      <w:r>
        <w:rPr>
          <w:color w:val="000000"/>
          <w:spacing w:val="0"/>
          <w:w w:val="100"/>
          <w:position w:val="0"/>
        </w:rPr>
        <w:t>公司、</w:t>
      </w:r>
      <w:r>
        <w:rPr>
          <w:rFonts w:ascii="Times New Roman" w:eastAsia="Times New Roman" w:hAnsi="Times New Roman" w:cs="Times New Roman"/>
          <w:color w:val="000000"/>
          <w:spacing w:val="0"/>
          <w:w w:val="100"/>
          <w:position w:val="0"/>
        </w:rPr>
        <w:t>IBM</w:t>
      </w:r>
      <w:r>
        <w:rPr>
          <w:color w:val="000000"/>
          <w:spacing w:val="0"/>
          <w:w w:val="100"/>
          <w:position w:val="0"/>
        </w:rPr>
        <w:t>大中型机</w:t>
      </w:r>
      <w:r>
        <w:rPr>
          <w:rFonts w:ascii="Times New Roman" w:eastAsia="Times New Roman" w:hAnsi="Times New Roman" w:cs="Times New Roman"/>
          <w:color w:val="000000"/>
          <w:spacing w:val="0"/>
          <w:w w:val="100"/>
          <w:position w:val="0"/>
        </w:rPr>
        <w:t>OS</w:t>
      </w:r>
      <w:r>
        <w:rPr>
          <w:color w:val="000000"/>
          <w:spacing w:val="0"/>
          <w:w w:val="100"/>
          <w:position w:val="0"/>
        </w:rPr>
        <w:t>与硬件体系的设计和应用课程，并取得认证；</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月参加中 国工业经济管理学院的</w:t>
      </w:r>
      <w:r>
        <w:rPr>
          <w:rFonts w:ascii="Times New Roman" w:eastAsia="Times New Roman" w:hAnsi="Times New Roman" w:cs="Times New Roman"/>
          <w:color w:val="000000"/>
          <w:spacing w:val="0"/>
          <w:w w:val="100"/>
          <w:position w:val="0"/>
        </w:rPr>
        <w:t>EMBA</w:t>
      </w:r>
      <w:r>
        <w:rPr>
          <w:color w:val="000000"/>
          <w:spacing w:val="0"/>
          <w:w w:val="100"/>
          <w:position w:val="0"/>
        </w:rPr>
        <w:t>课程，获得中国工业经济协会颁发的</w:t>
      </w:r>
      <w:r>
        <w:rPr>
          <w:rFonts w:ascii="Times New Roman" w:eastAsia="Times New Roman" w:hAnsi="Times New Roman" w:cs="Times New Roman"/>
          <w:color w:val="000000"/>
          <w:spacing w:val="0"/>
          <w:w w:val="100"/>
          <w:position w:val="0"/>
        </w:rPr>
        <w:t>EMBA</w:t>
      </w:r>
      <w:r>
        <w:rPr>
          <w:color w:val="000000"/>
          <w:spacing w:val="0"/>
          <w:w w:val="100"/>
          <w:position w:val="0"/>
        </w:rPr>
        <w:t>毕业证书；</w:t>
      </w:r>
      <w:r>
        <w:rPr>
          <w:rFonts w:ascii="Times New Roman" w:eastAsia="Times New Roman" w:hAnsi="Times New Roman" w:cs="Times New Roman"/>
          <w:color w:val="000000"/>
          <w:spacing w:val="0"/>
          <w:w w:val="100"/>
          <w:position w:val="0"/>
        </w:rPr>
        <w:t xml:space="preserve">1982 </w:t>
      </w:r>
      <w:r>
        <w:rPr>
          <w:color w:val="000000"/>
          <w:spacing w:val="0"/>
          <w:w w:val="100"/>
          <w:position w:val="0"/>
        </w:rPr>
        <w:t xml:space="preserve">— </w:t>
      </w:r>
      <w:r>
        <w:rPr>
          <w:rFonts w:ascii="Times New Roman" w:eastAsia="Times New Roman" w:hAnsi="Times New Roman" w:cs="Times New Roman"/>
          <w:color w:val="000000"/>
          <w:spacing w:val="0"/>
          <w:w w:val="100"/>
          <w:position w:val="0"/>
        </w:rPr>
        <w:t>1994</w:t>
      </w:r>
      <w:r>
        <w:rPr>
          <w:color w:val="000000"/>
          <w:spacing w:val="0"/>
          <w:w w:val="100"/>
          <w:position w:val="0"/>
        </w:rPr>
        <w:t>年，任广 州广船国际股份有限公司信息中心科长；</w:t>
      </w:r>
      <w:r>
        <w:rPr>
          <w:rFonts w:ascii="Times New Roman" w:eastAsia="Times New Roman" w:hAnsi="Times New Roman" w:cs="Times New Roman"/>
          <w:color w:val="000000"/>
          <w:spacing w:val="0"/>
          <w:w w:val="100"/>
          <w:position w:val="0"/>
        </w:rPr>
        <w:t>1994</w:t>
      </w:r>
      <w:r>
        <w:rPr>
          <w:color w:val="000000"/>
          <w:spacing w:val="0"/>
          <w:w w:val="100"/>
          <w:position w:val="0"/>
        </w:rPr>
        <w:t>—</w:t>
      </w:r>
      <w:r>
        <w:rPr>
          <w:rFonts w:ascii="Times New Roman" w:eastAsia="Times New Roman" w:hAnsi="Times New Roman" w:cs="Times New Roman"/>
          <w:color w:val="000000"/>
          <w:spacing w:val="0"/>
          <w:w w:val="100"/>
          <w:position w:val="0"/>
        </w:rPr>
        <w:t>1998</w:t>
      </w:r>
      <w:r>
        <w:rPr>
          <w:color w:val="000000"/>
          <w:spacing w:val="0"/>
          <w:w w:val="100"/>
          <w:position w:val="0"/>
        </w:rPr>
        <w:t>年任职上海众恒信息产业有限公司副总工程师；</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10</w:t>
      </w:r>
      <w:r>
        <w:rPr>
          <w:color w:val="000000"/>
          <w:spacing w:val="0"/>
          <w:w w:val="100"/>
          <w:position w:val="0"/>
        </w:rPr>
        <w:t>月任广东省科委技术转移中心软件开发部副总经理；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月，历任广东天海威 数码技术有限公司总经理、副总经理；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月历任蓝盾信息安全技术股份有限公司董事、 副总经理及董事会秘书；</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月任深圳市通宝莱科技有限公司总经理；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月任水晶球教育信息技术有限公司董事；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月至今任蓝盾信息安全技术有限公司副总经理；</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月至今任蓝盾信息安全技术股份有限公司副总裁、董事会秘书。</w:t>
      </w:r>
    </w:p>
    <w:p>
      <w:pPr>
        <w:pStyle w:val="Style38"/>
        <w:keepNext w:val="0"/>
        <w:keepLines w:val="0"/>
        <w:widowControl w:val="0"/>
        <w:shd w:val="clear" w:color="auto" w:fill="auto"/>
        <w:bidi w:val="0"/>
        <w:spacing w:before="0" w:after="0" w:line="313" w:lineRule="exact"/>
        <w:ind w:left="720" w:right="0" w:firstLine="40"/>
        <w:jc w:val="both"/>
      </w:pPr>
      <w:r>
        <w:rPr>
          <w:b/>
          <w:bCs/>
          <w:color w:val="000000"/>
          <w:spacing w:val="0"/>
          <w:w w:val="100"/>
          <w:position w:val="0"/>
        </w:rPr>
        <w:t>黄泽华：</w:t>
      </w: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年出生，中国国籍，无境外永久居留权，中专学历。</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月一</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月，任广州 市海洋渔业公司办公室副主任；</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月一</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月，任广东燕粤经济发展有限公司营销副总经理；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月一</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月，任广东天海威数码技术有限公司营销部副总经理；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月，任蓝 盾信息安全技术股份有限公司监事会主席；</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月，任蓝盾信息安全技术股份有限公司董事；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月至今任蓝盾信息安全技术股份有限公司副总裁。</w:t>
      </w:r>
    </w:p>
    <w:p>
      <w:pPr>
        <w:pStyle w:val="Style38"/>
        <w:keepNext w:val="0"/>
        <w:keepLines w:val="0"/>
        <w:widowControl w:val="0"/>
        <w:shd w:val="clear" w:color="auto" w:fill="auto"/>
        <w:bidi w:val="0"/>
        <w:spacing w:before="0" w:after="480" w:line="312" w:lineRule="exact"/>
        <w:ind w:left="720" w:right="0" w:firstLine="40"/>
        <w:jc w:val="both"/>
      </w:pPr>
      <w:r>
        <w:rPr>
          <w:b/>
          <w:bCs/>
          <w:color w:val="000000"/>
          <w:spacing w:val="0"/>
          <w:w w:val="100"/>
          <w:position w:val="0"/>
        </w:rPr>
        <w:t>柯明海：</w:t>
      </w: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年出生，中国国籍，无境外永久居留权，高级财务管理师、国家一级</w:t>
      </w:r>
      <w:r>
        <w:rPr>
          <w:rFonts w:ascii="Times New Roman" w:eastAsia="Times New Roman" w:hAnsi="Times New Roman" w:cs="Times New Roman"/>
          <w:color w:val="000000"/>
          <w:spacing w:val="0"/>
          <w:w w:val="100"/>
          <w:position w:val="0"/>
        </w:rPr>
        <w:t>/</w:t>
      </w:r>
      <w:r>
        <w:rPr>
          <w:color w:val="000000"/>
          <w:spacing w:val="0"/>
          <w:w w:val="100"/>
          <w:position w:val="0"/>
        </w:rPr>
        <w:t>高级技师、总会计 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年任广盛家具装饰材料有限公司会计；</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年任佛山市南海三和灯饰制品有限 公司财务经理；</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年任广州市弘邦纺织用品制造有限公司任财务经理；</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年任高康 日化集团有限公司财务经理；</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年任广东承商包装科技有限公司财务经理；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 中经汇通电子商务有限公司财务总监；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月至今任蓝盾信息安全技术股份有限公司财务总监。</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077"/>
        <w:gridCol w:w="1176"/>
        <w:gridCol w:w="1195"/>
        <w:gridCol w:w="1325"/>
        <w:gridCol w:w="1603"/>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任职人员</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广州景辕投资管理合伙企业（有限合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广州民营投资股份有限公司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077"/>
        <w:gridCol w:w="1176"/>
        <w:gridCol w:w="1195"/>
        <w:gridCol w:w="1325"/>
        <w:gridCol w:w="1603"/>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任职人员</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广东蓝御房地产开发有限公司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广东蓝御房地产开发有限公司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广州华粤汇智教育科技有限公司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法人兼总经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广州中科蓝华生物科技有限公司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广州蓝耀医药科技有限公司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广州市昇佰投资管理合伙企业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广东蓝安控股有限公司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广州蓝锦生物科技有限公司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广东中科蓝华生物医药科技有限公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广州臻泰企业咨询管理合伙企业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珠海横琴蓝曜投资管理合伙企业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广州创瑞投资合伙企业（有限合伙）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广州博饶投资合伙企业（有限合伙）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深圳中科蓝华生物科技有限公司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王丹舟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暨南大学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教授、硕士 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王丹舟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广州安必平医药科技股份有限公司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王丹舟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广东电声市场营销股份有限公司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王丹舟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广州中康资讯股份有限公司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footnotePr>
            <w:pos w:val="pageBottom"/>
            <w:numFmt w:val="decimal"/>
            <w:numRestart w:val="continuous"/>
          </w:footnotePr>
          <w:pgSz w:w="11900" w:h="16840"/>
          <w:pgMar w:top="1441" w:right="368" w:bottom="1441" w:left="368" w:header="0" w:footer="3" w:gutter="0"/>
          <w:cols w:space="720"/>
          <w:noEndnote/>
          <w:rtlGutter w:val="0"/>
          <w:docGrid w:linePitch="360"/>
        </w:sectPr>
      </w:pPr>
    </w:p>
    <w:tbl>
      <w:tblPr>
        <w:tblOverlap w:val="never"/>
        <w:jc w:val="center"/>
        <w:tblLayout w:type="fixed"/>
      </w:tblPr>
      <w:tblGrid>
        <w:gridCol w:w="1205"/>
        <w:gridCol w:w="3077"/>
        <w:gridCol w:w="1176"/>
        <w:gridCol w:w="1195"/>
        <w:gridCol w:w="1325"/>
        <w:gridCol w:w="1603"/>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任职人员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王丹舟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广东金莱特电器股份有限公司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广东外语外贸大学法学院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广东省法学会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广州仲裁委员会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广东岭南律师事务所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广东省港澳法学研究会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雅安正兴汉白玉股份有限公司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四</w:t>
      </w:r>
      <w:bookmarkEnd w:id="540"/>
      <w:r>
        <w:rPr>
          <w:color w:val="000000"/>
          <w:spacing w:val="0"/>
          <w:w w:val="100"/>
          <w:position w:val="0"/>
        </w:rPr>
        <w:t>、董事、监事、高级管理人员报酬情况</w:t>
      </w:r>
      <w:bookmarkEnd w:id="538"/>
      <w:bookmarkEnd w:id="539"/>
      <w:bookmarkEnd w:id="54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840"/>
        <w:gridCol w:w="5746"/>
      </w:tblGrid>
      <w:tr>
        <w:trPr>
          <w:trHeight w:val="13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公司薪酬与考核委员会根据董事及高级管理人员岗位的主要范围、职责、 重要性以及其他相关企业相关岗位的薪酬水平制定薪酬计划或方案；其提 出的公司董事的薪酬计划，报经董事会同意后，提交股东大会审议通过后 实施；公司高级管理人员的薪酬分配方案须报董事会审议批准。</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依据董事及高级管理人员岗位的主要范围、职责、重要性以及其他相关企 业相关岗位的薪酬水平确定。</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根据相关决策程序审议通过后的薪酬方案进行支付，并按照税法规定代扣 代缴个人所得税。</w:t>
            </w:r>
          </w:p>
        </w:tc>
      </w:tr>
    </w:tbl>
    <w:p>
      <w:pPr>
        <w:widowControl w:val="0"/>
        <w:spacing w:after="4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从公司获得的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赵庆伦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余曜青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王丹舟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蔡镇顺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詹桂彬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李德桂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副总裁、董事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李根森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报告期 内已行 权股数 行权价 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末市价</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本期已</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解锁股</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限制性 股票的 授予价 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赵庆伦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 董事会 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w:t>
            </w:r>
          </w:p>
        </w:tc>
      </w:tr>
      <w:tr>
        <w:trPr>
          <w:trHeight w:val="369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报告期内，李德桂先生因个人原因已申请辞去公司副总裁、董事会秘书职务，魏树华先生因个人原因已申 请辞去公司副总裁职务，具体内容详见公司于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日披露在巨潮资讯网《关于公司副总裁、董事 会秘书辞职及聘任副总裁、董事会秘书的公告》；</w:t>
            </w:r>
          </w:p>
          <w:p>
            <w:pPr>
              <w:pStyle w:val="Style2"/>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报告期内，张越先生因个人原因已申请辞去公司董事、副总裁职务，具体内容详见公司于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日披露在巨潮资讯网《关于公司董事、副总裁辞职的公告》；</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截至本报告披露日，黄泽华先生因个人原因已申请辞去公司董事职务，辞职后仍继续担任公司副总裁职务， 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日披露在巨潮资讯网《关于董事辞职及补选董事的公告》；</w:t>
            </w:r>
          </w:p>
          <w:p>
            <w:pPr>
              <w:pStyle w:val="Style2"/>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截至本报告披露日，景丽女士因个人原因已申请辞去公司财务总监职务，具体内容详见公司于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日披露在巨潮资讯网《关于财务总监变更的公告》；</w:t>
            </w:r>
          </w:p>
          <w:p>
            <w:pPr>
              <w:pStyle w:val="Style2"/>
              <w:keepNext w:val="0"/>
              <w:keepLines w:val="0"/>
              <w:widowControl w:val="0"/>
              <w:shd w:val="clear" w:color="auto" w:fill="auto"/>
              <w:tabs>
                <w:tab w:pos="250"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上述人员期末持有的限制性股票，因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年公司经营业绩未达到限制性股票第四期解锁条件，公司将按 照激励计划有关规定对该部分限制性股票进行回购注销。</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五</w:t>
      </w:r>
      <w:bookmarkEnd w:id="544"/>
      <w:r>
        <w:rPr>
          <w:color w:val="000000"/>
          <w:spacing w:val="0"/>
          <w:w w:val="100"/>
          <w:position w:val="0"/>
        </w:rPr>
        <w:t>、公司员工情况</w:t>
      </w:r>
      <w:bookmarkEnd w:id="542"/>
      <w:bookmarkEnd w:id="543"/>
      <w:bookmarkEnd w:id="545"/>
    </w:p>
    <w:p>
      <w:pPr>
        <w:pStyle w:val="Style35"/>
        <w:keepNext/>
        <w:keepLines/>
        <w:widowControl w:val="0"/>
        <w:shd w:val="clear" w:color="auto" w:fill="auto"/>
        <w:bidi w:val="0"/>
        <w:spacing w:before="0" w:after="30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、员工数量、专业构成及教育程度</w:t>
      </w:r>
      <w:bookmarkEnd w:id="546"/>
      <w:bookmarkEnd w:id="547"/>
      <w:bookmarkEnd w:id="54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786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786</w:t>
            </w:r>
          </w:p>
        </w:tc>
      </w:tr>
    </w:tbl>
    <w:p>
      <w:pPr>
        <w:widowControl w:val="0"/>
        <w:spacing w:after="279" w:line="1" w:lineRule="exact"/>
      </w:pPr>
    </w:p>
    <w:p>
      <w:pPr>
        <w:pStyle w:val="Style35"/>
        <w:keepNext/>
        <w:keepLines/>
        <w:widowControl w:val="0"/>
        <w:shd w:val="clear" w:color="auto" w:fill="auto"/>
        <w:tabs>
          <w:tab w:pos="363" w:val="left"/>
        </w:tabs>
        <w:bidi w:val="0"/>
        <w:spacing w:before="0" w:after="280" w:line="317" w:lineRule="exact"/>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薪酬政策</w:t>
      </w:r>
      <w:bookmarkEnd w:id="550"/>
      <w:bookmarkEnd w:id="551"/>
      <w:bookmarkEnd w:id="553"/>
    </w:p>
    <w:p>
      <w:pPr>
        <w:pStyle w:val="Style28"/>
        <w:keepNext w:val="0"/>
        <w:keepLines w:val="0"/>
        <w:widowControl w:val="0"/>
        <w:shd w:val="clear" w:color="auto" w:fill="auto"/>
        <w:bidi w:val="0"/>
        <w:spacing w:before="0" w:after="280" w:line="336" w:lineRule="exact"/>
        <w:ind w:left="0" w:right="0" w:firstLine="440"/>
        <w:jc w:val="left"/>
      </w:pPr>
      <w:r>
        <w:rPr>
          <w:color w:val="000000"/>
          <w:spacing w:val="0"/>
          <w:w w:val="100"/>
          <w:position w:val="0"/>
          <w:sz w:val="20"/>
          <w:szCs w:val="20"/>
        </w:rPr>
        <w:t xml:space="preserve">公司实行全员聘用制，无需承担离退休职工的费用，离退休职工由社保基金统筹解决。 </w:t>
      </w: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keepLines/>
        <w:widowControl w:val="0"/>
        <w:shd w:val="clear" w:color="auto" w:fill="auto"/>
        <w:tabs>
          <w:tab w:pos="363" w:val="left"/>
        </w:tabs>
        <w:bidi w:val="0"/>
        <w:spacing w:before="0" w:after="280" w:line="317" w:lineRule="exact"/>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培训计划</w:t>
      </w:r>
      <w:bookmarkEnd w:id="554"/>
      <w:bookmarkEnd w:id="555"/>
      <w:bookmarkEnd w:id="557"/>
    </w:p>
    <w:p>
      <w:pPr>
        <w:pStyle w:val="Style38"/>
        <w:keepNext w:val="0"/>
        <w:keepLines w:val="0"/>
        <w:widowControl w:val="0"/>
        <w:shd w:val="clear" w:color="auto" w:fill="auto"/>
        <w:bidi w:val="0"/>
        <w:spacing w:before="0" w:after="0" w:line="318" w:lineRule="exact"/>
        <w:ind w:left="0" w:right="0" w:firstLine="440"/>
        <w:jc w:val="both"/>
      </w:pPr>
      <w:r>
        <w:rPr>
          <w:color w:val="000000"/>
          <w:spacing w:val="0"/>
          <w:w w:val="100"/>
          <w:position w:val="0"/>
        </w:rPr>
        <w:t>为积极配合公司</w:t>
      </w:r>
      <w:r>
        <w:rPr>
          <w:rFonts w:ascii="Times New Roman" w:eastAsia="Times New Roman" w:hAnsi="Times New Roman" w:cs="Times New Roman"/>
          <w:color w:val="000000"/>
          <w:spacing w:val="0"/>
          <w:w w:val="100"/>
          <w:position w:val="0"/>
        </w:rPr>
        <w:t>2021</w:t>
      </w:r>
      <w:r>
        <w:rPr>
          <w:color w:val="000000"/>
          <w:spacing w:val="0"/>
          <w:w w:val="100"/>
          <w:position w:val="0"/>
        </w:rPr>
        <w:t>年战略发展规划，有效完成公司本年度经营发展目标，</w:t>
      </w:r>
      <w:r>
        <w:rPr>
          <w:rFonts w:ascii="Times New Roman" w:eastAsia="Times New Roman" w:hAnsi="Times New Roman" w:cs="Times New Roman"/>
          <w:color w:val="000000"/>
          <w:spacing w:val="0"/>
          <w:w w:val="100"/>
          <w:position w:val="0"/>
        </w:rPr>
        <w:t>2021</w:t>
      </w:r>
      <w:r>
        <w:rPr>
          <w:color w:val="000000"/>
          <w:spacing w:val="0"/>
          <w:w w:val="100"/>
          <w:position w:val="0"/>
        </w:rPr>
        <w:t>年公司将继续坚持“业 务先行、产品为本、管理为重、培训护航”的发展理念，着重员工队伍建设、人才储备和人才发展等领域， 积极寻求各种培训资源和渠道，持续完善内部培训工作体系，以内部培训、外部培训、员工自我学习培训 等多种形式，提升全体员工的岗位技能和专业知识。</w:t>
      </w:r>
    </w:p>
    <w:p>
      <w:pPr>
        <w:pStyle w:val="Style38"/>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公司将根据发展需求，制定具体的培训计划，开展定期或不定期的培训工作，有针对性地开展业务培 训、高层管理人员提升培训、企业安全管理培训等，将公司的高层管理团队、中层管理者、骨干员工及后 备人才培养统一纳入到体系化的人才成长快车道中，力争持续提高员工的整体素质和企业经营管理水平， 进而提升公司在国内市场的综合竞争实力。</w:t>
      </w:r>
    </w:p>
    <w:p>
      <w:pPr>
        <w:pStyle w:val="Style35"/>
        <w:keepNext/>
        <w:keepLines/>
        <w:widowControl w:val="0"/>
        <w:shd w:val="clear" w:color="auto" w:fill="auto"/>
        <w:tabs>
          <w:tab w:pos="363" w:val="left"/>
        </w:tabs>
        <w:bidi w:val="0"/>
        <w:spacing w:before="0" w:after="280" w:line="317" w:lineRule="exact"/>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4</w:t>
      </w:r>
      <w:bookmarkEnd w:id="560"/>
      <w:r>
        <w:rPr>
          <w:color w:val="000000"/>
          <w:spacing w:val="0"/>
          <w:w w:val="100"/>
          <w:position w:val="0"/>
        </w:rPr>
        <w:t>、</w:t>
        <w:tab/>
        <w:t>劳务外包情况</w:t>
      </w:r>
      <w:bookmarkEnd w:id="558"/>
      <w:bookmarkEnd w:id="559"/>
      <w:bookmarkEnd w:id="561"/>
    </w:p>
    <w:p>
      <w:pPr>
        <w:pStyle w:val="Style28"/>
        <w:keepNext w:val="0"/>
        <w:keepLines w:val="0"/>
        <w:widowControl w:val="0"/>
        <w:shd w:val="clear" w:color="auto" w:fill="auto"/>
        <w:bidi w:val="0"/>
        <w:spacing w:before="0" w:after="280" w:line="336" w:lineRule="exact"/>
        <w:ind w:left="0" w:right="0" w:firstLine="0"/>
        <w:jc w:val="left"/>
        <w:sectPr>
          <w:footnotePr>
            <w:pos w:val="pageBottom"/>
            <w:numFmt w:val="decimal"/>
            <w:numRestart w:val="continuous"/>
          </w:footnotePr>
          <w:pgSz w:w="11900" w:h="16840"/>
          <w:pgMar w:top="1441" w:right="1059" w:bottom="1599" w:left="105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after="560" w:line="240" w:lineRule="auto"/>
        <w:ind w:left="0" w:right="0" w:firstLine="0"/>
        <w:jc w:val="center"/>
      </w:pPr>
      <w:bookmarkStart w:id="562" w:name="bookmark562"/>
      <w:bookmarkStart w:id="563" w:name="bookmark563"/>
      <w:bookmarkStart w:id="564" w:name="bookmark564"/>
      <w:r>
        <w:rPr>
          <w:color w:val="000000"/>
          <w:spacing w:val="0"/>
          <w:w w:val="100"/>
          <w:position w:val="0"/>
        </w:rPr>
        <w:t>第十节公司治理</w:t>
      </w:r>
      <w:bookmarkEnd w:id="562"/>
      <w:bookmarkEnd w:id="563"/>
      <w:bookmarkEnd w:id="564"/>
    </w:p>
    <w:p>
      <w:pPr>
        <w:pStyle w:val="Style26"/>
        <w:keepNext/>
        <w:keepLines/>
        <w:widowControl w:val="0"/>
        <w:shd w:val="clear" w:color="auto" w:fill="auto"/>
        <w:bidi w:val="0"/>
        <w:spacing w:before="0" w:after="28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一</w:t>
      </w:r>
      <w:bookmarkEnd w:id="567"/>
      <w:r>
        <w:rPr>
          <w:color w:val="000000"/>
          <w:spacing w:val="0"/>
          <w:w w:val="100"/>
          <w:position w:val="0"/>
        </w:rPr>
        <w:t>、公司治理的基本状况</w:t>
      </w:r>
      <w:bookmarkEnd w:id="565"/>
      <w:bookmarkEnd w:id="566"/>
      <w:bookmarkEnd w:id="568"/>
    </w:p>
    <w:p>
      <w:pPr>
        <w:pStyle w:val="Style3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报告期内，公司建立了规范的公司治理结构，严格按照《公司法》、《证券法》、《上市公司治理准则》、 《深圳证券交易所创业板股票上市规则》、《深圳证券交易所创业板上市公司规范运作指引》等相关法律法 规和的要求，建立与公司治理结构相适应的各项规章制度，保持公司持续、健康发展。截至报告期末，公 司治理的实际情况基本符合中国证监会《上市公司治理准则》和《深圳证券交易所创业板上市公司规范运 作指引》等法律法规和规范性文件的要求。</w:t>
      </w:r>
    </w:p>
    <w:p>
      <w:pPr>
        <w:pStyle w:val="Style38"/>
        <w:keepNext w:val="0"/>
        <w:keepLines w:val="0"/>
        <w:widowControl w:val="0"/>
        <w:shd w:val="clear" w:color="auto" w:fill="auto"/>
        <w:tabs>
          <w:tab w:pos="770" w:val="left"/>
        </w:tabs>
        <w:bidi w:val="0"/>
        <w:spacing w:before="0" w:after="0" w:line="315" w:lineRule="exact"/>
        <w:ind w:left="0" w:right="0" w:firstLine="440"/>
        <w:jc w:val="both"/>
      </w:pPr>
      <w:bookmarkStart w:id="569" w:name="bookmark569"/>
      <w:r>
        <w:rPr>
          <w:rFonts w:ascii="Times New Roman" w:eastAsia="Times New Roman" w:hAnsi="Times New Roman" w:cs="Times New Roman"/>
          <w:color w:val="000000"/>
          <w:spacing w:val="0"/>
          <w:w w:val="100"/>
          <w:position w:val="0"/>
        </w:rPr>
        <w:t>1</w:t>
      </w:r>
      <w:bookmarkEnd w:id="569"/>
      <w:r>
        <w:rPr>
          <w:color w:val="000000"/>
          <w:spacing w:val="0"/>
          <w:w w:val="100"/>
          <w:position w:val="0"/>
        </w:rPr>
        <w:t>、</w:t>
        <w:tab/>
        <w:t>关于股东与股东大会</w:t>
      </w:r>
    </w:p>
    <w:p>
      <w:pPr>
        <w:pStyle w:val="Style3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报告期内，公司严格按照《上市公司股东大会规则》、《公司章程》、《股东大会议事规则》等规定和要 求，规范地召集、召开股东大会，并采用现场投票与网络投票相结合的方式保障全体股东能够充分行使表 决权。公司股东大会的相关议程均符合法规规定，现场有见证律师出具法律意见书，确保全体股东特别是 中小股东享有平等地位，保证所有股东充分行使自己的权利。</w:t>
      </w:r>
    </w:p>
    <w:p>
      <w:pPr>
        <w:pStyle w:val="Style38"/>
        <w:keepNext w:val="0"/>
        <w:keepLines w:val="0"/>
        <w:widowControl w:val="0"/>
        <w:shd w:val="clear" w:color="auto" w:fill="auto"/>
        <w:tabs>
          <w:tab w:pos="790" w:val="left"/>
        </w:tabs>
        <w:bidi w:val="0"/>
        <w:spacing w:before="0" w:after="0" w:line="315" w:lineRule="exact"/>
        <w:ind w:left="0" w:right="0" w:firstLine="440"/>
        <w:jc w:val="both"/>
      </w:pPr>
      <w:bookmarkStart w:id="570" w:name="bookmark570"/>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关于公司与控股股东</w:t>
      </w:r>
    </w:p>
    <w:p>
      <w:pPr>
        <w:pStyle w:val="Style38"/>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公司控股股东严格规范自身行为，没有超越公司股东大会授权范围行使职权，直接或间接干预公司的 决策和经营活动情况，依法回避各项关联交易。公司在业务、人员、资产、机构、财务上独立于控股股东， 有独立完整的业务和自主经营能力，公司董事会、监事会和内部机构独立运作。</w:t>
      </w:r>
    </w:p>
    <w:p>
      <w:pPr>
        <w:pStyle w:val="Style38"/>
        <w:keepNext w:val="0"/>
        <w:keepLines w:val="0"/>
        <w:widowControl w:val="0"/>
        <w:shd w:val="clear" w:color="auto" w:fill="auto"/>
        <w:tabs>
          <w:tab w:pos="790" w:val="left"/>
        </w:tabs>
        <w:bidi w:val="0"/>
        <w:spacing w:before="0" w:after="0" w:line="315" w:lineRule="exact"/>
        <w:ind w:left="0" w:right="0" w:firstLine="440"/>
        <w:jc w:val="both"/>
      </w:pPr>
      <w:bookmarkStart w:id="571" w:name="bookmark571"/>
      <w:r>
        <w:rPr>
          <w:rFonts w:ascii="Times New Roman" w:eastAsia="Times New Roman" w:hAnsi="Times New Roman" w:cs="Times New Roman"/>
          <w:color w:val="000000"/>
          <w:spacing w:val="0"/>
          <w:w w:val="100"/>
          <w:position w:val="0"/>
        </w:rPr>
        <w:t>3</w:t>
      </w:r>
      <w:bookmarkEnd w:id="571"/>
      <w:r>
        <w:rPr>
          <w:color w:val="000000"/>
          <w:spacing w:val="0"/>
          <w:w w:val="100"/>
          <w:position w:val="0"/>
        </w:rPr>
        <w:t>、</w:t>
        <w:tab/>
        <w:t>关于董事和董事会</w:t>
      </w:r>
    </w:p>
    <w:p>
      <w:pPr>
        <w:pStyle w:val="Style3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报告期内，公司严格按照《公司章程》规定的董事选聘程序选举董事。公司董事会由九名董事组成， 其中独立董事三名，董事会的人数及人员结构均符合相关法律、法规和《公司章程》的规定。公司董事积 极参加培训，熟悉相关法律法规，并严格按照《公司章程》、《董事会议事规则》、《独立董事工作制度》等 相关规定依法履行职责，切实维护公司和股东权益。</w:t>
      </w:r>
    </w:p>
    <w:p>
      <w:pPr>
        <w:pStyle w:val="Style38"/>
        <w:keepNext w:val="0"/>
        <w:keepLines w:val="0"/>
        <w:widowControl w:val="0"/>
        <w:shd w:val="clear" w:color="auto" w:fill="auto"/>
        <w:tabs>
          <w:tab w:pos="790" w:val="left"/>
        </w:tabs>
        <w:bidi w:val="0"/>
        <w:spacing w:before="0" w:after="0" w:line="315" w:lineRule="exact"/>
        <w:ind w:left="0" w:right="0" w:firstLine="440"/>
        <w:jc w:val="both"/>
      </w:pPr>
      <w:bookmarkStart w:id="572" w:name="bookmark572"/>
      <w:r>
        <w:rPr>
          <w:rFonts w:ascii="Times New Roman" w:eastAsia="Times New Roman" w:hAnsi="Times New Roman" w:cs="Times New Roman"/>
          <w:color w:val="000000"/>
          <w:spacing w:val="0"/>
          <w:w w:val="100"/>
          <w:position w:val="0"/>
        </w:rPr>
        <w:t>4</w:t>
      </w:r>
      <w:bookmarkEnd w:id="572"/>
      <w:r>
        <w:rPr>
          <w:color w:val="000000"/>
          <w:spacing w:val="0"/>
          <w:w w:val="100"/>
          <w:position w:val="0"/>
        </w:rPr>
        <w:t>、</w:t>
        <w:tab/>
        <w:t>关于监事和监事会</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公司监事会由三名监事组成，其中职工监事一名，监事会的人数和构成符合法律、法规和《公司章程》 的规定与要求。各位监事能够按照《公司监事会议事规则》的要求开展工作，认真履行自己的职责，对公 司重大事项、关联交易、财务状况以及董事、高级管理人员履行职责的合法合规性进行监督，保证了公司 监事会的规范运作。</w:t>
      </w:r>
    </w:p>
    <w:p>
      <w:pPr>
        <w:pStyle w:val="Style38"/>
        <w:keepNext w:val="0"/>
        <w:keepLines w:val="0"/>
        <w:widowControl w:val="0"/>
        <w:shd w:val="clear" w:color="auto" w:fill="auto"/>
        <w:tabs>
          <w:tab w:pos="790" w:val="left"/>
        </w:tabs>
        <w:bidi w:val="0"/>
        <w:spacing w:before="0" w:after="0" w:line="315" w:lineRule="exact"/>
        <w:ind w:left="0" w:right="0" w:firstLine="440"/>
        <w:jc w:val="both"/>
      </w:pPr>
      <w:bookmarkStart w:id="573" w:name="bookmark573"/>
      <w:r>
        <w:rPr>
          <w:rFonts w:ascii="Times New Roman" w:eastAsia="Times New Roman" w:hAnsi="Times New Roman" w:cs="Times New Roman"/>
          <w:color w:val="000000"/>
          <w:spacing w:val="0"/>
          <w:w w:val="100"/>
          <w:position w:val="0"/>
        </w:rPr>
        <w:t>5</w:t>
      </w:r>
      <w:bookmarkEnd w:id="573"/>
      <w:r>
        <w:rPr>
          <w:color w:val="000000"/>
          <w:spacing w:val="0"/>
          <w:w w:val="100"/>
          <w:position w:val="0"/>
        </w:rPr>
        <w:t>、</w:t>
        <w:tab/>
        <w:t>关于绩效评价与激励约束机制</w:t>
      </w:r>
    </w:p>
    <w:p>
      <w:pPr>
        <w:pStyle w:val="Style3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公司已建立企业绩效评价激励体系，经营者的收入与企业经营业绩挂钩，公司董事、监事和高级管理 人员的聘任公开、透明，符合法律、法规的要求。公司董事会下设的薪酬和考核委员会负责对公司董事及 高级管理人员进行绩效考核，董事、监事和高级管理人员的津贴标准由公司董事会</w:t>
      </w:r>
      <w:r>
        <w:rPr>
          <w:rFonts w:ascii="Times New Roman" w:eastAsia="Times New Roman" w:hAnsi="Times New Roman" w:cs="Times New Roman"/>
          <w:color w:val="000000"/>
          <w:spacing w:val="0"/>
          <w:w w:val="100"/>
          <w:position w:val="0"/>
        </w:rPr>
        <w:t>/</w:t>
      </w:r>
      <w:r>
        <w:rPr>
          <w:color w:val="000000"/>
          <w:spacing w:val="0"/>
          <w:w w:val="100"/>
          <w:position w:val="0"/>
        </w:rPr>
        <w:t>股东大会批准。</w:t>
      </w:r>
    </w:p>
    <w:p>
      <w:pPr>
        <w:pStyle w:val="Style38"/>
        <w:keepNext w:val="0"/>
        <w:keepLines w:val="0"/>
        <w:widowControl w:val="0"/>
        <w:shd w:val="clear" w:color="auto" w:fill="auto"/>
        <w:tabs>
          <w:tab w:pos="790" w:val="left"/>
        </w:tabs>
        <w:bidi w:val="0"/>
        <w:spacing w:before="0" w:after="0" w:line="317" w:lineRule="exact"/>
        <w:ind w:left="0" w:right="0" w:firstLine="440"/>
        <w:jc w:val="both"/>
      </w:pPr>
      <w:bookmarkStart w:id="574" w:name="bookmark574"/>
      <w:r>
        <w:rPr>
          <w:rFonts w:ascii="Times New Roman" w:eastAsia="Times New Roman" w:hAnsi="Times New Roman" w:cs="Times New Roman"/>
          <w:color w:val="000000"/>
          <w:spacing w:val="0"/>
          <w:w w:val="100"/>
          <w:position w:val="0"/>
        </w:rPr>
        <w:t>6</w:t>
      </w:r>
      <w:bookmarkEnd w:id="574"/>
      <w:r>
        <w:rPr>
          <w:color w:val="000000"/>
          <w:spacing w:val="0"/>
          <w:w w:val="100"/>
          <w:position w:val="0"/>
        </w:rPr>
        <w:t>、</w:t>
        <w:tab/>
        <w:t>关于信息披露与透明度</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公司严格按照《中华人民共和国证券法》、《上市公司信息披露管理办法》《公司投资者关系管理制度》 等规章制度的要求，真实、准确、完整地披露有关信息，并指定董事会秘书负责信息披露工作，协调公司 与投资者的关系，回答投资者咨询，接待投资者来访，向投资者提供公司已披露的资料；并指定《证券时 报》、《中国证券报》和巨潮资讯网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为公司信息披露的指定报纸和网站，确保公司所有 股东能够以平等的机会获得信息。</w:t>
      </w:r>
    </w:p>
    <w:p>
      <w:pPr>
        <w:pStyle w:val="Style38"/>
        <w:keepNext w:val="0"/>
        <w:keepLines w:val="0"/>
        <w:widowControl w:val="0"/>
        <w:shd w:val="clear" w:color="auto" w:fill="auto"/>
        <w:tabs>
          <w:tab w:pos="790" w:val="left"/>
        </w:tabs>
        <w:bidi w:val="0"/>
        <w:spacing w:before="0" w:after="0" w:line="315" w:lineRule="exact"/>
        <w:ind w:left="0" w:right="0" w:firstLine="440"/>
        <w:jc w:val="both"/>
      </w:pPr>
      <w:bookmarkStart w:id="575" w:name="bookmark575"/>
      <w:r>
        <w:rPr>
          <w:rFonts w:ascii="Times New Roman" w:eastAsia="Times New Roman" w:hAnsi="Times New Roman" w:cs="Times New Roman"/>
          <w:color w:val="000000"/>
          <w:spacing w:val="0"/>
          <w:w w:val="100"/>
          <w:position w:val="0"/>
        </w:rPr>
        <w:t>7</w:t>
      </w:r>
      <w:bookmarkEnd w:id="575"/>
      <w:r>
        <w:rPr>
          <w:color w:val="000000"/>
          <w:spacing w:val="0"/>
          <w:w w:val="100"/>
          <w:position w:val="0"/>
        </w:rPr>
        <w:t>、</w:t>
        <w:tab/>
        <w:t>关于相关利益者</w:t>
      </w:r>
    </w:p>
    <w:p>
      <w:pPr>
        <w:pStyle w:val="Style38"/>
        <w:keepNext w:val="0"/>
        <w:keepLines w:val="0"/>
        <w:widowControl w:val="0"/>
        <w:shd w:val="clear" w:color="auto" w:fill="auto"/>
        <w:bidi w:val="0"/>
        <w:spacing w:before="0" w:after="260" w:line="315" w:lineRule="exact"/>
        <w:ind w:left="0" w:right="0" w:firstLine="440"/>
        <w:jc w:val="both"/>
      </w:pPr>
      <w:r>
        <w:rPr>
          <w:color w:val="000000"/>
          <w:spacing w:val="0"/>
          <w:w w:val="100"/>
          <w:position w:val="0"/>
        </w:rPr>
        <w:t xml:space="preserve">公司充分尊重和维护相关利益者的合法权益，积极促进与相关利益者合作，加强与各方的沟通交流， </w:t>
      </w:r>
      <w:r>
        <w:rPr>
          <w:color w:val="000000"/>
          <w:spacing w:val="0"/>
          <w:w w:val="100"/>
          <w:position w:val="0"/>
        </w:rPr>
        <w:t>实现股东、员工、社会等各方利益的协调平衡，共同推动公司持续、健康的发展。</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497" w:val="left"/>
        </w:tabs>
        <w:bidi w:val="0"/>
        <w:spacing w:before="0" w:after="26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二</w:t>
      </w:r>
      <w:bookmarkEnd w:id="578"/>
      <w:r>
        <w:rPr>
          <w:color w:val="000000"/>
          <w:spacing w:val="0"/>
          <w:w w:val="100"/>
          <w:position w:val="0"/>
        </w:rPr>
        <w:t>、</w:t>
        <w:tab/>
        <w:t>公司相对于控股股东在业务、人员、资产、机构、财务等方面的独立情况</w:t>
      </w:r>
      <w:bookmarkEnd w:id="576"/>
      <w:bookmarkEnd w:id="577"/>
      <w:bookmarkEnd w:id="579"/>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公司严格按照《公司法》、《证券法》、《深圳证券交易所创业板股票上市规则》、《深圳证券交易所创业 板上市公司规范运作指引》等有关法律、法规和《公司章程》的要求规范运作，与控股股东在业务、人员、 资产、机构、财务等方面相互独立，具有独立完整的业务及自主经营能力。</w:t>
      </w:r>
    </w:p>
    <w:p>
      <w:pPr>
        <w:pStyle w:val="Style38"/>
        <w:keepNext w:val="0"/>
        <w:keepLines w:val="0"/>
        <w:widowControl w:val="0"/>
        <w:shd w:val="clear" w:color="auto" w:fill="auto"/>
        <w:tabs>
          <w:tab w:pos="735" w:val="left"/>
        </w:tabs>
        <w:bidi w:val="0"/>
        <w:spacing w:before="0" w:after="0" w:line="316" w:lineRule="exact"/>
        <w:ind w:left="0" w:right="0" w:firstLine="440"/>
        <w:jc w:val="both"/>
      </w:pPr>
      <w:bookmarkStart w:id="580" w:name="bookmark580"/>
      <w:r>
        <w:rPr>
          <w:rFonts w:ascii="Times New Roman" w:eastAsia="Times New Roman" w:hAnsi="Times New Roman" w:cs="Times New Roman"/>
          <w:color w:val="000000"/>
          <w:spacing w:val="0"/>
          <w:w w:val="100"/>
          <w:position w:val="0"/>
        </w:rPr>
        <w:t>1</w:t>
      </w:r>
      <w:bookmarkEnd w:id="580"/>
      <w:r>
        <w:rPr>
          <w:color w:val="000000"/>
          <w:spacing w:val="0"/>
          <w:w w:val="100"/>
          <w:position w:val="0"/>
        </w:rPr>
        <w:t>、</w:t>
        <w:tab/>
        <w:t>业务独立。公司设有独立的技术中心负责公司核心技术和产品的技术创新、产品开发、产品规划、 推广策划和售后服务，由供应链部门负责原材料采购、产品的生产及供应，并建立了覆盖全国主要区域和 行业立体化营销服务网络。公司具备独立完整的产、供、销及研发系统，其产、供、销、研发均不依赖股 东单位及其他关联企业，拥有独立的生产经营场所和完整的业务体系，具有面向市场自主经营的能力。</w:t>
      </w:r>
    </w:p>
    <w:p>
      <w:pPr>
        <w:pStyle w:val="Style38"/>
        <w:keepNext w:val="0"/>
        <w:keepLines w:val="0"/>
        <w:widowControl w:val="0"/>
        <w:shd w:val="clear" w:color="auto" w:fill="auto"/>
        <w:tabs>
          <w:tab w:pos="735" w:val="left"/>
        </w:tabs>
        <w:bidi w:val="0"/>
        <w:spacing w:before="0" w:after="0" w:line="316" w:lineRule="exact"/>
        <w:ind w:left="0" w:right="0" w:firstLine="440"/>
        <w:jc w:val="both"/>
      </w:pPr>
      <w:bookmarkStart w:id="581" w:name="bookmark581"/>
      <w:r>
        <w:rPr>
          <w:rFonts w:ascii="Times New Roman" w:eastAsia="Times New Roman" w:hAnsi="Times New Roman" w:cs="Times New Roman"/>
          <w:color w:val="000000"/>
          <w:spacing w:val="0"/>
          <w:w w:val="100"/>
          <w:position w:val="0"/>
        </w:rPr>
        <w:t>2</w:t>
      </w:r>
      <w:bookmarkEnd w:id="581"/>
      <w:r>
        <w:rPr>
          <w:color w:val="000000"/>
          <w:spacing w:val="0"/>
          <w:w w:val="100"/>
          <w:position w:val="0"/>
        </w:rPr>
        <w:t>、</w:t>
        <w:tab/>
        <w:t>资产完整。公司拥有生产经营所需的各项资产，包括房屋建筑、土地使用权、办公设备、存货、 车辆以及商标权、计算机软件著作权、专利及非专利技术等。公司拥有的土地使用权为协议出让取得，在 该土地之上自建的生产经营用房屋已取得房产证书，所有知识产权均为公司及下属全资子公司自主设计申 报、自主研发、自主拥有和独占使用的。公司资产完整、产权明晰，不存在资产、资金被控股股东占用而 损害公司利益的情况。</w:t>
      </w:r>
    </w:p>
    <w:p>
      <w:pPr>
        <w:pStyle w:val="Style38"/>
        <w:keepNext w:val="0"/>
        <w:keepLines w:val="0"/>
        <w:widowControl w:val="0"/>
        <w:shd w:val="clear" w:color="auto" w:fill="auto"/>
        <w:tabs>
          <w:tab w:pos="735" w:val="left"/>
        </w:tabs>
        <w:bidi w:val="0"/>
        <w:spacing w:before="0" w:after="0" w:line="316" w:lineRule="exact"/>
        <w:ind w:left="0" w:right="0" w:firstLine="440"/>
        <w:jc w:val="both"/>
      </w:pPr>
      <w:bookmarkStart w:id="582" w:name="bookmark582"/>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人员独立。公司设立了专门的人力资源部，建立了独立的劳动人事及工资管理制度，不存在受控 股股东干预的情况。员工的收入由公司独立核算和发放，并已按照国家和地方政府及社会保障部门的有关 规定，为员工缴纳养老、医疗、工伤、失业和生育保险以及住房公积金。公司董事、监事均严格按照《公 司法》和《公司章程》的有关规定选举产生，高级管理人员均由董事会依职权聘任，不存在控股股东或其 他关联方干涉公司人事任免的情况。公司总裁、副总裁、财务负责人和董事会秘书等高级管理人员没有在 控股股东、实际控制人及其控制的其他企业中担任除董事、监事以外的其他职务，没有在控股股东、实际 控制人及其控制的其他企业领薪，财务人员没有在控股股东、实际控制人及其控制的其他企业中兼职。</w:t>
      </w:r>
    </w:p>
    <w:p>
      <w:pPr>
        <w:pStyle w:val="Style38"/>
        <w:keepNext w:val="0"/>
        <w:keepLines w:val="0"/>
        <w:widowControl w:val="0"/>
        <w:shd w:val="clear" w:color="auto" w:fill="auto"/>
        <w:tabs>
          <w:tab w:pos="735" w:val="left"/>
        </w:tabs>
        <w:bidi w:val="0"/>
        <w:spacing w:before="0" w:after="0" w:line="316" w:lineRule="exact"/>
        <w:ind w:left="0" w:right="0" w:firstLine="440"/>
        <w:jc w:val="both"/>
      </w:pPr>
      <w:bookmarkStart w:id="583" w:name="bookmark583"/>
      <w:r>
        <w:rPr>
          <w:rFonts w:ascii="Times New Roman" w:eastAsia="Times New Roman" w:hAnsi="Times New Roman" w:cs="Times New Roman"/>
          <w:color w:val="000000"/>
          <w:spacing w:val="0"/>
          <w:w w:val="100"/>
          <w:position w:val="0"/>
        </w:rPr>
        <w:t>4</w:t>
      </w:r>
      <w:bookmarkEnd w:id="583"/>
      <w:r>
        <w:rPr>
          <w:color w:val="000000"/>
          <w:spacing w:val="0"/>
          <w:w w:val="100"/>
          <w:position w:val="0"/>
        </w:rPr>
        <w:t>、</w:t>
        <w:tab/>
        <w:t>机构独立。公司具有健全的法人治理结构，设立了股东大会、董事会、监事会，聘任了总裁，并 根据生产经营需要设置了各业务中心和相关职能部门，建立完善了各部门规章制度。公司的业务经营场所 和办公机构与股东单位完全分开，不存在混合经营、合署办公的情形，公司的组织机构独立于各股东单位， 各职能部门与股东单位及其职能部门之间没有上下级关系，不存在控股股东干预公司内部机构的设置和运 作的情况。</w:t>
      </w:r>
    </w:p>
    <w:p>
      <w:pPr>
        <w:pStyle w:val="Style38"/>
        <w:keepNext w:val="0"/>
        <w:keepLines w:val="0"/>
        <w:widowControl w:val="0"/>
        <w:shd w:val="clear" w:color="auto" w:fill="auto"/>
        <w:tabs>
          <w:tab w:pos="735" w:val="left"/>
        </w:tabs>
        <w:bidi w:val="0"/>
        <w:spacing w:before="0" w:after="360" w:line="316" w:lineRule="exact"/>
        <w:ind w:left="0" w:right="0" w:firstLine="440"/>
        <w:jc w:val="both"/>
      </w:pPr>
      <w:bookmarkStart w:id="584" w:name="bookmark584"/>
      <w:r>
        <w:rPr>
          <w:rFonts w:ascii="Times New Roman" w:eastAsia="Times New Roman" w:hAnsi="Times New Roman" w:cs="Times New Roman"/>
          <w:color w:val="000000"/>
          <w:spacing w:val="0"/>
          <w:w w:val="100"/>
          <w:position w:val="0"/>
        </w:rPr>
        <w:t>5</w:t>
      </w:r>
      <w:bookmarkEnd w:id="584"/>
      <w:r>
        <w:rPr>
          <w:color w:val="000000"/>
          <w:spacing w:val="0"/>
          <w:w w:val="100"/>
          <w:position w:val="0"/>
        </w:rPr>
        <w:t>、</w:t>
        <w:tab/>
        <w:t>财务独立。公司按照《企业会计准则》等规定制定了规范的财务会计制度和对分公司、子公司的 财务管理制度，建立了独立的财务会计核算体系，设立了独立的财务会计部门，配备了独立的财务会计人 员。公司开设了独立的银行账户，不存在与股东或其他第三方共用银行账户的情况；公司办理了独立的税 务登记，依法照章纳税，与股东单位无混合纳税现象。公司不存在货币资金或其他资产被股东单位或其他 关联方占用的情形，也不存在为股东或其他关联方提供担保的情形。</w:t>
      </w:r>
    </w:p>
    <w:p>
      <w:pPr>
        <w:pStyle w:val="Style26"/>
        <w:keepNext/>
        <w:keepLines/>
        <w:widowControl w:val="0"/>
        <w:shd w:val="clear" w:color="auto" w:fill="auto"/>
        <w:tabs>
          <w:tab w:pos="497" w:val="left"/>
        </w:tabs>
        <w:bidi w:val="0"/>
        <w:spacing w:before="0" w:after="36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三</w:t>
      </w:r>
      <w:bookmarkEnd w:id="587"/>
      <w:r>
        <w:rPr>
          <w:color w:val="000000"/>
          <w:spacing w:val="0"/>
          <w:w w:val="100"/>
          <w:position w:val="0"/>
        </w:rPr>
        <w:t>、</w:t>
        <w:tab/>
        <w:t>同业竞争情况</w:t>
      </w:r>
      <w:bookmarkEnd w:id="585"/>
      <w:bookmarkEnd w:id="586"/>
      <w:bookmarkEnd w:id="58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38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四</w:t>
      </w:r>
      <w:bookmarkEnd w:id="591"/>
      <w:r>
        <w:rPr>
          <w:color w:val="000000"/>
          <w:spacing w:val="0"/>
          <w:w w:val="100"/>
          <w:position w:val="0"/>
        </w:rPr>
        <w:t>、报告期内召开的年度股东大会和临时股东大会的有关情况</w:t>
      </w:r>
      <w:bookmarkEnd w:id="589"/>
      <w:bookmarkEnd w:id="590"/>
      <w:bookmarkEnd w:id="592"/>
    </w:p>
    <w:p>
      <w:pPr>
        <w:pStyle w:val="Style35"/>
        <w:keepNext/>
        <w:keepLines/>
        <w:widowControl w:val="0"/>
        <w:shd w:val="clear" w:color="auto" w:fill="auto"/>
        <w:bidi w:val="0"/>
        <w:spacing w:before="0" w:after="32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、本报告期股东大会情况</w:t>
      </w:r>
      <w:bookmarkEnd w:id="593"/>
      <w:bookmarkEnd w:id="594"/>
      <w:bookmarkEnd w:id="596"/>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http://www.cnin</w:t>
            </w:r>
            <w:r>
              <w:fldChar w:fldCharType="end"/>
            </w:r>
            <w:r>
              <w:rPr>
                <w:rFonts w:ascii="Times New Roman" w:eastAsia="Times New Roman" w:hAnsi="Times New Roman" w:cs="Times New Roman"/>
                <w:color w:val="000000"/>
                <w:spacing w:val="0"/>
                <w:w w:val="100"/>
                <w:position w:val="0"/>
                <w:sz w:val="18"/>
                <w:szCs w:val="18"/>
              </w:rPr>
              <w:t xml:space="preserve"> 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 东大会决议的公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 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年年度股东大会》</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2020-074</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 fb.com.cn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年第二次临时股 东大会》</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2020-105</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、表决权恢复的优先股股东请求召开临时股东大会</w:t>
      </w:r>
      <w:bookmarkEnd w:id="597"/>
      <w:bookmarkEnd w:id="598"/>
      <w:bookmarkEnd w:id="60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五</w:t>
      </w:r>
      <w:bookmarkEnd w:id="603"/>
      <w:r>
        <w:rPr>
          <w:color w:val="000000"/>
          <w:spacing w:val="0"/>
          <w:w w:val="100"/>
          <w:position w:val="0"/>
        </w:rPr>
        <w:t>、报告期内独立董事履行职责的情况</w:t>
      </w:r>
      <w:bookmarkEnd w:id="601"/>
      <w:bookmarkEnd w:id="602"/>
      <w:bookmarkEnd w:id="604"/>
    </w:p>
    <w:p>
      <w:pPr>
        <w:pStyle w:val="Style35"/>
        <w:keepNext/>
        <w:keepLines/>
        <w:widowControl w:val="0"/>
        <w:shd w:val="clear" w:color="auto" w:fill="auto"/>
        <w:bidi w:val="0"/>
        <w:spacing w:before="0" w:after="32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、独立董事出席董事会及股东大会的情况</w:t>
      </w:r>
      <w:bookmarkEnd w:id="605"/>
      <w:bookmarkEnd w:id="606"/>
      <w:bookmarkEnd w:id="608"/>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是否连续两 次未亲自参 加董事会会</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出席股东大</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王丹舟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、独立董事对公司有关事项提出异议的情况</w:t>
      </w:r>
      <w:bookmarkEnd w:id="609"/>
      <w:bookmarkEnd w:id="610"/>
      <w:bookmarkEnd w:id="61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bidi w:val="0"/>
        <w:spacing w:before="0" w:after="280" w:line="315" w:lineRule="exact"/>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3</w:t>
      </w:r>
      <w:bookmarkEnd w:id="615"/>
      <w:r>
        <w:rPr>
          <w:color w:val="000000"/>
          <w:spacing w:val="0"/>
          <w:w w:val="100"/>
          <w:position w:val="0"/>
        </w:rPr>
        <w:t>、独立董事履行职责的其他说明</w:t>
      </w:r>
      <w:bookmarkEnd w:id="613"/>
      <w:bookmarkEnd w:id="614"/>
      <w:bookmarkEnd w:id="616"/>
    </w:p>
    <w:p>
      <w:pPr>
        <w:pStyle w:val="Style3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独立董事对公司有关建议是否被采纳</w:t>
      </w:r>
    </w:p>
    <w:p>
      <w:pPr>
        <w:pStyle w:val="Style3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8"/>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独立董事对公司有关建议被采纳或未被采纳的说明</w:t>
      </w:r>
    </w:p>
    <w:p>
      <w:pPr>
        <w:pStyle w:val="Style38"/>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报告期内，公司独立董事严格按照《公司法》、《证券法》、《关于在上市公司建立独立董事制度的指导 意见》、《深圳证券交易所创业板上市公司规范运作指引》、《公司章程》、《独立董事工作制度》等有关法律 法规和规范性文件的要求，本着独立、客观、审慎的原则认真履行职责，充分发挥专业知识，为公司经营 和发展提出了专业性建议，对公司内部控制建设、关联交易、对外担保等方面发表了独立、公正的书面独 立意见，维护公司及全体股东的合法权益。</w:t>
      </w:r>
    </w:p>
    <w:p>
      <w:pPr>
        <w:pStyle w:val="Style26"/>
        <w:keepNext/>
        <w:keepLines/>
        <w:widowControl w:val="0"/>
        <w:shd w:val="clear" w:color="auto" w:fill="auto"/>
        <w:tabs>
          <w:tab w:pos="517" w:val="left"/>
        </w:tabs>
        <w:bidi w:val="0"/>
        <w:spacing w:before="0" w:after="28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六</w:t>
      </w:r>
      <w:bookmarkEnd w:id="619"/>
      <w:r>
        <w:rPr>
          <w:color w:val="000000"/>
          <w:spacing w:val="0"/>
          <w:w w:val="100"/>
          <w:position w:val="0"/>
        </w:rPr>
        <w:t>、</w:t>
        <w:tab/>
        <w:t>董事会下设专门委员会在报告期内履行职责情况</w:t>
      </w:r>
      <w:bookmarkEnd w:id="617"/>
      <w:bookmarkEnd w:id="618"/>
      <w:bookmarkEnd w:id="620"/>
    </w:p>
    <w:p>
      <w:pPr>
        <w:pStyle w:val="Style3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公司董事会下设战略委员会、薪酬与考核委员会、审计委员会、提名委员会四个专门委员会。各专门 委员会本着勤勉尽责的原则，按照有关法律法规、规范性文件及公司各专门委员会工作细则的有关规定开 展相关工作。报告期内，各专门委员会履职情况如下：</w:t>
      </w:r>
    </w:p>
    <w:p>
      <w:pPr>
        <w:pStyle w:val="Style38"/>
        <w:keepNext w:val="0"/>
        <w:keepLines w:val="0"/>
        <w:widowControl w:val="0"/>
        <w:shd w:val="clear" w:color="auto" w:fill="auto"/>
        <w:tabs>
          <w:tab w:pos="1034" w:val="left"/>
        </w:tabs>
        <w:bidi w:val="0"/>
        <w:spacing w:before="0" w:after="0" w:line="315" w:lineRule="exact"/>
        <w:ind w:left="0" w:right="0" w:firstLine="440"/>
        <w:jc w:val="both"/>
      </w:pPr>
      <w:bookmarkStart w:id="621" w:name="bookmark621"/>
      <w:r>
        <w:rPr>
          <w:color w:val="000000"/>
          <w:spacing w:val="0"/>
          <w:w w:val="100"/>
          <w:position w:val="0"/>
        </w:rPr>
        <w:t>（</w:t>
      </w:r>
      <w:bookmarkEnd w:id="621"/>
      <w:r>
        <w:rPr>
          <w:color w:val="000000"/>
          <w:spacing w:val="0"/>
          <w:w w:val="100"/>
          <w:position w:val="0"/>
        </w:rPr>
        <w:t>一）</w:t>
        <w:tab/>
        <w:t>战略委员会</w:t>
      </w:r>
    </w:p>
    <w:p>
      <w:pPr>
        <w:pStyle w:val="Style38"/>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报告期内，公司战略委员会按照有关法律法规、公司章程以及《公司董事会战略委员会工作细则》的有关 规定，组织召开了 </w:t>
      </w:r>
      <w:r>
        <w:rPr>
          <w:rFonts w:ascii="Times New Roman" w:eastAsia="Times New Roman" w:hAnsi="Times New Roman" w:cs="Times New Roman"/>
          <w:color w:val="000000"/>
          <w:spacing w:val="0"/>
          <w:w w:val="100"/>
          <w:position w:val="0"/>
        </w:rPr>
        <w:t>1</w:t>
      </w:r>
      <w:r>
        <w:rPr>
          <w:color w:val="000000"/>
          <w:spacing w:val="0"/>
          <w:w w:val="100"/>
          <w:position w:val="0"/>
        </w:rPr>
        <w:t>次会议，对公司向银行申请综合授信额度并为其提供担保事项进行进行审议，并形成 决议。</w:t>
      </w:r>
    </w:p>
    <w:p>
      <w:pPr>
        <w:pStyle w:val="Style38"/>
        <w:keepNext w:val="0"/>
        <w:keepLines w:val="0"/>
        <w:widowControl w:val="0"/>
        <w:shd w:val="clear" w:color="auto" w:fill="auto"/>
        <w:tabs>
          <w:tab w:pos="1034" w:val="left"/>
        </w:tabs>
        <w:bidi w:val="0"/>
        <w:spacing w:before="0" w:after="0" w:line="315" w:lineRule="exact"/>
        <w:ind w:left="0" w:right="0" w:firstLine="440"/>
        <w:jc w:val="both"/>
      </w:pPr>
      <w:bookmarkStart w:id="622" w:name="bookmark622"/>
      <w:r>
        <w:rPr>
          <w:color w:val="000000"/>
          <w:spacing w:val="0"/>
          <w:w w:val="100"/>
          <w:position w:val="0"/>
        </w:rPr>
        <w:t>（</w:t>
      </w:r>
      <w:bookmarkEnd w:id="622"/>
      <w:r>
        <w:rPr>
          <w:color w:val="000000"/>
          <w:spacing w:val="0"/>
          <w:w w:val="100"/>
          <w:position w:val="0"/>
        </w:rPr>
        <w:t>二）</w:t>
        <w:tab/>
        <w:t>审计委员会</w:t>
      </w:r>
    </w:p>
    <w:p>
      <w:pPr>
        <w:pStyle w:val="Style3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报告期内，公司审计委员会按照有关法律法规、公司章程以及《公司董事会审计委员会工作细则》的 有关规定，开展相关工作，认真履行职责，组织召开了</w:t>
      </w:r>
      <w:r>
        <w:rPr>
          <w:rFonts w:ascii="Times New Roman" w:eastAsia="Times New Roman" w:hAnsi="Times New Roman" w:cs="Times New Roman"/>
          <w:color w:val="000000"/>
          <w:spacing w:val="0"/>
          <w:w w:val="100"/>
          <w:position w:val="0"/>
        </w:rPr>
        <w:t>4</w:t>
      </w:r>
      <w:r>
        <w:rPr>
          <w:color w:val="000000"/>
          <w:spacing w:val="0"/>
          <w:w w:val="100"/>
          <w:position w:val="0"/>
        </w:rPr>
        <w:t>次会议。对公司定期报告、内部控制自我评价报 告、募集资金使用情况报告、续聘会计师事务所等事项进行审议，并形成决议。</w:t>
      </w:r>
    </w:p>
    <w:p>
      <w:pPr>
        <w:pStyle w:val="Style38"/>
        <w:keepNext w:val="0"/>
        <w:keepLines w:val="0"/>
        <w:widowControl w:val="0"/>
        <w:shd w:val="clear" w:color="auto" w:fill="auto"/>
        <w:tabs>
          <w:tab w:pos="1034" w:val="left"/>
        </w:tabs>
        <w:bidi w:val="0"/>
        <w:spacing w:before="0" w:after="0" w:line="315" w:lineRule="exact"/>
        <w:ind w:left="0" w:right="0" w:firstLine="440"/>
        <w:jc w:val="both"/>
      </w:pPr>
      <w:bookmarkStart w:id="623" w:name="bookmark623"/>
      <w:r>
        <w:rPr>
          <w:color w:val="000000"/>
          <w:spacing w:val="0"/>
          <w:w w:val="100"/>
          <w:position w:val="0"/>
        </w:rPr>
        <w:t>（</w:t>
      </w:r>
      <w:bookmarkEnd w:id="623"/>
      <w:r>
        <w:rPr>
          <w:color w:val="000000"/>
          <w:spacing w:val="0"/>
          <w:w w:val="100"/>
          <w:position w:val="0"/>
        </w:rPr>
        <w:t>三）</w:t>
        <w:tab/>
        <w:t>提名委员会履职情况</w:t>
      </w:r>
    </w:p>
    <w:p>
      <w:pPr>
        <w:pStyle w:val="Style3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报告期内，公司提名委员会严格按照有关法律法规、公司章程以及《公司董事会提名委员会工作细则》 的有关规定，组织召开了 </w:t>
      </w:r>
      <w:r>
        <w:rPr>
          <w:rFonts w:ascii="Times New Roman" w:eastAsia="Times New Roman" w:hAnsi="Times New Roman" w:cs="Times New Roman"/>
          <w:color w:val="000000"/>
          <w:spacing w:val="0"/>
          <w:w w:val="100"/>
          <w:position w:val="0"/>
        </w:rPr>
        <w:t>1</w:t>
      </w:r>
      <w:r>
        <w:rPr>
          <w:color w:val="000000"/>
          <w:spacing w:val="0"/>
          <w:w w:val="100"/>
          <w:position w:val="0"/>
        </w:rPr>
        <w:t>次会议，对公司第四届董事会副总裁、董事会秘书候选人的任职资格进行了严 格的审查，并形成决议。</w:t>
      </w:r>
    </w:p>
    <w:p>
      <w:pPr>
        <w:pStyle w:val="Style38"/>
        <w:keepNext w:val="0"/>
        <w:keepLines w:val="0"/>
        <w:widowControl w:val="0"/>
        <w:shd w:val="clear" w:color="auto" w:fill="auto"/>
        <w:tabs>
          <w:tab w:pos="1034" w:val="left"/>
        </w:tabs>
        <w:bidi w:val="0"/>
        <w:spacing w:before="0" w:after="0" w:line="315" w:lineRule="exact"/>
        <w:ind w:left="0" w:right="0" w:firstLine="440"/>
        <w:jc w:val="both"/>
      </w:pPr>
      <w:bookmarkStart w:id="624" w:name="bookmark624"/>
      <w:r>
        <w:rPr>
          <w:color w:val="000000"/>
          <w:spacing w:val="0"/>
          <w:w w:val="100"/>
          <w:position w:val="0"/>
        </w:rPr>
        <w:t>（</w:t>
      </w:r>
      <w:bookmarkEnd w:id="624"/>
      <w:r>
        <w:rPr>
          <w:color w:val="000000"/>
          <w:spacing w:val="0"/>
          <w:w w:val="100"/>
          <w:position w:val="0"/>
        </w:rPr>
        <w:t>四）</w:t>
        <w:tab/>
        <w:t>薪酬与考核委员会履职情况</w:t>
      </w:r>
    </w:p>
    <w:p>
      <w:pPr>
        <w:pStyle w:val="Style38"/>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报告期内，公司薪酬与考核委员会严格按照有关法律法规、公司章程以及《公司董事会薪酬与考核委 员会工作细则》的有关规定，认真履行自身职责，严格监督公司高级管理人员的薪酬发放情况，未召开正 式会议。</w:t>
      </w:r>
    </w:p>
    <w:p>
      <w:pPr>
        <w:pStyle w:val="Style26"/>
        <w:keepNext/>
        <w:keepLines/>
        <w:widowControl w:val="0"/>
        <w:shd w:val="clear" w:color="auto" w:fill="auto"/>
        <w:tabs>
          <w:tab w:pos="522" w:val="left"/>
        </w:tabs>
        <w:bidi w:val="0"/>
        <w:spacing w:before="0" w:after="36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七</w:t>
      </w:r>
      <w:bookmarkEnd w:id="627"/>
      <w:r>
        <w:rPr>
          <w:color w:val="000000"/>
          <w:spacing w:val="0"/>
          <w:w w:val="100"/>
          <w:position w:val="0"/>
        </w:rPr>
        <w:t>、</w:t>
        <w:tab/>
        <w:t>监事会工作情况</w:t>
      </w:r>
      <w:bookmarkEnd w:id="625"/>
      <w:bookmarkEnd w:id="626"/>
      <w:bookmarkEnd w:id="62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17" w:val="left"/>
        </w:tabs>
        <w:bidi w:val="0"/>
        <w:spacing w:before="0" w:after="28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八</w:t>
      </w:r>
      <w:bookmarkEnd w:id="631"/>
      <w:r>
        <w:rPr>
          <w:color w:val="000000"/>
          <w:spacing w:val="0"/>
          <w:w w:val="100"/>
          <w:position w:val="0"/>
        </w:rPr>
        <w:t>、</w:t>
        <w:tab/>
        <w:t>高级管理人员的考评及激励情况</w:t>
      </w:r>
      <w:bookmarkEnd w:id="629"/>
      <w:bookmarkEnd w:id="630"/>
      <w:bookmarkEnd w:id="632"/>
    </w:p>
    <w:p>
      <w:pPr>
        <w:pStyle w:val="Style3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公司已建立了完善的企业绩效评价激励体系，公司高级管理人员薪酬由基本年薪和浮动奖金两部分构 成，其中基本年薪根据个人工作职务、岗位级别标准按月发放；浮动奖金根据公司经营业绩和个人绩效考 核情况确定。公司董事会薪酬与考核委员会依据董事、监事及高级管理人员职责履行情况及业绩，对其进 行考评，并依据考评结果提出薪酬方案，董事、监事和高级管理人员的津贴标准由公司董事会</w:t>
      </w:r>
      <w:r>
        <w:rPr>
          <w:rFonts w:ascii="Times New Roman" w:eastAsia="Times New Roman" w:hAnsi="Times New Roman" w:cs="Times New Roman"/>
          <w:color w:val="000000"/>
          <w:spacing w:val="0"/>
          <w:w w:val="100"/>
          <w:position w:val="0"/>
        </w:rPr>
        <w:t>/</w:t>
      </w:r>
      <w:r>
        <w:rPr>
          <w:color w:val="000000"/>
          <w:spacing w:val="0"/>
          <w:w w:val="100"/>
          <w:position w:val="0"/>
        </w:rPr>
        <w:t>股东大会批 准。</w:t>
      </w:r>
    </w:p>
    <w:p>
      <w:pPr>
        <w:pStyle w:val="Style26"/>
        <w:keepNext/>
        <w:keepLines/>
        <w:widowControl w:val="0"/>
        <w:shd w:val="clear" w:color="auto" w:fill="auto"/>
        <w:tabs>
          <w:tab w:pos="517" w:val="left"/>
        </w:tabs>
        <w:bidi w:val="0"/>
        <w:spacing w:before="0" w:after="28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九</w:t>
      </w:r>
      <w:bookmarkEnd w:id="635"/>
      <w:r>
        <w:rPr>
          <w:color w:val="000000"/>
          <w:spacing w:val="0"/>
          <w:w w:val="100"/>
          <w:position w:val="0"/>
        </w:rPr>
        <w:t>、</w:t>
        <w:tab/>
        <w:t>内部控制评价报告</w:t>
      </w:r>
      <w:bookmarkEnd w:id="633"/>
      <w:bookmarkEnd w:id="634"/>
      <w:bookmarkEnd w:id="636"/>
    </w:p>
    <w:p>
      <w:pPr>
        <w:pStyle w:val="Style35"/>
        <w:keepNext/>
        <w:keepLines/>
        <w:widowControl w:val="0"/>
        <w:shd w:val="clear" w:color="auto" w:fill="auto"/>
        <w:bidi w:val="0"/>
        <w:spacing w:before="0" w:after="360" w:line="312" w:lineRule="exact"/>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、报告期内发现的内部控制重大缺陷的具体情况</w:t>
      </w:r>
      <w:bookmarkEnd w:id="637"/>
      <w:bookmarkEnd w:id="638"/>
      <w:bookmarkEnd w:id="64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、内控自我评价报告</w:t>
      </w:r>
      <w:bookmarkEnd w:id="641"/>
      <w:bookmarkEnd w:id="642"/>
      <w:bookmarkEnd w:id="644"/>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88.07%</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9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定性指标以法律法规、战略与运营目标 作为衡量指标。重大缺陷认定标准：严 重违反法律、法规、规章、政府政策、 其他规范性文件等，导致中央政府或监 管机构的调查，并被限令行业退出、吊 销营业执照、强制关闭等。战略与运营 目标或关键业绩指标的执行不合理，严 重偏离且存在方向性错误，对战略与运 营目标的实现产生严重负面作用。重要 缺陷认定标准：违反法律、法规、规章、 政府政策、其他规范性文件等，导致地 方政府或监管机构的调查，并责令停业 整顿等。战略与运营目标或关键业绩指 标执行不合理，严重偏离，对战略与运 营目标的实现产生明显的消极作用。一 般缺陷认定标准：违反法律、法规、规 章政府政策、其他规范性文件等，导致 地方政府或监管机构的调查，并被处以 罚款或罚金。战略与运营目标或关键业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定性指标以法律法规、战略与运营目 标作为衡量指标。重大缺陷认定标 准：严重违反法律、法规、规章、政 府政策、其他规范性文件等，导致中 央政府或监管机构的调查，并被限令 行业退出、吊销营业执照、强制关闭 等。战略与运营目标或关键业绩指标 的执行不合理，严重偏离且存在方向 性错误，对战略与运营目标的实现产 生严重负面作用。重要缺陷认定标 准：违反法律、法规、规章、政府政 策、其他规范性文件等，导致地方政 府或监管机构的调查，并责令停业整 顿等。战略与运营目标或关键业绩指 标执行不合理，严重偏离，对战略与 运营目标的实现产生明显的消极作 用。一般缺陷认定标准：违反法律、 法规、规章政府政策、其他规范性文 件等，导致地方政府或监管机构的调</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绩的执行存在较小范围的不合理，目标 偏离，对战略与运营目标的实现影响轻 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查，并被处以罚款或罚金。战略与运 营目标或关键业绩的执行存在较小 范围的不合理，目标偏离，对战略与 运营目标的实现影响轻微。</w:t>
            </w:r>
          </w:p>
        </w:tc>
      </w:tr>
      <w:tr>
        <w:trPr>
          <w:trHeight w:val="57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定量标准以利润总额、资产总额、经营 收入作为衡量指标。重大缺陷认定标准： 错报</w:t>
            </w:r>
            <w:r>
              <w:rPr>
                <w:rFonts w:ascii="Arial" w:eastAsia="Arial" w:hAnsi="Arial" w:cs="Arial"/>
                <w:color w:val="000000"/>
                <w:spacing w:val="0"/>
                <w:w w:val="100"/>
                <w:position w:val="0"/>
                <w:sz w:val="18"/>
                <w:szCs w:val="18"/>
              </w:rPr>
              <w:t>N</w:t>
            </w:r>
            <w:r>
              <w:rPr>
                <w:color w:val="000000"/>
                <w:spacing w:val="0"/>
                <w:w w:val="100"/>
                <w:position w:val="0"/>
              </w:rPr>
              <w:t>合并会计报表利润总额的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 报</w:t>
            </w:r>
            <w:r>
              <w:rPr>
                <w:rFonts w:ascii="Arial" w:eastAsia="Arial" w:hAnsi="Arial" w:cs="Arial"/>
                <w:color w:val="000000"/>
                <w:spacing w:val="0"/>
                <w:w w:val="100"/>
                <w:position w:val="0"/>
                <w:sz w:val="18"/>
                <w:szCs w:val="18"/>
              </w:rPr>
              <w:t>N</w:t>
            </w:r>
            <w:r>
              <w:rPr>
                <w:color w:val="000000"/>
                <w:spacing w:val="0"/>
                <w:w w:val="100"/>
                <w:position w:val="0"/>
              </w:rPr>
              <w:t>合并会计报表资产总额的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 报</w:t>
            </w:r>
            <w:r>
              <w:rPr>
                <w:rFonts w:ascii="Arial" w:eastAsia="Arial" w:hAnsi="Arial" w:cs="Arial"/>
                <w:color w:val="000000"/>
                <w:spacing w:val="0"/>
                <w:w w:val="100"/>
                <w:position w:val="0"/>
                <w:sz w:val="18"/>
                <w:szCs w:val="18"/>
              </w:rPr>
              <w:t>N</w:t>
            </w:r>
            <w:r>
              <w:rPr>
                <w:color w:val="000000"/>
                <w:spacing w:val="0"/>
                <w:w w:val="100"/>
                <w:position w:val="0"/>
              </w:rPr>
              <w:t>合并会计报表主营业务收入或营业 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；重要缺陷认定标准：合并会 计报表利润总额的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错报〈合并会 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,合并会计报表资 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错报〈合并会计报表资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,合并会计报表主营业务收 入或营业收入的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错报〈合并会计 报表主营业务收入或营业收入的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一般缺陷认定标准：错报〈合并会计报 表利润总额的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,错报〈合并会计报表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,错报〈合并会计报表 主营业务收入或营业收入的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定量标准以利润总额、资产总额、经 营收入作为衡量指标。重大缺陷认定 标准：错报</w:t>
            </w:r>
            <w:r>
              <w:rPr>
                <w:rFonts w:ascii="Arial" w:eastAsia="Arial" w:hAnsi="Arial" w:cs="Arial"/>
                <w:color w:val="000000"/>
                <w:spacing w:val="0"/>
                <w:w w:val="100"/>
                <w:position w:val="0"/>
                <w:sz w:val="18"/>
                <w:szCs w:val="18"/>
              </w:rPr>
              <w:t>N</w:t>
            </w:r>
            <w:r>
              <w:rPr>
                <w:color w:val="000000"/>
                <w:spacing w:val="0"/>
                <w:w w:val="100"/>
                <w:position w:val="0"/>
              </w:rPr>
              <w:t>合并会计报表利润总 额的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,错报</w:t>
            </w:r>
            <w:r>
              <w:rPr>
                <w:rFonts w:ascii="Arial" w:eastAsia="Arial" w:hAnsi="Arial" w:cs="Arial"/>
                <w:color w:val="000000"/>
                <w:spacing w:val="0"/>
                <w:w w:val="100"/>
                <w:position w:val="0"/>
                <w:sz w:val="18"/>
                <w:szCs w:val="18"/>
              </w:rPr>
              <w:t>N</w:t>
            </w:r>
            <w:r>
              <w:rPr>
                <w:color w:val="000000"/>
                <w:spacing w:val="0"/>
                <w:w w:val="100"/>
                <w:position w:val="0"/>
              </w:rPr>
              <w:t>合并会计报表资产 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，错报</w:t>
            </w:r>
            <w:r>
              <w:rPr>
                <w:rFonts w:ascii="Arial" w:eastAsia="Arial" w:hAnsi="Arial" w:cs="Arial"/>
                <w:color w:val="000000"/>
                <w:spacing w:val="0"/>
                <w:w w:val="100"/>
                <w:position w:val="0"/>
                <w:sz w:val="18"/>
                <w:szCs w:val="18"/>
              </w:rPr>
              <w:t>N</w:t>
            </w:r>
            <w:r>
              <w:rPr>
                <w:color w:val="000000"/>
                <w:spacing w:val="0"/>
                <w:w w:val="100"/>
                <w:position w:val="0"/>
              </w:rPr>
              <w:t>合并会计报表 主营业务收入或营业收入的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 要缺陷认定标准：合并会计报表利润 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错报〈合并会计报表利 润总额的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,合并会计报表资产总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错报〈合并会计报表资产 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，合并会计报表主营业 务收入或营业收入的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错报〈合 并会计报表主营业务收入或营业收 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一般缺陷认定标准：错报 〈合并会计报表利润总额的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 报〈合并会计报表资产总额的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错报〈合并会计报表主营业务收入 或营业收入的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r>
        <w:rPr>
          <w:color w:val="000000"/>
          <w:spacing w:val="0"/>
          <w:w w:val="100"/>
          <w:position w:val="0"/>
        </w:rPr>
        <w:t>十、内部控制审计报告或鉴证报告</w:t>
      </w:r>
      <w:bookmarkEnd w:id="645"/>
      <w:bookmarkEnd w:id="646"/>
      <w:bookmarkEnd w:id="64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r>
        <w:br w:type="page"/>
      </w:r>
    </w:p>
    <w:p>
      <w:pPr>
        <w:pStyle w:val="Style17"/>
        <w:keepNext/>
        <w:keepLines/>
        <w:widowControl w:val="0"/>
        <w:shd w:val="clear" w:color="auto" w:fill="auto"/>
        <w:bidi w:val="0"/>
        <w:spacing w:before="0" w:after="440" w:line="240" w:lineRule="auto"/>
        <w:ind w:left="0" w:right="0" w:firstLine="0"/>
        <w:jc w:val="center"/>
      </w:pPr>
      <w:bookmarkStart w:id="648" w:name="bookmark648"/>
      <w:bookmarkStart w:id="649" w:name="bookmark649"/>
      <w:bookmarkStart w:id="650" w:name="bookmark650"/>
      <w:r>
        <w:rPr>
          <w:color w:val="000000"/>
          <w:spacing w:val="0"/>
          <w:w w:val="100"/>
          <w:position w:val="0"/>
        </w:rPr>
        <w:t>第十一节公司债券相关情况</w:t>
      </w:r>
      <w:bookmarkEnd w:id="648"/>
      <w:bookmarkEnd w:id="649"/>
      <w:bookmarkEnd w:id="650"/>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公司是否存在公开发行并在证券交易所上市，且在年度报告批准报出日未到期或到期未能全额兑付的公司债券 是</w:t>
      </w:r>
    </w:p>
    <w:p>
      <w:pPr>
        <w:pStyle w:val="Style26"/>
        <w:keepNext/>
        <w:keepLines/>
        <w:widowControl w:val="0"/>
        <w:shd w:val="clear" w:color="auto" w:fill="auto"/>
        <w:bidi w:val="0"/>
        <w:spacing w:before="0" w:after="32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一</w:t>
      </w:r>
      <w:bookmarkEnd w:id="653"/>
      <w:r>
        <w:rPr>
          <w:color w:val="000000"/>
          <w:spacing w:val="0"/>
          <w:w w:val="100"/>
          <w:position w:val="0"/>
        </w:rPr>
        <w:t>、公司债券基本信息</w:t>
      </w:r>
      <w:bookmarkEnd w:id="651"/>
      <w:bookmarkEnd w:id="652"/>
      <w:bookmarkEnd w:id="654"/>
    </w:p>
    <w:tbl>
      <w:tblPr>
        <w:tblOverlap w:val="never"/>
        <w:jc w:val="center"/>
        <w:tblLayout w:type="fixed"/>
      </w:tblPr>
      <w:tblGrid>
        <w:gridCol w:w="998"/>
        <w:gridCol w:w="994"/>
        <w:gridCol w:w="850"/>
        <w:gridCol w:w="994"/>
        <w:gridCol w:w="989"/>
        <w:gridCol w:w="994"/>
        <w:gridCol w:w="2126"/>
        <w:gridCol w:w="20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债券余额</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可转换公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10,027.07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第一年为</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，第二年 为</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，第三年为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第四年为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,第五年 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，第六年为</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（其中第六年利率</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补偿到期赎回利率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本次发行的可转债采用 每年付息一次的付息方 式，到期归还本金并支 付最后一年利息。计息 起始日为可转债发行首 日。</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公司债券上市或转让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的交易场所</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报告期内公司债券的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付息兑付情况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日按面值支付了 “蓝盾转债”第二年利息，每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张“蓝盾转债”（面值</w:t>
            </w: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元）利息为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元（含税），共计支付利息</w:t>
            </w:r>
            <w:r>
              <w:rPr>
                <w:rFonts w:ascii="Times New Roman" w:eastAsia="Times New Roman" w:hAnsi="Times New Roman" w:cs="Times New Roman"/>
                <w:color w:val="000000"/>
                <w:spacing w:val="0"/>
                <w:w w:val="100"/>
                <w:position w:val="0"/>
                <w:sz w:val="18"/>
                <w:szCs w:val="18"/>
              </w:rPr>
              <w:t>602,465.40</w:t>
            </w:r>
            <w:r>
              <w:rPr>
                <w:color w:val="000000"/>
                <w:spacing w:val="0"/>
                <w:w w:val="100"/>
                <w:position w:val="0"/>
              </w:rPr>
              <w:t>元。</w:t>
            </w:r>
          </w:p>
        </w:tc>
      </w:tr>
      <w:tr>
        <w:trPr>
          <w:trHeight w:val="1661"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公司债券附发行人或 投资者选择权条款、可 交换条款等特殊条款 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二</w:t>
      </w:r>
      <w:bookmarkEnd w:id="657"/>
      <w:r>
        <w:rPr>
          <w:color w:val="000000"/>
          <w:spacing w:val="0"/>
          <w:w w:val="100"/>
          <w:position w:val="0"/>
        </w:rPr>
        <w:t>、债券受托管理人和资信评级机构信息</w:t>
      </w:r>
      <w:bookmarkEnd w:id="655"/>
      <w:bookmarkEnd w:id="656"/>
      <w:bookmarkEnd w:id="658"/>
    </w:p>
    <w:tbl>
      <w:tblPr>
        <w:tblOverlap w:val="never"/>
        <w:jc w:val="center"/>
        <w:tblLayout w:type="fixed"/>
      </w:tblPr>
      <w:tblGrid>
        <w:gridCol w:w="1205"/>
        <w:gridCol w:w="1992"/>
        <w:gridCol w:w="1598"/>
        <w:gridCol w:w="1200"/>
        <w:gridCol w:w="3590"/>
      </w:tblGrid>
      <w:tr>
        <w:trPr>
          <w:trHeight w:val="40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联合资信评估股份有限公司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PICC</w:t>
            </w:r>
            <w:r>
              <w:rPr>
                <w:color w:val="000000"/>
                <w:spacing w:val="0"/>
                <w:w w:val="100"/>
                <w:position w:val="0"/>
              </w:rPr>
              <w:t>大厦</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报告期内公司聘请的债券受托管理人、 资信评级机构发生变更的，变更的原 因、履行的程序、对投资者利益的影响 等（如适用）</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三</w:t>
      </w:r>
      <w:bookmarkEnd w:id="661"/>
      <w:r>
        <w:rPr>
          <w:color w:val="000000"/>
          <w:spacing w:val="0"/>
          <w:w w:val="100"/>
          <w:position w:val="0"/>
        </w:rPr>
        <w:t>、公司债券募集资金使用情况</w:t>
      </w:r>
      <w:bookmarkEnd w:id="659"/>
      <w:bookmarkEnd w:id="660"/>
      <w:bookmarkEnd w:id="662"/>
    </w:p>
    <w:tbl>
      <w:tblPr>
        <w:tblOverlap w:val="never"/>
        <w:jc w:val="center"/>
        <w:tblLayout w:type="fixed"/>
      </w:tblPr>
      <w:tblGrid>
        <w:gridCol w:w="3197"/>
        <w:gridCol w:w="6384"/>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公司债券募集资金使用情况及履行的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本次募集资金扣除发行费用后用于“蓝盾大安全研发与产业化基地”及补充公</w:t>
            </w:r>
          </w:p>
        </w:tc>
      </w:tr>
    </w:tbl>
    <w:p>
      <w:pPr>
        <w:spacing w:lineRule="exact" w:line="1"/>
        <w:rPr>
          <w:sz w:val="2"/>
          <w:szCs w:val="2"/>
        </w:rPr>
      </w:pPr>
      <w:r>
        <w:br w:type="page"/>
      </w:r>
    </w:p>
    <w:tbl>
      <w:tblPr>
        <w:tblOverlap w:val="never"/>
        <w:jc w:val="center"/>
        <w:tblLayout w:type="fixed"/>
      </w:tblPr>
      <w:tblGrid>
        <w:gridCol w:w="3197"/>
        <w:gridCol w:w="638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司流动资金。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募集资金专项账户本报告期支出</w:t>
            </w:r>
            <w:r>
              <w:rPr>
                <w:rFonts w:ascii="Times New Roman" w:eastAsia="Times New Roman" w:hAnsi="Times New Roman" w:cs="Times New Roman"/>
                <w:color w:val="000000"/>
                <w:spacing w:val="0"/>
                <w:w w:val="100"/>
                <w:position w:val="0"/>
                <w:sz w:val="18"/>
                <w:szCs w:val="18"/>
              </w:rPr>
              <w:t>187.93</w:t>
            </w:r>
            <w:r>
              <w:rPr>
                <w:color w:val="000000"/>
                <w:spacing w:val="0"/>
                <w:w w:val="100"/>
                <w:position w:val="0"/>
              </w:rPr>
              <w:t>万元（不含银行手续费、利息收入）。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 的用途、使用计划及其他约定一致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26"/>
        <w:keepNext/>
        <w:keepLines/>
        <w:widowControl w:val="0"/>
        <w:shd w:val="clear" w:color="auto" w:fill="auto"/>
        <w:bidi w:val="0"/>
        <w:spacing w:before="0" w:after="260" w:line="240" w:lineRule="auto"/>
        <w:ind w:left="0" w:right="0" w:firstLine="0"/>
        <w:jc w:val="both"/>
      </w:pPr>
      <w:bookmarkStart w:id="663" w:name="bookmark663"/>
      <w:bookmarkStart w:id="664" w:name="bookmark664"/>
      <w:bookmarkStart w:id="665" w:name="bookmark665"/>
      <w:bookmarkStart w:id="666" w:name="bookmark666"/>
      <w:r>
        <w:rPr>
          <w:color w:val="000000"/>
          <w:spacing w:val="0"/>
          <w:w w:val="100"/>
          <w:position w:val="0"/>
        </w:rPr>
        <w:t>四</w:t>
      </w:r>
      <w:bookmarkEnd w:id="665"/>
      <w:r>
        <w:rPr>
          <w:color w:val="000000"/>
          <w:spacing w:val="0"/>
          <w:w w:val="100"/>
          <w:position w:val="0"/>
        </w:rPr>
        <w:t>、公司债券信息评级情况</w:t>
      </w:r>
      <w:bookmarkEnd w:id="663"/>
      <w:bookmarkEnd w:id="664"/>
      <w:bookmarkEnd w:id="666"/>
    </w:p>
    <w:p>
      <w:pPr>
        <w:pStyle w:val="Style38"/>
        <w:keepNext w:val="0"/>
        <w:keepLines w:val="0"/>
        <w:widowControl w:val="0"/>
        <w:shd w:val="clear" w:color="auto" w:fill="auto"/>
        <w:bidi w:val="0"/>
        <w:spacing w:before="0" w:after="360" w:line="31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日，联合信用评级有限公司出具《蓝盾信息安全技术股份有限公司可转换公司债券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年跟踪评级报告》（联合</w:t>
      </w:r>
      <w:r>
        <w:rPr>
          <w:rFonts w:ascii="Times New Roman" w:eastAsia="Times New Roman" w:hAnsi="Times New Roman" w:cs="Times New Roman"/>
          <w:color w:val="000000"/>
          <w:spacing w:val="0"/>
          <w:w w:val="100"/>
          <w:position w:val="0"/>
        </w:rPr>
        <w:t>[2020]1951</w:t>
      </w:r>
      <w:r>
        <w:rPr>
          <w:color w:val="000000"/>
          <w:spacing w:val="0"/>
          <w:w w:val="100"/>
          <w:position w:val="0"/>
        </w:rPr>
        <w:t>号），公司主体长期信用等级为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负面</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的债项信用等级为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p>
    <w:p>
      <w:pPr>
        <w:pStyle w:val="Style26"/>
        <w:keepNext/>
        <w:keepLines/>
        <w:widowControl w:val="0"/>
        <w:shd w:val="clear" w:color="auto" w:fill="auto"/>
        <w:tabs>
          <w:tab w:pos="517" w:val="left"/>
        </w:tabs>
        <w:bidi w:val="0"/>
        <w:spacing w:before="0" w:after="260" w:line="240" w:lineRule="auto"/>
        <w:ind w:left="0" w:right="0" w:firstLine="0"/>
        <w:jc w:val="both"/>
      </w:pPr>
      <w:bookmarkStart w:id="667" w:name="bookmark667"/>
      <w:bookmarkStart w:id="668" w:name="bookmark668"/>
      <w:bookmarkStart w:id="669" w:name="bookmark669"/>
      <w:bookmarkStart w:id="670" w:name="bookmark670"/>
      <w:r>
        <w:rPr>
          <w:color w:val="000000"/>
          <w:spacing w:val="0"/>
          <w:w w:val="100"/>
          <w:position w:val="0"/>
        </w:rPr>
        <w:t>五</w:t>
      </w:r>
      <w:bookmarkEnd w:id="669"/>
      <w:r>
        <w:rPr>
          <w:color w:val="000000"/>
          <w:spacing w:val="0"/>
          <w:w w:val="100"/>
          <w:position w:val="0"/>
        </w:rPr>
        <w:t>、</w:t>
        <w:tab/>
        <w:t>公司债券增信机制、偿债计划及其他偿债保障措施</w:t>
      </w:r>
      <w:bookmarkEnd w:id="667"/>
      <w:bookmarkEnd w:id="668"/>
      <w:bookmarkEnd w:id="670"/>
    </w:p>
    <w:p>
      <w:pPr>
        <w:pStyle w:val="Style38"/>
        <w:keepNext w:val="0"/>
        <w:keepLines w:val="0"/>
        <w:widowControl w:val="0"/>
        <w:shd w:val="clear" w:color="auto" w:fill="auto"/>
        <w:bidi w:val="0"/>
        <w:spacing w:before="0" w:after="360" w:line="319" w:lineRule="exact"/>
        <w:ind w:left="0" w:right="0" w:firstLine="440"/>
        <w:jc w:val="both"/>
      </w:pPr>
      <w:r>
        <w:rPr>
          <w:color w:val="000000"/>
          <w:spacing w:val="0"/>
          <w:w w:val="100"/>
          <w:position w:val="0"/>
        </w:rPr>
        <w:t>不适用。</w:t>
      </w:r>
    </w:p>
    <w:p>
      <w:pPr>
        <w:pStyle w:val="Style26"/>
        <w:keepNext/>
        <w:keepLines/>
        <w:widowControl w:val="0"/>
        <w:shd w:val="clear" w:color="auto" w:fill="auto"/>
        <w:tabs>
          <w:tab w:pos="517" w:val="left"/>
        </w:tabs>
        <w:bidi w:val="0"/>
        <w:spacing w:before="0" w:after="26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六</w:t>
      </w:r>
      <w:bookmarkEnd w:id="673"/>
      <w:r>
        <w:rPr>
          <w:color w:val="000000"/>
          <w:spacing w:val="0"/>
          <w:w w:val="100"/>
          <w:position w:val="0"/>
        </w:rPr>
        <w:t>、</w:t>
        <w:tab/>
        <w:t>报告期内债券持有人会议的召开情况</w:t>
      </w:r>
      <w:bookmarkEnd w:id="671"/>
      <w:bookmarkEnd w:id="672"/>
      <w:bookmarkEnd w:id="674"/>
    </w:p>
    <w:p>
      <w:pPr>
        <w:pStyle w:val="Style38"/>
        <w:keepNext w:val="0"/>
        <w:keepLines w:val="0"/>
        <w:widowControl w:val="0"/>
        <w:shd w:val="clear" w:color="auto" w:fill="auto"/>
        <w:bidi w:val="0"/>
        <w:spacing w:before="0" w:after="360" w:line="319" w:lineRule="exact"/>
        <w:ind w:left="0" w:right="0" w:firstLine="440"/>
        <w:jc w:val="both"/>
      </w:pPr>
      <w:r>
        <w:rPr>
          <w:color w:val="000000"/>
          <w:spacing w:val="0"/>
          <w:w w:val="100"/>
          <w:position w:val="0"/>
        </w:rPr>
        <w:t>报告期内未召开债券持有人会议。</w:t>
      </w:r>
    </w:p>
    <w:p>
      <w:pPr>
        <w:pStyle w:val="Style26"/>
        <w:keepNext/>
        <w:keepLines/>
        <w:widowControl w:val="0"/>
        <w:shd w:val="clear" w:color="auto" w:fill="auto"/>
        <w:tabs>
          <w:tab w:pos="522" w:val="left"/>
        </w:tabs>
        <w:bidi w:val="0"/>
        <w:spacing w:before="0" w:after="260" w:line="240" w:lineRule="auto"/>
        <w:ind w:left="0" w:right="0" w:firstLine="0"/>
        <w:jc w:val="both"/>
      </w:pPr>
      <w:bookmarkStart w:id="675" w:name="bookmark675"/>
      <w:bookmarkStart w:id="676" w:name="bookmark676"/>
      <w:bookmarkStart w:id="677" w:name="bookmark677"/>
      <w:bookmarkStart w:id="678" w:name="bookmark678"/>
      <w:r>
        <w:rPr>
          <w:color w:val="000000"/>
          <w:spacing w:val="0"/>
          <w:w w:val="100"/>
          <w:position w:val="0"/>
        </w:rPr>
        <w:t>七</w:t>
      </w:r>
      <w:bookmarkEnd w:id="677"/>
      <w:r>
        <w:rPr>
          <w:color w:val="000000"/>
          <w:spacing w:val="0"/>
          <w:w w:val="100"/>
          <w:position w:val="0"/>
        </w:rPr>
        <w:t>、</w:t>
        <w:tab/>
        <w:t>报告期内债券受托管理人履行职责的情况</w:t>
      </w:r>
      <w:bookmarkEnd w:id="675"/>
      <w:bookmarkEnd w:id="676"/>
      <w:bookmarkEnd w:id="678"/>
    </w:p>
    <w:p>
      <w:pPr>
        <w:pStyle w:val="Style38"/>
        <w:keepNext w:val="0"/>
        <w:keepLines w:val="0"/>
        <w:widowControl w:val="0"/>
        <w:shd w:val="clear" w:color="auto" w:fill="auto"/>
        <w:bidi w:val="0"/>
        <w:spacing w:before="0" w:after="360" w:line="319" w:lineRule="exact"/>
        <w:ind w:left="0" w:right="0" w:firstLine="440"/>
        <w:jc w:val="both"/>
      </w:pP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40" w:lineRule="auto"/>
        <w:ind w:left="0" w:right="0" w:firstLine="0"/>
        <w:jc w:val="both"/>
      </w:pPr>
      <w:bookmarkStart w:id="679" w:name="bookmark679"/>
      <w:bookmarkStart w:id="680" w:name="bookmark680"/>
      <w:bookmarkStart w:id="681" w:name="bookmark681"/>
      <w:bookmarkStart w:id="682" w:name="bookmark682"/>
      <w:r>
        <w:rPr>
          <w:color w:val="000000"/>
          <w:spacing w:val="0"/>
          <w:w w:val="100"/>
          <w:position w:val="0"/>
        </w:rPr>
        <w:t>八</w:t>
      </w:r>
      <w:bookmarkEnd w:id="681"/>
      <w:r>
        <w:rPr>
          <w:color w:val="000000"/>
          <w:spacing w:val="0"/>
          <w:w w:val="100"/>
          <w:position w:val="0"/>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年的主要会计数据和财务指标</w:t>
      </w:r>
      <w:bookmarkEnd w:id="679"/>
      <w:bookmarkEnd w:id="680"/>
      <w:bookmarkEnd w:id="68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-44.35%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-88.66%</w:t>
            </w:r>
          </w:p>
        </w:tc>
      </w:tr>
    </w:tbl>
    <w:p>
      <w:pPr>
        <w:pStyle w:val="Style38"/>
        <w:keepNext w:val="0"/>
        <w:keepLines w:val="0"/>
        <w:widowControl w:val="0"/>
        <w:shd w:val="clear" w:color="auto" w:fill="auto"/>
        <w:bidi w:val="0"/>
        <w:spacing w:before="0" w:after="360" w:line="355" w:lineRule="exact"/>
        <w:ind w:left="0" w:right="0" w:firstLine="0"/>
        <w:jc w:val="both"/>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 xml:space="preserve">的主要原因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tabs>
          <w:tab w:pos="794" w:val="left"/>
        </w:tabs>
        <w:bidi w:val="0"/>
        <w:spacing w:before="0" w:after="0" w:line="314" w:lineRule="exact"/>
        <w:ind w:left="0" w:right="0" w:firstLine="440"/>
        <w:jc w:val="both"/>
      </w:pPr>
      <w:bookmarkStart w:id="683" w:name="bookmark683"/>
      <w:r>
        <w:rPr>
          <w:rFonts w:ascii="Times New Roman" w:eastAsia="Times New Roman" w:hAnsi="Times New Roman" w:cs="Times New Roman"/>
          <w:color w:val="000000"/>
          <w:spacing w:val="0"/>
          <w:w w:val="100"/>
          <w:position w:val="0"/>
        </w:rPr>
        <w:t>1</w:t>
      </w:r>
      <w:bookmarkEnd w:id="683"/>
      <w:r>
        <w:rPr>
          <w:color w:val="000000"/>
          <w:spacing w:val="0"/>
          <w:w w:val="100"/>
          <w:position w:val="0"/>
        </w:rPr>
        <w:t>、</w:t>
        <w:tab/>
        <w:t>息税折旧摊销前利润同比变动下降较多主要系本报告期公司净利润亏损所致。</w:t>
      </w:r>
    </w:p>
    <w:p>
      <w:pPr>
        <w:pStyle w:val="Style38"/>
        <w:keepNext w:val="0"/>
        <w:keepLines w:val="0"/>
        <w:widowControl w:val="0"/>
        <w:shd w:val="clear" w:color="auto" w:fill="auto"/>
        <w:tabs>
          <w:tab w:pos="813" w:val="left"/>
        </w:tabs>
        <w:bidi w:val="0"/>
        <w:spacing w:before="0" w:after="0" w:line="314" w:lineRule="exact"/>
        <w:ind w:left="0" w:right="0" w:firstLine="440"/>
        <w:jc w:val="left"/>
      </w:pPr>
      <w:bookmarkStart w:id="684" w:name="bookmark684"/>
      <w:r>
        <w:rPr>
          <w:rFonts w:ascii="Times New Roman" w:eastAsia="Times New Roman" w:hAnsi="Times New Roman" w:cs="Times New Roman"/>
          <w:color w:val="000000"/>
          <w:spacing w:val="0"/>
          <w:w w:val="100"/>
          <w:position w:val="0"/>
        </w:rPr>
        <w:t>2</w:t>
      </w:r>
      <w:bookmarkEnd w:id="684"/>
      <w:r>
        <w:rPr>
          <w:color w:val="000000"/>
          <w:spacing w:val="0"/>
          <w:w w:val="100"/>
          <w:position w:val="0"/>
        </w:rPr>
        <w:t>、</w:t>
        <w:tab/>
        <w:t>现金利息保障倍数同比变动上升主要系公司报告期经营活动产生的现金流量净额增加所致。</w:t>
      </w:r>
    </w:p>
    <w:p>
      <w:pPr>
        <w:pStyle w:val="Style38"/>
        <w:keepNext w:val="0"/>
        <w:keepLines w:val="0"/>
        <w:widowControl w:val="0"/>
        <w:shd w:val="clear" w:color="auto" w:fill="auto"/>
        <w:tabs>
          <w:tab w:pos="813" w:val="left"/>
        </w:tabs>
        <w:bidi w:val="0"/>
        <w:spacing w:before="0" w:after="360" w:line="314" w:lineRule="exact"/>
        <w:ind w:left="0" w:right="0" w:firstLine="440"/>
        <w:jc w:val="left"/>
      </w:pPr>
      <w:bookmarkStart w:id="685" w:name="bookmark685"/>
      <w:r>
        <w:rPr>
          <w:rFonts w:ascii="Times New Roman" w:eastAsia="Times New Roman" w:hAnsi="Times New Roman" w:cs="Times New Roman"/>
          <w:color w:val="000000"/>
          <w:spacing w:val="0"/>
          <w:w w:val="100"/>
          <w:position w:val="0"/>
        </w:rPr>
        <w:t>3</w:t>
      </w:r>
      <w:bookmarkEnd w:id="685"/>
      <w:r>
        <w:rPr>
          <w:color w:val="000000"/>
          <w:spacing w:val="0"/>
          <w:w w:val="100"/>
          <w:position w:val="0"/>
        </w:rPr>
        <w:t>、</w:t>
        <w:tab/>
        <w:t>贷款偿还率、利息偿付率同比变动下降主要系公司报告期存在银行借款逾期的情况所致。</w:t>
      </w:r>
    </w:p>
    <w:p>
      <w:pPr>
        <w:pStyle w:val="Style26"/>
        <w:keepNext/>
        <w:keepLines/>
        <w:widowControl w:val="0"/>
        <w:shd w:val="clear" w:color="auto" w:fill="auto"/>
        <w:bidi w:val="0"/>
        <w:spacing w:before="0" w:after="28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九</w:t>
      </w:r>
      <w:bookmarkEnd w:id="688"/>
      <w:r>
        <w:rPr>
          <w:color w:val="000000"/>
          <w:spacing w:val="0"/>
          <w:w w:val="100"/>
          <w:position w:val="0"/>
        </w:rPr>
        <w:t>、报告期内对其他债券和债务融资工具的付息兑付情况</w:t>
      </w:r>
      <w:bookmarkEnd w:id="686"/>
      <w:bookmarkEnd w:id="687"/>
      <w:bookmarkEnd w:id="689"/>
    </w:p>
    <w:p>
      <w:pPr>
        <w:pStyle w:val="Style38"/>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690" w:name="bookmark690"/>
      <w:bookmarkStart w:id="691" w:name="bookmark691"/>
      <w:bookmarkStart w:id="692" w:name="bookmark692"/>
      <w:r>
        <w:rPr>
          <w:color w:val="000000"/>
          <w:spacing w:val="0"/>
          <w:w w:val="100"/>
          <w:position w:val="0"/>
        </w:rPr>
        <w:t>十、报告期内获得的银行授信情况、使用情况以及偿还银行贷款的情况</w:t>
      </w:r>
      <w:bookmarkEnd w:id="690"/>
      <w:bookmarkEnd w:id="691"/>
      <w:bookmarkEnd w:id="692"/>
    </w:p>
    <w:p>
      <w:pPr>
        <w:pStyle w:val="Style38"/>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报告期内，公司及控股子公司严格按照规定使用授信额度。报告期内，公司及控股子公司存在部分债 务逾期的情况，公司正积极与债权人沟通商议有效解决途径，并努力筹措资金尽快偿还到期债务。目前， 公司已与部分债权人达成债务和解，公司债务风险得到一定程度化解。详情请查阅公司披露于巨潮资讯网 的《关于公司债务逾期事项的进展公告》等相关公告。</w:t>
      </w:r>
    </w:p>
    <w:p>
      <w:pPr>
        <w:pStyle w:val="Style26"/>
        <w:keepNext/>
        <w:keepLines/>
        <w:widowControl w:val="0"/>
        <w:shd w:val="clear" w:color="auto" w:fill="auto"/>
        <w:bidi w:val="0"/>
        <w:spacing w:before="0" w:after="280" w:line="240" w:lineRule="auto"/>
        <w:ind w:left="0" w:right="0" w:firstLine="0"/>
        <w:jc w:val="left"/>
      </w:pPr>
      <w:bookmarkStart w:id="693" w:name="bookmark693"/>
      <w:bookmarkStart w:id="694" w:name="bookmark694"/>
      <w:bookmarkStart w:id="695" w:name="bookmark695"/>
      <w:r>
        <w:rPr>
          <w:color w:val="000000"/>
          <w:spacing w:val="0"/>
          <w:w w:val="100"/>
          <w:position w:val="0"/>
        </w:rPr>
        <w:t>十一、报告期内执行公司债券募集说明书相关约定或承诺的情况</w:t>
      </w:r>
      <w:bookmarkEnd w:id="693"/>
      <w:bookmarkEnd w:id="694"/>
      <w:bookmarkEnd w:id="695"/>
    </w:p>
    <w:p>
      <w:pPr>
        <w:pStyle w:val="Style38"/>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报告期内，公司在公司治理、内部控制等方面不存在违反《公司法》、《公司章程》规定的情况，公司 严格执行</w:t>
      </w:r>
      <w:r>
        <w:rPr>
          <w:rFonts w:ascii="Times New Roman" w:eastAsia="Times New Roman" w:hAnsi="Times New Roman" w:cs="Times New Roman"/>
          <w:color w:val="000000"/>
          <w:spacing w:val="0"/>
          <w:w w:val="100"/>
          <w:position w:val="0"/>
        </w:rPr>
        <w:t>“</w:t>
      </w:r>
      <w:r>
        <w:rPr>
          <w:color w:val="000000"/>
          <w:spacing w:val="0"/>
          <w:w w:val="100"/>
          <w:position w:val="0"/>
        </w:rPr>
        <w:t>蓝盾转债</w:t>
      </w:r>
      <w:r>
        <w:rPr>
          <w:rFonts w:ascii="Times New Roman" w:eastAsia="Times New Roman" w:hAnsi="Times New Roman" w:cs="Times New Roman"/>
          <w:color w:val="000000"/>
          <w:spacing w:val="0"/>
          <w:w w:val="100"/>
          <w:position w:val="0"/>
        </w:rPr>
        <w:t>''</w:t>
      </w:r>
      <w:r>
        <w:rPr>
          <w:color w:val="000000"/>
          <w:spacing w:val="0"/>
          <w:w w:val="100"/>
          <w:position w:val="0"/>
        </w:rPr>
        <w:t>募集说明书中的相关约定和承诺，不存在违反上述约定和承诺的行为。</w:t>
      </w:r>
    </w:p>
    <w:p>
      <w:pPr>
        <w:pStyle w:val="Style26"/>
        <w:keepNext/>
        <w:keepLines/>
        <w:widowControl w:val="0"/>
        <w:shd w:val="clear" w:color="auto" w:fill="auto"/>
        <w:bidi w:val="0"/>
        <w:spacing w:before="0" w:after="280" w:line="240" w:lineRule="auto"/>
        <w:ind w:left="0" w:right="0" w:firstLine="0"/>
        <w:jc w:val="left"/>
      </w:pPr>
      <w:bookmarkStart w:id="696" w:name="bookmark696"/>
      <w:bookmarkStart w:id="697" w:name="bookmark697"/>
      <w:bookmarkStart w:id="698" w:name="bookmark698"/>
      <w:r>
        <w:rPr>
          <w:color w:val="000000"/>
          <w:spacing w:val="0"/>
          <w:w w:val="100"/>
          <w:position w:val="0"/>
        </w:rPr>
        <w:t>十二、报告期内发生的重大事项</w:t>
      </w:r>
      <w:bookmarkEnd w:id="696"/>
      <w:bookmarkEnd w:id="697"/>
      <w:bookmarkEnd w:id="698"/>
    </w:p>
    <w:p>
      <w:pPr>
        <w:pStyle w:val="Style38"/>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报告期内，受资金流动性不足等因素影响，公司陆续出现债务逾期、涉及诉讼及部分子公司被列入失 信被执行人等事项，日常生产经营受到较大不利影响，偿债能力及盈利能力受到削弱；同时，由于涉诉事 项被申请诉前财产保全，公司部分银行账户、资产已被法院冻结</w:t>
      </w:r>
      <w:r>
        <w:rPr>
          <w:rFonts w:ascii="Times New Roman" w:eastAsia="Times New Roman" w:hAnsi="Times New Roman" w:cs="Times New Roman"/>
          <w:color w:val="000000"/>
          <w:spacing w:val="0"/>
          <w:w w:val="100"/>
          <w:position w:val="0"/>
        </w:rPr>
        <w:t>/</w:t>
      </w:r>
      <w:r>
        <w:rPr>
          <w:color w:val="000000"/>
          <w:spacing w:val="0"/>
          <w:w w:val="100"/>
          <w:position w:val="0"/>
        </w:rPr>
        <w:t>查封。详情请查阅公司披露于巨潮资讯网 的《关于深圳证券交易所关注函回复的公告》（公告编号：</w:t>
      </w:r>
      <w:r>
        <w:rPr>
          <w:rFonts w:ascii="Times New Roman" w:eastAsia="Times New Roman" w:hAnsi="Times New Roman" w:cs="Times New Roman"/>
          <w:color w:val="000000"/>
          <w:spacing w:val="0"/>
          <w:w w:val="100"/>
          <w:position w:val="0"/>
        </w:rPr>
        <w:t>2020-123</w:t>
      </w:r>
      <w:r>
        <w:rPr>
          <w:color w:val="000000"/>
          <w:spacing w:val="0"/>
          <w:w w:val="100"/>
          <w:position w:val="0"/>
        </w:rPr>
        <w:t>）</w:t>
      </w:r>
      <w:r>
        <w:rPr>
          <w:color w:val="000000"/>
          <w:spacing w:val="0"/>
          <w:w w:val="100"/>
          <w:position w:val="0"/>
        </w:rPr>
        <w:t>等相关公告。</w:t>
      </w:r>
    </w:p>
    <w:p>
      <w:pPr>
        <w:pStyle w:val="Style26"/>
        <w:keepNext/>
        <w:keepLines/>
        <w:widowControl w:val="0"/>
        <w:shd w:val="clear" w:color="auto" w:fill="auto"/>
        <w:bidi w:val="0"/>
        <w:spacing w:before="0" w:after="360" w:line="240" w:lineRule="auto"/>
        <w:ind w:left="0" w:right="0" w:firstLine="0"/>
        <w:jc w:val="left"/>
      </w:pPr>
      <w:bookmarkStart w:id="699" w:name="bookmark699"/>
      <w:bookmarkStart w:id="700" w:name="bookmark700"/>
      <w:bookmarkStart w:id="701" w:name="bookmark701"/>
      <w:r>
        <w:rPr>
          <w:color w:val="000000"/>
          <w:spacing w:val="0"/>
          <w:w w:val="100"/>
          <w:position w:val="0"/>
        </w:rPr>
        <w:t>十三、公司债券是否存在保证人</w:t>
      </w:r>
      <w:bookmarkEnd w:id="699"/>
      <w:bookmarkEnd w:id="700"/>
      <w:bookmarkEnd w:id="701"/>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12" w:right="913" w:bottom="1446" w:left="99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17"/>
        <w:keepNext/>
        <w:keepLines/>
        <w:widowControl w:val="0"/>
        <w:shd w:val="clear" w:color="auto" w:fill="auto"/>
        <w:bidi w:val="0"/>
        <w:spacing w:before="660" w:after="540" w:line="240" w:lineRule="auto"/>
        <w:ind w:left="0" w:right="0" w:firstLine="0"/>
        <w:jc w:val="center"/>
      </w:pPr>
      <w:bookmarkStart w:id="702" w:name="bookmark702"/>
      <w:bookmarkStart w:id="703" w:name="bookmark703"/>
      <w:bookmarkStart w:id="704" w:name="bookmark704"/>
      <w:r>
        <w:rPr>
          <w:color w:val="000000"/>
          <w:spacing w:val="0"/>
          <w:w w:val="100"/>
          <w:position w:val="0"/>
        </w:rPr>
        <w:t>第十二节财务报告</w:t>
      </w:r>
      <w:bookmarkEnd w:id="702"/>
      <w:bookmarkEnd w:id="703"/>
      <w:bookmarkEnd w:id="704"/>
    </w:p>
    <w:p>
      <w:pPr>
        <w:pStyle w:val="Style26"/>
        <w:keepNext/>
        <w:keepLines/>
        <w:widowControl w:val="0"/>
        <w:shd w:val="clear" w:color="auto" w:fill="auto"/>
        <w:bidi w:val="0"/>
        <w:spacing w:before="0" w:after="320" w:line="240" w:lineRule="auto"/>
        <w:ind w:left="0" w:right="0" w:firstLine="240"/>
        <w:jc w:val="left"/>
      </w:pPr>
      <w:bookmarkStart w:id="705" w:name="bookmark705"/>
      <w:bookmarkStart w:id="706" w:name="bookmark706"/>
      <w:bookmarkStart w:id="707" w:name="bookmark707"/>
      <w:r>
        <w:rPr>
          <w:color w:val="000000"/>
          <w:spacing w:val="0"/>
          <w:w w:val="100"/>
          <w:position w:val="0"/>
        </w:rPr>
        <w:t>、审计报告</w:t>
      </w:r>
      <w:bookmarkEnd w:id="705"/>
      <w:bookmarkEnd w:id="706"/>
      <w:bookmarkEnd w:id="707"/>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[2021]008867</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张晓辉、熊玲</w:t>
            </w:r>
          </w:p>
        </w:tc>
      </w:tr>
    </w:tbl>
    <w:p>
      <w:pPr>
        <w:pStyle w:val="Style32"/>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26"/>
        <w:keepNext/>
        <w:keepLines/>
        <w:widowControl w:val="0"/>
        <w:shd w:val="clear" w:color="auto" w:fill="auto"/>
        <w:tabs>
          <w:tab w:pos="918" w:val="left"/>
        </w:tabs>
        <w:bidi w:val="0"/>
        <w:spacing w:before="0" w:after="0" w:line="415" w:lineRule="exact"/>
        <w:ind w:left="0" w:right="0" w:firstLine="440"/>
        <w:jc w:val="both"/>
        <w:rPr>
          <w:sz w:val="20"/>
          <w:szCs w:val="20"/>
        </w:rPr>
      </w:pPr>
      <w:bookmarkStart w:id="708" w:name="bookmark708"/>
      <w:bookmarkStart w:id="709" w:name="bookmark709"/>
      <w:bookmarkStart w:id="710" w:name="bookmark710"/>
      <w:bookmarkStart w:id="711" w:name="bookmark711"/>
      <w:r>
        <w:rPr>
          <w:color w:val="000000"/>
          <w:spacing w:val="0"/>
          <w:w w:val="100"/>
          <w:position w:val="0"/>
          <w:sz w:val="20"/>
          <w:szCs w:val="20"/>
        </w:rPr>
        <w:t>一</w:t>
      </w:r>
      <w:bookmarkEnd w:id="710"/>
      <w:r>
        <w:rPr>
          <w:color w:val="000000"/>
          <w:spacing w:val="0"/>
          <w:w w:val="100"/>
          <w:position w:val="0"/>
          <w:sz w:val="20"/>
          <w:szCs w:val="20"/>
        </w:rPr>
        <w:t>、</w:t>
        <w:tab/>
        <w:t>保留意见</w:t>
      </w:r>
      <w:bookmarkEnd w:id="708"/>
      <w:bookmarkEnd w:id="709"/>
      <w:bookmarkEnd w:id="711"/>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我们审计了蓝盾信息安全技术股份有限公司（以下简称蓝盾股份）财务报表，包括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 司股东权益变动表以及相关财务报表附注。</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我们认为，除</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形成保留意见的基础''部分所述事项产生的影响外，后附的财务报表在所有重大方面按 照企业会计准则的规定编制，公允反映了蓝盾股份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 果和现金流量。</w:t>
      </w:r>
    </w:p>
    <w:p>
      <w:pPr>
        <w:pStyle w:val="Style26"/>
        <w:keepNext/>
        <w:keepLines/>
        <w:widowControl w:val="0"/>
        <w:shd w:val="clear" w:color="auto" w:fill="auto"/>
        <w:tabs>
          <w:tab w:pos="918" w:val="left"/>
        </w:tabs>
        <w:bidi w:val="0"/>
        <w:spacing w:before="0" w:after="0" w:line="415" w:lineRule="exact"/>
        <w:ind w:left="0" w:right="0" w:firstLine="440"/>
        <w:jc w:val="both"/>
        <w:rPr>
          <w:sz w:val="20"/>
          <w:szCs w:val="20"/>
        </w:rPr>
      </w:pPr>
      <w:bookmarkStart w:id="712" w:name="bookmark712"/>
      <w:bookmarkStart w:id="713" w:name="bookmark713"/>
      <w:bookmarkStart w:id="714" w:name="bookmark714"/>
      <w:bookmarkStart w:id="715" w:name="bookmark715"/>
      <w:r>
        <w:rPr>
          <w:color w:val="000000"/>
          <w:spacing w:val="0"/>
          <w:w w:val="100"/>
          <w:position w:val="0"/>
          <w:sz w:val="20"/>
          <w:szCs w:val="20"/>
        </w:rPr>
        <w:t>二</w:t>
      </w:r>
      <w:bookmarkEnd w:id="714"/>
      <w:r>
        <w:rPr>
          <w:color w:val="000000"/>
          <w:spacing w:val="0"/>
          <w:w w:val="100"/>
          <w:position w:val="0"/>
          <w:sz w:val="20"/>
          <w:szCs w:val="20"/>
        </w:rPr>
        <w:t>、</w:t>
        <w:tab/>
        <w:t>形成保留意见的基础</w:t>
      </w:r>
      <w:bookmarkEnd w:id="712"/>
      <w:bookmarkEnd w:id="713"/>
      <w:bookmarkEnd w:id="715"/>
    </w:p>
    <w:p>
      <w:pPr>
        <w:pStyle w:val="Style38"/>
        <w:keepNext w:val="0"/>
        <w:keepLines w:val="0"/>
        <w:widowControl w:val="0"/>
        <w:numPr>
          <w:ilvl w:val="0"/>
          <w:numId w:val="13"/>
        </w:numPr>
        <w:shd w:val="clear" w:color="auto" w:fill="auto"/>
        <w:tabs>
          <w:tab w:pos="752" w:val="left"/>
        </w:tabs>
        <w:bidi w:val="0"/>
        <w:spacing w:before="0" w:after="0" w:line="415" w:lineRule="exact"/>
        <w:ind w:left="0" w:right="0" w:firstLine="440"/>
        <w:jc w:val="both"/>
      </w:pPr>
      <w:bookmarkStart w:id="716" w:name="bookmark716"/>
      <w:bookmarkEnd w:id="716"/>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日，子公司中经汇通电子商务有限公司（以下简称中经电商）部分预付款项长 期挂账，涉及金额</w:t>
      </w:r>
      <w:r>
        <w:rPr>
          <w:rFonts w:ascii="Times New Roman" w:eastAsia="Times New Roman" w:hAnsi="Times New Roman" w:cs="Times New Roman"/>
          <w:color w:val="000000"/>
          <w:spacing w:val="0"/>
          <w:w w:val="100"/>
          <w:position w:val="0"/>
        </w:rPr>
        <w:t>71,181.64</w:t>
      </w:r>
      <w:r>
        <w:rPr>
          <w:color w:val="000000"/>
          <w:spacing w:val="0"/>
          <w:w w:val="100"/>
          <w:position w:val="0"/>
        </w:rPr>
        <w:t>万元；其他非流动资产中预付长期资产款</w:t>
      </w:r>
      <w:r>
        <w:rPr>
          <w:rFonts w:ascii="Times New Roman" w:eastAsia="Times New Roman" w:hAnsi="Times New Roman" w:cs="Times New Roman"/>
          <w:color w:val="000000"/>
          <w:spacing w:val="0"/>
          <w:w w:val="100"/>
          <w:position w:val="0"/>
        </w:rPr>
        <w:t>37,394.74</w:t>
      </w:r>
      <w:r>
        <w:rPr>
          <w:color w:val="000000"/>
          <w:spacing w:val="0"/>
          <w:w w:val="100"/>
          <w:position w:val="0"/>
        </w:rPr>
        <w:t>万元，主要用于工程建设、 购买长期资产。上述预付款长期未结转也未收回，我们无法取得充分、适当的证据以判断上述资金的可回 收性。</w:t>
      </w:r>
    </w:p>
    <w:p>
      <w:pPr>
        <w:pStyle w:val="Style38"/>
        <w:keepNext w:val="0"/>
        <w:keepLines w:val="0"/>
        <w:widowControl w:val="0"/>
        <w:numPr>
          <w:ilvl w:val="0"/>
          <w:numId w:val="13"/>
        </w:numPr>
        <w:shd w:val="clear" w:color="auto" w:fill="auto"/>
        <w:bidi w:val="0"/>
        <w:spacing w:before="0" w:after="0" w:line="415" w:lineRule="exact"/>
        <w:ind w:left="0" w:right="0" w:firstLine="440"/>
        <w:jc w:val="both"/>
      </w:pPr>
      <w:bookmarkStart w:id="717" w:name="bookmark717"/>
      <w:bookmarkEnd w:id="717"/>
      <w:r>
        <w:rPr>
          <w:rFonts w:ascii="Times New Roman" w:eastAsia="Times New Roman" w:hAnsi="Times New Roman" w:cs="Times New Roman"/>
          <w:color w:val="000000"/>
          <w:spacing w:val="0"/>
          <w:w w:val="100"/>
          <w:position w:val="0"/>
        </w:rPr>
        <w:t xml:space="preserve"> </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日，中经电商保险客户应收账款余额合计</w:t>
      </w:r>
      <w:r>
        <w:rPr>
          <w:rFonts w:ascii="Times New Roman" w:eastAsia="Times New Roman" w:hAnsi="Times New Roman" w:cs="Times New Roman"/>
          <w:color w:val="000000"/>
          <w:spacing w:val="0"/>
          <w:w w:val="100"/>
          <w:position w:val="0"/>
        </w:rPr>
        <w:t>51,923.20</w:t>
      </w:r>
      <w:r>
        <w:rPr>
          <w:color w:val="000000"/>
          <w:spacing w:val="0"/>
          <w:w w:val="100"/>
          <w:position w:val="0"/>
        </w:rPr>
        <w:t>万元，子公司深圳市蓝盾 满泰科技发展有限公司（以下简称深圳满泰）账龄一年以上发函未回函的应收账款余额</w:t>
      </w:r>
      <w:r>
        <w:rPr>
          <w:rFonts w:ascii="Times New Roman" w:eastAsia="Times New Roman" w:hAnsi="Times New Roman" w:cs="Times New Roman"/>
          <w:color w:val="000000"/>
          <w:spacing w:val="0"/>
          <w:w w:val="100"/>
          <w:position w:val="0"/>
        </w:rPr>
        <w:t>10,502.57</w:t>
      </w:r>
      <w:r>
        <w:rPr>
          <w:color w:val="000000"/>
          <w:spacing w:val="0"/>
          <w:w w:val="100"/>
          <w:position w:val="0"/>
        </w:rPr>
        <w:t>万元， 对于上述应收账款我们未能获取充分、适当的审计证据，无法判断其可回收性。</w:t>
      </w:r>
    </w:p>
    <w:p>
      <w:pPr>
        <w:pStyle w:val="Style38"/>
        <w:keepNext w:val="0"/>
        <w:keepLines w:val="0"/>
        <w:widowControl w:val="0"/>
        <w:numPr>
          <w:ilvl w:val="0"/>
          <w:numId w:val="13"/>
        </w:numPr>
        <w:shd w:val="clear" w:color="auto" w:fill="auto"/>
        <w:tabs>
          <w:tab w:pos="774" w:val="left"/>
        </w:tabs>
        <w:bidi w:val="0"/>
        <w:spacing w:before="0" w:after="0" w:line="415" w:lineRule="exact"/>
        <w:ind w:left="0" w:right="0" w:firstLine="440"/>
        <w:jc w:val="both"/>
      </w:pPr>
      <w:bookmarkStart w:id="718" w:name="bookmark718"/>
      <w:bookmarkEnd w:id="718"/>
      <w:r>
        <w:rPr>
          <w:color w:val="000000"/>
          <w:spacing w:val="0"/>
          <w:w w:val="100"/>
          <w:position w:val="0"/>
        </w:rPr>
        <w:t>异常资金往来</w:t>
      </w:r>
    </w:p>
    <w:p>
      <w:pPr>
        <w:pStyle w:val="Style38"/>
        <w:keepNext w:val="0"/>
        <w:keepLines w:val="0"/>
        <w:widowControl w:val="0"/>
        <w:shd w:val="clear" w:color="auto" w:fill="auto"/>
        <w:tabs>
          <w:tab w:pos="817" w:val="left"/>
        </w:tabs>
        <w:bidi w:val="0"/>
        <w:spacing w:before="0" w:after="0" w:line="415" w:lineRule="exact"/>
        <w:ind w:left="0" w:right="0" w:firstLine="440"/>
        <w:jc w:val="both"/>
      </w:pPr>
      <w:bookmarkStart w:id="719" w:name="bookmark719"/>
      <w:r>
        <w:rPr>
          <w:rFonts w:ascii="Times New Roman" w:eastAsia="Times New Roman" w:hAnsi="Times New Roman" w:cs="Times New Roman"/>
          <w:color w:val="000000"/>
          <w:spacing w:val="0"/>
          <w:w w:val="100"/>
          <w:position w:val="0"/>
        </w:rPr>
        <w:t>1</w:t>
      </w:r>
      <w:bookmarkEnd w:id="719"/>
      <w:r>
        <w:rPr>
          <w:color w:val="000000"/>
          <w:spacing w:val="0"/>
          <w:w w:val="100"/>
          <w:position w:val="0"/>
        </w:rPr>
        <w:t>）</w:t>
        <w:tab/>
        <w:t>中经电商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月委托广饶科力达石化科技有限公司（以下简称广饶）代收客户款项</w:t>
      </w:r>
      <w:r>
        <w:rPr>
          <w:rFonts w:ascii="Times New Roman" w:eastAsia="Times New Roman" w:hAnsi="Times New Roman" w:cs="Times New Roman"/>
          <w:color w:val="000000"/>
          <w:spacing w:val="0"/>
          <w:w w:val="100"/>
          <w:position w:val="0"/>
        </w:rPr>
        <w:t xml:space="preserve">19,933.89 </w:t>
      </w:r>
      <w:r>
        <w:rPr>
          <w:color w:val="000000"/>
          <w:spacing w:val="0"/>
          <w:w w:val="100"/>
          <w:position w:val="0"/>
        </w:rPr>
        <w:t>万元，其中</w:t>
      </w:r>
      <w:r>
        <w:rPr>
          <w:rFonts w:ascii="Times New Roman" w:eastAsia="Times New Roman" w:hAnsi="Times New Roman" w:cs="Times New Roman"/>
          <w:color w:val="000000"/>
          <w:spacing w:val="0"/>
          <w:w w:val="100"/>
          <w:position w:val="0"/>
        </w:rPr>
        <w:t>7,825.33</w:t>
      </w:r>
      <w:r>
        <w:rPr>
          <w:color w:val="000000"/>
          <w:spacing w:val="0"/>
          <w:w w:val="100"/>
          <w:position w:val="0"/>
        </w:rPr>
        <w:t>万元由广饶直接付给油站，</w:t>
      </w:r>
      <w:r>
        <w:rPr>
          <w:rFonts w:ascii="Times New Roman" w:eastAsia="Times New Roman" w:hAnsi="Times New Roman" w:cs="Times New Roman"/>
          <w:color w:val="000000"/>
          <w:spacing w:val="0"/>
          <w:w w:val="100"/>
          <w:position w:val="0"/>
        </w:rPr>
        <w:t>12,008.56</w:t>
      </w:r>
      <w:r>
        <w:rPr>
          <w:color w:val="000000"/>
          <w:spacing w:val="0"/>
          <w:w w:val="100"/>
          <w:position w:val="0"/>
        </w:rPr>
        <w:t>万元已收回并支付给东营兰星瑞商贸有限公司、 东莞市锋洋贸易有限公司，委托这两家公司支付给油站。</w:t>
      </w:r>
    </w:p>
    <w:p>
      <w:pPr>
        <w:pStyle w:val="Style38"/>
        <w:keepNext w:val="0"/>
        <w:keepLines w:val="0"/>
        <w:widowControl w:val="0"/>
        <w:shd w:val="clear" w:color="auto" w:fill="auto"/>
        <w:bidi w:val="0"/>
        <w:spacing w:before="0" w:after="0" w:line="415" w:lineRule="exact"/>
        <w:ind w:left="0" w:right="0" w:firstLine="440"/>
        <w:jc w:val="both"/>
      </w:pPr>
      <w:bookmarkStart w:id="720" w:name="bookmark720"/>
      <w:r>
        <w:rPr>
          <w:rFonts w:ascii="Times New Roman" w:eastAsia="Times New Roman" w:hAnsi="Times New Roman" w:cs="Times New Roman"/>
          <w:color w:val="000000"/>
          <w:spacing w:val="0"/>
          <w:w w:val="100"/>
          <w:position w:val="0"/>
        </w:rPr>
        <w:t>2</w:t>
      </w:r>
      <w:bookmarkEnd w:id="720"/>
      <w:r>
        <w:rPr>
          <w:color w:val="000000"/>
          <w:spacing w:val="0"/>
          <w:w w:val="100"/>
          <w:position w:val="0"/>
        </w:rPr>
        <w:t>） 深圳满泰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月向广州君海商贸发展有限公司借入</w:t>
      </w:r>
      <w:r>
        <w:rPr>
          <w:rFonts w:ascii="Times New Roman" w:eastAsia="Times New Roman" w:hAnsi="Times New Roman" w:cs="Times New Roman"/>
          <w:color w:val="000000"/>
          <w:spacing w:val="0"/>
          <w:w w:val="100"/>
          <w:position w:val="0"/>
        </w:rPr>
        <w:t>10,075.00</w:t>
      </w:r>
      <w:r>
        <w:rPr>
          <w:color w:val="000000"/>
          <w:spacing w:val="0"/>
          <w:w w:val="100"/>
          <w:position w:val="0"/>
        </w:rPr>
        <w:t>万元，并于当月归还</w:t>
      </w:r>
      <w:r>
        <w:rPr>
          <w:rFonts w:ascii="Times New Roman" w:eastAsia="Times New Roman" w:hAnsi="Times New Roman" w:cs="Times New Roman"/>
          <w:color w:val="000000"/>
          <w:spacing w:val="0"/>
          <w:w w:val="100"/>
          <w:position w:val="0"/>
        </w:rPr>
        <w:t xml:space="preserve">10,000.00 </w:t>
      </w:r>
      <w:r>
        <w:rPr>
          <w:color w:val="000000"/>
          <w:spacing w:val="0"/>
          <w:w w:val="100"/>
          <w:position w:val="0"/>
        </w:rPr>
        <w:t>万元给广州君海商贸发展有限公司，但实际收款单位为深圳市瑞程达商贸有限公司。</w:t>
      </w:r>
    </w:p>
    <w:p>
      <w:pPr>
        <w:pStyle w:val="Style38"/>
        <w:keepNext w:val="0"/>
        <w:keepLines w:val="0"/>
        <w:widowControl w:val="0"/>
        <w:shd w:val="clear" w:color="auto" w:fill="auto"/>
        <w:bidi w:val="0"/>
        <w:spacing w:before="0" w:after="100" w:line="415" w:lineRule="exact"/>
        <w:ind w:left="0" w:right="0" w:firstLine="440"/>
        <w:jc w:val="both"/>
      </w:pPr>
      <w:r>
        <w:rPr>
          <w:color w:val="000000"/>
          <w:spacing w:val="0"/>
          <w:w w:val="100"/>
          <w:position w:val="0"/>
        </w:rPr>
        <w:t xml:space="preserve">我们未能获取充分、适当的审计证据以判断上述资金往来的商业实质以及是否存在关联关系及关联交 </w:t>
      </w:r>
      <w:r>
        <w:rPr>
          <w:color w:val="000000"/>
          <w:spacing w:val="0"/>
          <w:w w:val="100"/>
          <w:position w:val="0"/>
        </w:rPr>
        <w:t>易。</w:t>
      </w:r>
    </w:p>
    <w:p>
      <w:pPr>
        <w:pStyle w:val="Style38"/>
        <w:keepNext w:val="0"/>
        <w:keepLines w:val="0"/>
        <w:widowControl w:val="0"/>
        <w:numPr>
          <w:ilvl w:val="0"/>
          <w:numId w:val="13"/>
        </w:numPr>
        <w:shd w:val="clear" w:color="auto" w:fill="auto"/>
        <w:bidi w:val="0"/>
        <w:spacing w:before="0" w:after="0" w:line="412" w:lineRule="exact"/>
        <w:ind w:left="0" w:right="0" w:firstLine="440"/>
        <w:jc w:val="both"/>
      </w:pPr>
      <w:bookmarkStart w:id="721" w:name="bookmark721"/>
      <w:bookmarkEnd w:id="721"/>
      <w:r>
        <w:rPr>
          <w:rFonts w:ascii="Times New Roman" w:eastAsia="Times New Roman" w:hAnsi="Times New Roman" w:cs="Times New Roman"/>
          <w:color w:val="000000"/>
          <w:spacing w:val="0"/>
          <w:w w:val="100"/>
          <w:position w:val="0"/>
        </w:rPr>
        <w:t xml:space="preserve"> </w:t>
      </w:r>
      <w:r>
        <w:rPr>
          <w:color w:val="000000"/>
          <w:spacing w:val="0"/>
          <w:w w:val="100"/>
          <w:position w:val="0"/>
        </w:rPr>
        <w:t>中经电商</w:t>
      </w:r>
      <w:r>
        <w:rPr>
          <w:rFonts w:ascii="Times New Roman" w:eastAsia="Times New Roman" w:hAnsi="Times New Roman" w:cs="Times New Roman"/>
          <w:color w:val="000000"/>
          <w:spacing w:val="0"/>
          <w:w w:val="100"/>
          <w:position w:val="0"/>
        </w:rPr>
        <w:t>2020</w:t>
      </w:r>
      <w:r>
        <w:rPr>
          <w:color w:val="000000"/>
          <w:spacing w:val="0"/>
          <w:w w:val="100"/>
          <w:position w:val="0"/>
        </w:rPr>
        <w:t>年油品业务收入金额</w:t>
      </w:r>
      <w:r>
        <w:rPr>
          <w:rFonts w:ascii="Times New Roman" w:eastAsia="Times New Roman" w:hAnsi="Times New Roman" w:cs="Times New Roman"/>
          <w:color w:val="000000"/>
          <w:spacing w:val="0"/>
          <w:w w:val="100"/>
          <w:position w:val="0"/>
        </w:rPr>
        <w:t>2,092.82</w:t>
      </w:r>
      <w:r>
        <w:rPr>
          <w:color w:val="000000"/>
          <w:spacing w:val="0"/>
          <w:w w:val="100"/>
          <w:position w:val="0"/>
        </w:rPr>
        <w:t>万元。对于上述收入，我们未能取得充分、适当的审计 证据，无法判断收入的真实性。</w:t>
      </w:r>
    </w:p>
    <w:p>
      <w:pPr>
        <w:pStyle w:val="Style38"/>
        <w:keepNext w:val="0"/>
        <w:keepLines w:val="0"/>
        <w:widowControl w:val="0"/>
        <w:numPr>
          <w:ilvl w:val="0"/>
          <w:numId w:val="13"/>
        </w:numPr>
        <w:shd w:val="clear" w:color="auto" w:fill="auto"/>
        <w:tabs>
          <w:tab w:pos="752" w:val="left"/>
        </w:tabs>
        <w:bidi w:val="0"/>
        <w:spacing w:before="0" w:after="0" w:line="412" w:lineRule="exact"/>
        <w:ind w:left="0" w:right="0" w:firstLine="440"/>
        <w:jc w:val="both"/>
      </w:pPr>
      <w:bookmarkStart w:id="722" w:name="bookmark722"/>
      <w:bookmarkEnd w:id="722"/>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日，中经电商其他流动资产</w:t>
      </w:r>
      <w:r>
        <w:rPr>
          <w:rFonts w:ascii="Times New Roman" w:eastAsia="Times New Roman" w:hAnsi="Times New Roman" w:cs="Times New Roman"/>
          <w:color w:val="000000"/>
          <w:spacing w:val="0"/>
          <w:w w:val="100"/>
          <w:position w:val="0"/>
        </w:rPr>
        <w:t>3,072.59</w:t>
      </w:r>
      <w:r>
        <w:rPr>
          <w:color w:val="000000"/>
          <w:spacing w:val="0"/>
          <w:w w:val="100"/>
          <w:position w:val="0"/>
        </w:rPr>
        <w:t>万元，主要为待抵扣进项税和待收进项发 票税额。由于中经电商持续经营能力存在重大不确定性，我们无法认定上述进项税未来是否仍能进行抵扣。</w:t>
      </w:r>
    </w:p>
    <w:p>
      <w:pPr>
        <w:pStyle w:val="Style26"/>
        <w:keepNext/>
        <w:keepLines/>
        <w:widowControl w:val="0"/>
        <w:shd w:val="clear" w:color="auto" w:fill="auto"/>
        <w:tabs>
          <w:tab w:pos="923" w:val="left"/>
        </w:tabs>
        <w:bidi w:val="0"/>
        <w:spacing w:before="0" w:after="0" w:line="412" w:lineRule="exact"/>
        <w:ind w:left="0" w:right="0" w:firstLine="440"/>
        <w:jc w:val="left"/>
        <w:rPr>
          <w:sz w:val="20"/>
          <w:szCs w:val="20"/>
        </w:rPr>
      </w:pPr>
      <w:bookmarkStart w:id="723" w:name="bookmark723"/>
      <w:bookmarkStart w:id="724" w:name="bookmark724"/>
      <w:bookmarkStart w:id="725" w:name="bookmark725"/>
      <w:bookmarkStart w:id="726" w:name="bookmark726"/>
      <w:r>
        <w:rPr>
          <w:color w:val="000000"/>
          <w:spacing w:val="0"/>
          <w:w w:val="100"/>
          <w:position w:val="0"/>
          <w:sz w:val="20"/>
          <w:szCs w:val="20"/>
        </w:rPr>
        <w:t>三</w:t>
      </w:r>
      <w:bookmarkEnd w:id="725"/>
      <w:r>
        <w:rPr>
          <w:color w:val="000000"/>
          <w:spacing w:val="0"/>
          <w:w w:val="100"/>
          <w:position w:val="0"/>
          <w:sz w:val="20"/>
          <w:szCs w:val="20"/>
        </w:rPr>
        <w:t>、</w:t>
        <w:tab/>
        <w:t>与持续经营相关的重大不确定性</w:t>
      </w:r>
      <w:bookmarkEnd w:id="723"/>
      <w:bookmarkEnd w:id="724"/>
      <w:bookmarkEnd w:id="726"/>
    </w:p>
    <w:p>
      <w:pPr>
        <w:pStyle w:val="Style38"/>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我们提醒财务报表使用者关注，如附注三（二）所述，蓝盾股份</w:t>
      </w:r>
      <w:r>
        <w:rPr>
          <w:rFonts w:ascii="Times New Roman" w:eastAsia="Times New Roman" w:hAnsi="Times New Roman" w:cs="Times New Roman"/>
          <w:color w:val="000000"/>
          <w:spacing w:val="0"/>
          <w:w w:val="100"/>
          <w:position w:val="0"/>
        </w:rPr>
        <w:t>2020</w:t>
      </w:r>
      <w:r>
        <w:rPr>
          <w:color w:val="000000"/>
          <w:spacing w:val="0"/>
          <w:w w:val="100"/>
          <w:position w:val="0"/>
        </w:rPr>
        <w:t>年度归属于母公司所有者的净 利润为</w:t>
      </w:r>
      <w:r>
        <w:rPr>
          <w:rFonts w:ascii="Times New Roman" w:eastAsia="Times New Roman" w:hAnsi="Times New Roman" w:cs="Times New Roman"/>
          <w:color w:val="000000"/>
          <w:spacing w:val="0"/>
          <w:w w:val="100"/>
          <w:position w:val="0"/>
        </w:rPr>
        <w:t>-109,254.54</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日，蓝盾股份不受限的货币资金余额</w:t>
      </w:r>
      <w:r>
        <w:rPr>
          <w:rFonts w:ascii="Times New Roman" w:eastAsia="Times New Roman" w:hAnsi="Times New Roman" w:cs="Times New Roman"/>
          <w:color w:val="000000"/>
          <w:spacing w:val="0"/>
          <w:w w:val="100"/>
          <w:position w:val="0"/>
        </w:rPr>
        <w:t>1,830.33</w:t>
      </w:r>
      <w:r>
        <w:rPr>
          <w:color w:val="000000"/>
          <w:spacing w:val="0"/>
          <w:w w:val="100"/>
          <w:position w:val="0"/>
        </w:rPr>
        <w:t>万元，负债 总额</w:t>
      </w:r>
      <w:r>
        <w:rPr>
          <w:rFonts w:ascii="Times New Roman" w:eastAsia="Times New Roman" w:hAnsi="Times New Roman" w:cs="Times New Roman"/>
          <w:color w:val="000000"/>
          <w:spacing w:val="0"/>
          <w:w w:val="100"/>
          <w:position w:val="0"/>
        </w:rPr>
        <w:t>445,871.74</w:t>
      </w:r>
      <w:r>
        <w:rPr>
          <w:color w:val="000000"/>
          <w:spacing w:val="0"/>
          <w:w w:val="100"/>
          <w:position w:val="0"/>
        </w:rPr>
        <w:t>万元，其中已逾期未偿还的短期借款总额为</w:t>
      </w:r>
      <w:r>
        <w:rPr>
          <w:rFonts w:ascii="Times New Roman" w:eastAsia="Times New Roman" w:hAnsi="Times New Roman" w:cs="Times New Roman"/>
          <w:color w:val="000000"/>
          <w:spacing w:val="0"/>
          <w:w w:val="100"/>
          <w:position w:val="0"/>
        </w:rPr>
        <w:t>162,717.54</w:t>
      </w:r>
      <w:r>
        <w:rPr>
          <w:color w:val="000000"/>
          <w:spacing w:val="0"/>
          <w:w w:val="100"/>
          <w:position w:val="0"/>
        </w:rPr>
        <w:t>万元。因经营流动资金紧张，蓝盾 股份及其子公司未能按期偿还到期债务，涉及众多诉讼、仲裁事项，导致大量银行账户、部分资产等遭司 法查封冻结。这些事项或情况，表明存在可能导致对蓝盾股份持续经营能力产生重大疑虑的重大不确定性。 该事项不影响已发表的审计意见。</w:t>
      </w:r>
    </w:p>
    <w:p>
      <w:pPr>
        <w:pStyle w:val="Style26"/>
        <w:keepNext/>
        <w:keepLines/>
        <w:widowControl w:val="0"/>
        <w:shd w:val="clear" w:color="auto" w:fill="auto"/>
        <w:tabs>
          <w:tab w:pos="923" w:val="left"/>
        </w:tabs>
        <w:bidi w:val="0"/>
        <w:spacing w:before="0" w:after="0" w:line="412" w:lineRule="exact"/>
        <w:ind w:left="0" w:right="0" w:firstLine="440"/>
        <w:jc w:val="both"/>
        <w:rPr>
          <w:sz w:val="20"/>
          <w:szCs w:val="20"/>
        </w:rPr>
      </w:pPr>
      <w:bookmarkStart w:id="727" w:name="bookmark727"/>
      <w:bookmarkStart w:id="728" w:name="bookmark728"/>
      <w:bookmarkStart w:id="729" w:name="bookmark729"/>
      <w:bookmarkStart w:id="730" w:name="bookmark730"/>
      <w:r>
        <w:rPr>
          <w:color w:val="000000"/>
          <w:spacing w:val="0"/>
          <w:w w:val="100"/>
          <w:position w:val="0"/>
          <w:sz w:val="20"/>
          <w:szCs w:val="20"/>
        </w:rPr>
        <w:t>四</w:t>
      </w:r>
      <w:bookmarkEnd w:id="729"/>
      <w:r>
        <w:rPr>
          <w:color w:val="000000"/>
          <w:spacing w:val="0"/>
          <w:w w:val="100"/>
          <w:position w:val="0"/>
          <w:sz w:val="20"/>
          <w:szCs w:val="20"/>
        </w:rPr>
        <w:t>、</w:t>
        <w:tab/>
        <w:t>关键审计事项</w:t>
      </w:r>
      <w:bookmarkEnd w:id="727"/>
      <w:bookmarkEnd w:id="728"/>
      <w:bookmarkEnd w:id="730"/>
    </w:p>
    <w:p>
      <w:pPr>
        <w:pStyle w:val="Style38"/>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除</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与持续经营相关的重大不确定性</w:t>
      </w:r>
      <w:r>
        <w:rPr>
          <w:rFonts w:ascii="Times New Roman" w:eastAsia="Times New Roman" w:hAnsi="Times New Roman" w:cs="Times New Roman"/>
          <w:color w:val="000000"/>
          <w:spacing w:val="0"/>
          <w:w w:val="100"/>
          <w:position w:val="0"/>
        </w:rPr>
        <w:t>''</w:t>
      </w:r>
      <w:r>
        <w:rPr>
          <w:color w:val="000000"/>
          <w:spacing w:val="0"/>
          <w:w w:val="100"/>
          <w:position w:val="0"/>
        </w:rPr>
        <w:t>部分所描述的事项外，我们确定下列事 项是需要在审计报告中沟通的关键审计事项。</w:t>
      </w:r>
    </w:p>
    <w:p>
      <w:pPr>
        <w:pStyle w:val="Style38"/>
        <w:keepNext w:val="0"/>
        <w:keepLines w:val="0"/>
        <w:widowControl w:val="0"/>
        <w:numPr>
          <w:ilvl w:val="0"/>
          <w:numId w:val="15"/>
        </w:numPr>
        <w:shd w:val="clear" w:color="auto" w:fill="auto"/>
        <w:tabs>
          <w:tab w:pos="755" w:val="left"/>
        </w:tabs>
        <w:bidi w:val="0"/>
        <w:spacing w:before="0" w:after="0" w:line="412" w:lineRule="exact"/>
        <w:ind w:left="0" w:right="0" w:firstLine="440"/>
        <w:jc w:val="both"/>
      </w:pPr>
      <w:bookmarkStart w:id="731" w:name="bookmark731"/>
      <w:bookmarkEnd w:id="731"/>
      <w:r>
        <w:rPr>
          <w:color w:val="000000"/>
          <w:spacing w:val="0"/>
          <w:w w:val="100"/>
          <w:position w:val="0"/>
        </w:rPr>
        <w:t>在建工程减值；</w:t>
      </w:r>
    </w:p>
    <w:p>
      <w:pPr>
        <w:pStyle w:val="Style38"/>
        <w:keepNext w:val="0"/>
        <w:keepLines w:val="0"/>
        <w:widowControl w:val="0"/>
        <w:numPr>
          <w:ilvl w:val="0"/>
          <w:numId w:val="15"/>
        </w:numPr>
        <w:shd w:val="clear" w:color="auto" w:fill="auto"/>
        <w:tabs>
          <w:tab w:pos="774" w:val="left"/>
        </w:tabs>
        <w:bidi w:val="0"/>
        <w:spacing w:before="0" w:after="0" w:line="412" w:lineRule="exact"/>
        <w:ind w:left="0" w:right="0" w:firstLine="440"/>
        <w:jc w:val="both"/>
      </w:pPr>
      <w:bookmarkStart w:id="732" w:name="bookmark732"/>
      <w:bookmarkEnd w:id="732"/>
      <w:r>
        <w:rPr>
          <w:color w:val="000000"/>
          <w:spacing w:val="0"/>
          <w:w w:val="100"/>
          <w:position w:val="0"/>
        </w:rPr>
        <w:t>商誉减值。</w:t>
      </w:r>
    </w:p>
    <w:p>
      <w:pPr>
        <w:pStyle w:val="Style38"/>
        <w:keepNext w:val="0"/>
        <w:keepLines w:val="0"/>
        <w:widowControl w:val="0"/>
        <w:shd w:val="clear" w:color="auto" w:fill="auto"/>
        <w:bidi w:val="0"/>
        <w:spacing w:before="0" w:after="0" w:line="412" w:lineRule="exact"/>
        <w:ind w:left="0" w:right="0" w:firstLine="440"/>
        <w:jc w:val="both"/>
      </w:pPr>
      <w:r>
        <w:rPr>
          <w:color w:val="000000"/>
          <w:spacing w:val="0"/>
          <w:w w:val="100"/>
          <w:position w:val="0"/>
        </w:rPr>
        <w:t>（一）在建工程减值</w:t>
      </w:r>
    </w:p>
    <w:p>
      <w:pPr>
        <w:pStyle w:val="Style38"/>
        <w:keepNext w:val="0"/>
        <w:keepLines w:val="0"/>
        <w:widowControl w:val="0"/>
        <w:numPr>
          <w:ilvl w:val="0"/>
          <w:numId w:val="17"/>
        </w:numPr>
        <w:shd w:val="clear" w:color="auto" w:fill="auto"/>
        <w:tabs>
          <w:tab w:pos="755" w:val="left"/>
        </w:tabs>
        <w:bidi w:val="0"/>
        <w:spacing w:before="0" w:after="0" w:line="412" w:lineRule="exact"/>
        <w:ind w:left="0" w:right="0" w:firstLine="440"/>
        <w:jc w:val="both"/>
      </w:pPr>
      <w:bookmarkStart w:id="733" w:name="bookmark733"/>
      <w:bookmarkEnd w:id="733"/>
      <w:r>
        <w:rPr>
          <w:color w:val="000000"/>
          <w:spacing w:val="0"/>
          <w:w w:val="100"/>
          <w:position w:val="0"/>
        </w:rPr>
        <w:t>事项描述</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如财务报表附注六、注释</w:t>
      </w:r>
      <w:r>
        <w:rPr>
          <w:rFonts w:ascii="Times New Roman" w:eastAsia="Times New Roman" w:hAnsi="Times New Roman" w:cs="Times New Roman"/>
          <w:color w:val="000000"/>
          <w:spacing w:val="0"/>
          <w:w w:val="100"/>
          <w:position w:val="0"/>
        </w:rPr>
        <w:t>15.</w:t>
      </w:r>
      <w:r>
        <w:rPr>
          <w:color w:val="000000"/>
          <w:spacing w:val="0"/>
          <w:w w:val="100"/>
          <w:position w:val="0"/>
        </w:rPr>
        <w:t>在建工程所述，截止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日，蓝盾股份在建工程账面余额为 </w:t>
      </w:r>
      <w:r>
        <w:rPr>
          <w:rFonts w:ascii="Times New Roman" w:eastAsia="Times New Roman" w:hAnsi="Times New Roman" w:cs="Times New Roman"/>
          <w:color w:val="000000"/>
          <w:spacing w:val="0"/>
          <w:w w:val="100"/>
          <w:position w:val="0"/>
        </w:rPr>
        <w:t>129,927.05</w:t>
      </w:r>
      <w:r>
        <w:rPr>
          <w:color w:val="000000"/>
          <w:spacing w:val="0"/>
          <w:w w:val="100"/>
          <w:position w:val="0"/>
        </w:rPr>
        <w:t>万元，占资产总额的</w:t>
      </w:r>
      <w:r>
        <w:rPr>
          <w:rFonts w:ascii="Times New Roman" w:eastAsia="Times New Roman" w:hAnsi="Times New Roman" w:cs="Times New Roman"/>
          <w:color w:val="000000"/>
          <w:spacing w:val="0"/>
          <w:w w:val="100"/>
          <w:position w:val="0"/>
        </w:rPr>
        <w:t>17.67%</w:t>
      </w:r>
      <w:r>
        <w:rPr>
          <w:color w:val="000000"/>
          <w:spacing w:val="0"/>
          <w:w w:val="100"/>
          <w:position w:val="0"/>
        </w:rPr>
        <w:t>，减值准备余额为</w:t>
      </w:r>
      <w:r>
        <w:rPr>
          <w:rFonts w:ascii="Times New Roman" w:eastAsia="Times New Roman" w:hAnsi="Times New Roman" w:cs="Times New Roman"/>
          <w:color w:val="000000"/>
          <w:spacing w:val="0"/>
          <w:w w:val="100"/>
          <w:position w:val="0"/>
        </w:rPr>
        <w:t>7,532.85</w:t>
      </w:r>
      <w:r>
        <w:rPr>
          <w:color w:val="000000"/>
          <w:spacing w:val="0"/>
          <w:w w:val="100"/>
          <w:position w:val="0"/>
        </w:rPr>
        <w:t>万元。</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管理层于资产负债表日评估在建工程是否存在减值迹象。对于存在减值迹象的进行减值测试，减值测 试结果表明资产的可收回金额低于其账面价值的，按其差额计提减值准备并计入减值损失。可收回金额为 资产的公允价值减去处置费用后的净额与资产预计未来现金流量的现值两者之间的较高者。</w:t>
      </w:r>
    </w:p>
    <w:p>
      <w:pPr>
        <w:pStyle w:val="Style38"/>
        <w:keepNext w:val="0"/>
        <w:keepLines w:val="0"/>
        <w:widowControl w:val="0"/>
        <w:shd w:val="clear" w:color="auto" w:fill="auto"/>
        <w:bidi w:val="0"/>
        <w:spacing w:before="0" w:after="0" w:line="418" w:lineRule="exact"/>
        <w:ind w:left="0" w:right="0" w:firstLine="440"/>
        <w:jc w:val="both"/>
      </w:pPr>
      <w:r>
        <w:rPr>
          <w:color w:val="000000"/>
          <w:spacing w:val="0"/>
          <w:w w:val="100"/>
          <w:position w:val="0"/>
        </w:rPr>
        <w:t>由于在建工程减值准备计提需要管理层作出重大的会计估计和判断，且在建工程减值对财务报表的重 要性，我们将在建工程减值准备确定为关键审计事项。</w:t>
      </w:r>
    </w:p>
    <w:p>
      <w:pPr>
        <w:pStyle w:val="Style38"/>
        <w:keepNext w:val="0"/>
        <w:keepLines w:val="0"/>
        <w:widowControl w:val="0"/>
        <w:numPr>
          <w:ilvl w:val="0"/>
          <w:numId w:val="17"/>
        </w:numPr>
        <w:shd w:val="clear" w:color="auto" w:fill="auto"/>
        <w:tabs>
          <w:tab w:pos="774" w:val="left"/>
        </w:tabs>
        <w:bidi w:val="0"/>
        <w:spacing w:before="0" w:after="0" w:line="412" w:lineRule="exact"/>
        <w:ind w:left="0" w:right="0" w:firstLine="440"/>
        <w:jc w:val="both"/>
      </w:pPr>
      <w:bookmarkStart w:id="734" w:name="bookmark734"/>
      <w:bookmarkEnd w:id="734"/>
      <w:r>
        <w:rPr>
          <w:color w:val="000000"/>
          <w:spacing w:val="0"/>
          <w:w w:val="100"/>
          <w:position w:val="0"/>
        </w:rPr>
        <w:t>审计应对</w:t>
      </w:r>
    </w:p>
    <w:p>
      <w:pPr>
        <w:pStyle w:val="Style38"/>
        <w:keepNext w:val="0"/>
        <w:keepLines w:val="0"/>
        <w:widowControl w:val="0"/>
        <w:shd w:val="clear" w:color="auto" w:fill="auto"/>
        <w:tabs>
          <w:tab w:pos="928" w:val="left"/>
        </w:tabs>
        <w:bidi w:val="0"/>
        <w:spacing w:before="0" w:after="0" w:line="412" w:lineRule="exact"/>
        <w:ind w:left="0" w:right="0" w:firstLine="44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1</w:t>
      </w:r>
      <w:r>
        <w:rPr>
          <w:color w:val="000000"/>
          <w:spacing w:val="0"/>
          <w:w w:val="100"/>
          <w:position w:val="0"/>
        </w:rPr>
        <w:t>）</w:t>
        <w:tab/>
        <w:t>评价与管理层确定在建工程减值相关的关键内部控制的设计和执行的有效性。</w:t>
      </w:r>
    </w:p>
    <w:p>
      <w:pPr>
        <w:pStyle w:val="Style38"/>
        <w:keepNext w:val="0"/>
        <w:keepLines w:val="0"/>
        <w:widowControl w:val="0"/>
        <w:shd w:val="clear" w:color="auto" w:fill="auto"/>
        <w:tabs>
          <w:tab w:pos="928" w:val="left"/>
        </w:tabs>
        <w:bidi w:val="0"/>
        <w:spacing w:before="0" w:after="0" w:line="412" w:lineRule="exact"/>
        <w:ind w:left="0" w:right="0" w:firstLine="44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2</w:t>
      </w:r>
      <w:r>
        <w:rPr>
          <w:color w:val="000000"/>
          <w:spacing w:val="0"/>
          <w:w w:val="100"/>
          <w:position w:val="0"/>
        </w:rPr>
        <w:t>）</w:t>
        <w:tab/>
        <w:t>对账面记录的在建工程抽样进行了实地监盘，观察其实际情况。</w:t>
      </w:r>
    </w:p>
    <w:p>
      <w:pPr>
        <w:pStyle w:val="Style38"/>
        <w:keepNext w:val="0"/>
        <w:keepLines w:val="0"/>
        <w:widowControl w:val="0"/>
        <w:shd w:val="clear" w:color="auto" w:fill="auto"/>
        <w:tabs>
          <w:tab w:pos="928" w:val="left"/>
        </w:tabs>
        <w:bidi w:val="0"/>
        <w:spacing w:before="0" w:after="0" w:line="412" w:lineRule="exact"/>
        <w:ind w:left="0" w:right="0" w:firstLine="44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3</w:t>
      </w:r>
      <w:r>
        <w:rPr>
          <w:color w:val="000000"/>
          <w:spacing w:val="0"/>
          <w:w w:val="100"/>
          <w:position w:val="0"/>
        </w:rPr>
        <w:t>）</w:t>
        <w:tab/>
        <w:t>评估在建工程减值测试的估值方法。</w:t>
      </w:r>
    </w:p>
    <w:p>
      <w:pPr>
        <w:pStyle w:val="Style38"/>
        <w:keepNext w:val="0"/>
        <w:keepLines w:val="0"/>
        <w:widowControl w:val="0"/>
        <w:shd w:val="clear" w:color="auto" w:fill="auto"/>
        <w:tabs>
          <w:tab w:pos="928" w:val="left"/>
        </w:tabs>
        <w:bidi w:val="0"/>
        <w:spacing w:before="0" w:after="0" w:line="412" w:lineRule="exact"/>
        <w:ind w:left="0" w:right="0" w:firstLine="44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4</w:t>
      </w:r>
      <w:r>
        <w:rPr>
          <w:color w:val="000000"/>
          <w:spacing w:val="0"/>
          <w:w w:val="100"/>
          <w:position w:val="0"/>
        </w:rPr>
        <w:t>）</w:t>
        <w:tab/>
        <w:t>测试管理层减值测试所依据的基础数据，评估管理层减值测试中所采用的关键假设的适当性。</w:t>
      </w:r>
    </w:p>
    <w:p>
      <w:pPr>
        <w:pStyle w:val="Style38"/>
        <w:keepNext w:val="0"/>
        <w:keepLines w:val="0"/>
        <w:widowControl w:val="0"/>
        <w:shd w:val="clear" w:color="auto" w:fill="auto"/>
        <w:tabs>
          <w:tab w:pos="488" w:val="left"/>
        </w:tabs>
        <w:bidi w:val="0"/>
        <w:spacing w:before="0" w:after="0" w:line="412" w:lineRule="exact"/>
        <w:ind w:left="0" w:right="0" w:firstLine="44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5</w:t>
      </w:r>
      <w:r>
        <w:rPr>
          <w:color w:val="000000"/>
          <w:spacing w:val="0"/>
          <w:w w:val="100"/>
          <w:position w:val="0"/>
        </w:rPr>
        <w:t>）</w:t>
        <w:tab/>
        <w:t xml:space="preserve">与管理层聘请的外部评估机构专家等讨论商誉减值测试过程中所使用的方法、关键评估的假设、 </w:t>
      </w:r>
      <w:r>
        <w:rPr>
          <w:color w:val="000000"/>
          <w:spacing w:val="0"/>
          <w:w w:val="100"/>
          <w:position w:val="0"/>
        </w:rPr>
        <w:t>参数的选择、预测未来收入及现金流折现率等的合理性。</w:t>
      </w:r>
    </w:p>
    <w:p>
      <w:pPr>
        <w:pStyle w:val="Style38"/>
        <w:keepNext w:val="0"/>
        <w:keepLines w:val="0"/>
        <w:widowControl w:val="0"/>
        <w:shd w:val="clear" w:color="auto" w:fill="auto"/>
        <w:tabs>
          <w:tab w:pos="1021" w:val="left"/>
        </w:tabs>
        <w:bidi w:val="0"/>
        <w:spacing w:before="0" w:after="0" w:line="432" w:lineRule="exact"/>
        <w:ind w:left="0" w:right="0" w:firstLine="44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6</w:t>
      </w:r>
      <w:r>
        <w:rPr>
          <w:color w:val="000000"/>
          <w:spacing w:val="0"/>
          <w:w w:val="100"/>
          <w:position w:val="0"/>
        </w:rPr>
        <w:t>）</w:t>
        <w:tab/>
        <w:t>比较资产的公允价值减去处置费用后的净额与资产预计未来现金流量的现值可变现净值与账面 成本孰高。</w:t>
      </w:r>
    </w:p>
    <w:p>
      <w:pPr>
        <w:pStyle w:val="Style38"/>
        <w:keepNext w:val="0"/>
        <w:keepLines w:val="0"/>
        <w:widowControl w:val="0"/>
        <w:shd w:val="clear" w:color="auto" w:fill="auto"/>
        <w:tabs>
          <w:tab w:pos="928" w:val="left"/>
        </w:tabs>
        <w:bidi w:val="0"/>
        <w:spacing w:before="0" w:after="0" w:line="432" w:lineRule="exact"/>
        <w:ind w:left="0" w:right="0" w:firstLine="44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7</w:t>
      </w:r>
      <w:r>
        <w:rPr>
          <w:color w:val="000000"/>
          <w:spacing w:val="0"/>
          <w:w w:val="100"/>
          <w:position w:val="0"/>
        </w:rPr>
        <w:t>）</w:t>
        <w:tab/>
        <w:t>复核管理层对在建工程减值准备的计算过程是否正确。</w:t>
      </w:r>
    </w:p>
    <w:p>
      <w:pPr>
        <w:pStyle w:val="Style38"/>
        <w:keepNext w:val="0"/>
        <w:keepLines w:val="0"/>
        <w:widowControl w:val="0"/>
        <w:shd w:val="clear" w:color="auto" w:fill="auto"/>
        <w:bidi w:val="0"/>
        <w:spacing w:before="0" w:after="0" w:line="418" w:lineRule="exact"/>
        <w:ind w:left="0" w:right="0" w:firstLine="440"/>
        <w:jc w:val="left"/>
      </w:pPr>
      <w:r>
        <w:rPr>
          <w:color w:val="000000"/>
          <w:spacing w:val="0"/>
          <w:w w:val="100"/>
          <w:position w:val="0"/>
        </w:rPr>
        <w:t>基于已执行的审计工作，我们认为，管理层对在建工程减值的相关判断是合理的。</w:t>
      </w:r>
    </w:p>
    <w:p>
      <w:pPr>
        <w:pStyle w:val="Style38"/>
        <w:keepNext w:val="0"/>
        <w:keepLines w:val="0"/>
        <w:widowControl w:val="0"/>
        <w:shd w:val="clear" w:color="auto" w:fill="auto"/>
        <w:bidi w:val="0"/>
        <w:spacing w:before="0" w:after="240" w:line="418" w:lineRule="exact"/>
        <w:ind w:left="0" w:right="0" w:firstLine="440"/>
        <w:jc w:val="both"/>
      </w:pPr>
      <w:r>
        <w:rPr>
          <w:color w:val="000000"/>
          <w:spacing w:val="0"/>
          <w:w w:val="100"/>
          <w:position w:val="0"/>
        </w:rPr>
        <w:t>（二）商誉减值</w:t>
      </w:r>
    </w:p>
    <w:p>
      <w:pPr>
        <w:pStyle w:val="Style38"/>
        <w:keepNext w:val="0"/>
        <w:keepLines w:val="0"/>
        <w:widowControl w:val="0"/>
        <w:numPr>
          <w:ilvl w:val="0"/>
          <w:numId w:val="19"/>
        </w:numPr>
        <w:shd w:val="clear" w:color="auto" w:fill="auto"/>
        <w:tabs>
          <w:tab w:pos="755" w:val="left"/>
        </w:tabs>
        <w:bidi w:val="0"/>
        <w:spacing w:before="0" w:after="0" w:line="432" w:lineRule="auto"/>
        <w:ind w:left="0" w:right="0" w:firstLine="440"/>
        <w:jc w:val="both"/>
      </w:pPr>
      <w:bookmarkStart w:id="742" w:name="bookmark742"/>
      <w:bookmarkEnd w:id="742"/>
      <w:r>
        <w:rPr>
          <w:color w:val="000000"/>
          <w:spacing w:val="0"/>
          <w:w w:val="100"/>
          <w:position w:val="0"/>
        </w:rPr>
        <w:t>事项描述</w:t>
      </w:r>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如财务报表附注六、注释</w:t>
      </w:r>
      <w:r>
        <w:rPr>
          <w:rFonts w:ascii="Times New Roman" w:eastAsia="Times New Roman" w:hAnsi="Times New Roman" w:cs="Times New Roman"/>
          <w:color w:val="000000"/>
          <w:spacing w:val="0"/>
          <w:w w:val="100"/>
          <w:position w:val="0"/>
        </w:rPr>
        <w:t>18.</w:t>
      </w:r>
      <w:r>
        <w:rPr>
          <w:color w:val="000000"/>
          <w:spacing w:val="0"/>
          <w:w w:val="100"/>
          <w:position w:val="0"/>
        </w:rPr>
        <w:t>商誉所述，截止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日，蓝盾股份合并财务报表中商誉的期 初账面价值为</w:t>
      </w:r>
      <w:r>
        <w:rPr>
          <w:rFonts w:ascii="Times New Roman" w:eastAsia="Times New Roman" w:hAnsi="Times New Roman" w:cs="Times New Roman"/>
          <w:color w:val="000000"/>
          <w:spacing w:val="0"/>
          <w:w w:val="100"/>
          <w:position w:val="0"/>
        </w:rPr>
        <w:t>49,358.60</w:t>
      </w:r>
      <w:r>
        <w:rPr>
          <w:color w:val="000000"/>
          <w:spacing w:val="0"/>
          <w:w w:val="100"/>
          <w:position w:val="0"/>
        </w:rPr>
        <w:t>万元，本期计提减值准备</w:t>
      </w:r>
      <w:r>
        <w:rPr>
          <w:rFonts w:ascii="Times New Roman" w:eastAsia="Times New Roman" w:hAnsi="Times New Roman" w:cs="Times New Roman"/>
          <w:color w:val="000000"/>
          <w:spacing w:val="0"/>
          <w:w w:val="100"/>
          <w:position w:val="0"/>
        </w:rPr>
        <w:t>49,358.60</w:t>
      </w:r>
      <w:r>
        <w:rPr>
          <w:color w:val="000000"/>
          <w:spacing w:val="0"/>
          <w:w w:val="100"/>
          <w:position w:val="0"/>
        </w:rPr>
        <w:t>万元。</w:t>
      </w:r>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商誉的期初账面价值</w:t>
      </w:r>
      <w:r>
        <w:rPr>
          <w:rFonts w:ascii="Times New Roman" w:eastAsia="Times New Roman" w:hAnsi="Times New Roman" w:cs="Times New Roman"/>
          <w:color w:val="000000"/>
          <w:spacing w:val="0"/>
          <w:w w:val="100"/>
          <w:position w:val="0"/>
        </w:rPr>
        <w:t>49,358.60</w:t>
      </w:r>
      <w:r>
        <w:rPr>
          <w:color w:val="000000"/>
          <w:spacing w:val="0"/>
          <w:w w:val="100"/>
          <w:position w:val="0"/>
        </w:rPr>
        <w:t>万元均为非同一控制下合并深圳满泰所形成。管理层在进行商誉减值 测试时作出了估值判断，计算中采用的关键指标包括：报告期收入增长率及后续预测期收入增长率、毛利 率、折现率等涉及管理层的重大判断。该等估计均存在固有不确定性，受管理层对未来市场以及对经济环 境判断的影响，采用不同的估计和假设会对评估的商誉可收回价值有很大的影响。</w:t>
      </w:r>
    </w:p>
    <w:p>
      <w:pPr>
        <w:pStyle w:val="Style38"/>
        <w:keepNext w:val="0"/>
        <w:keepLines w:val="0"/>
        <w:widowControl w:val="0"/>
        <w:shd w:val="clear" w:color="auto" w:fill="auto"/>
        <w:bidi w:val="0"/>
        <w:spacing w:before="0" w:after="160" w:line="413" w:lineRule="exact"/>
        <w:ind w:left="0" w:right="0" w:firstLine="440"/>
        <w:jc w:val="left"/>
      </w:pPr>
      <w:r>
        <w:rPr>
          <w:color w:val="000000"/>
          <w:spacing w:val="0"/>
          <w:w w:val="100"/>
          <w:position w:val="0"/>
        </w:rPr>
        <w:t>由于商誉金额较大，且减值测试需要管理层的重大判断，我们将商誉减值确定为关键审计事项。</w:t>
      </w:r>
    </w:p>
    <w:p>
      <w:pPr>
        <w:pStyle w:val="Style38"/>
        <w:keepNext w:val="0"/>
        <w:keepLines w:val="0"/>
        <w:widowControl w:val="0"/>
        <w:numPr>
          <w:ilvl w:val="0"/>
          <w:numId w:val="19"/>
        </w:numPr>
        <w:shd w:val="clear" w:color="auto" w:fill="auto"/>
        <w:tabs>
          <w:tab w:pos="774" w:val="left"/>
        </w:tabs>
        <w:bidi w:val="0"/>
        <w:spacing w:before="0" w:after="0" w:line="432" w:lineRule="auto"/>
        <w:ind w:left="0" w:right="0" w:firstLine="440"/>
        <w:jc w:val="both"/>
      </w:pPr>
      <w:bookmarkStart w:id="743" w:name="bookmark743"/>
      <w:bookmarkEnd w:id="743"/>
      <w:r>
        <w:rPr>
          <w:color w:val="000000"/>
          <w:spacing w:val="0"/>
          <w:w w:val="100"/>
          <w:position w:val="0"/>
        </w:rPr>
        <w:t>审计应对</w:t>
      </w:r>
    </w:p>
    <w:p>
      <w:pPr>
        <w:pStyle w:val="Style38"/>
        <w:keepNext w:val="0"/>
        <w:keepLines w:val="0"/>
        <w:widowControl w:val="0"/>
        <w:shd w:val="clear" w:color="auto" w:fill="auto"/>
        <w:tabs>
          <w:tab w:pos="928" w:val="left"/>
        </w:tabs>
        <w:bidi w:val="0"/>
        <w:spacing w:before="0" w:after="0" w:line="418" w:lineRule="exact"/>
        <w:ind w:left="0" w:right="0" w:firstLine="440"/>
        <w:jc w:val="left"/>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1</w:t>
      </w:r>
      <w:r>
        <w:rPr>
          <w:color w:val="000000"/>
          <w:spacing w:val="0"/>
          <w:w w:val="100"/>
          <w:position w:val="0"/>
        </w:rPr>
        <w:t>）</w:t>
        <w:tab/>
        <w:t>评价与管理层确定商誉可收回金额相关的关键内部控制的设计和运行有效性。</w:t>
      </w:r>
    </w:p>
    <w:p>
      <w:pPr>
        <w:pStyle w:val="Style38"/>
        <w:keepNext w:val="0"/>
        <w:keepLines w:val="0"/>
        <w:widowControl w:val="0"/>
        <w:shd w:val="clear" w:color="auto" w:fill="auto"/>
        <w:tabs>
          <w:tab w:pos="928" w:val="left"/>
        </w:tabs>
        <w:bidi w:val="0"/>
        <w:spacing w:before="0" w:after="0" w:line="418" w:lineRule="exact"/>
        <w:ind w:left="0" w:right="0" w:firstLine="440"/>
        <w:jc w:val="left"/>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2</w:t>
      </w:r>
      <w:r>
        <w:rPr>
          <w:color w:val="000000"/>
          <w:spacing w:val="0"/>
          <w:w w:val="100"/>
          <w:position w:val="0"/>
        </w:rPr>
        <w:t>）</w:t>
        <w:tab/>
        <w:t>复核管理层对资产组的认定和商誉的分摊方法。</w:t>
      </w:r>
    </w:p>
    <w:p>
      <w:pPr>
        <w:pStyle w:val="Style38"/>
        <w:keepNext w:val="0"/>
        <w:keepLines w:val="0"/>
        <w:widowControl w:val="0"/>
        <w:shd w:val="clear" w:color="auto" w:fill="auto"/>
        <w:tabs>
          <w:tab w:pos="1021" w:val="left"/>
        </w:tabs>
        <w:bidi w:val="0"/>
        <w:spacing w:before="0" w:after="0" w:line="418" w:lineRule="exact"/>
        <w:ind w:left="0" w:right="0" w:firstLine="44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3</w:t>
      </w:r>
      <w:r>
        <w:rPr>
          <w:color w:val="000000"/>
          <w:spacing w:val="0"/>
          <w:w w:val="100"/>
          <w:position w:val="0"/>
        </w:rPr>
        <w:t>）</w:t>
        <w:tab/>
        <w:t>与管理层聘请的外部评估机构专家等讨论商誉减值测试过程中所使用的方法、关键评估的假设、 参数的选择、预测未来收入及现金流折现率等的合理性。</w:t>
      </w:r>
    </w:p>
    <w:p>
      <w:pPr>
        <w:pStyle w:val="Style38"/>
        <w:keepNext w:val="0"/>
        <w:keepLines w:val="0"/>
        <w:widowControl w:val="0"/>
        <w:shd w:val="clear" w:color="auto" w:fill="auto"/>
        <w:tabs>
          <w:tab w:pos="1011" w:val="left"/>
        </w:tabs>
        <w:bidi w:val="0"/>
        <w:spacing w:before="0" w:after="0" w:line="418" w:lineRule="exact"/>
        <w:ind w:left="0" w:right="0" w:firstLine="44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4</w:t>
      </w:r>
      <w:r>
        <w:rPr>
          <w:color w:val="000000"/>
          <w:spacing w:val="0"/>
          <w:w w:val="100"/>
          <w:position w:val="0"/>
        </w:rPr>
        <w:t>）</w:t>
        <w:tab/>
        <w:t>将公司管理层在商誉减值测试过程中使用的关键假设和参数与公司董事会批准的财务预算和报 告日期后签订的协议作对比。</w:t>
      </w:r>
    </w:p>
    <w:p>
      <w:pPr>
        <w:pStyle w:val="Style38"/>
        <w:keepNext w:val="0"/>
        <w:keepLines w:val="0"/>
        <w:widowControl w:val="0"/>
        <w:shd w:val="clear" w:color="auto" w:fill="auto"/>
        <w:tabs>
          <w:tab w:pos="1021" w:val="left"/>
        </w:tabs>
        <w:bidi w:val="0"/>
        <w:spacing w:before="0" w:after="0" w:line="418" w:lineRule="exact"/>
        <w:ind w:left="0" w:right="0" w:firstLine="44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5</w:t>
      </w:r>
      <w:r>
        <w:rPr>
          <w:color w:val="000000"/>
          <w:spacing w:val="0"/>
          <w:w w:val="100"/>
          <w:position w:val="0"/>
        </w:rPr>
        <w:t>）</w:t>
        <w:tab/>
        <w:t>将公司管理层在以往年度商誉减值测试过程中所使用的关键假设和参数、预测的未来收入及现 金流量等，与本年度所使用的关键假设和参数、本年经营业绩等作对比，以评估管理层预测过程的可靠性 和历史准确性。</w:t>
      </w:r>
    </w:p>
    <w:p>
      <w:pPr>
        <w:pStyle w:val="Style38"/>
        <w:keepNext w:val="0"/>
        <w:keepLines w:val="0"/>
        <w:widowControl w:val="0"/>
        <w:shd w:val="clear" w:color="auto" w:fill="auto"/>
        <w:tabs>
          <w:tab w:pos="1021" w:val="left"/>
        </w:tabs>
        <w:bidi w:val="0"/>
        <w:spacing w:before="0" w:after="0" w:line="418" w:lineRule="exact"/>
        <w:ind w:left="0" w:right="0" w:firstLine="44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6</w:t>
      </w:r>
      <w:r>
        <w:rPr>
          <w:color w:val="000000"/>
          <w:spacing w:val="0"/>
          <w:w w:val="100"/>
          <w:position w:val="0"/>
        </w:rPr>
        <w:t>）</w:t>
        <w:tab/>
        <w:t>结合同行业标准、宏观经济和所属行业的发展趋势等，评估商誉减值测试过程中所使用的关键 假设和参数的合理性。</w:t>
      </w:r>
    </w:p>
    <w:p>
      <w:pPr>
        <w:pStyle w:val="Style38"/>
        <w:keepNext w:val="0"/>
        <w:keepLines w:val="0"/>
        <w:widowControl w:val="0"/>
        <w:shd w:val="clear" w:color="auto" w:fill="auto"/>
        <w:tabs>
          <w:tab w:pos="1021" w:val="left"/>
        </w:tabs>
        <w:bidi w:val="0"/>
        <w:spacing w:before="0" w:after="0" w:line="422" w:lineRule="exact"/>
        <w:ind w:left="0" w:right="0" w:firstLine="44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7</w:t>
      </w:r>
      <w:r>
        <w:rPr>
          <w:color w:val="000000"/>
          <w:spacing w:val="0"/>
          <w:w w:val="100"/>
          <w:position w:val="0"/>
        </w:rPr>
        <w:t>）</w:t>
        <w:tab/>
        <w:t>取得管理层在商誉减值测试过程中对所采用的关键假设指标的敏感性分析，并考虑由此对各年 度减值数额所产生的影响以及是否存在管理层偏向的迹象。</w:t>
      </w:r>
    </w:p>
    <w:p>
      <w:pPr>
        <w:pStyle w:val="Style38"/>
        <w:keepNext w:val="0"/>
        <w:keepLines w:val="0"/>
        <w:widowControl w:val="0"/>
        <w:shd w:val="clear" w:color="auto" w:fill="auto"/>
        <w:tabs>
          <w:tab w:pos="928" w:val="left"/>
        </w:tabs>
        <w:bidi w:val="0"/>
        <w:spacing w:before="0" w:after="0" w:line="422" w:lineRule="exact"/>
        <w:ind w:left="0" w:right="0" w:firstLine="440"/>
        <w:jc w:val="left"/>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8</w:t>
      </w:r>
      <w:r>
        <w:rPr>
          <w:color w:val="000000"/>
          <w:spacing w:val="0"/>
          <w:w w:val="100"/>
          <w:position w:val="0"/>
        </w:rPr>
        <w:t>）</w:t>
        <w:tab/>
        <w:t>评价由公司管理层聘请的外部评估机构的独立性、客观性、经验和资质。</w:t>
      </w:r>
    </w:p>
    <w:p>
      <w:pPr>
        <w:pStyle w:val="Style38"/>
        <w:keepNext w:val="0"/>
        <w:keepLines w:val="0"/>
        <w:widowControl w:val="0"/>
        <w:shd w:val="clear" w:color="auto" w:fill="auto"/>
        <w:tabs>
          <w:tab w:pos="928" w:val="left"/>
        </w:tabs>
        <w:bidi w:val="0"/>
        <w:spacing w:before="0" w:after="0" w:line="418" w:lineRule="exact"/>
        <w:ind w:left="0" w:right="0" w:firstLine="440"/>
        <w:jc w:val="left"/>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9</w:t>
      </w:r>
      <w:r>
        <w:rPr>
          <w:color w:val="000000"/>
          <w:spacing w:val="0"/>
          <w:w w:val="100"/>
          <w:position w:val="0"/>
        </w:rPr>
        <w:t>）</w:t>
        <w:tab/>
        <w:t>测试未来现金流量净现值的计算是否准确。</w:t>
      </w:r>
    </w:p>
    <w:p>
      <w:pPr>
        <w:pStyle w:val="Style38"/>
        <w:keepNext w:val="0"/>
        <w:keepLines w:val="0"/>
        <w:widowControl w:val="0"/>
        <w:shd w:val="clear" w:color="auto" w:fill="auto"/>
        <w:tabs>
          <w:tab w:pos="1034" w:val="left"/>
        </w:tabs>
        <w:bidi w:val="0"/>
        <w:spacing w:before="0" w:after="0" w:line="418" w:lineRule="exact"/>
        <w:ind w:left="0" w:right="0" w:firstLine="440"/>
        <w:jc w:val="left"/>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10</w:t>
      </w:r>
      <w:r>
        <w:rPr>
          <w:color w:val="000000"/>
          <w:spacing w:val="0"/>
          <w:w w:val="100"/>
          <w:position w:val="0"/>
        </w:rPr>
        <w:t>）</w:t>
        <w:tab/>
        <w:t>评估管理层于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日对商誉及其减值估计结果、财务报表的披露是否恰当。</w:t>
      </w:r>
    </w:p>
    <w:p>
      <w:pPr>
        <w:pStyle w:val="Style38"/>
        <w:keepNext w:val="0"/>
        <w:keepLines w:val="0"/>
        <w:widowControl w:val="0"/>
        <w:shd w:val="clear" w:color="auto" w:fill="auto"/>
        <w:bidi w:val="0"/>
        <w:spacing w:before="0" w:after="0" w:line="418" w:lineRule="exact"/>
        <w:ind w:left="0" w:right="0" w:firstLine="440"/>
        <w:jc w:val="left"/>
      </w:pPr>
      <w:r>
        <w:rPr>
          <w:color w:val="000000"/>
          <w:spacing w:val="0"/>
          <w:w w:val="100"/>
          <w:position w:val="0"/>
        </w:rPr>
        <w:t>基于已执行的审计工作，我们认为，管理层对商誉减值的相关判断是合理的。</w:t>
      </w:r>
    </w:p>
    <w:p>
      <w:pPr>
        <w:pStyle w:val="Style26"/>
        <w:keepNext/>
        <w:keepLines/>
        <w:widowControl w:val="0"/>
        <w:shd w:val="clear" w:color="auto" w:fill="auto"/>
        <w:tabs>
          <w:tab w:pos="918" w:val="left"/>
        </w:tabs>
        <w:bidi w:val="0"/>
        <w:spacing w:before="0" w:after="0" w:line="418" w:lineRule="exact"/>
        <w:ind w:left="0" w:right="0" w:firstLine="440"/>
        <w:jc w:val="both"/>
        <w:rPr>
          <w:sz w:val="20"/>
          <w:szCs w:val="20"/>
        </w:rPr>
      </w:pPr>
      <w:bookmarkStart w:id="754" w:name="bookmark754"/>
      <w:bookmarkStart w:id="755" w:name="bookmark755"/>
      <w:bookmarkStart w:id="756" w:name="bookmark756"/>
      <w:bookmarkStart w:id="757" w:name="bookmark757"/>
      <w:r>
        <w:rPr>
          <w:color w:val="000000"/>
          <w:spacing w:val="0"/>
          <w:w w:val="100"/>
          <w:position w:val="0"/>
          <w:sz w:val="20"/>
          <w:szCs w:val="20"/>
        </w:rPr>
        <w:t>五</w:t>
      </w:r>
      <w:bookmarkEnd w:id="756"/>
      <w:r>
        <w:rPr>
          <w:color w:val="000000"/>
          <w:spacing w:val="0"/>
          <w:w w:val="100"/>
          <w:position w:val="0"/>
          <w:sz w:val="20"/>
          <w:szCs w:val="20"/>
        </w:rPr>
        <w:t>、</w:t>
        <w:tab/>
        <w:t>其他信息</w:t>
      </w:r>
      <w:bookmarkEnd w:id="754"/>
      <w:bookmarkEnd w:id="755"/>
      <w:bookmarkEnd w:id="757"/>
    </w:p>
    <w:p>
      <w:pPr>
        <w:pStyle w:val="Style38"/>
        <w:keepNext w:val="0"/>
        <w:keepLines w:val="0"/>
        <w:widowControl w:val="0"/>
        <w:shd w:val="clear" w:color="auto" w:fill="auto"/>
        <w:bidi w:val="0"/>
        <w:spacing w:before="0" w:after="0" w:line="418" w:lineRule="exact"/>
        <w:ind w:left="0" w:right="0" w:firstLine="440"/>
        <w:jc w:val="both"/>
      </w:pPr>
      <w:r>
        <w:rPr>
          <w:color w:val="000000"/>
          <w:spacing w:val="0"/>
          <w:w w:val="100"/>
          <w:position w:val="0"/>
        </w:rPr>
        <w:t>蓝盾股份管理层对其他信息负责。其他信息包括蓝盾股份</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 财务报表和我们的审计报告。</w:t>
      </w:r>
    </w:p>
    <w:p>
      <w:pPr>
        <w:pStyle w:val="Style38"/>
        <w:keepNext w:val="0"/>
        <w:keepLines w:val="0"/>
        <w:widowControl w:val="0"/>
        <w:shd w:val="clear" w:color="auto" w:fill="auto"/>
        <w:bidi w:val="0"/>
        <w:spacing w:before="0" w:after="0" w:line="422"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38"/>
        <w:keepNext w:val="0"/>
        <w:keepLines w:val="0"/>
        <w:widowControl w:val="0"/>
        <w:shd w:val="clear" w:color="auto" w:fill="auto"/>
        <w:bidi w:val="0"/>
        <w:spacing w:before="0" w:after="0" w:line="422"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26"/>
        <w:keepNext/>
        <w:keepLines/>
        <w:widowControl w:val="0"/>
        <w:shd w:val="clear" w:color="auto" w:fill="auto"/>
        <w:tabs>
          <w:tab w:pos="918" w:val="left"/>
        </w:tabs>
        <w:bidi w:val="0"/>
        <w:spacing w:before="0" w:after="0" w:line="422" w:lineRule="exact"/>
        <w:ind w:left="0" w:right="0" w:firstLine="440"/>
        <w:jc w:val="both"/>
        <w:rPr>
          <w:sz w:val="20"/>
          <w:szCs w:val="20"/>
        </w:rPr>
      </w:pPr>
      <w:bookmarkStart w:id="758" w:name="bookmark758"/>
      <w:bookmarkStart w:id="759" w:name="bookmark759"/>
      <w:bookmarkStart w:id="760" w:name="bookmark760"/>
      <w:bookmarkStart w:id="761" w:name="bookmark761"/>
      <w:r>
        <w:rPr>
          <w:color w:val="000000"/>
          <w:spacing w:val="0"/>
          <w:w w:val="100"/>
          <w:position w:val="0"/>
          <w:sz w:val="20"/>
          <w:szCs w:val="20"/>
        </w:rPr>
        <w:t>六</w:t>
      </w:r>
      <w:bookmarkEnd w:id="760"/>
      <w:r>
        <w:rPr>
          <w:color w:val="000000"/>
          <w:spacing w:val="0"/>
          <w:w w:val="100"/>
          <w:position w:val="0"/>
          <w:sz w:val="20"/>
          <w:szCs w:val="20"/>
        </w:rPr>
        <w:t>、</w:t>
        <w:tab/>
        <w:t>管理层和治理层对财务报表的责任</w:t>
      </w:r>
      <w:bookmarkEnd w:id="758"/>
      <w:bookmarkEnd w:id="759"/>
      <w:bookmarkEnd w:id="761"/>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蓝盾股份管理层负责按照企业会计准则的规定编制财务报表，使其实现公允反映，并设计、执行和维 护必要的内部控制，以使财务报表不存在由于舞弊或错误导致的重大错报。</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在编制财务报表时，蓝盾股份管理层负责评估蓝盾股份的持续经营能力，披露与持续经营相关的事项 （如适用），并运用持续经营假设，除非管理层计划清算蓝盾股份、终止运营或别无其他现实的选择。</w:t>
      </w:r>
    </w:p>
    <w:p>
      <w:pPr>
        <w:pStyle w:val="Style38"/>
        <w:keepNext w:val="0"/>
        <w:keepLines w:val="0"/>
        <w:widowControl w:val="0"/>
        <w:shd w:val="clear" w:color="auto" w:fill="auto"/>
        <w:bidi w:val="0"/>
        <w:spacing w:before="0" w:after="0" w:line="416" w:lineRule="exact"/>
        <w:ind w:left="0" w:right="0" w:firstLine="440"/>
        <w:jc w:val="both"/>
      </w:pPr>
      <w:r>
        <w:rPr>
          <w:color w:val="000000"/>
          <w:spacing w:val="0"/>
          <w:w w:val="100"/>
          <w:position w:val="0"/>
        </w:rPr>
        <w:t>治理层负责监督蓝盾股份的财务报告过程。</w:t>
      </w:r>
    </w:p>
    <w:p>
      <w:pPr>
        <w:pStyle w:val="Style26"/>
        <w:keepNext/>
        <w:keepLines/>
        <w:widowControl w:val="0"/>
        <w:shd w:val="clear" w:color="auto" w:fill="auto"/>
        <w:tabs>
          <w:tab w:pos="923" w:val="left"/>
        </w:tabs>
        <w:bidi w:val="0"/>
        <w:spacing w:before="0" w:after="0" w:line="416" w:lineRule="exact"/>
        <w:ind w:left="0" w:right="0" w:firstLine="440"/>
        <w:jc w:val="both"/>
        <w:rPr>
          <w:sz w:val="20"/>
          <w:szCs w:val="20"/>
        </w:rPr>
      </w:pPr>
      <w:bookmarkStart w:id="762" w:name="bookmark762"/>
      <w:bookmarkStart w:id="763" w:name="bookmark763"/>
      <w:bookmarkStart w:id="764" w:name="bookmark764"/>
      <w:bookmarkStart w:id="765" w:name="bookmark765"/>
      <w:r>
        <w:rPr>
          <w:color w:val="000000"/>
          <w:spacing w:val="0"/>
          <w:w w:val="100"/>
          <w:position w:val="0"/>
          <w:sz w:val="20"/>
          <w:szCs w:val="20"/>
        </w:rPr>
        <w:t>七</w:t>
      </w:r>
      <w:bookmarkEnd w:id="764"/>
      <w:r>
        <w:rPr>
          <w:color w:val="000000"/>
          <w:spacing w:val="0"/>
          <w:w w:val="100"/>
          <w:position w:val="0"/>
          <w:sz w:val="20"/>
          <w:szCs w:val="20"/>
        </w:rPr>
        <w:t>、</w:t>
        <w:tab/>
        <w:t>注册会计师对财务报表审计的责任</w:t>
      </w:r>
      <w:bookmarkEnd w:id="762"/>
      <w:bookmarkEnd w:id="763"/>
      <w:bookmarkEnd w:id="765"/>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38"/>
        <w:keepNext w:val="0"/>
        <w:keepLines w:val="0"/>
        <w:widowControl w:val="0"/>
        <w:numPr>
          <w:ilvl w:val="0"/>
          <w:numId w:val="21"/>
        </w:numPr>
        <w:shd w:val="clear" w:color="auto" w:fill="auto"/>
        <w:tabs>
          <w:tab w:pos="752" w:val="left"/>
        </w:tabs>
        <w:bidi w:val="0"/>
        <w:spacing w:before="0" w:after="0" w:line="410" w:lineRule="exact"/>
        <w:ind w:left="0" w:right="0" w:firstLine="440"/>
        <w:jc w:val="both"/>
      </w:pPr>
      <w:bookmarkStart w:id="766" w:name="bookmark766"/>
      <w:bookmarkEnd w:id="766"/>
      <w:r>
        <w:rPr>
          <w:color w:val="000000"/>
          <w:spacing w:val="0"/>
          <w:w w:val="100"/>
          <w:position w:val="0"/>
        </w:rPr>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38"/>
        <w:keepNext w:val="0"/>
        <w:keepLines w:val="0"/>
        <w:widowControl w:val="0"/>
        <w:numPr>
          <w:ilvl w:val="0"/>
          <w:numId w:val="21"/>
        </w:numPr>
        <w:shd w:val="clear" w:color="auto" w:fill="auto"/>
        <w:tabs>
          <w:tab w:pos="774" w:val="left"/>
        </w:tabs>
        <w:bidi w:val="0"/>
        <w:spacing w:before="0" w:after="0" w:line="416" w:lineRule="exact"/>
        <w:ind w:left="0" w:right="0" w:firstLine="440"/>
        <w:jc w:val="both"/>
      </w:pPr>
      <w:bookmarkStart w:id="767" w:name="bookmark767"/>
      <w:bookmarkEnd w:id="767"/>
      <w:r>
        <w:rPr>
          <w:color w:val="000000"/>
          <w:spacing w:val="0"/>
          <w:w w:val="100"/>
          <w:position w:val="0"/>
        </w:rPr>
        <w:t>了解与审计相关的内部控制，以设计恰当的审计程序，但目的并非对内部控制的有效性发表意见。</w:t>
      </w:r>
    </w:p>
    <w:p>
      <w:pPr>
        <w:pStyle w:val="Style38"/>
        <w:keepNext w:val="0"/>
        <w:keepLines w:val="0"/>
        <w:widowControl w:val="0"/>
        <w:numPr>
          <w:ilvl w:val="0"/>
          <w:numId w:val="21"/>
        </w:numPr>
        <w:shd w:val="clear" w:color="auto" w:fill="auto"/>
        <w:tabs>
          <w:tab w:pos="774" w:val="left"/>
        </w:tabs>
        <w:bidi w:val="0"/>
        <w:spacing w:before="0" w:after="0" w:line="416" w:lineRule="exact"/>
        <w:ind w:left="0" w:right="0" w:firstLine="440"/>
        <w:jc w:val="both"/>
      </w:pPr>
      <w:bookmarkStart w:id="768" w:name="bookmark768"/>
      <w:bookmarkEnd w:id="768"/>
      <w:r>
        <w:rPr>
          <w:color w:val="000000"/>
          <w:spacing w:val="0"/>
          <w:w w:val="100"/>
          <w:position w:val="0"/>
        </w:rPr>
        <w:t>评价管理层选用会计政策的恰当性和作出会计估计及相关披露的合理性。</w:t>
      </w:r>
    </w:p>
    <w:p>
      <w:pPr>
        <w:pStyle w:val="Style38"/>
        <w:keepNext w:val="0"/>
        <w:keepLines w:val="0"/>
        <w:widowControl w:val="0"/>
        <w:numPr>
          <w:ilvl w:val="0"/>
          <w:numId w:val="21"/>
        </w:numPr>
        <w:shd w:val="clear" w:color="auto" w:fill="auto"/>
        <w:tabs>
          <w:tab w:pos="752" w:val="left"/>
        </w:tabs>
        <w:bidi w:val="0"/>
        <w:spacing w:before="0" w:after="0" w:line="416" w:lineRule="exact"/>
        <w:ind w:left="0" w:right="0" w:firstLine="440"/>
        <w:jc w:val="both"/>
      </w:pPr>
      <w:bookmarkStart w:id="769" w:name="bookmark769"/>
      <w:bookmarkEnd w:id="769"/>
      <w:r>
        <w:rPr>
          <w:color w:val="000000"/>
          <w:spacing w:val="0"/>
          <w:w w:val="100"/>
          <w:position w:val="0"/>
        </w:rPr>
        <w:t>对管理层使用持续经营假设的恰当性得出结论。同时，根据获取的审计证据，就可能导致对蓝盾股 份持续经营能力产生重大疑虑的事项或情况是否存在重大不确定性得出结论。如果我们得出结论认为存在 重大不确定性，审计准则要求我们在审计报告中提请报告使用者注意财务报表中的相关披露；如果披露不 充分，我们应当发表非无保留意见。我们的结论基于截至审计报告日可获得的信息。然而，未来的事项或 情况可能导致蓝盾股份不能持续经营。</w:t>
      </w:r>
    </w:p>
    <w:p>
      <w:pPr>
        <w:pStyle w:val="Style38"/>
        <w:keepNext w:val="0"/>
        <w:keepLines w:val="0"/>
        <w:widowControl w:val="0"/>
        <w:numPr>
          <w:ilvl w:val="0"/>
          <w:numId w:val="21"/>
        </w:numPr>
        <w:shd w:val="clear" w:color="auto" w:fill="auto"/>
        <w:bidi w:val="0"/>
        <w:spacing w:before="0" w:after="0" w:line="416" w:lineRule="exact"/>
        <w:ind w:left="0" w:right="0" w:firstLine="440"/>
        <w:jc w:val="both"/>
      </w:pPr>
      <w:bookmarkStart w:id="770" w:name="bookmark770"/>
      <w:bookmarkEnd w:id="770"/>
      <w:r>
        <w:rPr>
          <w:rFonts w:ascii="Times New Roman" w:eastAsia="Times New Roman" w:hAnsi="Times New Roman" w:cs="Times New Roman"/>
          <w:color w:val="000000"/>
          <w:spacing w:val="0"/>
          <w:w w:val="100"/>
          <w:position w:val="0"/>
        </w:rPr>
        <w:t xml:space="preserve"> </w:t>
      </w:r>
      <w:r>
        <w:rPr>
          <w:color w:val="000000"/>
          <w:spacing w:val="0"/>
          <w:w w:val="100"/>
          <w:position w:val="0"/>
        </w:rPr>
        <w:t>评价财务报表的总体列报、结构和内容，并评价财务报表是否公允反映相关交易和事项。</w:t>
      </w:r>
    </w:p>
    <w:p>
      <w:pPr>
        <w:pStyle w:val="Style38"/>
        <w:keepNext w:val="0"/>
        <w:keepLines w:val="0"/>
        <w:widowControl w:val="0"/>
        <w:numPr>
          <w:ilvl w:val="0"/>
          <w:numId w:val="21"/>
        </w:numPr>
        <w:shd w:val="clear" w:color="auto" w:fill="auto"/>
        <w:tabs>
          <w:tab w:pos="757" w:val="left"/>
        </w:tabs>
        <w:bidi w:val="0"/>
        <w:spacing w:before="0" w:after="0" w:line="416" w:lineRule="exact"/>
        <w:ind w:left="0" w:right="0" w:firstLine="440"/>
        <w:jc w:val="both"/>
      </w:pPr>
      <w:bookmarkStart w:id="771" w:name="bookmark771"/>
      <w:bookmarkEnd w:id="771"/>
      <w:r>
        <w:rPr>
          <w:color w:val="000000"/>
          <w:spacing w:val="0"/>
          <w:w w:val="100"/>
          <w:position w:val="0"/>
        </w:rPr>
        <w:t>就蓝盾股份中实体或业务活动的财务信息获取充分、适当的审计证据，以对财务报表发表意见。我 们负责指导、监督和执行集团审计。我们对审计意见承担全部责任。</w:t>
      </w:r>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8"/>
        <w:keepNext w:val="0"/>
        <w:keepLines w:val="0"/>
        <w:widowControl w:val="0"/>
        <w:shd w:val="clear" w:color="auto" w:fill="auto"/>
        <w:bidi w:val="0"/>
        <w:spacing w:before="0" w:after="1060" w:line="406"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8"/>
        <w:keepNext w:val="0"/>
        <w:keepLines w:val="0"/>
        <w:widowControl w:val="0"/>
        <w:shd w:val="clear" w:color="auto" w:fill="auto"/>
        <w:tabs>
          <w:tab w:pos="5102" w:val="left"/>
        </w:tabs>
        <w:bidi w:val="0"/>
        <w:spacing w:before="0" w:after="420" w:line="240" w:lineRule="auto"/>
        <w:ind w:left="0" w:right="0" w:firstLine="0"/>
        <w:jc w:val="center"/>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w:t>
      </w:r>
    </w:p>
    <w:p>
      <w:pPr>
        <w:pStyle w:val="Style38"/>
        <w:keepNext w:val="0"/>
        <w:keepLines w:val="0"/>
        <w:widowControl w:val="0"/>
        <w:shd w:val="clear" w:color="auto" w:fill="auto"/>
        <w:tabs>
          <w:tab w:pos="2438" w:val="left"/>
        </w:tabs>
        <w:bidi w:val="0"/>
        <w:spacing w:before="0" w:after="780" w:line="240" w:lineRule="auto"/>
        <w:ind w:left="0" w:right="320" w:firstLine="0"/>
        <w:jc w:val="right"/>
      </w:pPr>
      <w:r>
        <w:rPr>
          <w:color w:val="000000"/>
          <w:spacing w:val="0"/>
          <w:w w:val="100"/>
          <w:position w:val="0"/>
        </w:rPr>
        <w:t>（项目合伙人）</w:t>
        <w:tab/>
        <w:t>张晓辉</w:t>
      </w:r>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rFonts w:ascii="Times New Roman" w:eastAsia="Times New Roman" w:hAnsi="Times New Roman" w:cs="Times New Roman"/>
          <w:b/>
          <w:bCs/>
          <w:color w:val="000000"/>
          <w:spacing w:val="0"/>
          <w:w w:val="100"/>
          <w:position w:val="0"/>
        </w:rPr>
        <w:t>•</w:t>
      </w:r>
      <w:r>
        <w:rPr>
          <w:color w:val="000000"/>
          <w:spacing w:val="0"/>
          <w:w w:val="100"/>
          <w:position w:val="0"/>
        </w:rPr>
        <w:t>北京</w:t>
      </w:r>
    </w:p>
    <w:p>
      <w:pPr>
        <w:pStyle w:val="Style38"/>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中国注册会计师：</w:t>
      </w:r>
    </w:p>
    <w:p>
      <w:pPr>
        <w:pStyle w:val="Style38"/>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熊玲</w:t>
      </w:r>
    </w:p>
    <w:p>
      <w:pPr>
        <w:pStyle w:val="Style38"/>
        <w:keepNext w:val="0"/>
        <w:keepLines w:val="0"/>
        <w:widowControl w:val="0"/>
        <w:shd w:val="clear" w:color="auto" w:fill="auto"/>
        <w:bidi w:val="0"/>
        <w:spacing w:before="0" w:after="840" w:line="240" w:lineRule="auto"/>
        <w:ind w:left="6480" w:right="0" w:firstLine="0"/>
        <w:jc w:val="both"/>
      </w:pPr>
      <w:bookmarkStart w:id="772" w:name="bookmark772"/>
      <w:r>
        <w:rPr>
          <w:color w:val="000000"/>
          <w:spacing w:val="0"/>
          <w:w w:val="100"/>
          <w:position w:val="0"/>
        </w:rPr>
        <w:t>二</w:t>
      </w:r>
      <w:bookmarkEnd w:id="772"/>
      <w:r>
        <w:rPr>
          <w:color w:val="000000"/>
          <w:spacing w:val="0"/>
          <w:w w:val="100"/>
          <w:position w:val="0"/>
        </w:rPr>
        <w:t>。二一年四月二十八日</w:t>
      </w:r>
    </w:p>
    <w:p>
      <w:pPr>
        <w:pStyle w:val="Style26"/>
        <w:keepNext/>
        <w:keepLines/>
        <w:widowControl w:val="0"/>
        <w:shd w:val="clear" w:color="auto" w:fill="auto"/>
        <w:bidi w:val="0"/>
        <w:spacing w:before="0" w:after="380" w:line="240" w:lineRule="auto"/>
        <w:ind w:left="0" w:right="0" w:firstLine="0"/>
        <w:jc w:val="left"/>
      </w:pPr>
      <w:bookmarkStart w:id="773" w:name="bookmark773"/>
      <w:bookmarkStart w:id="774" w:name="bookmark774"/>
      <w:bookmarkStart w:id="775" w:name="bookmark775"/>
      <w:r>
        <w:rPr>
          <w:color w:val="000000"/>
          <w:spacing w:val="0"/>
          <w:w w:val="100"/>
          <w:position w:val="0"/>
        </w:rPr>
        <w:t>二、财务报表</w:t>
      </w:r>
      <w:bookmarkEnd w:id="773"/>
      <w:bookmarkEnd w:id="774"/>
      <w:bookmarkEnd w:id="77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5"/>
        <w:keepNext/>
        <w:keepLines/>
        <w:widowControl w:val="0"/>
        <w:shd w:val="clear" w:color="auto" w:fill="auto"/>
        <w:bidi w:val="0"/>
        <w:spacing w:before="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color w:val="000000"/>
          <w:spacing w:val="0"/>
          <w:w w:val="100"/>
          <w:position w:val="0"/>
        </w:rPr>
        <w:t>、合并资产负债表</w:t>
      </w:r>
      <w:bookmarkEnd w:id="776"/>
      <w:bookmarkEnd w:id="777"/>
      <w:bookmarkEnd w:id="779"/>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编制单位：蓝盾信息安全技术股份有限公司</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69,313,030.80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275,044,709.06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9,699,751.69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12,664,211.51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3,063,284,697.92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2,939,498,025.89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1,200,563,000.08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1,290,699,572.81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76,630,545.73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42,079,533.37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142,862,832.00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220,824,023.43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175,200,955.48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1,833,177.93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2,095,374.76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78,186,004.47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81,358,816.77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4,642,373,040.62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5,039,465,223.08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42,617,175.86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38,496,731.98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10,409,079.40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10,409,196.20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16,495,210.00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26,585,470.00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490,689,289.99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767,617,444.95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1,223,942,024.15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1,303,940,905.12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327,545,477.59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388,997,804.89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8,520,564.46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493,586,016.88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2,460,713.96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6,705,599.34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167,958,656.26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156,112,624.66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378,534,167.10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349,586,607.56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2,711,151,794.31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3,601,058,966.04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7,353,524,834.93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8,640,524,189.12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1,865,846,868.75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2,047,447,425.36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61,598,600.00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420,601,148.23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446,384,916.80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376,719,352.99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237,785,432.03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55,573,495.01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37,698,281.31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223,384,458.82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117,218,775.65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478,084,350.81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279,568,629.13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181,269,489.46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8,159,382.67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10,062,791.91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879,936,869.14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536,399,690.65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22,234,083.93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4,183,446,706.72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3,913,098,463.80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412,531,000.53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91,499,949.54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87,097,076.87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73,182,520.90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106,771,186.78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87,699,596.90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96,936,512.20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20,400,138.25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19,224,930.88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275,270,645.59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722,560,707.26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4,458,717,352.31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4,635,659,171.06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1,249,834,221.00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1,249,796,194.00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17,218,791.88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2,244,437,792.91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2,244,302,653.21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18,058,641.81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16,053,160.00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16,143,420.00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44,032,250.37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-797,295,923.57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295,249,512.49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2,756,284,468.74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3,848,684,180.14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138,523,013.88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156,180,837.92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2,894,807,482.62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4,004,865,018.06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7,353,524,834.93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8,640,524,189.12</w:t>
            </w:r>
          </w:p>
        </w:tc>
      </w:tr>
    </w:tbl>
    <w:p>
      <w:pPr>
        <w:widowControl w:val="0"/>
        <w:spacing w:line="1" w:lineRule="exact"/>
        <w:sectPr>
          <w:footnotePr>
            <w:pos w:val="pageBottom"/>
            <w:numFmt w:val="decimal"/>
            <w:numRestart w:val="continuous"/>
          </w:footnotePr>
          <w:pgSz w:w="11900" w:h="16840"/>
          <w:pgMar w:top="1282" w:right="1043" w:bottom="1488" w:left="1071" w:header="0" w:footer="3" w:gutter="0"/>
          <w:cols w:space="720"/>
          <w:noEndnote/>
          <w:rtlGutter w:val="0"/>
          <w:docGrid w:linePitch="360"/>
        </w:sectPr>
      </w:pPr>
      <w:r>
        <mc:AlternateContent>
          <mc:Choice Requires="wps">
            <w:drawing>
              <wp:anchor distT="152400" distB="0" distL="114300" distR="5146675" simplePos="0" relativeHeight="125829380" behindDoc="0" locked="0" layoutInCell="1" allowOverlap="1">
                <wp:simplePos x="0" y="0"/>
                <wp:positionH relativeFrom="page">
                  <wp:posOffset>713105</wp:posOffset>
                </wp:positionH>
                <wp:positionV relativeFrom="margin">
                  <wp:posOffset>7733030</wp:posOffset>
                </wp:positionV>
                <wp:extent cx="1054735" cy="149225"/>
                <wp:wrapTopAndBottom/>
                <wp:docPr id="40" name="Shape 4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wps:txbx>
                      <wps:bodyPr wrap="none" lIns="0" tIns="0" rIns="0" bIns="0">
                        <a:noAutoFit/>
                      </wps:bodyPr>
                    </wps:wsp>
                  </a:graphicData>
                </a:graphic>
              </wp:anchor>
            </w:drawing>
          </mc:Choice>
          <mc:Fallback>
            <w:pict>
              <v:shape id="_x0000_s1066" type="#_x0000_t202" style="position:absolute;margin-left:56.149999999999999pt;margin-top:608.89999999999998pt;width:83.049999999999997pt;height:11.75pt;z-index:-125829373;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2889250</wp:posOffset>
                </wp:positionH>
                <wp:positionV relativeFrom="margin">
                  <wp:posOffset>7733030</wp:posOffset>
                </wp:positionV>
                <wp:extent cx="1508760" cy="146050"/>
                <wp:wrapTopAndBottom/>
                <wp:docPr id="42" name="Shape 4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主管会计工作负责人：柯明海</w:t>
                            </w:r>
                          </w:p>
                        </w:txbxContent>
                      </wps:txbx>
                      <wps:bodyPr wrap="none" lIns="0" tIns="0" rIns="0" bIns="0">
                        <a:noAutoFit/>
                      </wps:bodyPr>
                    </wps:wsp>
                  </a:graphicData>
                </a:graphic>
              </wp:anchor>
            </w:drawing>
          </mc:Choice>
          <mc:Fallback>
            <w:pict>
              <v:shape id="_x0000_s1068" type="#_x0000_t202" style="position:absolute;margin-left:227.5pt;margin-top:608.89999999999998pt;width:118.8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主管会计工作负责人：柯明海</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5513705</wp:posOffset>
                </wp:positionH>
                <wp:positionV relativeFrom="margin">
                  <wp:posOffset>7733030</wp:posOffset>
                </wp:positionV>
                <wp:extent cx="1286510" cy="149225"/>
                <wp:wrapTopAndBottom/>
                <wp:docPr id="44" name="Shape 4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会计机构负责人：陈晓生</w:t>
                            </w:r>
                          </w:p>
                        </w:txbxContent>
                      </wps:txbx>
                      <wps:bodyPr wrap="none" lIns="0" tIns="0" rIns="0" bIns="0">
                        <a:noAutoFit/>
                      </wps:bodyPr>
                    </wps:wsp>
                  </a:graphicData>
                </a:graphic>
              </wp:anchor>
            </w:drawing>
          </mc:Choice>
          <mc:Fallback>
            <w:pict>
              <v:shape id="_x0000_s1070" type="#_x0000_t202" style="position:absolute;margin-left:434.15000000000003pt;margin-top:608.89999999999998pt;width:101.3pt;height:11.75pt;z-index:-125829369;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会计机构负责人：陈晓生</w:t>
                      </w:r>
                    </w:p>
                  </w:txbxContent>
                </v:textbox>
                <w10:wrap type="topAndBottom" anchorx="page" anchory="margin"/>
              </v:shape>
            </w:pict>
          </mc:Fallback>
        </mc:AlternateContent>
      </w: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51" w:left="0" w:header="0" w:footer="3" w:gutter="0"/>
          <w:cols w:space="720"/>
          <w:noEndnote/>
          <w:rtlGutter w:val="0"/>
          <w:docGrid w:linePitch="360"/>
        </w:sectPr>
      </w:pPr>
    </w:p>
    <w:p>
      <w:pPr>
        <w:pStyle w:val="Style35"/>
        <w:keepNext/>
        <w:keepLines/>
        <w:widowControl w:val="0"/>
        <w:shd w:val="clear" w:color="auto" w:fill="auto"/>
        <w:bidi w:val="0"/>
        <w:spacing w:before="0" w:after="40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2</w:t>
      </w:r>
      <w:bookmarkEnd w:id="782"/>
      <w:r>
        <w:rPr>
          <w:color w:val="000000"/>
          <w:spacing w:val="0"/>
          <w:w w:val="100"/>
          <w:position w:val="0"/>
        </w:rPr>
        <w:t>、母公司资产负债表</w:t>
      </w:r>
      <w:bookmarkEnd w:id="780"/>
      <w:bookmarkEnd w:id="781"/>
      <w:bookmarkEnd w:id="7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28575" distB="0" distL="0" distR="0" simplePos="0" relativeHeight="125829386" behindDoc="0" locked="0" layoutInCell="1" allowOverlap="1">
                <wp:simplePos x="0" y="0"/>
                <wp:positionH relativeFrom="page">
                  <wp:posOffset>1542415</wp:posOffset>
                </wp:positionH>
                <wp:positionV relativeFrom="paragraph">
                  <wp:posOffset>28575</wp:posOffset>
                </wp:positionV>
                <wp:extent cx="255905" cy="146050"/>
                <wp:wrapTopAndBottom/>
                <wp:docPr id="46" name="Shape 46"/>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8"/>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72" type="#_x0000_t202" style="position:absolute;margin-left:121.45pt;margin-top:2.25pt;width:20.150000000000002pt;height:11.5pt;z-index:-125829367;mso-wrap-distance-left:0;mso-wrap-distance-top:2.25pt;mso-wrap-distance-right:0;mso-position-horizontal-relative:page" filled="f" stroked="f">
                <v:textbox inset="0,0,0,0">
                  <w:txbxContent>
                    <w:p>
                      <w:pPr>
                        <w:pStyle w:val="Style28"/>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25400" distB="0" distL="0" distR="0" simplePos="0" relativeHeight="125829388" behindDoc="0" locked="0" layoutInCell="1" allowOverlap="1">
                <wp:simplePos x="0" y="0"/>
                <wp:positionH relativeFrom="page">
                  <wp:posOffset>3166745</wp:posOffset>
                </wp:positionH>
                <wp:positionV relativeFrom="paragraph">
                  <wp:posOffset>25400</wp:posOffset>
                </wp:positionV>
                <wp:extent cx="975360" cy="149225"/>
                <wp:wrapTopAndBottom/>
                <wp:docPr id="48" name="Shape 48"/>
                <a:graphic xmlns:a="http://schemas.openxmlformats.org/drawingml/2006/main">
                  <a:graphicData uri="http://schemas.microsoft.com/office/word/2010/wordprocessingShape">
                    <wps:wsp>
                      <wps:cNvSpPr txBox="1"/>
                      <wps:spPr>
                        <a:xfrm>
                          <a:ext cx="975360" cy="149225"/>
                        </a:xfrm>
                        <a:prstGeom prst="rect"/>
                        <a:noFill/>
                      </wps:spPr>
                      <wps:txbx>
                        <w:txbxContent>
                          <w:p>
                            <w:pPr>
                              <w:pStyle w:val="Style7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xbxContent>
                      </wps:txbx>
                      <wps:bodyPr wrap="none" lIns="0" tIns="0" rIns="0" bIns="0">
                        <a:noAutoFit/>
                      </wps:bodyPr>
                    </wps:wsp>
                  </a:graphicData>
                </a:graphic>
              </wp:anchor>
            </w:drawing>
          </mc:Choice>
          <mc:Fallback>
            <w:pict>
              <v:shape id="_x0000_s1074" type="#_x0000_t202" style="position:absolute;margin-left:249.34999999999999pt;margin-top:2.pt;width:76.799999999999997pt;height:11.75pt;z-index:-125829365;mso-wrap-distance-left:0;mso-wrap-distance-top:2.pt;mso-wrap-distance-right:0;mso-position-horizontal-relative:page" filled="f" stroked="f">
                <v:textbox inset="0,0,0,0">
                  <w:txbxContent>
                    <w:p>
                      <w:pPr>
                        <w:pStyle w:val="Style7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xbxContent>
                </v:textbox>
                <w10:wrap type="topAndBottom" anchorx="page"/>
              </v:shape>
            </w:pict>
          </mc:Fallback>
        </mc:AlternateContent>
      </w:r>
      <w:r>
        <mc:AlternateContent>
          <mc:Choice Requires="wps">
            <w:drawing>
              <wp:anchor distT="25400" distB="0" distL="0" distR="0" simplePos="0" relativeHeight="125829390" behindDoc="0" locked="0" layoutInCell="1" allowOverlap="1">
                <wp:simplePos x="0" y="0"/>
                <wp:positionH relativeFrom="page">
                  <wp:posOffset>5267325</wp:posOffset>
                </wp:positionH>
                <wp:positionV relativeFrom="paragraph">
                  <wp:posOffset>25400</wp:posOffset>
                </wp:positionV>
                <wp:extent cx="975360" cy="149225"/>
                <wp:wrapTopAndBottom/>
                <wp:docPr id="50" name="Shape 50"/>
                <a:graphic xmlns:a="http://schemas.openxmlformats.org/drawingml/2006/main">
                  <a:graphicData uri="http://schemas.microsoft.com/office/word/2010/wordprocessingShape">
                    <wps:wsp>
                      <wps:cNvSpPr txBox="1"/>
                      <wps:spPr>
                        <a:xfrm>
                          <a:ext cx="975360" cy="149225"/>
                        </a:xfrm>
                        <a:prstGeom prst="rect"/>
                        <a:noFill/>
                      </wps:spPr>
                      <wps:txbx>
                        <w:txbxContent>
                          <w:p>
                            <w:pPr>
                              <w:pStyle w:val="Style7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righ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xbxContent>
                      </wps:txbx>
                      <wps:bodyPr wrap="none" lIns="0" tIns="0" rIns="0" bIns="0">
                        <a:noAutoFit/>
                      </wps:bodyPr>
                    </wps:wsp>
                  </a:graphicData>
                </a:graphic>
              </wp:anchor>
            </w:drawing>
          </mc:Choice>
          <mc:Fallback>
            <w:pict>
              <v:shape id="_x0000_s1076" type="#_x0000_t202" style="position:absolute;margin-left:414.75pt;margin-top:2.pt;width:76.799999999999997pt;height:11.75pt;z-index:-125829363;mso-wrap-distance-left:0;mso-wrap-distance-top:2.pt;mso-wrap-distance-right:0;mso-position-horizontal-relative:page" filled="f" stroked="f">
                <v:textbox inset="0,0,0,0">
                  <w:txbxContent>
                    <w:p>
                      <w:pPr>
                        <w:pStyle w:val="Style7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righ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xbxContent>
                </v:textbox>
                <w10:wrap type="topAndBottom" anchorx="page"/>
              </v:shape>
            </w:pict>
          </mc:Fallback>
        </mc:AlternateConten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10,669,429.70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9,166,604.78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20,250,000.00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293,966,132.62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233,186,209.03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48,718,859.89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83,903,382.67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188,630,009.00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252,196,173.95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1,070,127.89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5,240,773.27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177,161,592.49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543,054,559.10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781,114,035.13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18,856,530.33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17,024,738.20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2,762,927,289.74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3,737,310,432.00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114,679,318.80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167,623,819.28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318,212,634.26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393,541,134.26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24,220,248.38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30,649,128.76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2,068,928.97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3,023,003.50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203,257,716.88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19,515,039.80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36,807,600.00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3,487,080,267.36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4,411,494,895.80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4,030,134,826.46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5,192,608,930.93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326,395,900.00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16,595,324.63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19,063,484.15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172,440,201.63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121,241,682.11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5,426,283.27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2,601,575.51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36,104,639.23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18,699,789.24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250,823,115.91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200,076,713.92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413,667,785.13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244,714,704.55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17,938,528.39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1,188,193,258.67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1,095,596,469.00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262,531,000.53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91,499,949.54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87,097,076.87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2,379,351.26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26,288,299.70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12,659,238.97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12,754,999.53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106,538,539.77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388,671,376.63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1,294,731,798.44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1,484,267,845.63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1,249,834,221.00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1,249,796,194.00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2,230,903,103.65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2,230,767,963.95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18,058,641.81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44,032,250.37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-788,488,949.41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184,584,526.91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2,735,403,028.02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3,708,341,085.30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4,030,134,826.46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5,192,608,930.93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3</w:t>
      </w:r>
      <w:bookmarkEnd w:id="786"/>
      <w:r>
        <w:rPr>
          <w:color w:val="000000"/>
          <w:spacing w:val="0"/>
          <w:w w:val="100"/>
          <w:position w:val="0"/>
        </w:rPr>
        <w:t>、合并利润表</w:t>
      </w:r>
      <w:bookmarkEnd w:id="784"/>
      <w:bookmarkEnd w:id="785"/>
      <w:bookmarkEnd w:id="78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1,919,439,845.55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1,919,439,845.55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1,228,863,173.65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1,642,250,659.95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623,140,527.53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1,014,624,183.44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2,536,881.08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12,828,729.73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34,806,570.56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74,092,921.56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115,307,858.12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146,852,245.10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225,838,302.86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211,649,046.70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227,233,033.50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182,203,533.42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227,446,902.70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175,314,668.13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5,625,843.59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6,338,419.52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35,707,267.89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88,149,613.25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113,564,000.40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644,869.95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226,492.69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-382,534,615.95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-435,027,793.19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-677,112,960.44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-850,695,950.94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-1,093,932,603.70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-919,742,748.45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595,933.64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4,105,828.21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30,810,892.12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-1,097,508,257.53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-949,957,706.93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12,695,002.58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-39,781,974.91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-1,110,203,260.11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-910,175,732.02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-1,110,142,856.27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-910,169,749.10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-5,982.92</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-1,092,545,436.06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-936,517,823.35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-17,657,824.05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26,342,091.33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16,143,420.00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16,143,420.00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16,125,000.00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16,125,000.00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-1,110,293,520.11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-894,032,312.02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-1,092,635,696.06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-920,374,403.35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-17,657,824.05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26,342,091.33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法定代表人：柯宗贵</w:t>
        <w:tab/>
        <w:t>主管会计工作负责人：柯明海</w:t>
        <w:tab/>
        <w:t>会计机构负责人：陈晓生</w:t>
      </w:r>
    </w:p>
    <w:p>
      <w:pPr>
        <w:pStyle w:val="Style35"/>
        <w:keepNext/>
        <w:keepLines/>
        <w:widowControl w:val="0"/>
        <w:shd w:val="clear" w:color="auto" w:fill="auto"/>
        <w:bidi w:val="0"/>
        <w:spacing w:before="0" w:after="40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4</w:t>
      </w:r>
      <w:bookmarkEnd w:id="790"/>
      <w:r>
        <w:rPr>
          <w:color w:val="000000"/>
          <w:spacing w:val="0"/>
          <w:w w:val="100"/>
          <w:position w:val="0"/>
        </w:rPr>
        <w:t>、母公司利润表</w:t>
      </w:r>
      <w:bookmarkEnd w:id="788"/>
      <w:bookmarkEnd w:id="789"/>
      <w:bookmarkEnd w:id="7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101,160,294.33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405,822,019.50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64,496,161.12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236,010,355.04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3,525,044.85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1,533,190.79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27,376,604.11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21,942,827.02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50,548,835.15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66,285,719.12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57,139,848.11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59,561,216.91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58,962,222.30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57,424,341.70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1,860,322.46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1,790,929.17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8,159,441.61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28,649,068.58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109,798,491.68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-19,083.52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-6,984.52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-110,400,596.35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-9,211,907.01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-1,058,164,500.11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-33,597.09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-1,150,701,455.59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36,381,743.82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533,413.00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20,587,950.21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-1,151,550,750.45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16,327,206.61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-178,477,274.13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-535,900.57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-973,073,476.32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16,863,107.18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-973,073,476.32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16,863,107.18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-973,073,476.32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16,863,107.18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5</w:t>
      </w:r>
      <w:bookmarkEnd w:id="794"/>
      <w:r>
        <w:rPr>
          <w:color w:val="000000"/>
          <w:spacing w:val="0"/>
          <w:w w:val="100"/>
          <w:position w:val="0"/>
        </w:rPr>
        <w:t>、合并现金流量表</w:t>
      </w:r>
      <w:bookmarkEnd w:id="792"/>
      <w:bookmarkEnd w:id="793"/>
      <w:bookmarkEnd w:id="79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674,389,586.26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2,886,790,331.26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收取利息、手续费及佣金的现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5,049,213.92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48,086,783.33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210,824,983.01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258,788,466.93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890,263,783.19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3,193,665,581.52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395,262,638.52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2,802,660,446.32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支付原保险合同赔付款项的现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78,255,784.29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175,895,924.91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12,073,899.88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148,198,406.60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256,670,770.12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355,369,747.75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742,263,092.81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3,482,124,525.58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148,000,690.38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-288,458,944.06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10,029,170.32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422,878.38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86,191.77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6,476,807.89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40,000,001.00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7,429,955.08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50,538,241.47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179,425,787.43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272,716,226.19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285,046.69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179,425,787.43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313,001,272.88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-171,995,832.35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-262,463,031.41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262,319,237.50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2,138,068,379.87</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162,233,340.90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133,542,929.50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424,552,578.40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2,271,611,309.37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416,177,962.42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2,234,868,864.63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16,924,405.11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231,348,966.10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19,885,334.61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215,485,825.77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452,987,702.14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2,681,703,656.50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-28,435,123.74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-410,092,347.13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-52,430,278.00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-961,014,313.86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70,733,600.89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1,031,747,914.75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18,303,322.89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70,733,600.89</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6</w:t>
      </w:r>
      <w:bookmarkEnd w:id="798"/>
      <w:r>
        <w:rPr>
          <w:color w:val="000000"/>
          <w:spacing w:val="0"/>
          <w:w w:val="100"/>
          <w:position w:val="0"/>
        </w:rPr>
        <w:t>、母公司现金流量表</w:t>
      </w:r>
      <w:bookmarkEnd w:id="796"/>
      <w:bookmarkEnd w:id="797"/>
      <w:bookmarkEnd w:id="79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9,230,434.08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400,236,423.01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4,385,133.97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11,045,271.80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44,582,511.66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423,337,015.30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58,198,079.71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834,618,710.11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3,235,928.88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204,449,061.39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2,973,095.67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13,188,386.63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1,311,399.38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23,667,401.08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62,337,180.76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821,203,867.80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69,857,604.69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1,062,508,716.90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-11,659,524.98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-227,890,006.79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6,504,179.45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40,000,001.00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6,504,179.45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40,328,241.00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35,450,698.00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35,450,698.00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5,798,579.45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4,877,543.00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187,219,305.56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18,073,445.47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205,292,751.03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290,798,112.32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3,279,557.81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111,253,878.89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29,605,850.00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3,280,047.81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431,657,841.21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-3,280,047.81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-226,365,090.18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-9,140,993.34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-449,377,553.97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9,147,590.26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458,525,144.23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9,147,590.26</w:t>
            </w:r>
          </w:p>
        </w:tc>
      </w:tr>
    </w:tbl>
    <w:p>
      <w:pPr>
        <w:sectPr>
          <w:footnotePr>
            <w:pos w:val="pageBottom"/>
            <w:numFmt w:val="decimal"/>
            <w:numRestart w:val="continuous"/>
          </w:footnotePr>
          <w:type w:val="continuous"/>
          <w:pgSz w:w="11900" w:h="16840"/>
          <w:pgMar w:top="1441" w:right="1136" w:bottom="1451" w:left="1073" w:header="0" w:footer="3" w:gutter="0"/>
          <w:cols w:space="720"/>
          <w:noEndnote/>
          <w:rtlGutter w:val="0"/>
          <w:docGrid w:linePitch="360"/>
        </w:sectPr>
      </w:pPr>
    </w:p>
    <w:p>
      <w:pPr>
        <w:pStyle w:val="Style28"/>
        <w:keepNext w:val="0"/>
        <w:keepLines w:val="0"/>
        <w:widowControl w:val="0"/>
        <w:shd w:val="clear" w:color="auto" w:fill="auto"/>
        <w:bidi w:val="0"/>
        <w:spacing w:before="0" w:after="80" w:line="240" w:lineRule="auto"/>
        <w:ind w:left="0" w:right="0" w:firstLine="66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p>
      <w:pPr>
        <w:pStyle w:val="Style35"/>
        <w:keepNext/>
        <w:keepLines/>
        <w:widowControl w:val="0"/>
        <w:shd w:val="clear" w:color="auto" w:fill="auto"/>
        <w:bidi w:val="0"/>
        <w:spacing w:before="0" w:after="400" w:line="240" w:lineRule="auto"/>
        <w:ind w:left="0" w:right="0" w:firstLine="66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7</w:t>
      </w:r>
      <w:bookmarkEnd w:id="802"/>
      <w:r>
        <w:rPr>
          <w:color w:val="000000"/>
          <w:spacing w:val="0"/>
          <w:w w:val="100"/>
          <w:position w:val="0"/>
        </w:rPr>
        <w:t>、合并所有者权益变动表</w:t>
      </w:r>
      <w:bookmarkEnd w:id="800"/>
      <w:bookmarkEnd w:id="801"/>
      <w:bookmarkEnd w:id="803"/>
    </w:p>
    <w:p>
      <w:pPr>
        <w:pStyle w:val="Style28"/>
        <w:keepNext w:val="0"/>
        <w:keepLines w:val="0"/>
        <w:widowControl w:val="0"/>
        <w:shd w:val="clear" w:color="auto" w:fill="auto"/>
        <w:bidi w:val="0"/>
        <w:spacing w:before="0" w:after="160" w:line="240" w:lineRule="auto"/>
        <w:ind w:left="0" w:right="0" w:firstLine="66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640" w:firstLine="0"/>
        <w:jc w:val="right"/>
      </w:pPr>
      <w:r>
        <w:rPr>
          <w:color w:val="000000"/>
          <w:spacing w:val="0"/>
          <w:w w:val="100"/>
          <w:position w:val="0"/>
        </w:rPr>
        <w:t>单位：元</w:t>
      </w:r>
    </w:p>
    <w:tbl>
      <w:tblPr>
        <w:tblOverlap w:val="never"/>
        <w:jc w:val="center"/>
        <w:tblLayout w:type="fixed"/>
      </w:tblPr>
      <w:tblGrid>
        <w:gridCol w:w="1656"/>
        <w:gridCol w:w="1061"/>
        <w:gridCol w:w="653"/>
        <w:gridCol w:w="667"/>
        <w:gridCol w:w="979"/>
        <w:gridCol w:w="1118"/>
        <w:gridCol w:w="936"/>
        <w:gridCol w:w="994"/>
        <w:gridCol w:w="998"/>
        <w:gridCol w:w="1032"/>
        <w:gridCol w:w="581"/>
        <w:gridCol w:w="1032"/>
        <w:gridCol w:w="586"/>
        <w:gridCol w:w="1094"/>
        <w:gridCol w:w="864"/>
        <w:gridCol w:w="1027"/>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年度</w:t>
            </w:r>
          </w:p>
        </w:tc>
      </w:tr>
      <w:tr>
        <w:trPr>
          <w:trHeight w:val="41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少数股东</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rPr>
                <w:sz w:val="15"/>
                <w:szCs w:val="15"/>
              </w:rPr>
            </w:pPr>
            <w:r>
              <w:rPr>
                <w:color w:val="000000"/>
                <w:spacing w:val="0"/>
                <w:w w:val="100"/>
                <w:position w:val="0"/>
                <w:sz w:val="15"/>
                <w:szCs w:val="15"/>
              </w:rPr>
              <w:t>所有者权益</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41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其他综合</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一般</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风险</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优先</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永续</w:t>
            </w:r>
          </w:p>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1,249,796,19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17,218,791.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2,244,302,65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18,058,641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16,143,420.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44,032,250.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295,249,512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3,848,684,18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156,180,8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4,004,865,0</w:t>
            </w:r>
          </w:p>
        </w:tc>
      </w:tr>
      <w:tr>
        <w:trPr>
          <w:trHeight w:val="44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37.92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1,249,796,19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17,218,791.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2,244,302,65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18,058,641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16,143,420.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44,032,250.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295,249,512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3,848,684,18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156,180,8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4,004,865,0</w:t>
            </w:r>
          </w:p>
        </w:tc>
      </w:tr>
      <w:tr>
        <w:trPr>
          <w:trHeight w:val="43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37.92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18.06</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-1,092,399,7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-17,657,8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-1,110,057,</w:t>
            </w:r>
          </w:p>
        </w:tc>
      </w:tr>
      <w:tr>
        <w:trPr>
          <w:trHeight w:val="30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额（减少以“一”号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38,027.00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-37,747.66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135,139.70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-90,260.00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100,565.62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436.06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535.44</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-1,092,635,6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-17,657,8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-1,110,293,</w:t>
            </w:r>
          </w:p>
        </w:tc>
      </w:tr>
      <w:tr>
        <w:trPr>
          <w:trHeight w:val="43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-90,260.00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436.06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520.10</w:t>
            </w:r>
          </w:p>
        </w:tc>
      </w:tr>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-37,747.66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135,419.04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135,419.04</w:t>
            </w:r>
          </w:p>
        </w:tc>
      </w:tr>
      <w:tr>
        <w:trPr>
          <w:trHeight w:val="288"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减少资本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6840" w:h="11900" w:orient="landscape"/>
          <w:pgMar w:top="891" w:right="783" w:bottom="1193" w:left="778" w:header="463" w:footer="3" w:gutter="0"/>
          <w:cols w:space="720"/>
          <w:noEndnote/>
          <w:rtlGutter w:val="0"/>
          <w:docGrid w:linePitch="360"/>
        </w:sectPr>
      </w:pPr>
    </w:p>
    <w:tbl>
      <w:tblPr>
        <w:tblOverlap w:val="never"/>
        <w:jc w:val="center"/>
        <w:tblLayout w:type="fixed"/>
      </w:tblPr>
      <w:tblGrid>
        <w:gridCol w:w="1656"/>
        <w:gridCol w:w="1061"/>
        <w:gridCol w:w="653"/>
        <w:gridCol w:w="667"/>
        <w:gridCol w:w="979"/>
        <w:gridCol w:w="1118"/>
        <w:gridCol w:w="936"/>
        <w:gridCol w:w="994"/>
        <w:gridCol w:w="998"/>
        <w:gridCol w:w="1032"/>
        <w:gridCol w:w="581"/>
        <w:gridCol w:w="1032"/>
        <w:gridCol w:w="586"/>
        <w:gridCol w:w="1094"/>
        <w:gridCol w:w="864"/>
        <w:gridCol w:w="1027"/>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.所有者投入的普</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.其他权益工具持</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-37,747.66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97,392.04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97,392.04</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.股份支付计入所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38,027.00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.对所有者（或股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（四）所有者权益内</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.盈余公积弥补亏</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.其他综合收益结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6"/>
        <w:gridCol w:w="1061"/>
        <w:gridCol w:w="653"/>
        <w:gridCol w:w="667"/>
        <w:gridCol w:w="979"/>
        <w:gridCol w:w="1118"/>
        <w:gridCol w:w="936"/>
        <w:gridCol w:w="994"/>
        <w:gridCol w:w="998"/>
        <w:gridCol w:w="1032"/>
        <w:gridCol w:w="581"/>
        <w:gridCol w:w="1032"/>
        <w:gridCol w:w="586"/>
        <w:gridCol w:w="1094"/>
        <w:gridCol w:w="864"/>
        <w:gridCol w:w="1027"/>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100,565.62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100,565.62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100,565.62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100,565.62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100,565.62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100,565.62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1,249,834,22</w:t>
            </w:r>
          </w:p>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17,181,044.</w:t>
            </w:r>
          </w:p>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2,244,437,79</w:t>
            </w:r>
          </w:p>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18,058,641</w:t>
            </w:r>
          </w:p>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16,053,160.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100,565.62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44,032,250.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-797,295,92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2,756,284,46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138,523,0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2,894,807,4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82.62</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上期金额</w:t>
      </w:r>
    </w:p>
    <w:p>
      <w:pPr>
        <w:pStyle w:val="Style28"/>
        <w:keepNext w:val="0"/>
        <w:keepLines w:val="0"/>
        <w:widowControl w:val="0"/>
        <w:shd w:val="clear" w:color="auto" w:fill="auto"/>
        <w:bidi w:val="0"/>
        <w:spacing w:before="0" w:after="100" w:line="240" w:lineRule="auto"/>
        <w:ind w:left="13980" w:right="0" w:firstLine="0"/>
        <w:jc w:val="left"/>
      </w:pPr>
      <w:r>
        <w:rPr>
          <w:color w:val="000000"/>
          <w:spacing w:val="0"/>
          <w:w w:val="100"/>
          <w:position w:val="0"/>
        </w:rPr>
        <w:t>单位：元</w:t>
      </w:r>
    </w:p>
    <w:tbl>
      <w:tblPr>
        <w:tblOverlap w:val="never"/>
        <w:jc w:val="center"/>
        <w:tblLayout w:type="fixed"/>
      </w:tblPr>
      <w:tblGrid>
        <w:gridCol w:w="1790"/>
        <w:gridCol w:w="1013"/>
        <w:gridCol w:w="595"/>
        <w:gridCol w:w="629"/>
        <w:gridCol w:w="1080"/>
        <w:gridCol w:w="1032"/>
        <w:gridCol w:w="931"/>
        <w:gridCol w:w="845"/>
        <w:gridCol w:w="1099"/>
        <w:gridCol w:w="917"/>
        <w:gridCol w:w="576"/>
        <w:gridCol w:w="1118"/>
        <w:gridCol w:w="566"/>
        <w:gridCol w:w="1118"/>
        <w:gridCol w:w="1018"/>
        <w:gridCol w:w="110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4"/>
                <w:szCs w:val="14"/>
              </w:rPr>
              <w:t>年年度</w:t>
            </w:r>
          </w:p>
        </w:tc>
      </w:tr>
      <w:tr>
        <w:trPr>
          <w:trHeight w:val="41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少数股东权</w:t>
            </w:r>
          </w:p>
          <w:p>
            <w:pPr>
              <w:pStyle w:val="Style2"/>
              <w:keepNext w:val="0"/>
              <w:keepLines w:val="0"/>
              <w:widowControl w:val="0"/>
              <w:shd w:val="clear" w:color="auto" w:fill="auto"/>
              <w:bidi w:val="0"/>
              <w:spacing w:before="0" w:after="0" w:line="240" w:lineRule="auto"/>
              <w:ind w:left="0" w:right="420" w:firstLine="0"/>
              <w:jc w:val="right"/>
              <w:rPr>
                <w:sz w:val="14"/>
                <w:szCs w:val="14"/>
              </w:rPr>
            </w:pPr>
            <w:r>
              <w:rPr>
                <w:color w:val="000000"/>
                <w:spacing w:val="0"/>
                <w:w w:val="100"/>
                <w:position w:val="0"/>
                <w:sz w:val="14"/>
                <w:szCs w:val="14"/>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180" w:firstLine="0"/>
              <w:jc w:val="right"/>
              <w:rPr>
                <w:sz w:val="14"/>
                <w:szCs w:val="14"/>
              </w:rPr>
            </w:pPr>
            <w:r>
              <w:rPr>
                <w:color w:val="000000"/>
                <w:spacing w:val="0"/>
                <w:w w:val="100"/>
                <w:position w:val="0"/>
                <w:sz w:val="14"/>
                <w:szCs w:val="14"/>
              </w:rPr>
              <w:t>所有者权益</w:t>
            </w:r>
          </w:p>
          <w:p>
            <w:pPr>
              <w:pStyle w:val="Style2"/>
              <w:keepNext w:val="0"/>
              <w:keepLines w:val="0"/>
              <w:widowControl w:val="0"/>
              <w:shd w:val="clear" w:color="auto" w:fill="auto"/>
              <w:bidi w:val="0"/>
              <w:spacing w:before="0" w:after="0" w:line="240" w:lineRule="auto"/>
              <w:ind w:left="0" w:right="400" w:firstLine="0"/>
              <w:jc w:val="right"/>
              <w:rPr>
                <w:sz w:val="14"/>
                <w:szCs w:val="14"/>
              </w:rPr>
            </w:pPr>
            <w:r>
              <w:rPr>
                <w:color w:val="000000"/>
                <w:spacing w:val="0"/>
                <w:w w:val="100"/>
                <w:position w:val="0"/>
                <w:sz w:val="14"/>
                <w:szCs w:val="14"/>
              </w:rPr>
              <w:t>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rPr>
              <w:t>其他综合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一般</w:t>
            </w:r>
          </w:p>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风险</w:t>
            </w:r>
          </w:p>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4"/>
                <w:szCs w:val="14"/>
              </w:rPr>
            </w:pPr>
            <w:r>
              <w:rPr>
                <w:color w:val="000000"/>
                <w:spacing w:val="0"/>
                <w:w w:val="100"/>
                <w:position w:val="0"/>
                <w:sz w:val="14"/>
                <w:szCs w:val="14"/>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优先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rPr>
              <w:t>永续</w:t>
            </w:r>
          </w:p>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1,175,061,90</w:t>
            </w:r>
          </w:p>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92,184,474.5</w:t>
            </w:r>
          </w:p>
          <w:p>
            <w:pPr>
              <w:pStyle w:val="Style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1,894,935,40</w:t>
            </w:r>
          </w:p>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35,173,620.</w:t>
            </w:r>
          </w:p>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1,047,409.26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42,345,939</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1,273,386,271.</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4,443,787,786.</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130,126,252.</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4,573,914,038</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560"/>
              <w:jc w:val="left"/>
              <w:rPr>
                <w:sz w:val="14"/>
                <w:szCs w:val="14"/>
              </w:rPr>
            </w:pPr>
            <w:r>
              <w:rPr>
                <w:color w:val="000000"/>
                <w:spacing w:val="0"/>
                <w:w w:val="100"/>
                <w:position w:val="0"/>
                <w:sz w:val="14"/>
                <w:szCs w:val="14"/>
              </w:rPr>
              <w:t>同一控制下企业</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1,175,061,90</w:t>
            </w:r>
          </w:p>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92,184,474.5</w:t>
            </w:r>
          </w:p>
          <w:p>
            <w:pPr>
              <w:pStyle w:val="Style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1,894,935,40</w:t>
            </w:r>
          </w:p>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35,173,620.</w:t>
            </w:r>
          </w:p>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1,047,409.26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42,345,939</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1,273,386,271.</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4,443,787,786.</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130,126,252.</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4,573,914,038</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w:t>
            </w:r>
          </w:p>
        </w:tc>
      </w:tr>
    </w:tbl>
    <w:p>
      <w:pPr>
        <w:spacing w:lineRule="exact" w:line="1"/>
        <w:rPr>
          <w:sz w:val="2"/>
          <w:szCs w:val="2"/>
        </w:rPr>
      </w:pPr>
      <w:r>
        <w:br w:type="page"/>
      </w:r>
    </w:p>
    <w:tbl>
      <w:tblPr>
        <w:tblOverlap w:val="never"/>
        <w:jc w:val="center"/>
        <w:tblLayout w:type="fixed"/>
      </w:tblPr>
      <w:tblGrid>
        <w:gridCol w:w="1790"/>
        <w:gridCol w:w="1013"/>
        <w:gridCol w:w="595"/>
        <w:gridCol w:w="629"/>
        <w:gridCol w:w="1080"/>
        <w:gridCol w:w="1032"/>
        <w:gridCol w:w="931"/>
        <w:gridCol w:w="845"/>
        <w:gridCol w:w="1099"/>
        <w:gridCol w:w="917"/>
        <w:gridCol w:w="576"/>
        <w:gridCol w:w="1118"/>
        <w:gridCol w:w="566"/>
        <w:gridCol w:w="1118"/>
        <w:gridCol w:w="1018"/>
        <w:gridCol w:w="1104"/>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74,734,290.0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-74,965,682.6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349,367,245.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-17,114,97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16,143,42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-1,047,409.26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1,686,310.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-978,136,758.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-595,103,606.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26,054,585.4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-569,049,020.</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（减少以“一"号填列）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8.19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16,143,42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-936,517,823.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-920,374,403.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26,342,091.3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-894,032,312.</w:t>
            </w:r>
          </w:p>
        </w:tc>
      </w:tr>
      <w:tr>
        <w:trPr>
          <w:trHeight w:val="44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02</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74,734,290.0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-74,965,682.6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349,367,245.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-17,114,97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366,250,831.2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-287,505.88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365,963,325.3</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少资本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其他权益工具持有者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75,172,290.0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-74,965,682.6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352,144,196.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352,350,803.4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352,350,803.4</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投入资本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6</w:t>
            </w:r>
          </w:p>
        </w:tc>
      </w:tr>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股份支付计入所有者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-2,776,950.3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-19,314,72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16,099,769.61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16,099,769.61</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权益的金额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2,199,741.8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-287,505.88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-2,487,247.69</w:t>
            </w:r>
          </w:p>
        </w:tc>
      </w:tr>
      <w:tr>
        <w:trPr>
          <w:trHeight w:val="3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1,686,310.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-41,618,935.5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-39,932,624.7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-39,932,624.7</w:t>
            </w:r>
          </w:p>
        </w:tc>
      </w:tr>
      <w:tr>
        <w:trPr>
          <w:trHeight w:val="43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9</w:t>
            </w:r>
          </w:p>
        </w:tc>
      </w:tr>
      <w:tr>
        <w:trPr>
          <w:trHeight w:val="3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1,686,310.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.提取盈余公积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-1,686,310.72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.对所有者（或股东）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-39,932,624.7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-39,932,624.7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-39,932,624.7</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90"/>
        <w:gridCol w:w="1013"/>
        <w:gridCol w:w="595"/>
        <w:gridCol w:w="629"/>
        <w:gridCol w:w="1080"/>
        <w:gridCol w:w="1032"/>
        <w:gridCol w:w="931"/>
        <w:gridCol w:w="845"/>
        <w:gridCol w:w="1099"/>
        <w:gridCol w:w="917"/>
        <w:gridCol w:w="576"/>
        <w:gridCol w:w="1118"/>
        <w:gridCol w:w="566"/>
        <w:gridCol w:w="1118"/>
        <w:gridCol w:w="1018"/>
        <w:gridCol w:w="1104"/>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.盈余公积转增资本</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设定受益计划变动额</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r>
            <w:r>
              <w:rPr>
                <w:color w:val="000000"/>
                <w:spacing w:val="0"/>
                <w:w w:val="100"/>
                <w:position w:val="0"/>
                <w:sz w:val="14"/>
                <w:szCs w:val="14"/>
              </w:rPr>
              <w:t>其他综合收益结转留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-1,047,409.26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-1,047,409.26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-1,047,409.26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1,356,031.50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1,356,031.50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1,356,031.50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-2,403,440.76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-2,403,440.76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-2,403,440.76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1,249,796,19</w:t>
            </w:r>
          </w:p>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17,218,791.8</w:t>
            </w:r>
          </w:p>
          <w:p>
            <w:pPr>
              <w:pStyle w:val="Style2"/>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2,244,302,65</w:t>
            </w:r>
          </w:p>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18,058,641.</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16,143,42</w:t>
            </w:r>
          </w:p>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44,032,250</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295,249,512.4</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3,848,684,180.</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156,180,837.</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4,004,865,018</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.06</w:t>
            </w:r>
          </w:p>
        </w:tc>
      </w:tr>
    </w:tbl>
    <w:p>
      <w:pPr>
        <w:widowControl w:val="0"/>
        <w:spacing w:after="319" w:line="1" w:lineRule="exact"/>
      </w:pPr>
    </w:p>
    <w:p>
      <w:pPr>
        <w:pStyle w:val="Style35"/>
        <w:keepNext/>
        <w:keepLines/>
        <w:widowControl w:val="0"/>
        <w:shd w:val="clear" w:color="auto" w:fill="auto"/>
        <w:bidi w:val="0"/>
        <w:spacing w:before="0" w:after="420" w:line="240" w:lineRule="auto"/>
        <w:ind w:left="0" w:right="0" w:firstLine="72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8</w:t>
      </w:r>
      <w:bookmarkEnd w:id="806"/>
      <w:r>
        <w:rPr>
          <w:color w:val="000000"/>
          <w:spacing w:val="0"/>
          <w:w w:val="100"/>
          <w:position w:val="0"/>
        </w:rPr>
        <w:t>、母公司所有者权益变动表</w:t>
      </w:r>
      <w:bookmarkEnd w:id="804"/>
      <w:bookmarkEnd w:id="805"/>
      <w:bookmarkEnd w:id="807"/>
    </w:p>
    <w:p>
      <w:pPr>
        <w:pStyle w:val="Style28"/>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单位：元</w:t>
      </w:r>
    </w:p>
    <w:tbl>
      <w:tblPr>
        <w:tblOverlap w:val="never"/>
        <w:jc w:val="center"/>
        <w:tblLayout w:type="fixed"/>
      </w:tblPr>
      <w:tblGrid>
        <w:gridCol w:w="1896"/>
        <w:gridCol w:w="1488"/>
        <w:gridCol w:w="605"/>
        <w:gridCol w:w="605"/>
        <w:gridCol w:w="1286"/>
        <w:gridCol w:w="1498"/>
        <w:gridCol w:w="1358"/>
        <w:gridCol w:w="725"/>
        <w:gridCol w:w="730"/>
        <w:gridCol w:w="1296"/>
        <w:gridCol w:w="1440"/>
        <w:gridCol w:w="710"/>
        <w:gridCol w:w="156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7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永续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1,249,796,194.00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2,230,767,963.95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184,584,526.91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3,708,341,085.30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加：会计政策变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96"/>
        <w:gridCol w:w="1488"/>
        <w:gridCol w:w="605"/>
        <w:gridCol w:w="605"/>
        <w:gridCol w:w="1286"/>
        <w:gridCol w:w="1498"/>
        <w:gridCol w:w="1358"/>
        <w:gridCol w:w="725"/>
        <w:gridCol w:w="730"/>
        <w:gridCol w:w="1296"/>
        <w:gridCol w:w="1440"/>
        <w:gridCol w:w="710"/>
        <w:gridCol w:w="1560"/>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前期差错更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1,249,796,194.00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2,230,767,963.95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184,584,526.91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3,708,341,085.30</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4" w:lineRule="exact"/>
              <w:ind w:left="0" w:right="0" w:firstLine="0"/>
              <w:jc w:val="left"/>
            </w:pPr>
            <w:r>
              <w:rPr>
                <w:color w:val="000000"/>
                <w:spacing w:val="0"/>
                <w:w w:val="100"/>
                <w:position w:val="0"/>
              </w:rPr>
              <w:t>三、本期增减变动金 额（减少以"一”号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-973,073,476.32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-972,938,057.28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-973,073,476.32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-973,073,476.32</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135,419.04</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97,392.04</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38,027.00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（四）所有者权益内 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96"/>
        <w:gridCol w:w="1488"/>
        <w:gridCol w:w="605"/>
        <w:gridCol w:w="605"/>
        <w:gridCol w:w="1286"/>
        <w:gridCol w:w="1498"/>
        <w:gridCol w:w="1358"/>
        <w:gridCol w:w="725"/>
        <w:gridCol w:w="730"/>
        <w:gridCol w:w="1296"/>
        <w:gridCol w:w="1440"/>
        <w:gridCol w:w="710"/>
        <w:gridCol w:w="1560"/>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1,249,834,221.00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2,230,903,103.65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-788,488,949.41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2,735,403,028.02</w:t>
            </w:r>
          </w:p>
        </w:tc>
      </w:tr>
    </w:tbl>
    <w:p>
      <w:pPr>
        <w:pStyle w:val="Style32"/>
        <w:keepNext w:val="0"/>
        <w:keepLines w:val="0"/>
        <w:widowControl w:val="0"/>
        <w:shd w:val="clear" w:color="auto" w:fill="auto"/>
        <w:bidi w:val="0"/>
        <w:spacing w:before="0" w:after="0" w:line="240" w:lineRule="auto"/>
        <w:ind w:left="600" w:right="0" w:firstLine="0"/>
        <w:jc w:val="left"/>
      </w:pPr>
      <w:r>
        <w:rPr>
          <w:color w:val="000000"/>
          <w:spacing w:val="0"/>
          <w:w w:val="100"/>
          <w:position w:val="0"/>
        </w:rPr>
        <w:t>上期金额</w:t>
      </w:r>
    </w:p>
    <w:p>
      <w:pPr>
        <w:widowControl w:val="0"/>
        <w:spacing w:after="119" w:line="1" w:lineRule="exact"/>
      </w:pPr>
    </w:p>
    <w:p>
      <w:pPr>
        <w:pStyle w:val="Style32"/>
        <w:keepNext w:val="0"/>
        <w:keepLines w:val="0"/>
        <w:widowControl w:val="0"/>
        <w:shd w:val="clear" w:color="auto" w:fill="auto"/>
        <w:bidi w:val="0"/>
        <w:spacing w:before="0" w:after="0" w:line="240" w:lineRule="auto"/>
        <w:ind w:left="14150" w:right="0" w:firstLine="0"/>
        <w:jc w:val="left"/>
      </w:pPr>
      <w:r>
        <w:rPr>
          <w:color w:val="000000"/>
          <w:spacing w:val="0"/>
          <w:w w:val="100"/>
          <w:position w:val="0"/>
        </w:rPr>
        <w:t>单位：元</w:t>
      </w:r>
    </w:p>
    <w:tbl>
      <w:tblPr>
        <w:tblOverlap w:val="never"/>
        <w:jc w:val="center"/>
        <w:tblLayout w:type="fixed"/>
      </w:tblPr>
      <w:tblGrid>
        <w:gridCol w:w="1752"/>
        <w:gridCol w:w="1589"/>
        <w:gridCol w:w="677"/>
        <w:gridCol w:w="806"/>
        <w:gridCol w:w="1349"/>
        <w:gridCol w:w="1642"/>
        <w:gridCol w:w="1445"/>
        <w:gridCol w:w="686"/>
        <w:gridCol w:w="782"/>
        <w:gridCol w:w="1306"/>
        <w:gridCol w:w="1411"/>
        <w:gridCol w:w="797"/>
        <w:gridCol w:w="156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1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7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1,175,061,904.00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92,184,474.55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1,881,400,718.21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35,173,620.00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42,345,939.65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209,340,355.24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3,365,159,771.65</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加:会计政策变 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2"/>
        <w:gridCol w:w="1589"/>
        <w:gridCol w:w="677"/>
        <w:gridCol w:w="806"/>
        <w:gridCol w:w="1349"/>
        <w:gridCol w:w="1642"/>
        <w:gridCol w:w="1445"/>
        <w:gridCol w:w="686"/>
        <w:gridCol w:w="782"/>
        <w:gridCol w:w="1306"/>
        <w:gridCol w:w="1411"/>
        <w:gridCol w:w="797"/>
        <w:gridCol w:w="1565"/>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1,175,061,904.00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92,184,474.55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1,881,400,718.21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35,173,620.00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42,345,939.65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209,340,355.24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3,365,159,771.65</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8" w:lineRule="exact"/>
              <w:ind w:left="0" w:right="0" w:firstLine="0"/>
              <w:jc w:val="both"/>
            </w:pPr>
            <w:r>
              <w:rPr>
                <w:color w:val="000000"/>
                <w:spacing w:val="0"/>
                <w:w w:val="100"/>
                <w:position w:val="0"/>
              </w:rPr>
              <w:t>三、本期增减变动金 额（减少以“一”号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74,734,290.00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-74,965,682.67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349,367,245.74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-17,114,978.19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1,686,310.72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-24,755,828.33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343,181,313.65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16,863,107.18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16,863,107.18</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74,734,290.00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-74,965,682.67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349,367,245.74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-17,114,978.19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366,250,831.26</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75,172,290.00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-74,965,682.67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352,144,196.13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352,350,803.46</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 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-2,776,950.39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-19,314,720.00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16,099,769.61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2,199,741.81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-2,199,741.81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1,686,310.72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-41,618,935.51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-39,932,624.79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1,686,310.72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-1,686,310.72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-39,932,624.79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-39,932,624.79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（四）所有者权益内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2"/>
        <w:gridCol w:w="1589"/>
        <w:gridCol w:w="677"/>
        <w:gridCol w:w="806"/>
        <w:gridCol w:w="1349"/>
        <w:gridCol w:w="1642"/>
        <w:gridCol w:w="1445"/>
        <w:gridCol w:w="686"/>
        <w:gridCol w:w="782"/>
        <w:gridCol w:w="1306"/>
        <w:gridCol w:w="1411"/>
        <w:gridCol w:w="797"/>
        <w:gridCol w:w="1565"/>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1,249,796,194.00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2,230,767,963.95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184,584,526.91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3,708,341,085.30</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175" w:right="517" w:bottom="1287" w:left="517" w:header="0" w:footer="3" w:gutter="0"/>
          <w:cols w:space="720"/>
          <w:noEndnote/>
          <w:rtlGutter w:val="0"/>
          <w:docGrid w:linePitch="360"/>
        </w:sectPr>
      </w:pPr>
    </w:p>
    <w:p>
      <w:pPr>
        <w:pStyle w:val="Style26"/>
        <w:keepNext/>
        <w:keepLines/>
        <w:widowControl w:val="0"/>
        <w:shd w:val="clear" w:color="auto" w:fill="auto"/>
        <w:bidi w:val="0"/>
        <w:spacing w:before="140" w:after="28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三</w:t>
      </w:r>
      <w:bookmarkEnd w:id="810"/>
      <w:r>
        <w:rPr>
          <w:color w:val="000000"/>
          <w:spacing w:val="0"/>
          <w:w w:val="100"/>
          <w:position w:val="0"/>
        </w:rPr>
        <w:t>、公司基本情况</w:t>
      </w:r>
      <w:bookmarkEnd w:id="808"/>
      <w:bookmarkEnd w:id="809"/>
      <w:bookmarkEnd w:id="811"/>
    </w:p>
    <w:p>
      <w:pPr>
        <w:pStyle w:val="Style38"/>
        <w:keepNext w:val="0"/>
        <w:keepLines w:val="0"/>
        <w:widowControl w:val="0"/>
        <w:shd w:val="clear" w:color="auto" w:fill="auto"/>
        <w:bidi w:val="0"/>
        <w:spacing w:before="0" w:after="0" w:line="400" w:lineRule="exact"/>
        <w:ind w:left="0" w:right="0" w:firstLine="440"/>
        <w:jc w:val="left"/>
      </w:pPr>
      <w:r>
        <w:rPr>
          <w:b/>
          <w:bCs/>
          <w:color w:val="000000"/>
          <w:spacing w:val="0"/>
          <w:w w:val="100"/>
          <w:position w:val="0"/>
        </w:rPr>
        <w:t>（一）公司历史沿革</w:t>
      </w:r>
    </w:p>
    <w:p>
      <w:pPr>
        <w:pStyle w:val="Style38"/>
        <w:keepNext w:val="0"/>
        <w:keepLines w:val="0"/>
        <w:widowControl w:val="0"/>
        <w:shd w:val="clear" w:color="auto" w:fill="auto"/>
        <w:bidi w:val="0"/>
        <w:spacing w:before="0" w:after="160" w:line="400" w:lineRule="exact"/>
        <w:ind w:left="0" w:right="0" w:firstLine="440"/>
        <w:jc w:val="left"/>
      </w:pPr>
      <w:r>
        <w:rPr>
          <w:color w:val="000000"/>
          <w:spacing w:val="0"/>
          <w:w w:val="100"/>
          <w:position w:val="0"/>
        </w:rPr>
        <w:t>蓝盾信息安全技术股份有限公司（以下简称公司或蓝盾股份），原名广东天海威数码技术有限公司， 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日由广东省工商行政管理局核准注册成立，目前统一社会信用代码为</w:t>
      </w:r>
      <w:r>
        <w:rPr>
          <w:rFonts w:ascii="Times New Roman" w:eastAsia="Times New Roman" w:hAnsi="Times New Roman" w:cs="Times New Roman"/>
          <w:color w:val="000000"/>
          <w:spacing w:val="0"/>
          <w:w w:val="100"/>
          <w:position w:val="0"/>
        </w:rPr>
        <w:t>91440000707689817C</w:t>
      </w:r>
      <w:r>
        <w:rPr>
          <w:color w:val="000000"/>
          <w:spacing w:val="0"/>
          <w:w w:val="100"/>
          <w:position w:val="0"/>
        </w:rPr>
        <w:t xml:space="preserve">。 </w:t>
      </w:r>
      <w:r>
        <w:rPr>
          <w:color w:val="000000"/>
          <w:spacing w:val="0"/>
          <w:w w:val="100"/>
          <w:position w:val="0"/>
        </w:rPr>
        <w:t>公司成立时注册资本和实收资本为人民币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万元，其中盘绍基以货币出资</w:t>
      </w:r>
      <w:r>
        <w:rPr>
          <w:rFonts w:ascii="Times New Roman" w:eastAsia="Times New Roman" w:hAnsi="Times New Roman" w:cs="Times New Roman"/>
          <w:color w:val="000000"/>
          <w:spacing w:val="0"/>
          <w:w w:val="100"/>
          <w:position w:val="0"/>
        </w:rPr>
        <w:t>60.00</w:t>
      </w:r>
      <w:r>
        <w:rPr>
          <w:color w:val="000000"/>
          <w:spacing w:val="0"/>
          <w:w w:val="100"/>
          <w:position w:val="0"/>
        </w:rPr>
        <w:t>万元，持股</w:t>
      </w:r>
      <w:r>
        <w:rPr>
          <w:rFonts w:ascii="Times New Roman" w:eastAsia="Times New Roman" w:hAnsi="Times New Roman" w:cs="Times New Roman"/>
          <w:color w:val="000000"/>
          <w:spacing w:val="0"/>
          <w:w w:val="100"/>
          <w:position w:val="0"/>
        </w:rPr>
        <w:t>60%</w:t>
      </w:r>
      <w:r>
        <w:rPr>
          <w:color w:val="000000"/>
          <w:spacing w:val="0"/>
          <w:w w:val="100"/>
          <w:position w:val="0"/>
        </w:rPr>
        <w:t>，李根 森以货币出资</w:t>
      </w:r>
      <w:r>
        <w:rPr>
          <w:rFonts w:ascii="Times New Roman" w:eastAsia="Times New Roman" w:hAnsi="Times New Roman" w:cs="Times New Roman"/>
          <w:color w:val="000000"/>
          <w:spacing w:val="0"/>
          <w:w w:val="100"/>
          <w:position w:val="0"/>
        </w:rPr>
        <w:t>40.00</w:t>
      </w:r>
      <w:r>
        <w:rPr>
          <w:color w:val="000000"/>
          <w:spacing w:val="0"/>
          <w:w w:val="100"/>
          <w:position w:val="0"/>
        </w:rPr>
        <w:t>万元，持股</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8"/>
        <w:keepNext w:val="0"/>
        <w:keepLines w:val="0"/>
        <w:widowControl w:val="0"/>
        <w:shd w:val="clear" w:color="auto" w:fill="auto"/>
        <w:tabs>
          <w:tab w:pos="760" w:val="left"/>
        </w:tabs>
        <w:bidi w:val="0"/>
        <w:spacing w:before="0" w:after="0" w:line="418" w:lineRule="auto"/>
        <w:ind w:left="0" w:right="0" w:firstLine="440"/>
        <w:jc w:val="left"/>
      </w:pPr>
      <w:bookmarkStart w:id="812" w:name="bookmark812"/>
      <w:r>
        <w:rPr>
          <w:rFonts w:ascii="Times New Roman" w:eastAsia="Times New Roman" w:hAnsi="Times New Roman" w:cs="Times New Roman"/>
          <w:color w:val="000000"/>
          <w:spacing w:val="0"/>
          <w:w w:val="100"/>
          <w:position w:val="0"/>
        </w:rPr>
        <w:t>1</w:t>
      </w:r>
      <w:bookmarkEnd w:id="812"/>
      <w:r>
        <w:rPr>
          <w:color w:val="000000"/>
          <w:spacing w:val="0"/>
          <w:w w:val="100"/>
          <w:position w:val="0"/>
        </w:rPr>
        <w:t>、</w:t>
        <w:tab/>
        <w:t>股份制改制</w:t>
      </w:r>
    </w:p>
    <w:p>
      <w:pPr>
        <w:pStyle w:val="Style38"/>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日，经公司股东会同意，公司以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SimHei" w:eastAsia="SimHei" w:hAnsi="SimHei" w:cs="SimHei"/>
          <w:color w:val="000000"/>
          <w:spacing w:val="0"/>
          <w:w w:val="100"/>
          <w:position w:val="0"/>
          <w:sz w:val="26"/>
          <w:szCs w:val="26"/>
        </w:rPr>
        <w:t>0</w:t>
      </w:r>
      <w:r>
        <w:rPr>
          <w:color w:val="000000"/>
          <w:spacing w:val="0"/>
          <w:w w:val="100"/>
          <w:position w:val="0"/>
        </w:rPr>
        <w:t>为基准日整体变更为股份有限公司，更名 为蓝盾信息安全技术股份有限公司。改制后公司注册资本为人民币</w:t>
      </w:r>
      <w:r>
        <w:rPr>
          <w:rFonts w:ascii="Times New Roman" w:eastAsia="Times New Roman" w:hAnsi="Times New Roman" w:cs="Times New Roman"/>
          <w:color w:val="000000"/>
          <w:spacing w:val="0"/>
          <w:w w:val="100"/>
          <w:position w:val="0"/>
        </w:rPr>
        <w:t>6,500.00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6,500.00</w:t>
      </w:r>
      <w:r>
        <w:rPr>
          <w:color w:val="000000"/>
          <w:spacing w:val="0"/>
          <w:w w:val="100"/>
          <w:position w:val="0"/>
        </w:rPr>
        <w:t>万 元，业经广东正中珠江会计师事务所有限公司广会所验字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09001820055</w:t>
      </w:r>
      <w:r>
        <w:rPr>
          <w:color w:val="000000"/>
          <w:spacing w:val="0"/>
          <w:w w:val="100"/>
          <w:position w:val="0"/>
        </w:rPr>
        <w:t>号验资报告验证确认。</w:t>
      </w:r>
    </w:p>
    <w:p>
      <w:pPr>
        <w:pStyle w:val="Style38"/>
        <w:keepNext w:val="0"/>
        <w:keepLines w:val="0"/>
        <w:widowControl w:val="0"/>
        <w:shd w:val="clear" w:color="auto" w:fill="auto"/>
        <w:tabs>
          <w:tab w:pos="780" w:val="left"/>
        </w:tabs>
        <w:bidi w:val="0"/>
        <w:spacing w:before="0" w:after="0" w:line="400" w:lineRule="exact"/>
        <w:ind w:left="0" w:right="0" w:firstLine="440"/>
        <w:jc w:val="left"/>
      </w:pPr>
      <w:bookmarkStart w:id="813" w:name="bookmark813"/>
      <w:r>
        <w:rPr>
          <w:rFonts w:ascii="Times New Roman" w:eastAsia="Times New Roman" w:hAnsi="Times New Roman" w:cs="Times New Roman"/>
          <w:color w:val="000000"/>
          <w:spacing w:val="0"/>
          <w:w w:val="100"/>
          <w:position w:val="0"/>
        </w:rPr>
        <w:t>2</w:t>
      </w:r>
      <w:bookmarkEnd w:id="813"/>
      <w:r>
        <w:rPr>
          <w:color w:val="000000"/>
          <w:spacing w:val="0"/>
          <w:w w:val="100"/>
          <w:position w:val="0"/>
        </w:rPr>
        <w:t>、</w:t>
        <w:tab/>
        <w:t>股份制改制后第一次增资</w:t>
      </w:r>
    </w:p>
    <w:p>
      <w:pPr>
        <w:pStyle w:val="Style38"/>
        <w:keepNext w:val="0"/>
        <w:keepLines w:val="0"/>
        <w:widowControl w:val="0"/>
        <w:shd w:val="clear" w:color="auto" w:fill="auto"/>
        <w:bidi w:val="0"/>
        <w:spacing w:before="0" w:after="160" w:line="400"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日，根据股东大会决议及修改后公司章程的规定，公司新增股东增资扩股</w:t>
      </w:r>
      <w:r>
        <w:rPr>
          <w:rFonts w:ascii="Times New Roman" w:eastAsia="Times New Roman" w:hAnsi="Times New Roman" w:cs="Times New Roman"/>
          <w:color w:val="000000"/>
          <w:spacing w:val="0"/>
          <w:w w:val="100"/>
          <w:position w:val="0"/>
        </w:rPr>
        <w:t>850</w:t>
      </w:r>
      <w:r>
        <w:rPr>
          <w:color w:val="000000"/>
          <w:spacing w:val="0"/>
          <w:w w:val="100"/>
          <w:position w:val="0"/>
        </w:rPr>
        <w:t>万元，增加 注册资本人民币</w:t>
      </w:r>
      <w:r>
        <w:rPr>
          <w:rFonts w:ascii="Times New Roman" w:eastAsia="Times New Roman" w:hAnsi="Times New Roman" w:cs="Times New Roman"/>
          <w:color w:val="000000"/>
          <w:spacing w:val="0"/>
          <w:w w:val="100"/>
          <w:position w:val="0"/>
        </w:rPr>
        <w:t>850.00</w:t>
      </w:r>
      <w:r>
        <w:rPr>
          <w:color w:val="000000"/>
          <w:spacing w:val="0"/>
          <w:w w:val="100"/>
          <w:position w:val="0"/>
        </w:rPr>
        <w:t>万元。变更后注册资本为人民币</w:t>
      </w:r>
      <w:r>
        <w:rPr>
          <w:rFonts w:ascii="Times New Roman" w:eastAsia="Times New Roman" w:hAnsi="Times New Roman" w:cs="Times New Roman"/>
          <w:color w:val="000000"/>
          <w:spacing w:val="0"/>
          <w:w w:val="100"/>
          <w:position w:val="0"/>
        </w:rPr>
        <w:t>7,350.00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7,350.00</w:t>
      </w:r>
      <w:r>
        <w:rPr>
          <w:color w:val="000000"/>
          <w:spacing w:val="0"/>
          <w:w w:val="100"/>
          <w:position w:val="0"/>
        </w:rPr>
        <w:t>万元，业经广 东正中珠江会计师事务所有限公司广会所验字</w:t>
      </w:r>
      <w:r>
        <w:rPr>
          <w:rFonts w:ascii="Times New Roman" w:eastAsia="Times New Roman" w:hAnsi="Times New Roman" w:cs="Times New Roman"/>
          <w:color w:val="000000"/>
          <w:spacing w:val="0"/>
          <w:w w:val="100"/>
          <w:position w:val="0"/>
        </w:rPr>
        <w:t>［2009］09005940018</w:t>
      </w:r>
      <w:r>
        <w:rPr>
          <w:color w:val="000000"/>
          <w:spacing w:val="0"/>
          <w:w w:val="100"/>
          <w:position w:val="0"/>
        </w:rPr>
        <w:t>号验资报告验证确认。</w:t>
      </w:r>
    </w:p>
    <w:p>
      <w:pPr>
        <w:pStyle w:val="Style38"/>
        <w:keepNext w:val="0"/>
        <w:keepLines w:val="0"/>
        <w:widowControl w:val="0"/>
        <w:shd w:val="clear" w:color="auto" w:fill="auto"/>
        <w:tabs>
          <w:tab w:pos="780" w:val="left"/>
        </w:tabs>
        <w:bidi w:val="0"/>
        <w:spacing w:before="0" w:after="0" w:line="418" w:lineRule="auto"/>
        <w:ind w:left="0" w:right="0" w:firstLine="440"/>
        <w:jc w:val="left"/>
      </w:pPr>
      <w:bookmarkStart w:id="814" w:name="bookmark814"/>
      <w:r>
        <w:rPr>
          <w:rFonts w:ascii="Times New Roman" w:eastAsia="Times New Roman" w:hAnsi="Times New Roman" w:cs="Times New Roman"/>
          <w:color w:val="000000"/>
          <w:spacing w:val="0"/>
          <w:w w:val="100"/>
          <w:position w:val="0"/>
        </w:rPr>
        <w:t>3</w:t>
      </w:r>
      <w:bookmarkEnd w:id="814"/>
      <w:r>
        <w:rPr>
          <w:color w:val="000000"/>
          <w:spacing w:val="0"/>
          <w:w w:val="100"/>
          <w:position w:val="0"/>
        </w:rPr>
        <w:t>、</w:t>
        <w:tab/>
        <w:t>公司上市</w:t>
      </w:r>
    </w:p>
    <w:p>
      <w:pPr>
        <w:pStyle w:val="Style38"/>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日，公司在深圳证券交易所创业板成功上市，共募集资金人民币</w:t>
      </w:r>
      <w:r>
        <w:rPr>
          <w:rFonts w:ascii="Times New Roman" w:eastAsia="Times New Roman" w:hAnsi="Times New Roman" w:cs="Times New Roman"/>
          <w:color w:val="000000"/>
          <w:spacing w:val="0"/>
          <w:w w:val="100"/>
          <w:position w:val="0"/>
        </w:rPr>
        <w:t>392,000,000.00</w:t>
      </w:r>
      <w:r>
        <w:rPr>
          <w:color w:val="000000"/>
          <w:spacing w:val="0"/>
          <w:w w:val="100"/>
          <w:position w:val="0"/>
        </w:rPr>
        <w:t>元，扣除 发行费用</w:t>
      </w:r>
      <w:r>
        <w:rPr>
          <w:rFonts w:ascii="Times New Roman" w:eastAsia="Times New Roman" w:hAnsi="Times New Roman" w:cs="Times New Roman"/>
          <w:color w:val="000000"/>
          <w:spacing w:val="0"/>
          <w:w w:val="100"/>
          <w:position w:val="0"/>
        </w:rPr>
        <w:t>39,243,336.5</w:t>
      </w:r>
      <w:r>
        <w:rPr>
          <w:rFonts w:ascii="Times New Roman" w:eastAsia="Times New Roman" w:hAnsi="Times New Roman" w:cs="Times New Roman"/>
          <w:color w:val="000000"/>
          <w:spacing w:val="0"/>
          <w:w w:val="100"/>
          <w:position w:val="0"/>
        </w:rPr>
        <w:t>0</w:t>
      </w:r>
      <w:r>
        <w:rPr>
          <w:color w:val="000000"/>
          <w:spacing w:val="0"/>
          <w:w w:val="100"/>
          <w:position w:val="0"/>
        </w:rPr>
        <w:t>元，募集资金净额</w:t>
      </w:r>
      <w:r>
        <w:rPr>
          <w:rFonts w:ascii="Times New Roman" w:eastAsia="Times New Roman" w:hAnsi="Times New Roman" w:cs="Times New Roman"/>
          <w:color w:val="000000"/>
          <w:spacing w:val="0"/>
          <w:w w:val="100"/>
          <w:position w:val="0"/>
        </w:rPr>
        <w:t>352,756,663.5</w:t>
      </w:r>
      <w:r>
        <w:rPr>
          <w:rFonts w:ascii="Times New Roman" w:eastAsia="Times New Roman" w:hAnsi="Times New Roman" w:cs="Times New Roman"/>
          <w:color w:val="000000"/>
          <w:spacing w:val="0"/>
          <w:w w:val="100"/>
          <w:position w:val="0"/>
        </w:rPr>
        <w:t>0</w:t>
      </w:r>
      <w:r>
        <w:rPr>
          <w:color w:val="000000"/>
          <w:spacing w:val="0"/>
          <w:w w:val="100"/>
          <w:position w:val="0"/>
        </w:rPr>
        <w:t>元。募集资金转增股本人民币</w:t>
      </w:r>
      <w:r>
        <w:rPr>
          <w:rFonts w:ascii="Times New Roman" w:eastAsia="Times New Roman" w:hAnsi="Times New Roman" w:cs="Times New Roman"/>
          <w:color w:val="000000"/>
          <w:spacing w:val="0"/>
          <w:w w:val="100"/>
          <w:position w:val="0"/>
        </w:rPr>
        <w:t>2,450.00</w:t>
      </w:r>
      <w:r>
        <w:rPr>
          <w:color w:val="000000"/>
          <w:spacing w:val="0"/>
          <w:w w:val="100"/>
          <w:position w:val="0"/>
        </w:rPr>
        <w:t>万元，其余 资金计入资本公积。变更后的注册资本为人民币</w:t>
      </w:r>
      <w:r>
        <w:rPr>
          <w:rFonts w:ascii="Times New Roman" w:eastAsia="Times New Roman" w:hAnsi="Times New Roman" w:cs="Times New Roman"/>
          <w:color w:val="000000"/>
          <w:spacing w:val="0"/>
          <w:w w:val="100"/>
          <w:position w:val="0"/>
        </w:rPr>
        <w:t>9,800.00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9,800.00</w:t>
      </w:r>
      <w:r>
        <w:rPr>
          <w:color w:val="000000"/>
          <w:spacing w:val="0"/>
          <w:w w:val="100"/>
          <w:position w:val="0"/>
        </w:rPr>
        <w:t>万元，业经北京永拓 会计师事务所有限责任公司京永验字（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21001</w:t>
      </w:r>
      <w:r>
        <w:rPr>
          <w:color w:val="000000"/>
          <w:spacing w:val="0"/>
          <w:w w:val="100"/>
          <w:position w:val="0"/>
        </w:rPr>
        <w:t>号验资报告验证确认。</w:t>
      </w:r>
    </w:p>
    <w:p>
      <w:pPr>
        <w:pStyle w:val="Style38"/>
        <w:keepNext w:val="0"/>
        <w:keepLines w:val="0"/>
        <w:widowControl w:val="0"/>
        <w:shd w:val="clear" w:color="auto" w:fill="auto"/>
        <w:tabs>
          <w:tab w:pos="780" w:val="left"/>
        </w:tabs>
        <w:bidi w:val="0"/>
        <w:spacing w:before="0" w:after="0" w:line="400" w:lineRule="exact"/>
        <w:ind w:left="0" w:right="0" w:firstLine="440"/>
        <w:jc w:val="left"/>
      </w:pPr>
      <w:bookmarkStart w:id="815" w:name="bookmark815"/>
      <w:r>
        <w:rPr>
          <w:rFonts w:ascii="Times New Roman" w:eastAsia="Times New Roman" w:hAnsi="Times New Roman" w:cs="Times New Roman"/>
          <w:color w:val="000000"/>
          <w:spacing w:val="0"/>
          <w:w w:val="100"/>
          <w:position w:val="0"/>
        </w:rPr>
        <w:t>4</w:t>
      </w:r>
      <w:bookmarkEnd w:id="815"/>
      <w:r>
        <w:rPr>
          <w:color w:val="000000"/>
          <w:spacing w:val="0"/>
          <w:w w:val="100"/>
          <w:position w:val="0"/>
        </w:rPr>
        <w:t>、</w:t>
        <w:tab/>
        <w:t>第一次资本公积转增股本</w:t>
      </w:r>
    </w:p>
    <w:p>
      <w:pPr>
        <w:pStyle w:val="Style38"/>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日，根据股东大会决议及修改后章程的规定，公司申请新增注册资本为人民币</w:t>
      </w:r>
      <w:r>
        <w:rPr>
          <w:rFonts w:ascii="Times New Roman" w:eastAsia="Times New Roman" w:hAnsi="Times New Roman" w:cs="Times New Roman"/>
          <w:color w:val="000000"/>
          <w:spacing w:val="0"/>
          <w:w w:val="100"/>
          <w:position w:val="0"/>
        </w:rPr>
        <w:t>9,800.00</w:t>
      </w:r>
      <w:r>
        <w:rPr>
          <w:color w:val="000000"/>
          <w:spacing w:val="0"/>
          <w:w w:val="100"/>
          <w:position w:val="0"/>
        </w:rPr>
        <w:t>万 元，以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,800.00</w:t>
      </w:r>
      <w:r>
        <w:rPr>
          <w:color w:val="000000"/>
          <w:spacing w:val="0"/>
          <w:w w:val="100"/>
          <w:position w:val="0"/>
        </w:rPr>
        <w:t>万股为基数，以资本公积向股东每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股，合计转增股 本</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元，合计增加股本</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,800.00</w:t>
      </w:r>
      <w:r>
        <w:rPr>
          <w:color w:val="000000"/>
          <w:spacing w:val="0"/>
          <w:w w:val="100"/>
          <w:position w:val="0"/>
        </w:rPr>
        <w:t>万元，转增股本后公司总股本变更为</w:t>
      </w:r>
      <w:r>
        <w:rPr>
          <w:rFonts w:ascii="Times New Roman" w:eastAsia="Times New Roman" w:hAnsi="Times New Roman" w:cs="Times New Roman"/>
          <w:color w:val="000000"/>
          <w:spacing w:val="0"/>
          <w:w w:val="100"/>
          <w:position w:val="0"/>
        </w:rPr>
        <w:t>19,600.00</w:t>
      </w:r>
      <w:r>
        <w:rPr>
          <w:color w:val="000000"/>
          <w:spacing w:val="0"/>
          <w:w w:val="100"/>
          <w:position w:val="0"/>
        </w:rPr>
        <w:t>万 元，业经大华会计师事务所（特殊普通合伙）大华验字</w:t>
      </w:r>
      <w:r>
        <w:rPr>
          <w:rFonts w:ascii="Times New Roman" w:eastAsia="Times New Roman" w:hAnsi="Times New Roman" w:cs="Times New Roman"/>
          <w:color w:val="000000"/>
          <w:spacing w:val="0"/>
          <w:w w:val="100"/>
          <w:position w:val="0"/>
        </w:rPr>
        <w:t>［2013］000235</w:t>
      </w:r>
      <w:r>
        <w:rPr>
          <w:color w:val="000000"/>
          <w:spacing w:val="0"/>
          <w:w w:val="100"/>
          <w:position w:val="0"/>
        </w:rPr>
        <w:t>号验资报告验证确认。</w:t>
      </w:r>
    </w:p>
    <w:p>
      <w:pPr>
        <w:pStyle w:val="Style38"/>
        <w:keepNext w:val="0"/>
        <w:keepLines w:val="0"/>
        <w:widowControl w:val="0"/>
        <w:shd w:val="clear" w:color="auto" w:fill="auto"/>
        <w:tabs>
          <w:tab w:pos="780" w:val="left"/>
        </w:tabs>
        <w:bidi w:val="0"/>
        <w:spacing w:before="0" w:after="0" w:line="400" w:lineRule="exact"/>
        <w:ind w:left="0" w:right="0" w:firstLine="440"/>
        <w:jc w:val="left"/>
      </w:pPr>
      <w:bookmarkStart w:id="816" w:name="bookmark816"/>
      <w:r>
        <w:rPr>
          <w:rFonts w:ascii="Times New Roman" w:eastAsia="Times New Roman" w:hAnsi="Times New Roman" w:cs="Times New Roman"/>
          <w:color w:val="000000"/>
          <w:spacing w:val="0"/>
          <w:w w:val="100"/>
          <w:position w:val="0"/>
        </w:rPr>
        <w:t>5</w:t>
      </w:r>
      <w:bookmarkEnd w:id="816"/>
      <w:r>
        <w:rPr>
          <w:color w:val="000000"/>
          <w:spacing w:val="0"/>
          <w:w w:val="100"/>
          <w:position w:val="0"/>
        </w:rPr>
        <w:t>、</w:t>
        <w:tab/>
        <w:t>第一次发行股份和支付现金购买资产并募集配套资金</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日召开的第二届董事会第二十二次会议、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年第五次 临时股东大会通过的《蓝盾信息安全技术股份有限公司发行股份及支付现金购买资产并募集配套资金暨关 联交易报告书（草案）》及修订稿，公司申请非公开发行股票并增加注册资本人民币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4,610,235.00</w:t>
      </w:r>
      <w:r>
        <w:rPr>
          <w:color w:val="000000"/>
          <w:spacing w:val="0"/>
          <w:w w:val="100"/>
          <w:position w:val="0"/>
        </w:rPr>
        <w:t>元。</w:t>
      </w:r>
    </w:p>
    <w:p>
      <w:pPr>
        <w:pStyle w:val="Style38"/>
        <w:keepNext w:val="0"/>
        <w:keepLines w:val="0"/>
        <w:widowControl w:val="0"/>
        <w:shd w:val="clear" w:color="auto" w:fill="auto"/>
        <w:bidi w:val="0"/>
        <w:spacing w:before="0" w:after="160" w:line="400"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日，中国证监会出具《关于核准蓝盾信息安全技术股份有限公司向张远鹏等发行股份购 买资产并募集配套资金的批复》（证监许可</w:t>
      </w:r>
      <w:r>
        <w:rPr>
          <w:rFonts w:ascii="Times New Roman" w:eastAsia="Times New Roman" w:hAnsi="Times New Roman" w:cs="Times New Roman"/>
          <w:color w:val="000000"/>
          <w:spacing w:val="0"/>
          <w:w w:val="100"/>
          <w:position w:val="0"/>
        </w:rPr>
        <w:t>［2015］356</w:t>
      </w:r>
      <w:r>
        <w:rPr>
          <w:color w:val="000000"/>
          <w:spacing w:val="0"/>
          <w:w w:val="100"/>
          <w:position w:val="0"/>
        </w:rPr>
        <w:t>号），核准公司发行股份及支付现金购买广州华炜科 技股份有限公司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股权并募集配套资金，公司本次合计发行</w:t>
      </w:r>
      <w:r>
        <w:rPr>
          <w:rFonts w:ascii="Times New Roman" w:eastAsia="Times New Roman" w:hAnsi="Times New Roman" w:cs="Times New Roman"/>
          <w:color w:val="000000"/>
          <w:spacing w:val="0"/>
          <w:w w:val="100"/>
          <w:position w:val="0"/>
        </w:rPr>
        <w:t>24,610,235</w:t>
      </w:r>
      <w:r>
        <w:rPr>
          <w:color w:val="000000"/>
          <w:spacing w:val="0"/>
          <w:w w:val="100"/>
          <w:position w:val="0"/>
        </w:rPr>
        <w:t xml:space="preserve">股，公司总股本增加至 </w:t>
      </w:r>
      <w:r>
        <w:rPr>
          <w:rFonts w:ascii="Times New Roman" w:eastAsia="Times New Roman" w:hAnsi="Times New Roman" w:cs="Times New Roman"/>
          <w:color w:val="000000"/>
          <w:spacing w:val="0"/>
          <w:w w:val="100"/>
          <w:position w:val="0"/>
        </w:rPr>
        <w:t>220,610,235</w:t>
      </w:r>
      <w:r>
        <w:rPr>
          <w:color w:val="000000"/>
          <w:spacing w:val="0"/>
          <w:w w:val="100"/>
          <w:position w:val="0"/>
        </w:rPr>
        <w:t>股。以上新增股本业经大华会计师事务所（特殊普通合伙）大华验字</w:t>
      </w:r>
      <w:r>
        <w:rPr>
          <w:rFonts w:ascii="Times New Roman" w:eastAsia="Times New Roman" w:hAnsi="Times New Roman" w:cs="Times New Roman"/>
          <w:color w:val="000000"/>
          <w:spacing w:val="0"/>
          <w:w w:val="100"/>
          <w:position w:val="0"/>
        </w:rPr>
        <w:t>［2015］000201</w:t>
      </w:r>
      <w:r>
        <w:rPr>
          <w:color w:val="000000"/>
          <w:spacing w:val="0"/>
          <w:w w:val="100"/>
          <w:position w:val="0"/>
        </w:rPr>
        <w:t>号验资报告 验证确认。</w:t>
      </w:r>
    </w:p>
    <w:p>
      <w:pPr>
        <w:pStyle w:val="Style38"/>
        <w:keepNext w:val="0"/>
        <w:keepLines w:val="0"/>
        <w:widowControl w:val="0"/>
        <w:shd w:val="clear" w:color="auto" w:fill="auto"/>
        <w:bidi w:val="0"/>
        <w:spacing w:before="0" w:after="160" w:line="240" w:lineRule="auto"/>
        <w:ind w:left="0" w:right="0" w:firstLine="440"/>
        <w:jc w:val="left"/>
      </w:pPr>
      <w:bookmarkStart w:id="817" w:name="bookmark817"/>
      <w:r>
        <w:rPr>
          <w:rFonts w:ascii="Times New Roman" w:eastAsia="Times New Roman" w:hAnsi="Times New Roman" w:cs="Times New Roman"/>
          <w:color w:val="000000"/>
          <w:spacing w:val="0"/>
          <w:w w:val="100"/>
          <w:position w:val="0"/>
        </w:rPr>
        <w:t>6</w:t>
      </w:r>
      <w:bookmarkEnd w:id="817"/>
      <w:r>
        <w:rPr>
          <w:color w:val="000000"/>
          <w:spacing w:val="0"/>
          <w:w w:val="100"/>
          <w:position w:val="0"/>
        </w:rPr>
        <w:t>、第二次资本公积转增股本</w:t>
      </w:r>
    </w:p>
    <w:p>
      <w:pPr>
        <w:pStyle w:val="Style38"/>
        <w:keepNext w:val="0"/>
        <w:keepLines w:val="0"/>
        <w:widowControl w:val="0"/>
        <w:shd w:val="clear" w:color="auto" w:fill="auto"/>
        <w:bidi w:val="0"/>
        <w:spacing w:before="0" w:after="0" w:line="400"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rPr>
        <w:t>2014</w:t>
      </w:r>
      <w:r>
        <w:rPr>
          <w:color w:val="000000"/>
          <w:spacing w:val="0"/>
          <w:w w:val="100"/>
          <w:position w:val="0"/>
        </w:rPr>
        <w:t>年年度利润分配预案》，以公司 分红前总股本</w:t>
      </w:r>
      <w:r>
        <w:rPr>
          <w:rFonts w:ascii="Times New Roman" w:eastAsia="Times New Roman" w:hAnsi="Times New Roman" w:cs="Times New Roman"/>
          <w:color w:val="000000"/>
          <w:spacing w:val="0"/>
          <w:w w:val="100"/>
          <w:position w:val="0"/>
        </w:rPr>
        <w:t>220,610,235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rPr>
        <w:t>0.1</w:t>
      </w:r>
      <w:r>
        <w:rPr>
          <w:color w:val="000000"/>
          <w:spacing w:val="0"/>
          <w:w w:val="100"/>
          <w:position w:val="0"/>
        </w:rPr>
        <w:t>元人民币（含税），同时，以资本公 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12</w:t>
      </w:r>
      <w:r>
        <w:rPr>
          <w:color w:val="000000"/>
          <w:spacing w:val="0"/>
          <w:w w:val="100"/>
          <w:position w:val="0"/>
        </w:rPr>
        <w:t>股。本次利润分配方案实施后，公司总股本变更为</w:t>
      </w:r>
      <w:r>
        <w:rPr>
          <w:rFonts w:ascii="Times New Roman" w:eastAsia="Times New Roman" w:hAnsi="Times New Roman" w:cs="Times New Roman"/>
          <w:color w:val="000000"/>
          <w:spacing w:val="0"/>
          <w:w w:val="100"/>
          <w:position w:val="0"/>
        </w:rPr>
        <w:t>485,342,517</w:t>
      </w:r>
      <w:r>
        <w:rPr>
          <w:color w:val="000000"/>
          <w:spacing w:val="0"/>
          <w:w w:val="100"/>
          <w:position w:val="0"/>
        </w:rPr>
        <w:t>股。新增股本 业经中审华寅五洲会计师事务所（特殊普通合伙）</w:t>
      </w:r>
      <w:r>
        <w:rPr>
          <w:rFonts w:ascii="Times New Roman" w:eastAsia="Times New Roman" w:hAnsi="Times New Roman" w:cs="Times New Roman"/>
          <w:color w:val="000000"/>
          <w:spacing w:val="0"/>
          <w:w w:val="100"/>
          <w:position w:val="0"/>
        </w:rPr>
        <w:t>CHW</w:t>
      </w:r>
      <w:r>
        <w:rPr>
          <w:color w:val="000000"/>
          <w:spacing w:val="0"/>
          <w:w w:val="100"/>
          <w:position w:val="0"/>
        </w:rPr>
        <w:t>证验字</w:t>
      </w:r>
      <w:r>
        <w:rPr>
          <w:rFonts w:ascii="Times New Roman" w:eastAsia="Times New Roman" w:hAnsi="Times New Roman" w:cs="Times New Roman"/>
          <w:color w:val="000000"/>
          <w:spacing w:val="0"/>
          <w:w w:val="100"/>
          <w:position w:val="0"/>
        </w:rPr>
        <w:t>[2015]0097</w:t>
      </w:r>
      <w:r>
        <w:rPr>
          <w:color w:val="000000"/>
          <w:spacing w:val="0"/>
          <w:w w:val="100"/>
          <w:position w:val="0"/>
        </w:rPr>
        <w:t>号验资报告验证确认。</w:t>
      </w:r>
    </w:p>
    <w:p>
      <w:pPr>
        <w:pStyle w:val="Style38"/>
        <w:keepNext w:val="0"/>
        <w:keepLines w:val="0"/>
        <w:widowControl w:val="0"/>
        <w:shd w:val="clear" w:color="auto" w:fill="auto"/>
        <w:tabs>
          <w:tab w:pos="800" w:val="left"/>
        </w:tabs>
        <w:bidi w:val="0"/>
        <w:spacing w:before="0" w:after="0" w:line="400" w:lineRule="exact"/>
        <w:ind w:left="0" w:right="0" w:firstLine="460"/>
        <w:jc w:val="both"/>
      </w:pPr>
      <w:bookmarkStart w:id="818" w:name="bookmark818"/>
      <w:r>
        <w:rPr>
          <w:rFonts w:ascii="Times New Roman" w:eastAsia="Times New Roman" w:hAnsi="Times New Roman" w:cs="Times New Roman"/>
          <w:color w:val="000000"/>
          <w:spacing w:val="0"/>
          <w:w w:val="100"/>
          <w:position w:val="0"/>
        </w:rPr>
        <w:t>7</w:t>
      </w:r>
      <w:bookmarkEnd w:id="818"/>
      <w:r>
        <w:rPr>
          <w:color w:val="000000"/>
          <w:spacing w:val="0"/>
          <w:w w:val="100"/>
          <w:position w:val="0"/>
        </w:rPr>
        <w:t>、</w:t>
        <w:tab/>
        <w:t>第三次资本公积转增股本</w:t>
      </w:r>
    </w:p>
    <w:p>
      <w:pPr>
        <w:pStyle w:val="Style38"/>
        <w:keepNext w:val="0"/>
        <w:keepLines w:val="0"/>
        <w:widowControl w:val="0"/>
        <w:shd w:val="clear" w:color="auto" w:fill="auto"/>
        <w:bidi w:val="0"/>
        <w:spacing w:before="0" w:after="0" w:line="400"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年第三次临时股东大会，审议通过了《关于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年半年度利润分 配预案</w:t>
      </w:r>
      <w:r>
        <w:rPr>
          <w:rFonts w:ascii="Times New Roman" w:eastAsia="Times New Roman" w:hAnsi="Times New Roman" w:cs="Times New Roman"/>
          <w:color w:val="000000"/>
          <w:spacing w:val="0"/>
          <w:w w:val="100"/>
          <w:position w:val="0"/>
        </w:rPr>
        <w:t>＞</w:t>
      </w:r>
      <w:r>
        <w:rPr>
          <w:color w:val="000000"/>
          <w:spacing w:val="0"/>
          <w:w w:val="100"/>
          <w:position w:val="0"/>
        </w:rPr>
        <w:t>的议案》，以截至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rPr>
        <w:t>485,342,517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1</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.25</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9</w:t>
      </w:r>
      <w:r>
        <w:rPr>
          <w:color w:val="000000"/>
          <w:spacing w:val="0"/>
          <w:w w:val="100"/>
          <w:position w:val="0"/>
        </w:rPr>
        <w:t xml:space="preserve">股，公司送股及转增股本 </w:t>
      </w:r>
      <w:r>
        <w:rPr>
          <w:rFonts w:ascii="Times New Roman" w:eastAsia="Times New Roman" w:hAnsi="Times New Roman" w:cs="Times New Roman"/>
          <w:color w:val="000000"/>
          <w:spacing w:val="0"/>
          <w:w w:val="100"/>
          <w:position w:val="0"/>
        </w:rPr>
        <w:t>485,342,517</w:t>
      </w:r>
      <w:r>
        <w:rPr>
          <w:color w:val="000000"/>
          <w:spacing w:val="0"/>
          <w:w w:val="100"/>
          <w:position w:val="0"/>
        </w:rPr>
        <w:t>股。以上送股及转增方案实施后，公司总股本将增加至</w:t>
      </w:r>
      <w:r>
        <w:rPr>
          <w:rFonts w:ascii="Times New Roman" w:eastAsia="Times New Roman" w:hAnsi="Times New Roman" w:cs="Times New Roman"/>
          <w:color w:val="000000"/>
          <w:spacing w:val="0"/>
          <w:w w:val="100"/>
          <w:position w:val="0"/>
        </w:rPr>
        <w:t>970,685,034</w:t>
      </w:r>
      <w:r>
        <w:rPr>
          <w:color w:val="000000"/>
          <w:spacing w:val="0"/>
          <w:w w:val="100"/>
          <w:position w:val="0"/>
        </w:rPr>
        <w:t>股。新增股本业经中审华寅 五洲会计师事务所（特殊普通合伙）</w:t>
      </w:r>
      <w:r>
        <w:rPr>
          <w:rFonts w:ascii="Times New Roman" w:eastAsia="Times New Roman" w:hAnsi="Times New Roman" w:cs="Times New Roman"/>
          <w:color w:val="000000"/>
          <w:spacing w:val="0"/>
          <w:w w:val="100"/>
          <w:position w:val="0"/>
        </w:rPr>
        <w:t>CHW</w:t>
      </w:r>
      <w:r>
        <w:rPr>
          <w:color w:val="000000"/>
          <w:spacing w:val="0"/>
          <w:w w:val="100"/>
          <w:position w:val="0"/>
        </w:rPr>
        <w:t>证验字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2015]0098</w:t>
      </w:r>
      <w:r>
        <w:rPr>
          <w:color w:val="000000"/>
          <w:spacing w:val="0"/>
          <w:w w:val="100"/>
          <w:position w:val="0"/>
        </w:rPr>
        <w:t>号验资报告验证确认。</w:t>
      </w:r>
    </w:p>
    <w:p>
      <w:pPr>
        <w:pStyle w:val="Style38"/>
        <w:keepNext w:val="0"/>
        <w:keepLines w:val="0"/>
        <w:widowControl w:val="0"/>
        <w:shd w:val="clear" w:color="auto" w:fill="auto"/>
        <w:tabs>
          <w:tab w:pos="800" w:val="left"/>
        </w:tabs>
        <w:bidi w:val="0"/>
        <w:spacing w:before="0" w:after="0" w:line="400" w:lineRule="exact"/>
        <w:ind w:left="0" w:right="0" w:firstLine="460"/>
        <w:jc w:val="both"/>
      </w:pPr>
      <w:bookmarkStart w:id="819" w:name="bookmark819"/>
      <w:r>
        <w:rPr>
          <w:rFonts w:ascii="Times New Roman" w:eastAsia="Times New Roman" w:hAnsi="Times New Roman" w:cs="Times New Roman"/>
          <w:color w:val="000000"/>
          <w:spacing w:val="0"/>
          <w:w w:val="100"/>
          <w:position w:val="0"/>
        </w:rPr>
        <w:t>8</w:t>
      </w:r>
      <w:bookmarkEnd w:id="819"/>
      <w:r>
        <w:rPr>
          <w:color w:val="000000"/>
          <w:spacing w:val="0"/>
          <w:w w:val="100"/>
          <w:position w:val="0"/>
        </w:rPr>
        <w:t>、</w:t>
        <w:tab/>
        <w:t>第二次发行股票即实施股权激励授予限制性股票</w:t>
      </w:r>
    </w:p>
    <w:p>
      <w:pPr>
        <w:pStyle w:val="Style38"/>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年度第三次临时股东大会决议、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召开的第三届董事会 第十三次（临时）会议决议，公司已符合《蓝盾信息安全技术股份有限公司限制性股票激励计划（草案）》 规定的各项授予条件，以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日作为蓝盾股份限制性股票激励计划的授予日，向蓝盾股份</w:t>
      </w:r>
      <w:r>
        <w:rPr>
          <w:rFonts w:ascii="Times New Roman" w:eastAsia="Times New Roman" w:hAnsi="Times New Roman" w:cs="Times New Roman"/>
          <w:color w:val="000000"/>
          <w:spacing w:val="0"/>
          <w:w w:val="100"/>
          <w:position w:val="0"/>
        </w:rPr>
        <w:t>290</w:t>
      </w:r>
      <w:r>
        <w:rPr>
          <w:color w:val="000000"/>
          <w:spacing w:val="0"/>
          <w:w w:val="100"/>
          <w:position w:val="0"/>
        </w:rPr>
        <w:t>名激 励对象授予</w:t>
      </w:r>
      <w:r>
        <w:rPr>
          <w:rFonts w:ascii="Times New Roman" w:eastAsia="Times New Roman" w:hAnsi="Times New Roman" w:cs="Times New Roman"/>
          <w:color w:val="000000"/>
          <w:spacing w:val="0"/>
          <w:w w:val="100"/>
          <w:position w:val="0"/>
        </w:rPr>
        <w:t>800</w:t>
      </w:r>
      <w:r>
        <w:rPr>
          <w:color w:val="000000"/>
          <w:spacing w:val="0"/>
          <w:w w:val="100"/>
          <w:position w:val="0"/>
        </w:rPr>
        <w:t>万股，限制性股票每股面值为人民币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rPr>
        <w:t>7.8</w:t>
      </w:r>
      <w:r>
        <w:rPr>
          <w:rFonts w:ascii="Times New Roman" w:eastAsia="Times New Roman" w:hAnsi="Times New Roman" w:cs="Times New Roman"/>
          <w:color w:val="000000"/>
          <w:spacing w:val="0"/>
          <w:w w:val="100"/>
          <w:position w:val="0"/>
        </w:rPr>
        <w:t>9</w:t>
      </w:r>
      <w:r>
        <w:rPr>
          <w:color w:val="000000"/>
          <w:spacing w:val="0"/>
          <w:w w:val="100"/>
          <w:position w:val="0"/>
        </w:rPr>
        <w:t>元。公司实际共收 到</w:t>
      </w:r>
      <w:r>
        <w:rPr>
          <w:rFonts w:ascii="Times New Roman" w:eastAsia="Times New Roman" w:hAnsi="Times New Roman" w:cs="Times New Roman"/>
          <w:color w:val="000000"/>
          <w:spacing w:val="0"/>
          <w:w w:val="100"/>
          <w:position w:val="0"/>
        </w:rPr>
        <w:t>214</w:t>
      </w:r>
      <w:r>
        <w:rPr>
          <w:color w:val="000000"/>
          <w:spacing w:val="0"/>
          <w:w w:val="100"/>
          <w:position w:val="0"/>
        </w:rPr>
        <w:t>名激励对象认购限制性股票款</w:t>
      </w:r>
      <w:r>
        <w:rPr>
          <w:rFonts w:ascii="Times New Roman" w:eastAsia="Times New Roman" w:hAnsi="Times New Roman" w:cs="Times New Roman"/>
          <w:color w:val="000000"/>
          <w:spacing w:val="0"/>
          <w:w w:val="100"/>
          <w:position w:val="0"/>
        </w:rPr>
        <w:t>62,331,000.00</w:t>
      </w:r>
      <w:r>
        <w:rPr>
          <w:color w:val="000000"/>
          <w:spacing w:val="0"/>
          <w:w w:val="100"/>
          <w:position w:val="0"/>
        </w:rPr>
        <w:t xml:space="preserve">元，出资方式为货币资金，本次募集资金新增股本 </w:t>
      </w:r>
      <w:r>
        <w:rPr>
          <w:rFonts w:ascii="Times New Roman" w:eastAsia="Times New Roman" w:hAnsi="Times New Roman" w:cs="Times New Roman"/>
          <w:color w:val="000000"/>
          <w:spacing w:val="0"/>
          <w:w w:val="100"/>
          <w:position w:val="0"/>
        </w:rPr>
        <w:t>7,900,000.0</w:t>
      </w:r>
      <w:r>
        <w:rPr>
          <w:rFonts w:ascii="Times New Roman" w:eastAsia="Times New Roman" w:hAnsi="Times New Roman" w:cs="Times New Roman"/>
          <w:color w:val="000000"/>
          <w:spacing w:val="0"/>
          <w:w w:val="100"/>
          <w:position w:val="0"/>
        </w:rPr>
        <w:t>0</w:t>
      </w:r>
      <w:r>
        <w:rPr>
          <w:color w:val="000000"/>
          <w:spacing w:val="0"/>
          <w:w w:val="100"/>
          <w:position w:val="0"/>
        </w:rPr>
        <w:t>元。实际非公开发行限制性股票</w:t>
      </w:r>
      <w:r>
        <w:rPr>
          <w:rFonts w:ascii="Times New Roman" w:eastAsia="Times New Roman" w:hAnsi="Times New Roman" w:cs="Times New Roman"/>
          <w:color w:val="000000"/>
          <w:spacing w:val="0"/>
          <w:w w:val="100"/>
          <w:position w:val="0"/>
        </w:rPr>
        <w:t>7,900,000</w:t>
      </w:r>
      <w:r>
        <w:rPr>
          <w:color w:val="000000"/>
          <w:spacing w:val="0"/>
          <w:w w:val="100"/>
          <w:position w:val="0"/>
        </w:rPr>
        <w:t>股，公司总股本增加至</w:t>
      </w:r>
      <w:r>
        <w:rPr>
          <w:rFonts w:ascii="Times New Roman" w:eastAsia="Times New Roman" w:hAnsi="Times New Roman" w:cs="Times New Roman"/>
          <w:color w:val="000000"/>
          <w:spacing w:val="0"/>
          <w:w w:val="100"/>
          <w:position w:val="0"/>
        </w:rPr>
        <w:t>978,585,034</w:t>
      </w:r>
      <w:r>
        <w:rPr>
          <w:color w:val="000000"/>
          <w:spacing w:val="0"/>
          <w:w w:val="100"/>
          <w:position w:val="0"/>
        </w:rPr>
        <w:t>股。以上新增股本 业经大华会计师事务所（特殊普通合伙）大华验字</w:t>
      </w:r>
      <w:r>
        <w:rPr>
          <w:rFonts w:ascii="Times New Roman" w:eastAsia="Times New Roman" w:hAnsi="Times New Roman" w:cs="Times New Roman"/>
          <w:color w:val="000000"/>
          <w:spacing w:val="0"/>
          <w:w w:val="100"/>
          <w:position w:val="0"/>
        </w:rPr>
        <w:t>[2016]000360</w:t>
      </w:r>
      <w:r>
        <w:rPr>
          <w:color w:val="000000"/>
          <w:spacing w:val="0"/>
          <w:w w:val="100"/>
          <w:position w:val="0"/>
        </w:rPr>
        <w:t>号验资报告验证确认。</w:t>
      </w:r>
    </w:p>
    <w:p>
      <w:pPr>
        <w:pStyle w:val="Style38"/>
        <w:keepNext w:val="0"/>
        <w:keepLines w:val="0"/>
        <w:widowControl w:val="0"/>
        <w:shd w:val="clear" w:color="auto" w:fill="auto"/>
        <w:tabs>
          <w:tab w:pos="800" w:val="left"/>
        </w:tabs>
        <w:bidi w:val="0"/>
        <w:spacing w:before="0" w:after="0" w:line="400" w:lineRule="exact"/>
        <w:ind w:left="0" w:right="0" w:firstLine="460"/>
        <w:jc w:val="both"/>
      </w:pPr>
      <w:bookmarkStart w:id="820" w:name="bookmark820"/>
      <w:r>
        <w:rPr>
          <w:rFonts w:ascii="Times New Roman" w:eastAsia="Times New Roman" w:hAnsi="Times New Roman" w:cs="Times New Roman"/>
          <w:color w:val="000000"/>
          <w:spacing w:val="0"/>
          <w:w w:val="100"/>
          <w:position w:val="0"/>
        </w:rPr>
        <w:t>9</w:t>
      </w:r>
      <w:bookmarkEnd w:id="820"/>
      <w:r>
        <w:rPr>
          <w:color w:val="000000"/>
          <w:spacing w:val="0"/>
          <w:w w:val="100"/>
          <w:position w:val="0"/>
        </w:rPr>
        <w:t>、</w:t>
        <w:tab/>
        <w:t>第三次发行股份和支付现金购买资产并募集配套资金</w:t>
      </w:r>
    </w:p>
    <w:p>
      <w:pPr>
        <w:pStyle w:val="Style38"/>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日召开的第三届董事会第三次（临时）会议决议、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 第四次临时股东大会通过的蓝盾信息安全技术股份有限公司发行股份及支付现金购买资产并募集配套资 金暨关联交易方案，公司申请非公开发行股票并增加注册资本人民币</w:t>
      </w:r>
      <w:r>
        <w:rPr>
          <w:rFonts w:ascii="Times New Roman" w:eastAsia="Times New Roman" w:hAnsi="Times New Roman" w:cs="Times New Roman"/>
          <w:color w:val="000000"/>
          <w:spacing w:val="0"/>
          <w:w w:val="100"/>
          <w:position w:val="0"/>
        </w:rPr>
        <w:t>112,515,042.00</w:t>
      </w:r>
      <w:r>
        <w:rPr>
          <w:color w:val="000000"/>
          <w:spacing w:val="0"/>
          <w:w w:val="100"/>
          <w:position w:val="0"/>
        </w:rPr>
        <w:t>元。</w:t>
      </w:r>
    </w:p>
    <w:p>
      <w:pPr>
        <w:pStyle w:val="Style38"/>
        <w:keepNext w:val="0"/>
        <w:keepLines w:val="0"/>
        <w:widowControl w:val="0"/>
        <w:shd w:val="clear" w:color="auto" w:fill="auto"/>
        <w:bidi w:val="0"/>
        <w:spacing w:before="0" w:after="0" w:line="400"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日，中国证监会出具《关于核准蓝盾信息安全技术股份有限公司向中经汇通有限责任公司 发行股份购买资产并募集配套资金的批复》（证监许可</w:t>
      </w:r>
      <w:r>
        <w:rPr>
          <w:rFonts w:ascii="Times New Roman" w:eastAsia="Times New Roman" w:hAnsi="Times New Roman" w:cs="Times New Roman"/>
          <w:color w:val="000000"/>
          <w:spacing w:val="0"/>
          <w:w w:val="100"/>
          <w:position w:val="0"/>
        </w:rPr>
        <w:t>[2016]616</w:t>
      </w:r>
      <w:r>
        <w:rPr>
          <w:color w:val="000000"/>
          <w:spacing w:val="0"/>
          <w:w w:val="100"/>
          <w:position w:val="0"/>
        </w:rPr>
        <w:t>号），核准公司向中经汇通有限责任公司 发行</w:t>
      </w:r>
      <w:r>
        <w:rPr>
          <w:rFonts w:ascii="Times New Roman" w:eastAsia="Times New Roman" w:hAnsi="Times New Roman" w:cs="Times New Roman"/>
          <w:color w:val="000000"/>
          <w:spacing w:val="0"/>
          <w:w w:val="100"/>
          <w:position w:val="0"/>
        </w:rPr>
        <w:t>112,515,042</w:t>
      </w:r>
      <w:r>
        <w:rPr>
          <w:color w:val="000000"/>
          <w:spacing w:val="0"/>
          <w:w w:val="100"/>
          <w:position w:val="0"/>
        </w:rPr>
        <w:t>股股份购买相关资产，核准公司非公开发行股份募集配套资金不超过</w:t>
      </w:r>
      <w:r>
        <w:rPr>
          <w:rFonts w:ascii="Times New Roman" w:eastAsia="Times New Roman" w:hAnsi="Times New Roman" w:cs="Times New Roman"/>
          <w:color w:val="000000"/>
          <w:spacing w:val="0"/>
          <w:w w:val="100"/>
          <w:position w:val="0"/>
        </w:rPr>
        <w:t>11</w:t>
      </w:r>
      <w:r>
        <w:rPr>
          <w:color w:val="000000"/>
          <w:spacing w:val="0"/>
          <w:w w:val="100"/>
          <w:position w:val="0"/>
        </w:rPr>
        <w:t>亿元。公司股份支 付发行人民币普通股</w:t>
      </w:r>
      <w:r>
        <w:rPr>
          <w:rFonts w:ascii="Times New Roman" w:eastAsia="Times New Roman" w:hAnsi="Times New Roman" w:cs="Times New Roman"/>
          <w:color w:val="000000"/>
          <w:spacing w:val="0"/>
          <w:w w:val="100"/>
          <w:position w:val="0"/>
        </w:rPr>
        <w:t>112,515,042</w:t>
      </w:r>
      <w:r>
        <w:rPr>
          <w:color w:val="000000"/>
          <w:spacing w:val="0"/>
          <w:w w:val="100"/>
          <w:position w:val="0"/>
        </w:rPr>
        <w:t>股，同时非公开向鹏华资产管理（深圳）有限公司、西部利得基金管理有 限公司、财通基金管理有限公司、汇添富基金管理股份有限公司发行股票</w:t>
      </w:r>
      <w:r>
        <w:rPr>
          <w:rFonts w:ascii="Times New Roman" w:eastAsia="Times New Roman" w:hAnsi="Times New Roman" w:cs="Times New Roman"/>
          <w:color w:val="000000"/>
          <w:spacing w:val="0"/>
          <w:w w:val="100"/>
          <w:position w:val="0"/>
        </w:rPr>
        <w:t>84,355,828</w:t>
      </w:r>
      <w:r>
        <w:rPr>
          <w:color w:val="000000"/>
          <w:spacing w:val="0"/>
          <w:w w:val="100"/>
          <w:position w:val="0"/>
        </w:rPr>
        <w:t>股，本次发行股份使 公司总股本增加至</w:t>
      </w:r>
      <w:r>
        <w:rPr>
          <w:rFonts w:ascii="Times New Roman" w:eastAsia="Times New Roman" w:hAnsi="Times New Roman" w:cs="Times New Roman"/>
          <w:color w:val="000000"/>
          <w:spacing w:val="0"/>
          <w:w w:val="100"/>
          <w:position w:val="0"/>
        </w:rPr>
        <w:t>1,175,455,904</w:t>
      </w:r>
      <w:r>
        <w:rPr>
          <w:color w:val="000000"/>
          <w:spacing w:val="0"/>
          <w:w w:val="100"/>
          <w:position w:val="0"/>
        </w:rPr>
        <w:t>股。以上新增股本业经中审华寅五洲会计师事务所（特殊普通合伙）审验 并分别于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日出具</w:t>
      </w:r>
      <w:r>
        <w:rPr>
          <w:rFonts w:ascii="Times New Roman" w:eastAsia="Times New Roman" w:hAnsi="Times New Roman" w:cs="Times New Roman"/>
          <w:color w:val="000000"/>
          <w:spacing w:val="0"/>
          <w:w w:val="100"/>
          <w:position w:val="0"/>
        </w:rPr>
        <w:t>CHW</w:t>
      </w:r>
      <w:r>
        <w:rPr>
          <w:color w:val="000000"/>
          <w:spacing w:val="0"/>
          <w:w w:val="100"/>
          <w:position w:val="0"/>
        </w:rPr>
        <w:t>证验字</w:t>
      </w:r>
      <w:r>
        <w:rPr>
          <w:rFonts w:ascii="Times New Roman" w:eastAsia="Times New Roman" w:hAnsi="Times New Roman" w:cs="Times New Roman"/>
          <w:color w:val="000000"/>
          <w:spacing w:val="0"/>
          <w:w w:val="100"/>
          <w:position w:val="0"/>
        </w:rPr>
        <w:t>[2016]0036</w:t>
      </w:r>
      <w:r>
        <w:rPr>
          <w:color w:val="000000"/>
          <w:spacing w:val="0"/>
          <w:w w:val="100"/>
          <w:position w:val="0"/>
        </w:rPr>
        <w:t>号验资报告、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日出具</w:t>
      </w:r>
      <w:r>
        <w:rPr>
          <w:rFonts w:ascii="Times New Roman" w:eastAsia="Times New Roman" w:hAnsi="Times New Roman" w:cs="Times New Roman"/>
          <w:color w:val="000000"/>
          <w:spacing w:val="0"/>
          <w:w w:val="100"/>
          <w:position w:val="0"/>
        </w:rPr>
        <w:t>CHW</w:t>
      </w:r>
      <w:r>
        <w:rPr>
          <w:color w:val="000000"/>
          <w:spacing w:val="0"/>
          <w:w w:val="100"/>
          <w:position w:val="0"/>
        </w:rPr>
        <w:t xml:space="preserve">证验字 </w:t>
      </w:r>
      <w:r>
        <w:rPr>
          <w:rFonts w:ascii="Times New Roman" w:eastAsia="Times New Roman" w:hAnsi="Times New Roman" w:cs="Times New Roman"/>
          <w:color w:val="000000"/>
          <w:spacing w:val="0"/>
          <w:w w:val="100"/>
          <w:position w:val="0"/>
        </w:rPr>
        <w:t>[2016]0050</w:t>
      </w:r>
      <w:r>
        <w:rPr>
          <w:color w:val="000000"/>
          <w:spacing w:val="0"/>
          <w:w w:val="100"/>
          <w:position w:val="0"/>
        </w:rPr>
        <w:t>号验资报告确认。</w:t>
      </w:r>
    </w:p>
    <w:p>
      <w:pPr>
        <w:pStyle w:val="Style38"/>
        <w:keepNext w:val="0"/>
        <w:keepLines w:val="0"/>
        <w:widowControl w:val="0"/>
        <w:shd w:val="clear" w:color="auto" w:fill="auto"/>
        <w:tabs>
          <w:tab w:pos="859" w:val="left"/>
        </w:tabs>
        <w:bidi w:val="0"/>
        <w:spacing w:before="0" w:after="0" w:line="400" w:lineRule="exact"/>
        <w:ind w:left="0" w:right="0" w:firstLine="460"/>
        <w:jc w:val="both"/>
      </w:pPr>
      <w:bookmarkStart w:id="821" w:name="bookmark821"/>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0</w:t>
      </w:r>
      <w:r>
        <w:rPr>
          <w:color w:val="000000"/>
          <w:spacing w:val="0"/>
          <w:w w:val="100"/>
          <w:position w:val="0"/>
        </w:rPr>
        <w:t>、</w:t>
        <w:tab/>
        <w:t>第一次股票回购</w:t>
      </w:r>
    </w:p>
    <w:p>
      <w:pPr>
        <w:pStyle w:val="Style38"/>
        <w:keepNext w:val="0"/>
        <w:keepLines w:val="0"/>
        <w:widowControl w:val="0"/>
        <w:shd w:val="clear" w:color="auto" w:fill="auto"/>
        <w:bidi w:val="0"/>
        <w:spacing w:before="0" w:after="0" w:line="400"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日公司召开的第三届董事会第三十一次会议决议审议通过的《关于回购注销部分限制性 股票的议案》，因激励对象中徐伟程、陈燕华、段叶华、黄玲、汤琦、胡忠祥、张荣兴、姜林等</w:t>
      </w:r>
      <w:r>
        <w:rPr>
          <w:rFonts w:ascii="Times New Roman" w:eastAsia="Times New Roman" w:hAnsi="Times New Roman" w:cs="Times New Roman"/>
          <w:color w:val="000000"/>
          <w:spacing w:val="0"/>
          <w:w w:val="100"/>
          <w:position w:val="0"/>
        </w:rPr>
        <w:t>8</w:t>
      </w:r>
      <w:r>
        <w:rPr>
          <w:color w:val="000000"/>
          <w:spacing w:val="0"/>
          <w:w w:val="100"/>
          <w:position w:val="0"/>
        </w:rPr>
        <w:t>人因个 人原因已离职，不符合激励条件，公司对上述</w:t>
      </w:r>
      <w:r>
        <w:rPr>
          <w:rFonts w:ascii="Times New Roman" w:eastAsia="Times New Roman" w:hAnsi="Times New Roman" w:cs="Times New Roman"/>
          <w:color w:val="000000"/>
          <w:spacing w:val="0"/>
          <w:w w:val="100"/>
          <w:position w:val="0"/>
        </w:rPr>
        <w:t>8</w:t>
      </w:r>
      <w:r>
        <w:rPr>
          <w:color w:val="000000"/>
          <w:spacing w:val="0"/>
          <w:w w:val="100"/>
          <w:position w:val="0"/>
        </w:rPr>
        <w:t>人已获授权但尚未解锁的限制性股票合计</w:t>
      </w:r>
      <w:r>
        <w:rPr>
          <w:rFonts w:ascii="Times New Roman" w:eastAsia="Times New Roman" w:hAnsi="Times New Roman" w:cs="Times New Roman"/>
          <w:color w:val="000000"/>
          <w:spacing w:val="0"/>
          <w:w w:val="100"/>
          <w:position w:val="0"/>
        </w:rPr>
        <w:t>9</w:t>
      </w:r>
      <w:r>
        <w:rPr>
          <w:color w:val="000000"/>
          <w:spacing w:val="0"/>
          <w:w w:val="100"/>
          <w:position w:val="0"/>
        </w:rPr>
        <w:t xml:space="preserve">万股进行回购注 </w:t>
      </w:r>
      <w:r>
        <w:rPr>
          <w:color w:val="000000"/>
          <w:spacing w:val="0"/>
          <w:w w:val="100"/>
          <w:position w:val="0"/>
        </w:rPr>
        <w:t>销。</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日，公司已在中国证券登记结算有限责任公司深圳分公司完成上述限制性股票的回购和注 销登记手续。本次股票回购注销后，公司总股本减少至</w:t>
      </w:r>
      <w:r>
        <w:rPr>
          <w:rFonts w:ascii="Times New Roman" w:eastAsia="Times New Roman" w:hAnsi="Times New Roman" w:cs="Times New Roman"/>
          <w:color w:val="000000"/>
          <w:spacing w:val="0"/>
          <w:w w:val="100"/>
          <w:position w:val="0"/>
        </w:rPr>
        <w:t>1,175,365,904</w:t>
      </w:r>
      <w:r>
        <w:rPr>
          <w:color w:val="000000"/>
          <w:spacing w:val="0"/>
          <w:w w:val="100"/>
          <w:position w:val="0"/>
        </w:rPr>
        <w:t>股。</w:t>
      </w:r>
    </w:p>
    <w:p>
      <w:pPr>
        <w:pStyle w:val="Style38"/>
        <w:keepNext w:val="0"/>
        <w:keepLines w:val="0"/>
        <w:widowControl w:val="0"/>
        <w:shd w:val="clear" w:color="auto" w:fill="auto"/>
        <w:tabs>
          <w:tab w:pos="866" w:val="left"/>
        </w:tabs>
        <w:bidi w:val="0"/>
        <w:spacing w:before="0" w:after="0" w:line="402" w:lineRule="exact"/>
        <w:ind w:left="0" w:right="0" w:firstLine="440"/>
        <w:jc w:val="left"/>
      </w:pPr>
      <w:bookmarkStart w:id="822" w:name="bookmark822"/>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1</w:t>
      </w:r>
      <w:r>
        <w:rPr>
          <w:color w:val="000000"/>
          <w:spacing w:val="0"/>
          <w:w w:val="100"/>
          <w:position w:val="0"/>
        </w:rPr>
        <w:t>、</w:t>
        <w:tab/>
        <w:t>第二次股票回购</w:t>
      </w:r>
    </w:p>
    <w:p>
      <w:pPr>
        <w:pStyle w:val="Style38"/>
        <w:keepNext w:val="0"/>
        <w:keepLines w:val="0"/>
        <w:widowControl w:val="0"/>
        <w:shd w:val="clear" w:color="auto" w:fill="auto"/>
        <w:bidi w:val="0"/>
        <w:spacing w:before="0" w:after="0" w:line="40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日公司召开的第三届董事会第四十二次会议决议审议通过的《关于调整限制性股票回购 价格及回购注销部分限制性股票的议案》，因激励对象中邹建军、唐兴等</w:t>
      </w:r>
      <w:r>
        <w:rPr>
          <w:rFonts w:ascii="Times New Roman" w:eastAsia="Times New Roman" w:hAnsi="Times New Roman" w:cs="Times New Roman"/>
          <w:color w:val="000000"/>
          <w:spacing w:val="0"/>
          <w:w w:val="100"/>
          <w:position w:val="0"/>
        </w:rPr>
        <w:t>22</w:t>
      </w:r>
      <w:r>
        <w:rPr>
          <w:color w:val="000000"/>
          <w:spacing w:val="0"/>
          <w:w w:val="100"/>
          <w:position w:val="0"/>
        </w:rPr>
        <w:t>人因个人原因已离职，不符合 激励条件，公司对上述</w:t>
      </w:r>
      <w:r>
        <w:rPr>
          <w:rFonts w:ascii="Times New Roman" w:eastAsia="Times New Roman" w:hAnsi="Times New Roman" w:cs="Times New Roman"/>
          <w:color w:val="000000"/>
          <w:spacing w:val="0"/>
          <w:w w:val="100"/>
          <w:position w:val="0"/>
        </w:rPr>
        <w:t>22</w:t>
      </w:r>
      <w:r>
        <w:rPr>
          <w:color w:val="000000"/>
          <w:spacing w:val="0"/>
          <w:w w:val="100"/>
          <w:position w:val="0"/>
        </w:rPr>
        <w:t>人已获授但尚未解锁的限制性股票合计</w:t>
      </w:r>
      <w:r>
        <w:rPr>
          <w:rFonts w:ascii="Times New Roman" w:eastAsia="Times New Roman" w:hAnsi="Times New Roman" w:cs="Times New Roman"/>
          <w:color w:val="000000"/>
          <w:spacing w:val="0"/>
          <w:w w:val="100"/>
          <w:position w:val="0"/>
        </w:rPr>
        <w:t>30.4</w:t>
      </w:r>
      <w:r>
        <w:rPr>
          <w:rFonts w:ascii="Times New Roman" w:eastAsia="Times New Roman" w:hAnsi="Times New Roman" w:cs="Times New Roman"/>
          <w:color w:val="000000"/>
          <w:spacing w:val="0"/>
          <w:w w:val="100"/>
          <w:position w:val="0"/>
        </w:rPr>
        <w:t>0</w:t>
      </w:r>
      <w:r>
        <w:rPr>
          <w:color w:val="000000"/>
          <w:spacing w:val="0"/>
          <w:w w:val="100"/>
          <w:position w:val="0"/>
        </w:rPr>
        <w:t>万股进行回购注销。</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公司已在中国证券登记结算有限责任公司深圳分公司完成上述限制性股票的回购和注销登记手续。本次股 票回购注销后，公司总股本减少至</w:t>
      </w:r>
      <w:r>
        <w:rPr>
          <w:rFonts w:ascii="Times New Roman" w:eastAsia="Times New Roman" w:hAnsi="Times New Roman" w:cs="Times New Roman"/>
          <w:color w:val="000000"/>
          <w:spacing w:val="0"/>
          <w:w w:val="100"/>
          <w:position w:val="0"/>
        </w:rPr>
        <w:t>1,175,061,904</w:t>
      </w:r>
      <w:r>
        <w:rPr>
          <w:color w:val="000000"/>
          <w:spacing w:val="0"/>
          <w:w w:val="100"/>
          <w:position w:val="0"/>
        </w:rPr>
        <w:t>股。</w:t>
      </w:r>
    </w:p>
    <w:p>
      <w:pPr>
        <w:pStyle w:val="Style38"/>
        <w:keepNext w:val="0"/>
        <w:keepLines w:val="0"/>
        <w:widowControl w:val="0"/>
        <w:shd w:val="clear" w:color="auto" w:fill="auto"/>
        <w:tabs>
          <w:tab w:pos="866" w:val="left"/>
        </w:tabs>
        <w:bidi w:val="0"/>
        <w:spacing w:before="0" w:after="0" w:line="402" w:lineRule="exact"/>
        <w:ind w:left="0" w:right="0" w:firstLine="440"/>
        <w:jc w:val="both"/>
      </w:pPr>
      <w:bookmarkStart w:id="823" w:name="bookmark823"/>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第三次股票回购</w:t>
      </w:r>
    </w:p>
    <w:p>
      <w:pPr>
        <w:pStyle w:val="Style38"/>
        <w:keepNext w:val="0"/>
        <w:keepLines w:val="0"/>
        <w:widowControl w:val="0"/>
        <w:shd w:val="clear" w:color="auto" w:fill="auto"/>
        <w:bidi w:val="0"/>
        <w:spacing w:before="0" w:after="0" w:line="40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日公司召开的第四届董事会第十四次会议决议审议通过的《关于调整限制性股票回购价 格及回购注销部分限制性股票的议案》，因激励对象中高波、李东旭、李代春、韩磊、丁度灏、吕仁宾等 </w:t>
      </w:r>
      <w:r>
        <w:rPr>
          <w:rFonts w:ascii="Times New Roman" w:eastAsia="Times New Roman" w:hAnsi="Times New Roman" w:cs="Times New Roman"/>
          <w:color w:val="000000"/>
          <w:spacing w:val="0"/>
          <w:w w:val="100"/>
          <w:position w:val="0"/>
        </w:rPr>
        <w:t>32</w:t>
      </w:r>
      <w:r>
        <w:rPr>
          <w:color w:val="000000"/>
          <w:spacing w:val="0"/>
          <w:w w:val="100"/>
          <w:position w:val="0"/>
        </w:rPr>
        <w:t>人因个人原因已离职，不符合激励条件，公司对上述</w:t>
      </w:r>
      <w:r>
        <w:rPr>
          <w:rFonts w:ascii="Times New Roman" w:eastAsia="Times New Roman" w:hAnsi="Times New Roman" w:cs="Times New Roman"/>
          <w:color w:val="000000"/>
          <w:spacing w:val="0"/>
          <w:w w:val="100"/>
          <w:position w:val="0"/>
        </w:rPr>
        <w:t>32</w:t>
      </w:r>
      <w:r>
        <w:rPr>
          <w:color w:val="000000"/>
          <w:spacing w:val="0"/>
          <w:w w:val="100"/>
          <w:position w:val="0"/>
        </w:rPr>
        <w:t>人已获授但尚未解锁的限制性股票合计</w:t>
      </w:r>
      <w:r>
        <w:rPr>
          <w:rFonts w:ascii="Times New Roman" w:eastAsia="Times New Roman" w:hAnsi="Times New Roman" w:cs="Times New Roman"/>
          <w:color w:val="000000"/>
          <w:spacing w:val="0"/>
          <w:w w:val="100"/>
          <w:position w:val="0"/>
        </w:rPr>
        <w:t>43.8</w:t>
      </w:r>
      <w:r>
        <w:rPr>
          <w:color w:val="000000"/>
          <w:spacing w:val="0"/>
          <w:w w:val="100"/>
          <w:position w:val="0"/>
        </w:rPr>
        <w:t>万股 进行回购注销。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日，公司已在中国证券登记结算有限责任公司深圳分公司完成了上述限制性股 票的回购和注销登记手续。本次股票回购注销后，公司总股本减少至</w:t>
      </w:r>
      <w:r>
        <w:rPr>
          <w:rFonts w:ascii="Times New Roman" w:eastAsia="Times New Roman" w:hAnsi="Times New Roman" w:cs="Times New Roman"/>
          <w:color w:val="000000"/>
          <w:spacing w:val="0"/>
          <w:w w:val="100"/>
          <w:position w:val="0"/>
        </w:rPr>
        <w:t>1,174,623,904</w:t>
      </w:r>
      <w:r>
        <w:rPr>
          <w:color w:val="000000"/>
          <w:spacing w:val="0"/>
          <w:w w:val="100"/>
          <w:position w:val="0"/>
        </w:rPr>
        <w:t>股。</w:t>
      </w:r>
    </w:p>
    <w:p>
      <w:pPr>
        <w:pStyle w:val="Style38"/>
        <w:keepNext w:val="0"/>
        <w:keepLines w:val="0"/>
        <w:widowControl w:val="0"/>
        <w:shd w:val="clear" w:color="auto" w:fill="auto"/>
        <w:tabs>
          <w:tab w:pos="866" w:val="left"/>
        </w:tabs>
        <w:bidi w:val="0"/>
        <w:spacing w:before="0" w:after="0" w:line="402" w:lineRule="exact"/>
        <w:ind w:left="0" w:right="0" w:firstLine="440"/>
        <w:jc w:val="left"/>
      </w:pPr>
      <w:bookmarkStart w:id="824" w:name="bookmark824"/>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3</w:t>
      </w:r>
      <w:r>
        <w:rPr>
          <w:color w:val="000000"/>
          <w:spacing w:val="0"/>
          <w:w w:val="100"/>
          <w:position w:val="0"/>
        </w:rPr>
        <w:t>、</w:t>
        <w:tab/>
        <w:t>可转债转股</w:t>
      </w:r>
    </w:p>
    <w:p>
      <w:pPr>
        <w:pStyle w:val="Style38"/>
        <w:keepNext w:val="0"/>
        <w:keepLines w:val="0"/>
        <w:widowControl w:val="0"/>
        <w:shd w:val="clear" w:color="auto" w:fill="auto"/>
        <w:bidi w:val="0"/>
        <w:spacing w:before="0" w:after="0" w:line="40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日中国证券监督管理委员会出具证监许可</w:t>
      </w:r>
      <w:r>
        <w:rPr>
          <w:rFonts w:ascii="Times New Roman" w:eastAsia="Times New Roman" w:hAnsi="Times New Roman" w:cs="Times New Roman"/>
          <w:color w:val="000000"/>
          <w:spacing w:val="0"/>
          <w:w w:val="100"/>
          <w:position w:val="0"/>
        </w:rPr>
        <w:t>[2018]1063</w:t>
      </w:r>
      <w:r>
        <w:rPr>
          <w:color w:val="000000"/>
          <w:spacing w:val="0"/>
          <w:w w:val="100"/>
          <w:position w:val="0"/>
        </w:rPr>
        <w:t xml:space="preserve">号《关于核准蓝盾信息安全技术股份 有限公司公开发行可转换公司债券的批复》的核准，同意公司向社会公开发行面值总额不超过人民币 </w:t>
      </w:r>
      <w:r>
        <w:rPr>
          <w:rFonts w:ascii="Times New Roman" w:eastAsia="Times New Roman" w:hAnsi="Times New Roman" w:cs="Times New Roman"/>
          <w:color w:val="000000"/>
          <w:spacing w:val="0"/>
          <w:w w:val="100"/>
          <w:position w:val="0"/>
        </w:rPr>
        <w:t>538,000,000</w:t>
      </w:r>
      <w:r>
        <w:rPr>
          <w:color w:val="000000"/>
          <w:spacing w:val="0"/>
          <w:w w:val="100"/>
          <w:position w:val="0"/>
        </w:rPr>
        <w:t>元的可转换公司债券，本次可转债转股期自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rFonts w:ascii="SimHei" w:eastAsia="SimHei" w:hAnsi="SimHei" w:cs="SimHei"/>
          <w:color w:val="000000"/>
          <w:spacing w:val="0"/>
          <w:w w:val="100"/>
          <w:position w:val="0"/>
          <w:sz w:val="26"/>
          <w:szCs w:val="26"/>
        </w:rPr>
        <w:t>0</w:t>
      </w:r>
      <w:r>
        <w:rPr>
          <w:color w:val="000000"/>
          <w:spacing w:val="0"/>
          <w:w w:val="100"/>
          <w:position w:val="0"/>
        </w:rPr>
        <w:t>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rFonts w:ascii="SimHei" w:eastAsia="SimHei" w:hAnsi="SimHei" w:cs="SimHei"/>
          <w:color w:val="000000"/>
          <w:spacing w:val="0"/>
          <w:w w:val="100"/>
          <w:position w:val="0"/>
          <w:sz w:val="26"/>
          <w:szCs w:val="26"/>
        </w:rPr>
        <w:t>0</w:t>
      </w:r>
      <w:r>
        <w:rPr>
          <w:color w:val="000000"/>
          <w:spacing w:val="0"/>
          <w:w w:val="100"/>
          <w:position w:val="0"/>
        </w:rPr>
        <w:t>止。</w:t>
      </w:r>
    </w:p>
    <w:p>
      <w:pPr>
        <w:pStyle w:val="Style77"/>
        <w:keepNext w:val="0"/>
        <w:keepLines w:val="0"/>
        <w:widowControl w:val="0"/>
        <w:shd w:val="clear" w:color="auto" w:fill="auto"/>
        <w:bidi w:val="0"/>
        <w:spacing w:before="0" w:after="0"/>
        <w:ind w:left="0" w:right="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日，公司可转债共计转股</w:t>
      </w:r>
      <w:r>
        <w:rPr>
          <w:color w:val="000000"/>
          <w:spacing w:val="0"/>
          <w:w w:val="100"/>
          <w:position w:val="0"/>
        </w:rPr>
        <w:t>75,210,317</w:t>
      </w:r>
      <w:r>
        <w:rPr>
          <w:rFonts w:ascii="SimSun" w:eastAsia="SimSun" w:hAnsi="SimSun" w:cs="SimSun"/>
          <w:color w:val="000000"/>
          <w:spacing w:val="0"/>
          <w:w w:val="100"/>
          <w:position w:val="0"/>
        </w:rPr>
        <w:t>股，截至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日，公司总股本增加至 </w:t>
      </w:r>
      <w:r>
        <w:rPr>
          <w:color w:val="000000"/>
          <w:spacing w:val="0"/>
          <w:w w:val="100"/>
          <w:position w:val="0"/>
        </w:rPr>
        <w:t xml:space="preserve">1,249,834,221 </w:t>
      </w:r>
      <w:r>
        <w:rPr>
          <w:rFonts w:ascii="SimSun" w:eastAsia="SimSun" w:hAnsi="SimSun" w:cs="SimSun"/>
          <w:color w:val="000000"/>
          <w:spacing w:val="0"/>
          <w:w w:val="100"/>
          <w:position w:val="0"/>
        </w:rPr>
        <w:t>股。</w:t>
      </w:r>
    </w:p>
    <w:p>
      <w:pPr>
        <w:pStyle w:val="Style38"/>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公司法定代表人为柯宗贵，注册地址为广州市天河区天慧路</w:t>
      </w:r>
      <w:r>
        <w:rPr>
          <w:rFonts w:ascii="Times New Roman" w:eastAsia="Times New Roman" w:hAnsi="Times New Roman" w:cs="Times New Roman"/>
          <w:color w:val="000000"/>
          <w:spacing w:val="0"/>
          <w:w w:val="100"/>
          <w:position w:val="0"/>
        </w:rPr>
        <w:t>16</w:t>
      </w:r>
      <w:r>
        <w:rPr>
          <w:color w:val="000000"/>
          <w:spacing w:val="0"/>
          <w:w w:val="100"/>
          <w:position w:val="0"/>
        </w:rPr>
        <w:t>号。</w:t>
      </w:r>
    </w:p>
    <w:p>
      <w:pPr>
        <w:pStyle w:val="Style38"/>
        <w:keepNext w:val="0"/>
        <w:keepLines w:val="0"/>
        <w:widowControl w:val="0"/>
        <w:shd w:val="clear" w:color="auto" w:fill="auto"/>
        <w:bidi w:val="0"/>
        <w:spacing w:before="0" w:after="0" w:line="402" w:lineRule="exact"/>
        <w:ind w:left="0" w:right="0" w:firstLine="440"/>
        <w:jc w:val="left"/>
      </w:pPr>
      <w:r>
        <w:rPr>
          <w:b/>
          <w:bCs/>
          <w:color w:val="000000"/>
          <w:spacing w:val="0"/>
          <w:w w:val="100"/>
          <w:position w:val="0"/>
        </w:rPr>
        <w:t>（二）公司业务性质和主要经营活动</w:t>
      </w:r>
    </w:p>
    <w:p>
      <w:pPr>
        <w:pStyle w:val="Style38"/>
        <w:keepNext w:val="0"/>
        <w:keepLines w:val="0"/>
        <w:widowControl w:val="0"/>
        <w:shd w:val="clear" w:color="auto" w:fill="auto"/>
        <w:tabs>
          <w:tab w:pos="798" w:val="left"/>
        </w:tabs>
        <w:bidi w:val="0"/>
        <w:spacing w:before="0" w:after="0" w:line="402" w:lineRule="exact"/>
        <w:ind w:left="0" w:right="0" w:firstLine="440"/>
        <w:jc w:val="both"/>
      </w:pPr>
      <w:bookmarkStart w:id="825" w:name="bookmark825"/>
      <w:r>
        <w:rPr>
          <w:rFonts w:ascii="Times New Roman" w:eastAsia="Times New Roman" w:hAnsi="Times New Roman" w:cs="Times New Roman"/>
          <w:color w:val="000000"/>
          <w:spacing w:val="0"/>
          <w:w w:val="100"/>
          <w:position w:val="0"/>
        </w:rPr>
        <w:t>1</w:t>
      </w:r>
      <w:bookmarkEnd w:id="825"/>
      <w:r>
        <w:rPr>
          <w:color w:val="000000"/>
          <w:spacing w:val="0"/>
          <w:w w:val="100"/>
          <w:position w:val="0"/>
        </w:rPr>
        <w:t>、</w:t>
        <w:tab/>
        <w:t>公司属于信息技术业。</w:t>
      </w:r>
    </w:p>
    <w:p>
      <w:pPr>
        <w:pStyle w:val="Style38"/>
        <w:keepNext w:val="0"/>
        <w:keepLines w:val="0"/>
        <w:widowControl w:val="0"/>
        <w:shd w:val="clear" w:color="auto" w:fill="auto"/>
        <w:tabs>
          <w:tab w:pos="798" w:val="left"/>
        </w:tabs>
        <w:bidi w:val="0"/>
        <w:spacing w:before="0" w:after="0" w:line="402" w:lineRule="exact"/>
        <w:ind w:left="0" w:right="0" w:firstLine="440"/>
        <w:jc w:val="both"/>
      </w:pPr>
      <w:bookmarkStart w:id="826" w:name="bookmark826"/>
      <w:r>
        <w:rPr>
          <w:rFonts w:ascii="Times New Roman" w:eastAsia="Times New Roman" w:hAnsi="Times New Roman" w:cs="Times New Roman"/>
          <w:color w:val="000000"/>
          <w:spacing w:val="0"/>
          <w:w w:val="100"/>
          <w:position w:val="0"/>
        </w:rPr>
        <w:t>2</w:t>
      </w:r>
      <w:bookmarkEnd w:id="826"/>
      <w:r>
        <w:rPr>
          <w:color w:val="000000"/>
          <w:spacing w:val="0"/>
          <w:w w:val="100"/>
          <w:position w:val="0"/>
        </w:rPr>
        <w:t>、</w:t>
        <w:tab/>
        <w:t>经营范围：计算机软、硬件开发</w:t>
      </w:r>
      <w:r>
        <w:rPr>
          <w:rFonts w:ascii="Times New Roman" w:eastAsia="Times New Roman" w:hAnsi="Times New Roman" w:cs="Times New Roman"/>
          <w:color w:val="000000"/>
          <w:spacing w:val="0"/>
          <w:w w:val="100"/>
          <w:position w:val="0"/>
        </w:rPr>
        <w:t>;</w:t>
      </w:r>
      <w:r>
        <w:rPr>
          <w:color w:val="000000"/>
          <w:spacing w:val="0"/>
          <w:w w:val="100"/>
          <w:position w:val="0"/>
        </w:rPr>
        <w:t>计算机信息系统集成、布线</w:t>
      </w:r>
      <w:r>
        <w:rPr>
          <w:color w:val="000000"/>
          <w:spacing w:val="0"/>
          <w:w w:val="100"/>
          <w:position w:val="0"/>
        </w:rPr>
        <w:t>，</w:t>
      </w:r>
      <w:r>
        <w:rPr>
          <w:color w:val="000000"/>
          <w:spacing w:val="0"/>
          <w:w w:val="100"/>
          <w:position w:val="0"/>
        </w:rPr>
        <w:t>承接网络工程建设项目</w:t>
      </w:r>
      <w:r>
        <w:rPr>
          <w:color w:val="000000"/>
          <w:spacing w:val="0"/>
          <w:w w:val="100"/>
          <w:position w:val="0"/>
        </w:rPr>
        <w:t>，</w:t>
      </w:r>
      <w:r>
        <w:rPr>
          <w:color w:val="000000"/>
          <w:spacing w:val="0"/>
          <w:w w:val="100"/>
          <w:position w:val="0"/>
        </w:rPr>
        <w:t>信息技术、数 码技术开发、服务</w:t>
      </w:r>
      <w:r>
        <w:rPr>
          <w:color w:val="000000"/>
          <w:spacing w:val="0"/>
          <w:w w:val="100"/>
          <w:position w:val="0"/>
        </w:rPr>
        <w:t>，</w:t>
      </w:r>
      <w:r>
        <w:rPr>
          <w:color w:val="000000"/>
          <w:spacing w:val="0"/>
          <w:w w:val="100"/>
          <w:position w:val="0"/>
        </w:rPr>
        <w:t>计算机网络技术服务</w:t>
      </w:r>
      <w:r>
        <w:rPr>
          <w:rFonts w:ascii="Times New Roman" w:eastAsia="Times New Roman" w:hAnsi="Times New Roman" w:cs="Times New Roman"/>
          <w:color w:val="000000"/>
          <w:spacing w:val="0"/>
          <w:w w:val="100"/>
          <w:position w:val="0"/>
        </w:rPr>
        <w:t>,</w:t>
      </w:r>
      <w:r>
        <w:rPr>
          <w:color w:val="000000"/>
          <w:spacing w:val="0"/>
          <w:w w:val="100"/>
          <w:position w:val="0"/>
        </w:rPr>
        <w:t>网络安全信息咨询；计算机信息安全设备制造；监控系统工程安 装服务；保安监控及防盗报警系统工程服务；计算机网络系统工程服务；安全技术防范系统设计、施工、 维修</w:t>
      </w:r>
      <w:r>
        <w:rPr>
          <w:rFonts w:ascii="Times New Roman" w:eastAsia="Times New Roman" w:hAnsi="Times New Roman" w:cs="Times New Roman"/>
          <w:color w:val="000000"/>
          <w:spacing w:val="0"/>
          <w:w w:val="100"/>
          <w:position w:val="0"/>
        </w:rPr>
        <w:t>;</w:t>
      </w:r>
      <w:r>
        <w:rPr>
          <w:color w:val="000000"/>
          <w:spacing w:val="0"/>
          <w:w w:val="100"/>
          <w:position w:val="0"/>
        </w:rPr>
        <w:t>安全系统监控服务；科技信息咨询服务；网络技术的研究、开发；计算机整机制造；计算机零部件制 造；计算机电源制造；计算机外围设备制造；计算机应用电子设备制造；计算机房维护服务；计算机及通 讯设备租赁；计算机技术开发、技术服务；计算机房设计服务；计算机信息安全产品设计；计算机和辅助 设备修理；电子产品设计服务；安全技术防范产品制造；</w:t>
      </w:r>
      <w:r>
        <w:rPr>
          <w:color w:val="000000"/>
          <w:spacing w:val="0"/>
          <w:w w:val="100"/>
          <w:position w:val="0"/>
        </w:rPr>
        <w:t>（</w:t>
      </w:r>
      <w:r>
        <w:rPr>
          <w:color w:val="000000"/>
          <w:spacing w:val="0"/>
          <w:w w:val="100"/>
          <w:position w:val="0"/>
        </w:rPr>
        <w:t>具体经营范围以章程内实际记载为准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val="0"/>
        <w:keepLines w:val="0"/>
        <w:widowControl w:val="0"/>
        <w:shd w:val="clear" w:color="auto" w:fill="auto"/>
        <w:tabs>
          <w:tab w:pos="798" w:val="left"/>
        </w:tabs>
        <w:bidi w:val="0"/>
        <w:spacing w:before="0" w:after="0" w:line="402" w:lineRule="exact"/>
        <w:ind w:left="0" w:right="0" w:firstLine="440"/>
        <w:jc w:val="both"/>
      </w:pPr>
      <w:bookmarkStart w:id="827" w:name="bookmark827"/>
      <w:r>
        <w:rPr>
          <w:rFonts w:ascii="Times New Roman" w:eastAsia="Times New Roman" w:hAnsi="Times New Roman" w:cs="Times New Roman"/>
          <w:color w:val="000000"/>
          <w:spacing w:val="0"/>
          <w:w w:val="100"/>
          <w:position w:val="0"/>
        </w:rPr>
        <w:t>3</w:t>
      </w:r>
      <w:bookmarkEnd w:id="827"/>
      <w:r>
        <w:rPr>
          <w:color w:val="000000"/>
          <w:spacing w:val="0"/>
          <w:w w:val="100"/>
          <w:position w:val="0"/>
        </w:rPr>
        <w:t>、</w:t>
        <w:tab/>
        <w:t>主要产品和服务</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公司的业务主要涉及信息安全领域，包括：安全产品、安全解决方案、安全服务、电商运营服务四类。 按收入类别细分为：</w:t>
      </w:r>
    </w:p>
    <w:p>
      <w:pPr>
        <w:pStyle w:val="Style38"/>
        <w:keepNext w:val="0"/>
        <w:keepLines w:val="0"/>
        <w:widowControl w:val="0"/>
        <w:shd w:val="clear" w:color="auto" w:fill="auto"/>
        <w:bidi w:val="0"/>
        <w:spacing w:before="0" w:after="0" w:line="402" w:lineRule="exact"/>
        <w:ind w:left="0" w:right="0" w:firstLine="44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1</w:t>
      </w:r>
      <w:r>
        <w:rPr>
          <w:color w:val="000000"/>
          <w:spacing w:val="0"/>
          <w:w w:val="100"/>
          <w:position w:val="0"/>
        </w:rPr>
        <w:t xml:space="preserve">）信息安全产品：应用于计算机网络环境中，能够针对网络和系统提供保护和控制，保证网络和 </w:t>
      </w:r>
      <w:r>
        <w:rPr>
          <w:color w:val="000000"/>
          <w:spacing w:val="0"/>
          <w:w w:val="100"/>
          <w:position w:val="0"/>
        </w:rPr>
        <w:t>系统的完整性、可用性的产品。包括防火墙、入侵检测系统、安全扫描系统、安全审计等自行研发的信息 安全产品。</w:t>
      </w:r>
    </w:p>
    <w:p>
      <w:pPr>
        <w:pStyle w:val="Style38"/>
        <w:keepNext w:val="0"/>
        <w:keepLines w:val="0"/>
        <w:widowControl w:val="0"/>
        <w:shd w:val="clear" w:color="auto" w:fill="auto"/>
        <w:tabs>
          <w:tab w:pos="1021" w:val="left"/>
        </w:tabs>
        <w:bidi w:val="0"/>
        <w:spacing w:before="0" w:after="0" w:line="407" w:lineRule="exact"/>
        <w:ind w:left="0" w:right="0" w:firstLine="44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信息安全集成：基于客户个性化需求，设置或组建信息安全系统。安全集成所需的安全产品及 其配套组件或产品可由公司提供或向第三方采购，安全集成一般需要较长的安装与测试过程。</w:t>
      </w:r>
    </w:p>
    <w:p>
      <w:pPr>
        <w:pStyle w:val="Style38"/>
        <w:keepNext w:val="0"/>
        <w:keepLines w:val="0"/>
        <w:widowControl w:val="0"/>
        <w:shd w:val="clear" w:color="auto" w:fill="auto"/>
        <w:bidi w:val="0"/>
        <w:spacing w:before="0" w:after="0" w:line="407" w:lineRule="exact"/>
        <w:ind w:left="0" w:right="0" w:firstLine="44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3</w:t>
      </w:r>
      <w:r>
        <w:rPr>
          <w:color w:val="000000"/>
          <w:spacing w:val="0"/>
          <w:w w:val="100"/>
          <w:position w:val="0"/>
        </w:rPr>
        <w:t>） 信息安全服务：安全服务指为客户提供的信息安全培训、信息安全等级测评等服务。</w:t>
      </w:r>
    </w:p>
    <w:p>
      <w:pPr>
        <w:pStyle w:val="Style38"/>
        <w:keepNext w:val="0"/>
        <w:keepLines w:val="0"/>
        <w:widowControl w:val="0"/>
        <w:shd w:val="clear" w:color="auto" w:fill="auto"/>
        <w:tabs>
          <w:tab w:pos="1021" w:val="left"/>
        </w:tabs>
        <w:bidi w:val="0"/>
        <w:spacing w:before="0" w:after="0" w:line="407" w:lineRule="exact"/>
        <w:ind w:left="0" w:right="0" w:firstLine="44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4</w:t>
      </w:r>
      <w:r>
        <w:rPr>
          <w:color w:val="000000"/>
          <w:spacing w:val="0"/>
          <w:w w:val="100"/>
          <w:position w:val="0"/>
        </w:rPr>
        <w:t>）</w:t>
        <w:tab/>
        <w:t>电磁安防产品：由通用电磁防护产品和专业特种电磁防护产品构成。通用电磁防护产品主要针 对民用领域，在公司全资子公司广州华炜科技有限公司业务板块中占比较低；公司全资子公司广州华炜科 技有限公司主要专注于为如军工及航空航天、轨道交通、通信系统等专业特种业领域的特殊应用而开发的 定制产品。</w:t>
      </w:r>
    </w:p>
    <w:p>
      <w:pPr>
        <w:pStyle w:val="Style38"/>
        <w:keepNext w:val="0"/>
        <w:keepLines w:val="0"/>
        <w:widowControl w:val="0"/>
        <w:shd w:val="clear" w:color="auto" w:fill="auto"/>
        <w:tabs>
          <w:tab w:pos="947" w:val="left"/>
        </w:tabs>
        <w:bidi w:val="0"/>
        <w:spacing w:before="0" w:after="0" w:line="407" w:lineRule="exact"/>
        <w:ind w:left="0" w:right="0" w:firstLine="44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5</w:t>
      </w:r>
      <w:r>
        <w:rPr>
          <w:color w:val="000000"/>
          <w:spacing w:val="0"/>
          <w:w w:val="100"/>
          <w:position w:val="0"/>
        </w:rPr>
        <w:t>）</w:t>
        <w:tab/>
        <w:t>电磁安防工程：根据专业电磁安防整体解决方案，进行工程施工。</w:t>
      </w:r>
    </w:p>
    <w:p>
      <w:pPr>
        <w:pStyle w:val="Style38"/>
        <w:keepNext w:val="0"/>
        <w:keepLines w:val="0"/>
        <w:widowControl w:val="0"/>
        <w:shd w:val="clear" w:color="auto" w:fill="auto"/>
        <w:tabs>
          <w:tab w:pos="1021" w:val="left"/>
        </w:tabs>
        <w:bidi w:val="0"/>
        <w:spacing w:before="0" w:after="0" w:line="407" w:lineRule="exact"/>
        <w:ind w:left="0" w:right="0" w:firstLine="44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6</w:t>
      </w:r>
      <w:r>
        <w:rPr>
          <w:color w:val="000000"/>
          <w:spacing w:val="0"/>
          <w:w w:val="100"/>
          <w:position w:val="0"/>
        </w:rPr>
        <w:t>）</w:t>
        <w:tab/>
        <w:t>电磁安防服务：根据专业特种行业领域内客户的特点、个性化需求和特殊应用环境，既提供特 种产品定制，又提供特种工程服务，提供一揽子的电磁安防整体解决方案。</w:t>
      </w:r>
    </w:p>
    <w:p>
      <w:pPr>
        <w:pStyle w:val="Style38"/>
        <w:keepNext w:val="0"/>
        <w:keepLines w:val="0"/>
        <w:widowControl w:val="0"/>
        <w:shd w:val="clear" w:color="auto" w:fill="auto"/>
        <w:tabs>
          <w:tab w:pos="1016" w:val="left"/>
        </w:tabs>
        <w:bidi w:val="0"/>
        <w:spacing w:before="0" w:after="0" w:line="407" w:lineRule="exact"/>
        <w:ind w:left="0" w:right="0" w:firstLine="44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7</w:t>
      </w:r>
      <w:r>
        <w:rPr>
          <w:color w:val="000000"/>
          <w:spacing w:val="0"/>
          <w:w w:val="100"/>
          <w:position w:val="0"/>
        </w:rPr>
        <w:t>）</w:t>
        <w:tab/>
        <w:t>系统服务：利用自身支付清算技术和平台向客户提供清分结算服务，按照交易金额的一定比例 收取的清分结算手续费。</w:t>
      </w:r>
    </w:p>
    <w:p>
      <w:pPr>
        <w:pStyle w:val="Style38"/>
        <w:keepNext w:val="0"/>
        <w:keepLines w:val="0"/>
        <w:widowControl w:val="0"/>
        <w:shd w:val="clear" w:color="auto" w:fill="auto"/>
        <w:tabs>
          <w:tab w:pos="1021" w:val="left"/>
        </w:tabs>
        <w:bidi w:val="0"/>
        <w:spacing w:before="0" w:after="0" w:line="407" w:lineRule="exact"/>
        <w:ind w:left="0" w:right="0" w:firstLine="44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8</w:t>
      </w:r>
      <w:r>
        <w:rPr>
          <w:color w:val="000000"/>
          <w:spacing w:val="0"/>
          <w:w w:val="100"/>
          <w:position w:val="0"/>
        </w:rPr>
        <w:t>）</w:t>
        <w:tab/>
        <w:t>推广运营服务：利用自身电子商务平台，为合作商户进行推广运营收取中间差价形成的佣金服 务费收入。主要是为油品零售商户进行推广运营获取的服务费收入，除油品零售商户外，还为商场、超市、 餐饮、汽车等其他商户提供推广运营服务。</w:t>
      </w:r>
    </w:p>
    <w:p>
      <w:pPr>
        <w:pStyle w:val="Style38"/>
        <w:keepNext w:val="0"/>
        <w:keepLines w:val="0"/>
        <w:widowControl w:val="0"/>
        <w:shd w:val="clear" w:color="auto" w:fill="auto"/>
        <w:bidi w:val="0"/>
        <w:spacing w:before="0" w:after="0" w:line="407" w:lineRule="exact"/>
        <w:ind w:left="0" w:right="0" w:firstLine="440"/>
        <w:jc w:val="both"/>
      </w:pPr>
      <w:bookmarkStart w:id="836" w:name="bookmark836"/>
      <w:r>
        <w:rPr>
          <w:b/>
          <w:bCs/>
          <w:color w:val="000000"/>
          <w:spacing w:val="0"/>
          <w:w w:val="100"/>
          <w:position w:val="0"/>
        </w:rPr>
        <w:t>（</w:t>
      </w:r>
      <w:bookmarkEnd w:id="836"/>
      <w:r>
        <w:rPr>
          <w:b/>
          <w:bCs/>
          <w:color w:val="000000"/>
          <w:spacing w:val="0"/>
          <w:w w:val="100"/>
          <w:position w:val="0"/>
        </w:rPr>
        <w:t>三）财务报表的批准报出</w:t>
      </w:r>
    </w:p>
    <w:p>
      <w:pPr>
        <w:pStyle w:val="Style38"/>
        <w:keepNext w:val="0"/>
        <w:keepLines w:val="0"/>
        <w:widowControl w:val="0"/>
        <w:shd w:val="clear" w:color="auto" w:fill="auto"/>
        <w:bidi w:val="0"/>
        <w:spacing w:before="0" w:after="160" w:line="407" w:lineRule="exact"/>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日批准报出。</w:t>
      </w:r>
    </w:p>
    <w:tbl>
      <w:tblPr>
        <w:tblOverlap w:val="never"/>
        <w:jc w:val="center"/>
        <w:tblLayout w:type="fixed"/>
      </w:tblPr>
      <w:tblGrid>
        <w:gridCol w:w="3518"/>
        <w:gridCol w:w="1445"/>
        <w:gridCol w:w="989"/>
        <w:gridCol w:w="1853"/>
        <w:gridCol w:w="1853"/>
      </w:tblGrid>
      <w:tr>
        <w:trPr>
          <w:trHeight w:val="28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本期纳入合并财务报表范围的子公司共</w:t>
            </w:r>
            <w:r>
              <w:rPr>
                <w:rFonts w:ascii="Times New Roman" w:eastAsia="Times New Roman" w:hAnsi="Times New Roman" w:cs="Times New Roman"/>
                <w:color w:val="000000"/>
                <w:spacing w:val="0"/>
                <w:w w:val="100"/>
                <w:position w:val="0"/>
                <w:sz w:val="20"/>
                <w:szCs w:val="20"/>
              </w:rPr>
              <w:t>47</w:t>
            </w:r>
            <w:r>
              <w:rPr>
                <w:color w:val="000000"/>
                <w:spacing w:val="0"/>
                <w:w w:val="100"/>
                <w:position w:val="0"/>
                <w:sz w:val="20"/>
                <w:szCs w:val="20"/>
              </w:rPr>
              <w:t>户，除本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U</w:t>
            </w:r>
            <w:r>
              <w:rPr>
                <w:color w:val="000000"/>
                <w:spacing w:val="0"/>
                <w:w w:val="100"/>
                <w:position w:val="0"/>
                <w:sz w:val="20"/>
                <w:szCs w:val="20"/>
              </w:rPr>
              <w:t>公司外具体</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本包括：</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广东省蓝盾职业培训学院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广东蓝盾移动互联网信息科技有限公司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广州市奔特信息科技有限公司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广东蓝盾企业经营管理有限公司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广东省南方信息技术研究院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广东蓝盾新微安全科技有限公司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北京京穗蓝盾信息安全技术有限公司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广东汇青信息科技有限公司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成都蓝盾网信科技有限公司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西咸新区蓝盾信息安全技术有限公司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香港蓝盾投资管理有限公司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3518"/>
        <w:gridCol w:w="1454"/>
        <w:gridCol w:w="989"/>
        <w:gridCol w:w="1843"/>
        <w:gridCol w:w="185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汇通宝支付有限责任公司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深圳市蓝盾满泰科技发展有限公司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广州蓝盾数据安全技术创新中心有限公司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湖北蓝盾网信科技有限公司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江门蓝盾创新信息安全技术有限公司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东莞市华炜雷电防护设备有限公司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江西华炜电气技术有限公司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南京微润科技有限公司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东莞市新铂铢电子有限公司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北京华炜思创科技有限公司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广州华炜测控技术有限公司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福建中经汇通有限责任公司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广州蓝盾工控技术有限公司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广州市满泰信息科技有限公司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四川中科蓝盾信息安全技术有限公司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陕西蓝盾云信息安全技术有限公司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肇庆蓝盾创新信息安全技术有限公司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广东蓝盾智能信息安全技术有限公司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始兴县都亨加油站有限公司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广州市汇特慧科技有限公司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蓝盾汇通电子商务有限公司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广东蓝盾聚能新能源科技有限公司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广东蓝盾量子科技有限公司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宜宾蓝盾量子科技有限公司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广州蓝盾华创信息安全技术有限公司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r>
    </w:tbl>
    <w:p>
      <w:pPr>
        <w:widowControl w:val="0"/>
        <w:spacing w:after="139" w:line="1" w:lineRule="exact"/>
      </w:pPr>
    </w:p>
    <w:p>
      <w:pPr>
        <w:pStyle w:val="Style3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 xml:space="preserve">子公司的持股比例不同于表决权比例的原因、以及持有半数或以下表决权但仍控制被投资单位的依据 </w:t>
      </w:r>
      <w:r>
        <w:rPr>
          <w:color w:val="000000"/>
          <w:spacing w:val="0"/>
          <w:w w:val="100"/>
          <w:position w:val="0"/>
        </w:rPr>
        <w:t>说明详见本附注九、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、在子公司中权益。</w:t>
      </w:r>
    </w:p>
    <w:p>
      <w:pPr>
        <w:pStyle w:val="Style3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10</w:t>
      </w:r>
      <w:r>
        <w:rPr>
          <w:color w:val="000000"/>
          <w:spacing w:val="0"/>
          <w:w w:val="100"/>
          <w:position w:val="0"/>
        </w:rPr>
        <w:t>户，减少</w:t>
      </w:r>
      <w:r>
        <w:rPr>
          <w:rFonts w:ascii="Times New Roman" w:eastAsia="Times New Roman" w:hAnsi="Times New Roman" w:cs="Times New Roman"/>
          <w:color w:val="000000"/>
          <w:spacing w:val="0"/>
          <w:w w:val="100"/>
          <w:position w:val="0"/>
        </w:rPr>
        <w:t>1</w:t>
      </w:r>
      <w:r>
        <w:rPr>
          <w:color w:val="000000"/>
          <w:spacing w:val="0"/>
          <w:w w:val="100"/>
          <w:position w:val="0"/>
        </w:rPr>
        <w:t>户，其中:</w:t>
      </w:r>
    </w:p>
    <w:p>
      <w:pPr>
        <w:pStyle w:val="Style38"/>
        <w:keepNext w:val="0"/>
        <w:keepLines w:val="0"/>
        <w:widowControl w:val="0"/>
        <w:shd w:val="clear" w:color="auto" w:fill="auto"/>
        <w:bidi w:val="0"/>
        <w:spacing w:before="0" w:after="0" w:line="240" w:lineRule="auto"/>
        <w:ind w:left="0" w:right="0" w:firstLine="420"/>
        <w:jc w:val="left"/>
      </w:pPr>
      <w:bookmarkStart w:id="837" w:name="bookmark837"/>
      <w:r>
        <w:rPr>
          <w:rFonts w:ascii="Times New Roman" w:eastAsia="Times New Roman" w:hAnsi="Times New Roman" w:cs="Times New Roman"/>
          <w:color w:val="000000"/>
          <w:spacing w:val="0"/>
          <w:w w:val="100"/>
          <w:position w:val="0"/>
        </w:rPr>
        <w:t>1</w:t>
      </w:r>
      <w:bookmarkEnd w:id="837"/>
      <w:r>
        <w:rPr>
          <w:color w:val="000000"/>
          <w:spacing w:val="0"/>
          <w:w w:val="100"/>
          <w:position w:val="0"/>
        </w:rPr>
        <w:t>、本期新纳入合并范围的子公司</w:t>
      </w:r>
    </w:p>
    <w:tbl>
      <w:tblPr>
        <w:tblOverlap w:val="never"/>
        <w:jc w:val="center"/>
        <w:tblLayout w:type="fixed"/>
      </w:tblPr>
      <w:tblGrid>
        <w:gridCol w:w="4829"/>
        <w:gridCol w:w="482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广东蓝盾聚能新能源科技有限公司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广东蓝盾量子科技有限公司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宜宾蓝盾量子科技有限公司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bl>
    <w:tbl>
      <w:tblPr>
        <w:tblOverlap w:val="never"/>
        <w:jc w:val="center"/>
        <w:tblLayout w:type="fixed"/>
      </w:tblPr>
      <w:tblGrid>
        <w:gridCol w:w="4829"/>
        <w:gridCol w:w="482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广州蓝盾华创信息安全技术有限公司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广东蓝盾网信科技有限公司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江门蓝盾创新信息安全技术有限公司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肇庆蓝盾创新信息安全技术有限公司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广东蓝盾智能信息安全技术有限公司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蓝盾汇通电子商务有限公司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bl>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、本期减少的合并范围内的子公司、特殊目的主体、通过受托经营或承租等方式形成控制权的经营</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实体</w:t>
      </w:r>
    </w:p>
    <w:tbl>
      <w:tblPr>
        <w:tblOverlap w:val="never"/>
        <w:jc w:val="center"/>
        <w:tblLayout w:type="fixed"/>
      </w:tblPr>
      <w:tblGrid>
        <w:gridCol w:w="4829"/>
        <w:gridCol w:w="482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广东红端交通运输有限公司（原名：广东中经汇通交通运输有 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处置</w:t>
            </w:r>
          </w:p>
        </w:tc>
      </w:tr>
    </w:tbl>
    <w:p>
      <w:pPr>
        <w:widowControl w:val="0"/>
        <w:spacing w:after="119" w:line="1" w:lineRule="exact"/>
      </w:pPr>
    </w:p>
    <w:p>
      <w:pPr>
        <w:pStyle w:val="Style3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合并范围变更主体的具体信息详见第十二节八、合并范围的变更。</w:t>
      </w:r>
    </w:p>
    <w:p>
      <w:pPr>
        <w:pStyle w:val="Style26"/>
        <w:keepNext/>
        <w:keepLines/>
        <w:widowControl w:val="0"/>
        <w:shd w:val="clear" w:color="auto" w:fill="auto"/>
        <w:bidi w:val="0"/>
        <w:spacing w:before="0" w:after="360" w:line="240" w:lineRule="auto"/>
        <w:ind w:left="0" w:right="0" w:firstLine="0"/>
        <w:jc w:val="both"/>
      </w:pPr>
      <w:bookmarkStart w:id="838" w:name="bookmark838"/>
      <w:bookmarkStart w:id="839" w:name="bookmark839"/>
      <w:bookmarkStart w:id="840" w:name="bookmark840"/>
      <w:bookmarkStart w:id="841" w:name="bookmark841"/>
      <w:r>
        <w:rPr>
          <w:color w:val="000000"/>
          <w:spacing w:val="0"/>
          <w:w w:val="100"/>
          <w:position w:val="0"/>
        </w:rPr>
        <w:t>四</w:t>
      </w:r>
      <w:bookmarkEnd w:id="840"/>
      <w:r>
        <w:rPr>
          <w:color w:val="000000"/>
          <w:spacing w:val="0"/>
          <w:w w:val="100"/>
          <w:position w:val="0"/>
        </w:rPr>
        <w:t>、财务报表的编制基础</w:t>
      </w:r>
      <w:bookmarkEnd w:id="838"/>
      <w:bookmarkEnd w:id="839"/>
      <w:bookmarkEnd w:id="841"/>
    </w:p>
    <w:p>
      <w:pPr>
        <w:pStyle w:val="Style35"/>
        <w:keepNext/>
        <w:keepLines/>
        <w:widowControl w:val="0"/>
        <w:shd w:val="clear" w:color="auto" w:fill="auto"/>
        <w:bidi w:val="0"/>
        <w:spacing w:before="0" w:after="280" w:line="240" w:lineRule="auto"/>
        <w:ind w:left="0" w:right="0" w:firstLine="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color w:val="000000"/>
          <w:spacing w:val="0"/>
          <w:w w:val="100"/>
          <w:position w:val="0"/>
        </w:rPr>
        <w:t>、编制基础</w:t>
      </w:r>
      <w:bookmarkEnd w:id="842"/>
      <w:bookmarkEnd w:id="843"/>
      <w:bookmarkEnd w:id="845"/>
    </w:p>
    <w:p>
      <w:pPr>
        <w:pStyle w:val="Style38"/>
        <w:keepNext w:val="0"/>
        <w:keepLines w:val="0"/>
        <w:widowControl w:val="0"/>
        <w:shd w:val="clear" w:color="auto" w:fill="auto"/>
        <w:bidi w:val="0"/>
        <w:spacing w:before="0" w:after="360" w:line="398" w:lineRule="exact"/>
        <w:ind w:left="0" w:right="0" w:firstLine="440"/>
        <w:jc w:val="both"/>
      </w:pPr>
      <w:r>
        <w:rPr>
          <w:color w:val="000000"/>
          <w:spacing w:val="0"/>
          <w:w w:val="100"/>
          <w:position w:val="0"/>
        </w:rPr>
        <w:t>公司根据实际发生的交易和事项，按照财政部颁布的《企业会计准则一基本准则》和具体企业会计 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进行确认 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5"/>
        <w:keepNext/>
        <w:keepLines/>
        <w:widowControl w:val="0"/>
        <w:shd w:val="clear" w:color="auto" w:fill="auto"/>
        <w:bidi w:val="0"/>
        <w:spacing w:before="0" w:after="120" w:line="420"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color w:val="000000"/>
          <w:spacing w:val="0"/>
          <w:w w:val="100"/>
          <w:position w:val="0"/>
        </w:rPr>
        <w:t>、持续经营</w:t>
      </w:r>
      <w:bookmarkEnd w:id="846"/>
      <w:bookmarkEnd w:id="847"/>
      <w:bookmarkEnd w:id="849"/>
    </w:p>
    <w:p>
      <w:pPr>
        <w:pStyle w:val="Style38"/>
        <w:keepNext w:val="0"/>
        <w:keepLines w:val="0"/>
        <w:widowControl w:val="0"/>
        <w:shd w:val="clear" w:color="auto" w:fill="auto"/>
        <w:bidi w:val="0"/>
        <w:spacing w:before="0" w:after="360" w:line="40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年度归属于母公司所有者的净利润为</w:t>
      </w:r>
      <w:r>
        <w:rPr>
          <w:rFonts w:ascii="Times New Roman" w:eastAsia="Times New Roman" w:hAnsi="Times New Roman" w:cs="Times New Roman"/>
          <w:color w:val="000000"/>
          <w:spacing w:val="0"/>
          <w:w w:val="100"/>
          <w:position w:val="0"/>
        </w:rPr>
        <w:t>-1,092,545,436.06</w:t>
      </w:r>
      <w:r>
        <w:rPr>
          <w:color w:val="000000"/>
          <w:spacing w:val="0"/>
          <w:w w:val="100"/>
          <w:position w:val="0"/>
        </w:rPr>
        <w:t>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日，蓝盾股份流 动资产</w:t>
      </w:r>
      <w:r>
        <w:rPr>
          <w:rFonts w:ascii="Times New Roman" w:eastAsia="Times New Roman" w:hAnsi="Times New Roman" w:cs="Times New Roman"/>
          <w:color w:val="000000"/>
          <w:spacing w:val="0"/>
          <w:w w:val="100"/>
          <w:position w:val="0"/>
        </w:rPr>
        <w:t>4,642,373,040.62</w:t>
      </w:r>
      <w:r>
        <w:rPr>
          <w:color w:val="000000"/>
          <w:spacing w:val="0"/>
          <w:w w:val="100"/>
          <w:position w:val="0"/>
        </w:rPr>
        <w:t>元，其中不受限的货币资金余额</w:t>
      </w:r>
      <w:r>
        <w:rPr>
          <w:rFonts w:ascii="Times New Roman" w:eastAsia="Times New Roman" w:hAnsi="Times New Roman" w:cs="Times New Roman"/>
          <w:color w:val="000000"/>
          <w:spacing w:val="0"/>
          <w:w w:val="100"/>
          <w:position w:val="0"/>
        </w:rPr>
        <w:t>18,303,322.89</w:t>
      </w:r>
      <w:r>
        <w:rPr>
          <w:color w:val="000000"/>
          <w:spacing w:val="0"/>
          <w:w w:val="100"/>
          <w:position w:val="0"/>
        </w:rPr>
        <w:t>元，非流动资产</w:t>
      </w:r>
      <w:r>
        <w:rPr>
          <w:rFonts w:ascii="Times New Roman" w:eastAsia="Times New Roman" w:hAnsi="Times New Roman" w:cs="Times New Roman"/>
          <w:color w:val="000000"/>
          <w:spacing w:val="0"/>
          <w:w w:val="100"/>
          <w:position w:val="0"/>
        </w:rPr>
        <w:t>2,711,151,794.31</w:t>
      </w:r>
      <w:r>
        <w:rPr>
          <w:color w:val="000000"/>
          <w:spacing w:val="0"/>
          <w:w w:val="100"/>
          <w:position w:val="0"/>
        </w:rPr>
        <w:t>元， 合计资产总额</w:t>
      </w:r>
      <w:r>
        <w:rPr>
          <w:rFonts w:ascii="Times New Roman" w:eastAsia="Times New Roman" w:hAnsi="Times New Roman" w:cs="Times New Roman"/>
          <w:color w:val="000000"/>
          <w:spacing w:val="0"/>
          <w:w w:val="100"/>
          <w:position w:val="0"/>
        </w:rPr>
        <w:t>7,353,524,834.93</w:t>
      </w:r>
      <w:r>
        <w:rPr>
          <w:color w:val="000000"/>
          <w:spacing w:val="0"/>
          <w:w w:val="100"/>
          <w:position w:val="0"/>
        </w:rPr>
        <w:t>元，流动负债</w:t>
      </w:r>
      <w:r>
        <w:rPr>
          <w:rFonts w:ascii="Times New Roman" w:eastAsia="Times New Roman" w:hAnsi="Times New Roman" w:cs="Times New Roman"/>
          <w:color w:val="000000"/>
          <w:spacing w:val="0"/>
          <w:w w:val="100"/>
          <w:position w:val="0"/>
        </w:rPr>
        <w:t>4,183,446,706.7</w:t>
      </w:r>
      <w:r>
        <w:rPr>
          <w:rFonts w:ascii="Times New Roman" w:eastAsia="Times New Roman" w:hAnsi="Times New Roman" w:cs="Times New Roman"/>
          <w:color w:val="000000"/>
          <w:spacing w:val="0"/>
          <w:w w:val="100"/>
          <w:position w:val="0"/>
        </w:rPr>
        <w:t>2</w:t>
      </w:r>
      <w:r>
        <w:rPr>
          <w:color w:val="000000"/>
          <w:spacing w:val="0"/>
          <w:w w:val="100"/>
          <w:position w:val="0"/>
        </w:rPr>
        <w:t>元，非流动负债</w:t>
      </w:r>
      <w:r>
        <w:rPr>
          <w:rFonts w:ascii="Times New Roman" w:eastAsia="Times New Roman" w:hAnsi="Times New Roman" w:cs="Times New Roman"/>
          <w:color w:val="000000"/>
          <w:spacing w:val="0"/>
          <w:w w:val="100"/>
          <w:position w:val="0"/>
        </w:rPr>
        <w:t>275,270,645.59</w:t>
      </w:r>
      <w:r>
        <w:rPr>
          <w:color w:val="000000"/>
          <w:spacing w:val="0"/>
          <w:w w:val="100"/>
          <w:position w:val="0"/>
        </w:rPr>
        <w:t>元，合计负债 总额</w:t>
      </w:r>
      <w:r>
        <w:rPr>
          <w:rFonts w:ascii="Times New Roman" w:eastAsia="Times New Roman" w:hAnsi="Times New Roman" w:cs="Times New Roman"/>
          <w:color w:val="000000"/>
          <w:spacing w:val="0"/>
          <w:w w:val="100"/>
          <w:position w:val="0"/>
        </w:rPr>
        <w:t>4,458,717,352.31</w:t>
      </w:r>
      <w:r>
        <w:rPr>
          <w:color w:val="000000"/>
          <w:spacing w:val="0"/>
          <w:w w:val="100"/>
          <w:position w:val="0"/>
        </w:rPr>
        <w:t>元，经营活动产生的现金净额为</w:t>
      </w:r>
      <w:r>
        <w:rPr>
          <w:rFonts w:ascii="Times New Roman" w:eastAsia="Times New Roman" w:hAnsi="Times New Roman" w:cs="Times New Roman"/>
          <w:color w:val="000000"/>
          <w:spacing w:val="0"/>
          <w:w w:val="100"/>
          <w:position w:val="0"/>
        </w:rPr>
        <w:t>148,000,690.38</w:t>
      </w:r>
      <w:r>
        <w:rPr>
          <w:color w:val="000000"/>
          <w:spacing w:val="0"/>
          <w:w w:val="100"/>
          <w:position w:val="0"/>
        </w:rPr>
        <w:t>元；如财务报表附注六、注释</w:t>
      </w:r>
      <w:r>
        <w:rPr>
          <w:rFonts w:ascii="Times New Roman" w:eastAsia="Times New Roman" w:hAnsi="Times New Roman" w:cs="Times New Roman"/>
          <w:color w:val="000000"/>
          <w:spacing w:val="0"/>
          <w:w w:val="100"/>
          <w:position w:val="0"/>
        </w:rPr>
        <w:t>22</w:t>
      </w:r>
      <w:r>
        <w:rPr>
          <w:color w:val="000000"/>
          <w:spacing w:val="0"/>
          <w:w w:val="100"/>
          <w:position w:val="0"/>
        </w:rPr>
        <w:t>.</w:t>
      </w:r>
      <w:r>
        <w:rPr>
          <w:color w:val="000000"/>
          <w:spacing w:val="0"/>
          <w:w w:val="100"/>
          <w:position w:val="0"/>
        </w:rPr>
        <w:t>短 期借款所述，截止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日，蓝盾股份已逾期未偿还的短期借款总额为</w:t>
      </w:r>
      <w:r>
        <w:rPr>
          <w:rFonts w:ascii="Times New Roman" w:eastAsia="Times New Roman" w:hAnsi="Times New Roman" w:cs="Times New Roman"/>
          <w:color w:val="000000"/>
          <w:spacing w:val="0"/>
          <w:w w:val="100"/>
          <w:position w:val="0"/>
        </w:rPr>
        <w:t>1,627,175,444.02</w:t>
      </w:r>
      <w:r>
        <w:rPr>
          <w:color w:val="000000"/>
          <w:spacing w:val="0"/>
          <w:w w:val="100"/>
          <w:position w:val="0"/>
        </w:rPr>
        <w:t>元，公司经 营流动资金紧张，因资金短缺，蓝盾股份未能按期偿还到期债务，涉及众多诉讼、仲裁事项，导致大量银 行账户、部分资产等遭司法查封冻结，持续经营能力存在重大不确定性。</w:t>
      </w:r>
    </w:p>
    <w:p>
      <w:pPr>
        <w:pStyle w:val="Style26"/>
        <w:keepNext/>
        <w:keepLines/>
        <w:widowControl w:val="0"/>
        <w:shd w:val="clear" w:color="auto" w:fill="auto"/>
        <w:bidi w:val="0"/>
        <w:spacing w:before="0" w:after="28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五</w:t>
      </w:r>
      <w:bookmarkEnd w:id="852"/>
      <w:r>
        <w:rPr>
          <w:color w:val="000000"/>
          <w:spacing w:val="0"/>
          <w:w w:val="100"/>
          <w:position w:val="0"/>
        </w:rPr>
        <w:t>、重要会计政策及会计估计</w:t>
      </w:r>
      <w:bookmarkEnd w:id="850"/>
      <w:bookmarkEnd w:id="851"/>
      <w:bookmarkEnd w:id="853"/>
    </w:p>
    <w:p>
      <w:pPr>
        <w:pStyle w:val="Style38"/>
        <w:keepNext w:val="0"/>
        <w:keepLines w:val="0"/>
        <w:widowControl w:val="0"/>
        <w:shd w:val="clear" w:color="auto" w:fill="auto"/>
        <w:bidi w:val="0"/>
        <w:spacing w:before="0" w:after="320" w:line="402" w:lineRule="exact"/>
        <w:ind w:left="0" w:right="0" w:firstLine="440"/>
        <w:jc w:val="both"/>
      </w:pPr>
      <w:r>
        <w:rPr>
          <w:color w:val="000000"/>
          <w:spacing w:val="0"/>
          <w:w w:val="100"/>
          <w:position w:val="0"/>
        </w:rPr>
        <w:t>具体会计政策和会计估计提示：</w:t>
      </w:r>
    </w:p>
    <w:p>
      <w:pPr>
        <w:pStyle w:val="Style35"/>
        <w:keepNext/>
        <w:keepLines/>
        <w:widowControl w:val="0"/>
        <w:shd w:val="clear" w:color="auto" w:fill="auto"/>
        <w:tabs>
          <w:tab w:pos="368" w:val="left"/>
        </w:tabs>
        <w:bidi w:val="0"/>
        <w:spacing w:before="0" w:after="280" w:line="401" w:lineRule="exact"/>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color w:val="000000"/>
          <w:spacing w:val="0"/>
          <w:w w:val="100"/>
          <w:position w:val="0"/>
        </w:rPr>
        <w:t>、</w:t>
        <w:tab/>
        <w:t>遵循企业会计准则的声明</w:t>
      </w:r>
      <w:bookmarkEnd w:id="854"/>
      <w:bookmarkEnd w:id="855"/>
      <w:bookmarkEnd w:id="857"/>
    </w:p>
    <w:p>
      <w:pPr>
        <w:pStyle w:val="Style38"/>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5"/>
        <w:keepNext/>
        <w:keepLines/>
        <w:widowControl w:val="0"/>
        <w:shd w:val="clear" w:color="auto" w:fill="auto"/>
        <w:tabs>
          <w:tab w:pos="378" w:val="left"/>
        </w:tabs>
        <w:bidi w:val="0"/>
        <w:spacing w:before="0" w:after="280" w:line="401" w:lineRule="exact"/>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color w:val="000000"/>
          <w:spacing w:val="0"/>
          <w:w w:val="100"/>
          <w:position w:val="0"/>
        </w:rPr>
        <w:t>、</w:t>
        <w:tab/>
        <w:t>会计期间</w:t>
      </w:r>
      <w:bookmarkEnd w:id="858"/>
      <w:bookmarkEnd w:id="859"/>
      <w:bookmarkEnd w:id="861"/>
    </w:p>
    <w:p>
      <w:pPr>
        <w:pStyle w:val="Style38"/>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5"/>
        <w:keepNext/>
        <w:keepLines/>
        <w:widowControl w:val="0"/>
        <w:shd w:val="clear" w:color="auto" w:fill="auto"/>
        <w:tabs>
          <w:tab w:pos="378" w:val="left"/>
        </w:tabs>
        <w:bidi w:val="0"/>
        <w:spacing w:before="0" w:after="280" w:line="401" w:lineRule="exact"/>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3</w:t>
      </w:r>
      <w:bookmarkEnd w:id="864"/>
      <w:r>
        <w:rPr>
          <w:color w:val="000000"/>
          <w:spacing w:val="0"/>
          <w:w w:val="100"/>
          <w:position w:val="0"/>
        </w:rPr>
        <w:t>、</w:t>
        <w:tab/>
        <w:t>营业周期</w:t>
      </w:r>
      <w:bookmarkEnd w:id="862"/>
      <w:bookmarkEnd w:id="863"/>
      <w:bookmarkEnd w:id="865"/>
    </w:p>
    <w:p>
      <w:pPr>
        <w:pStyle w:val="Style38"/>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 个营业周期，并以其作为资产和负债的流动性划分标准。</w:t>
      </w:r>
    </w:p>
    <w:p>
      <w:pPr>
        <w:pStyle w:val="Style35"/>
        <w:keepNext/>
        <w:keepLines/>
        <w:widowControl w:val="0"/>
        <w:shd w:val="clear" w:color="auto" w:fill="auto"/>
        <w:tabs>
          <w:tab w:pos="378" w:val="left"/>
        </w:tabs>
        <w:bidi w:val="0"/>
        <w:spacing w:before="0" w:after="280" w:line="401" w:lineRule="exact"/>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4</w:t>
      </w:r>
      <w:bookmarkEnd w:id="868"/>
      <w:r>
        <w:rPr>
          <w:color w:val="000000"/>
          <w:spacing w:val="0"/>
          <w:w w:val="100"/>
          <w:position w:val="0"/>
        </w:rPr>
        <w:t>、</w:t>
        <w:tab/>
        <w:t>记账本位币</w:t>
      </w:r>
      <w:bookmarkEnd w:id="866"/>
      <w:bookmarkEnd w:id="867"/>
      <w:bookmarkEnd w:id="869"/>
    </w:p>
    <w:p>
      <w:pPr>
        <w:pStyle w:val="Style38"/>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采用人民币为记账本位币。</w:t>
      </w:r>
    </w:p>
    <w:p>
      <w:pPr>
        <w:pStyle w:val="Style35"/>
        <w:keepNext/>
        <w:keepLines/>
        <w:widowControl w:val="0"/>
        <w:shd w:val="clear" w:color="auto" w:fill="auto"/>
        <w:tabs>
          <w:tab w:pos="378" w:val="left"/>
        </w:tabs>
        <w:bidi w:val="0"/>
        <w:spacing w:before="0" w:after="280" w:line="401" w:lineRule="exact"/>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5</w:t>
      </w:r>
      <w:bookmarkEnd w:id="872"/>
      <w:r>
        <w:rPr>
          <w:color w:val="000000"/>
          <w:spacing w:val="0"/>
          <w:w w:val="100"/>
          <w:position w:val="0"/>
        </w:rPr>
        <w:t>、</w:t>
        <w:tab/>
        <w:t>同一控制下和非同一控制下企业合并的会计处理方法</w:t>
      </w:r>
      <w:bookmarkEnd w:id="870"/>
      <w:bookmarkEnd w:id="871"/>
      <w:bookmarkEnd w:id="873"/>
    </w:p>
    <w:p>
      <w:pPr>
        <w:pStyle w:val="Style38"/>
        <w:keepNext w:val="0"/>
        <w:keepLines w:val="0"/>
        <w:widowControl w:val="0"/>
        <w:numPr>
          <w:ilvl w:val="0"/>
          <w:numId w:val="23"/>
        </w:numPr>
        <w:shd w:val="clear" w:color="auto" w:fill="auto"/>
        <w:bidi w:val="0"/>
        <w:spacing w:before="0" w:after="0" w:line="401" w:lineRule="exact"/>
        <w:ind w:left="0" w:right="0" w:firstLine="440"/>
        <w:jc w:val="both"/>
      </w:pPr>
      <w:bookmarkStart w:id="874" w:name="bookmark874"/>
      <w:bookmarkEnd w:id="874"/>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分步实现企业合并过程中的各项交易的条款、条件以及经济影响符合以下一种或多种情况，将多次 交易事项作为一揽子交易进行会计处理</w:t>
      </w:r>
    </w:p>
    <w:p>
      <w:pPr>
        <w:pStyle w:val="Style38"/>
        <w:keepNext w:val="0"/>
        <w:keepLines w:val="0"/>
        <w:widowControl w:val="0"/>
        <w:shd w:val="clear" w:color="auto" w:fill="auto"/>
        <w:tabs>
          <w:tab w:pos="928" w:val="left"/>
        </w:tabs>
        <w:bidi w:val="0"/>
        <w:spacing w:before="0" w:after="0" w:line="401" w:lineRule="exact"/>
        <w:ind w:left="0" w:right="0" w:firstLine="44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8"/>
        <w:keepNext w:val="0"/>
        <w:keepLines w:val="0"/>
        <w:widowControl w:val="0"/>
        <w:shd w:val="clear" w:color="auto" w:fill="auto"/>
        <w:tabs>
          <w:tab w:pos="928" w:val="left"/>
        </w:tabs>
        <w:bidi w:val="0"/>
        <w:spacing w:before="0" w:after="0" w:line="401" w:lineRule="exact"/>
        <w:ind w:left="0" w:right="0" w:firstLine="44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8"/>
        <w:keepNext w:val="0"/>
        <w:keepLines w:val="0"/>
        <w:widowControl w:val="0"/>
        <w:shd w:val="clear" w:color="auto" w:fill="auto"/>
        <w:tabs>
          <w:tab w:pos="928" w:val="left"/>
        </w:tabs>
        <w:bidi w:val="0"/>
        <w:spacing w:before="0" w:after="0" w:line="401" w:lineRule="exact"/>
        <w:ind w:left="0" w:right="0" w:firstLine="44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8"/>
        <w:keepNext w:val="0"/>
        <w:keepLines w:val="0"/>
        <w:widowControl w:val="0"/>
        <w:shd w:val="clear" w:color="auto" w:fill="auto"/>
        <w:tabs>
          <w:tab w:pos="928" w:val="left"/>
        </w:tabs>
        <w:bidi w:val="0"/>
        <w:spacing w:before="0" w:after="160" w:line="401" w:lineRule="exact"/>
        <w:ind w:left="0" w:right="0" w:firstLine="44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8"/>
        <w:keepNext w:val="0"/>
        <w:keepLines w:val="0"/>
        <w:widowControl w:val="0"/>
        <w:numPr>
          <w:ilvl w:val="0"/>
          <w:numId w:val="23"/>
        </w:numPr>
        <w:shd w:val="clear" w:color="auto" w:fill="auto"/>
        <w:tabs>
          <w:tab w:pos="784" w:val="left"/>
        </w:tabs>
        <w:bidi w:val="0"/>
        <w:spacing w:before="0" w:after="0" w:line="418" w:lineRule="auto"/>
        <w:ind w:left="0" w:right="0" w:firstLine="440"/>
        <w:jc w:val="both"/>
      </w:pPr>
      <w:bookmarkStart w:id="879" w:name="bookmark879"/>
      <w:bookmarkEnd w:id="879"/>
      <w:r>
        <w:rPr>
          <w:b/>
          <w:bCs/>
          <w:color w:val="000000"/>
          <w:spacing w:val="0"/>
          <w:w w:val="100"/>
          <w:position w:val="0"/>
        </w:rPr>
        <w:t>同一控制下的企业合并</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公司在企业合并中取得的资产和负债，按照合并日在被合并方资产、负债（包括最终控制方收购被合 并方而形成的商誉）在最终控制方合并财务报表中的账面价值计量。在合并中取得的净资产账面价值与支 付的合并对价账面价值（或发行股份面值总额）的差额，调整资本公积中的股本溢价，资本公积中的股本 溢价不足冲减的，调整留存收益。</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8"/>
        <w:keepNext w:val="0"/>
        <w:keepLines w:val="0"/>
        <w:widowControl w:val="0"/>
        <w:shd w:val="clear" w:color="auto" w:fill="auto"/>
        <w:bidi w:val="0"/>
        <w:spacing w:before="0" w:after="160" w:line="401" w:lineRule="exact"/>
        <w:ind w:left="0" w:right="0" w:firstLine="440"/>
        <w:jc w:val="both"/>
      </w:pPr>
      <w:r>
        <w:rPr>
          <w:color w:val="000000"/>
          <w:spacing w:val="0"/>
          <w:w w:val="100"/>
          <w:position w:val="0"/>
        </w:rPr>
        <w:t xml:space="preserve">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w:t>
      </w:r>
      <w:r>
        <w:rPr>
          <w:color w:val="000000"/>
          <w:spacing w:val="0"/>
          <w:w w:val="100"/>
          <w:position w:val="0"/>
        </w:rPr>
        <w:t>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8"/>
        <w:keepNext w:val="0"/>
        <w:keepLines w:val="0"/>
        <w:widowControl w:val="0"/>
        <w:numPr>
          <w:ilvl w:val="0"/>
          <w:numId w:val="23"/>
        </w:numPr>
        <w:shd w:val="clear" w:color="auto" w:fill="auto"/>
        <w:tabs>
          <w:tab w:pos="784" w:val="left"/>
        </w:tabs>
        <w:bidi w:val="0"/>
        <w:spacing w:before="0" w:after="0" w:line="418" w:lineRule="auto"/>
        <w:ind w:left="0" w:right="0" w:firstLine="440"/>
        <w:jc w:val="left"/>
      </w:pPr>
      <w:bookmarkStart w:id="880" w:name="bookmark880"/>
      <w:bookmarkEnd w:id="880"/>
      <w:r>
        <w:rPr>
          <w:b/>
          <w:bCs/>
          <w:color w:val="000000"/>
          <w:spacing w:val="0"/>
          <w:w w:val="100"/>
          <w:position w:val="0"/>
        </w:rPr>
        <w:t>非同一控制下的企业合并</w:t>
      </w:r>
    </w:p>
    <w:p>
      <w:pPr>
        <w:pStyle w:val="Style38"/>
        <w:keepNext w:val="0"/>
        <w:keepLines w:val="0"/>
        <w:widowControl w:val="0"/>
        <w:shd w:val="clear" w:color="auto" w:fill="auto"/>
        <w:bidi w:val="0"/>
        <w:spacing w:before="0" w:after="0" w:line="400" w:lineRule="exact"/>
        <w:ind w:left="0" w:right="0" w:firstLine="440"/>
        <w:jc w:val="left"/>
      </w:pPr>
      <w:r>
        <w:rPr>
          <w:color w:val="000000"/>
          <w:spacing w:val="0"/>
          <w:w w:val="100"/>
          <w:position w:val="0"/>
        </w:rPr>
        <w:t>购买日是指公司实际取得对被购买方控制权的日期，即被购买方的净资产或生产经营决策的控制权转 移给公司的日期。同时满足下列条件时，公司一般认为实现了控制权的转移：</w:t>
      </w:r>
    </w:p>
    <w:p>
      <w:pPr>
        <w:pStyle w:val="Style38"/>
        <w:keepNext w:val="0"/>
        <w:keepLines w:val="0"/>
        <w:widowControl w:val="0"/>
        <w:numPr>
          <w:ilvl w:val="0"/>
          <w:numId w:val="25"/>
        </w:numPr>
        <w:shd w:val="clear" w:color="auto" w:fill="auto"/>
        <w:tabs>
          <w:tab w:pos="832" w:val="left"/>
        </w:tabs>
        <w:bidi w:val="0"/>
        <w:spacing w:before="0" w:after="0" w:line="400" w:lineRule="exact"/>
        <w:ind w:left="0" w:right="0" w:firstLine="440"/>
        <w:jc w:val="left"/>
      </w:pPr>
      <w:bookmarkStart w:id="881" w:name="bookmark881"/>
      <w:bookmarkEnd w:id="881"/>
      <w:r>
        <w:rPr>
          <w:color w:val="000000"/>
          <w:spacing w:val="0"/>
          <w:w w:val="100"/>
          <w:position w:val="0"/>
        </w:rPr>
        <w:t>企业合并合同或协议已获公司内部权力机构通过。</w:t>
      </w:r>
    </w:p>
    <w:p>
      <w:pPr>
        <w:pStyle w:val="Style38"/>
        <w:keepNext w:val="0"/>
        <w:keepLines w:val="0"/>
        <w:widowControl w:val="0"/>
        <w:numPr>
          <w:ilvl w:val="0"/>
          <w:numId w:val="25"/>
        </w:numPr>
        <w:shd w:val="clear" w:color="auto" w:fill="auto"/>
        <w:tabs>
          <w:tab w:pos="837" w:val="left"/>
        </w:tabs>
        <w:bidi w:val="0"/>
        <w:spacing w:before="0" w:after="0" w:line="400" w:lineRule="exact"/>
        <w:ind w:left="0" w:right="0" w:firstLine="440"/>
        <w:jc w:val="left"/>
      </w:pPr>
      <w:bookmarkStart w:id="882" w:name="bookmark882"/>
      <w:bookmarkEnd w:id="882"/>
      <w:r>
        <w:rPr>
          <w:color w:val="000000"/>
          <w:spacing w:val="0"/>
          <w:w w:val="100"/>
          <w:position w:val="0"/>
        </w:rPr>
        <w:t>企业合并事项需要经过国家有关主管部门审批的，已获得批准。</w:t>
      </w:r>
    </w:p>
    <w:p>
      <w:pPr>
        <w:pStyle w:val="Style38"/>
        <w:keepNext w:val="0"/>
        <w:keepLines w:val="0"/>
        <w:widowControl w:val="0"/>
        <w:numPr>
          <w:ilvl w:val="0"/>
          <w:numId w:val="25"/>
        </w:numPr>
        <w:shd w:val="clear" w:color="auto" w:fill="auto"/>
        <w:tabs>
          <w:tab w:pos="837" w:val="left"/>
        </w:tabs>
        <w:bidi w:val="0"/>
        <w:spacing w:before="0" w:after="0" w:line="400" w:lineRule="exact"/>
        <w:ind w:left="0" w:right="0" w:firstLine="440"/>
        <w:jc w:val="left"/>
      </w:pPr>
      <w:bookmarkStart w:id="883" w:name="bookmark883"/>
      <w:bookmarkEnd w:id="883"/>
      <w:r>
        <w:rPr>
          <w:color w:val="000000"/>
          <w:spacing w:val="0"/>
          <w:w w:val="100"/>
          <w:position w:val="0"/>
        </w:rPr>
        <w:t>已办理了必要的财产权转移手续。</w:t>
      </w:r>
    </w:p>
    <w:p>
      <w:pPr>
        <w:pStyle w:val="Style38"/>
        <w:keepNext w:val="0"/>
        <w:keepLines w:val="0"/>
        <w:widowControl w:val="0"/>
        <w:numPr>
          <w:ilvl w:val="0"/>
          <w:numId w:val="25"/>
        </w:numPr>
        <w:shd w:val="clear" w:color="auto" w:fill="auto"/>
        <w:tabs>
          <w:tab w:pos="837" w:val="left"/>
        </w:tabs>
        <w:bidi w:val="0"/>
        <w:spacing w:before="0" w:after="0" w:line="400" w:lineRule="exact"/>
        <w:ind w:left="0" w:right="0" w:firstLine="440"/>
        <w:jc w:val="left"/>
      </w:pPr>
      <w:bookmarkStart w:id="884" w:name="bookmark884"/>
      <w:bookmarkEnd w:id="884"/>
      <w:r>
        <w:rPr>
          <w:color w:val="000000"/>
          <w:spacing w:val="0"/>
          <w:w w:val="100"/>
          <w:position w:val="0"/>
        </w:rPr>
        <w:t>公司已支付了合并价款的大部分，并且有能力、有计划支付剩余款项。</w:t>
      </w:r>
    </w:p>
    <w:p>
      <w:pPr>
        <w:pStyle w:val="Style38"/>
        <w:keepNext w:val="0"/>
        <w:keepLines w:val="0"/>
        <w:widowControl w:val="0"/>
        <w:numPr>
          <w:ilvl w:val="0"/>
          <w:numId w:val="25"/>
        </w:numPr>
        <w:shd w:val="clear" w:color="auto" w:fill="auto"/>
        <w:tabs>
          <w:tab w:pos="837" w:val="left"/>
        </w:tabs>
        <w:bidi w:val="0"/>
        <w:spacing w:before="0" w:after="0" w:line="400" w:lineRule="exact"/>
        <w:ind w:left="0" w:right="0" w:firstLine="440"/>
        <w:jc w:val="left"/>
      </w:pPr>
      <w:bookmarkStart w:id="885" w:name="bookmark885"/>
      <w:bookmarkEnd w:id="885"/>
      <w:r>
        <w:rPr>
          <w:color w:val="000000"/>
          <w:spacing w:val="0"/>
          <w:w w:val="100"/>
          <w:position w:val="0"/>
        </w:rPr>
        <w:t>公司实际上已经控制了被购买方的财务和经营政策，并享有相应的利益、承担相应的风险。</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公司在购买日对作为企业合并对价付出的资产、发生或承担的负债按照公允价值计量，公允价值与其 账面价值的差额，计入当期损益。</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公司对合并成本大于合并中取得的被购买方可辨认净资产公允价值份额的差额，确认为商誉；合并成 本小于合并中取得的被购买方可辨认净资产公允价值份额的差额，经复核后，计入当期损益。</w:t>
      </w:r>
    </w:p>
    <w:p>
      <w:pPr>
        <w:pStyle w:val="Style38"/>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买日之前所持被购买方的股权投资的账面价值与购买日新增投资成本之和，作为该项投资的初始投资成本; 购买日之前持有的股权投资因采用权益法核算而确认的其他综合收益，在处置该项投资时采用与被投资单 位直接处置相关资产或负债相同的基础进行会计处理。合并日之前持有的股权投资采用金融工具确认和计 量准则核算的，以该股权投资在合并日的公允价值加上新增投资成本之和，作为合并日的初始投资成本。 原持有股权的公允价值与账面价值之间的差额以及原计入其他综合收益的累计公允价值变动应全部转入 合并日当期的投资收益。</w:t>
      </w:r>
    </w:p>
    <w:p>
      <w:pPr>
        <w:pStyle w:val="Style38"/>
        <w:keepNext w:val="0"/>
        <w:keepLines w:val="0"/>
        <w:widowControl w:val="0"/>
        <w:numPr>
          <w:ilvl w:val="0"/>
          <w:numId w:val="23"/>
        </w:numPr>
        <w:shd w:val="clear" w:color="auto" w:fill="auto"/>
        <w:tabs>
          <w:tab w:pos="784" w:val="left"/>
        </w:tabs>
        <w:bidi w:val="0"/>
        <w:spacing w:before="0" w:after="0" w:line="418" w:lineRule="auto"/>
        <w:ind w:left="0" w:right="0" w:firstLine="440"/>
        <w:jc w:val="left"/>
      </w:pPr>
      <w:bookmarkStart w:id="886" w:name="bookmark886"/>
      <w:bookmarkEnd w:id="886"/>
      <w:r>
        <w:rPr>
          <w:b/>
          <w:bCs/>
          <w:color w:val="000000"/>
          <w:spacing w:val="0"/>
          <w:w w:val="100"/>
          <w:position w:val="0"/>
        </w:rPr>
        <w:t>为合并发生的相关费用</w:t>
      </w:r>
    </w:p>
    <w:p>
      <w:pPr>
        <w:pStyle w:val="Style38"/>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5"/>
        <w:keepNext/>
        <w:keepLines/>
        <w:widowControl w:val="0"/>
        <w:shd w:val="clear" w:color="auto" w:fill="auto"/>
        <w:bidi w:val="0"/>
        <w:spacing w:before="0" w:after="300" w:line="418"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6</w:t>
      </w:r>
      <w:bookmarkEnd w:id="889"/>
      <w:r>
        <w:rPr>
          <w:color w:val="000000"/>
          <w:spacing w:val="0"/>
          <w:w w:val="100"/>
          <w:position w:val="0"/>
        </w:rPr>
        <w:t>、合并财务报表的编制方法</w:t>
      </w:r>
      <w:bookmarkEnd w:id="887"/>
      <w:bookmarkEnd w:id="888"/>
      <w:bookmarkEnd w:id="890"/>
    </w:p>
    <w:p>
      <w:pPr>
        <w:pStyle w:val="Style35"/>
        <w:keepNext/>
        <w:keepLines/>
        <w:widowControl w:val="0"/>
        <w:numPr>
          <w:ilvl w:val="0"/>
          <w:numId w:val="27"/>
        </w:numPr>
        <w:shd w:val="clear" w:color="auto" w:fill="auto"/>
        <w:tabs>
          <w:tab w:pos="774" w:val="left"/>
        </w:tabs>
        <w:bidi w:val="0"/>
        <w:spacing w:before="0" w:after="0" w:line="418" w:lineRule="auto"/>
        <w:ind w:left="0" w:right="0" w:firstLine="440"/>
        <w:jc w:val="left"/>
      </w:pPr>
      <w:bookmarkStart w:id="887" w:name="bookmark887"/>
      <w:bookmarkStart w:id="888" w:name="bookmark888"/>
      <w:bookmarkStart w:id="891" w:name="bookmark891"/>
      <w:bookmarkEnd w:id="891"/>
      <w:r>
        <w:rPr>
          <w:color w:val="000000"/>
          <w:spacing w:val="0"/>
          <w:w w:val="100"/>
          <w:position w:val="0"/>
        </w:rPr>
        <w:t>合并范围</w:t>
      </w:r>
      <w:bookmarkEnd w:id="887"/>
      <w:bookmarkEnd w:id="888"/>
    </w:p>
    <w:p>
      <w:pPr>
        <w:pStyle w:val="Style38"/>
        <w:keepNext w:val="0"/>
        <w:keepLines w:val="0"/>
        <w:widowControl w:val="0"/>
        <w:shd w:val="clear" w:color="auto" w:fill="auto"/>
        <w:bidi w:val="0"/>
        <w:spacing w:before="0" w:after="160" w:line="401" w:lineRule="exact"/>
        <w:ind w:left="0" w:right="0" w:firstLine="440"/>
        <w:jc w:val="both"/>
      </w:pPr>
      <w:r>
        <w:rPr>
          <w:color w:val="000000"/>
          <w:spacing w:val="0"/>
          <w:w w:val="100"/>
          <w:position w:val="0"/>
        </w:rPr>
        <w:t>公司合并财务报表的合并范围以控制为基础确定，所有子公司（包括公司所控制的单独主体）均纳入 合并财务报表。</w:t>
      </w:r>
    </w:p>
    <w:p>
      <w:pPr>
        <w:pStyle w:val="Style38"/>
        <w:keepNext w:val="0"/>
        <w:keepLines w:val="0"/>
        <w:widowControl w:val="0"/>
        <w:numPr>
          <w:ilvl w:val="0"/>
          <w:numId w:val="27"/>
        </w:numPr>
        <w:shd w:val="clear" w:color="auto" w:fill="auto"/>
        <w:tabs>
          <w:tab w:pos="784" w:val="left"/>
        </w:tabs>
        <w:bidi w:val="0"/>
        <w:spacing w:before="0" w:after="0" w:line="418" w:lineRule="auto"/>
        <w:ind w:left="0" w:right="0" w:firstLine="440"/>
        <w:jc w:val="left"/>
      </w:pPr>
      <w:bookmarkStart w:id="892" w:name="bookmark892"/>
      <w:bookmarkEnd w:id="892"/>
      <w:r>
        <w:rPr>
          <w:b/>
          <w:bCs/>
          <w:color w:val="000000"/>
          <w:spacing w:val="0"/>
          <w:w w:val="100"/>
          <w:position w:val="0"/>
        </w:rPr>
        <w:t>合并程序</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公司以自身和各子公司的财务报表为基础，根据其他有关资料，编制合并财务报表。公司编制合并财 务报表，将整个企业集团视为一个会计主体，依据相关企业会计准则的确认、计量和列报要求，按照统一 </w:t>
      </w:r>
      <w:r>
        <w:rPr>
          <w:color w:val="000000"/>
          <w:spacing w:val="0"/>
          <w:w w:val="100"/>
          <w:position w:val="0"/>
        </w:rPr>
        <w:t>的会计政策，反映本企业集团整体财务状况、经营成果和现金流量。</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所有纳入合并财务报表合并范围的子公司所采用的会计政策、会计期间与公司一致，如子公司采用的 会计政策、会计期间与公司不一致的，在编制合并财务报表时，按公司的会计政策、会计期间进行必要的 调整。</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合并财务报表时抵销公司与各子公司、各子公司相互之间发生的内部交易对合并资产负债表、合并利 润表、合并现金流量表、合并股东权益变动表的影响。如果站在企业集团合并财务报表角度与以公司或子 公司为会计主体对同一交易的认定不同时，从企业集团的角度对该交易予以调整。</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38"/>
        <w:keepNext w:val="0"/>
        <w:keepLines w:val="0"/>
        <w:widowControl w:val="0"/>
        <w:shd w:val="clear" w:color="auto" w:fill="auto"/>
        <w:tabs>
          <w:tab w:pos="886" w:val="left"/>
        </w:tabs>
        <w:bidi w:val="0"/>
        <w:spacing w:before="0" w:after="0" w:line="400" w:lineRule="exact"/>
        <w:ind w:left="0" w:right="0" w:firstLine="44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因追加投资等原因能够对非同一控制下的被投资方实施控制的，对于购买日之前持有的被购买方的股 权，公司按照该股权在购买日的公允价值进行重新计量，公允价值与其账面价值的差额计入当期投资收益。 购买日之前持有的被购买方的股权涉及权益法核算下的其他综合收益以及除净损益、其他综合收益和利润 分配之外的其他所有者权益变动的，与其相关的其他综合收益、其他所有者权益变动转为购买日所属当期 投资收益，由于被投资方重新计量设定受益计划净负债或净资产变动而产生的其他综合收益除外。</w:t>
      </w:r>
    </w:p>
    <w:p>
      <w:pPr>
        <w:pStyle w:val="Style38"/>
        <w:keepNext w:val="0"/>
        <w:keepLines w:val="0"/>
        <w:widowControl w:val="0"/>
        <w:shd w:val="clear" w:color="auto" w:fill="auto"/>
        <w:tabs>
          <w:tab w:pos="886" w:val="left"/>
        </w:tabs>
        <w:bidi w:val="0"/>
        <w:spacing w:before="0" w:after="180" w:line="400" w:lineRule="exact"/>
        <w:ind w:left="0" w:right="0" w:firstLine="44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38"/>
        <w:keepNext w:val="0"/>
        <w:keepLines w:val="0"/>
        <w:widowControl w:val="0"/>
        <w:shd w:val="clear" w:color="auto" w:fill="auto"/>
        <w:tabs>
          <w:tab w:pos="822" w:val="left"/>
        </w:tabs>
        <w:bidi w:val="0"/>
        <w:spacing w:before="0" w:after="0" w:line="418" w:lineRule="auto"/>
        <w:ind w:left="0" w:right="0" w:firstLine="440"/>
        <w:jc w:val="both"/>
      </w:pPr>
      <w:bookmarkStart w:id="895" w:name="bookmark895"/>
      <w:r>
        <w:rPr>
          <w:rFonts w:ascii="Times New Roman" w:eastAsia="Times New Roman" w:hAnsi="Times New Roman" w:cs="Times New Roman"/>
          <w:color w:val="000000"/>
          <w:spacing w:val="0"/>
          <w:w w:val="100"/>
          <w:position w:val="0"/>
          <w:shd w:val="clear" w:color="auto" w:fill="FFFFFF"/>
        </w:rPr>
        <w:t>1</w:t>
      </w:r>
      <w:bookmarkEnd w:id="895"/>
      <w:r>
        <w:rPr>
          <w:color w:val="000000"/>
          <w:spacing w:val="0"/>
          <w:w w:val="100"/>
          <w:position w:val="0"/>
          <w:shd w:val="clear" w:color="auto" w:fill="FFFFFF"/>
        </w:rPr>
        <w:t>）</w:t>
      </w:r>
      <w:r>
        <w:rPr>
          <w:color w:val="000000"/>
          <w:spacing w:val="0"/>
          <w:w w:val="100"/>
          <w:position w:val="0"/>
        </w:rPr>
        <w:tab/>
        <w:t>一般处理方法</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在报告期内，公司处置子公司或业务，则该子公司或业务期初至处置日的收入、费用、利润纳入合并 </w:t>
      </w:r>
      <w:r>
        <w:rPr>
          <w:color w:val="000000"/>
          <w:spacing w:val="0"/>
          <w:w w:val="100"/>
          <w:position w:val="0"/>
        </w:rPr>
        <w:t>利润表；该子公司或业务期初至处置日的现金流量纳入合并现金流量表。</w:t>
      </w:r>
    </w:p>
    <w:p>
      <w:pPr>
        <w:pStyle w:val="Style38"/>
        <w:keepNext w:val="0"/>
        <w:keepLines w:val="0"/>
        <w:widowControl w:val="0"/>
        <w:shd w:val="clear" w:color="auto" w:fill="auto"/>
        <w:bidi w:val="0"/>
        <w:spacing w:before="0" w:after="160" w:line="401" w:lineRule="exact"/>
        <w:ind w:left="0" w:right="0" w:firstLine="440"/>
        <w:jc w:val="both"/>
      </w:pPr>
      <w:r>
        <w:rPr>
          <w:color w:val="000000"/>
          <w:spacing w:val="0"/>
          <w:w w:val="100"/>
          <w:position w:val="0"/>
        </w:rPr>
        <w:t>因处置部分股权投资或其他原因丧失了对被投资方控制权时，对于处置后的剩余股权投资，公司按照 其在丧失控制权日的公允价值进行重新计量。处置股权取得的对价与剩余股权公允价值之和，减去按原持 股比例计算应享有原有子公司自购买日或合并日开始持续计算的净资产的份额与商誉之和的差额，计入丧 失控制权当期的投资收益。与原有子公司股权投资相关的其他综合收益或除净损益、其他综合收益及利润 分配之外的其他所有者权益变动，在丧失控制权时转为当期投资收益，由于被投资方重新计量设定受益计 划净负债或净资产变动而产生的其他综合收益除外。</w:t>
      </w:r>
    </w:p>
    <w:p>
      <w:pPr>
        <w:pStyle w:val="Style38"/>
        <w:keepNext w:val="0"/>
        <w:keepLines w:val="0"/>
        <w:widowControl w:val="0"/>
        <w:numPr>
          <w:ilvl w:val="0"/>
          <w:numId w:val="29"/>
        </w:numPr>
        <w:shd w:val="clear" w:color="auto" w:fill="auto"/>
        <w:bidi w:val="0"/>
        <w:spacing w:before="0" w:after="0" w:line="418" w:lineRule="auto"/>
        <w:ind w:left="0" w:right="0" w:firstLine="440"/>
        <w:jc w:val="both"/>
      </w:pPr>
      <w:bookmarkStart w:id="896" w:name="bookmark896"/>
      <w:bookmarkEnd w:id="896"/>
      <w:r>
        <w:rPr>
          <w:color w:val="000000"/>
          <w:spacing w:val="0"/>
          <w:w w:val="100"/>
          <w:position w:val="0"/>
        </w:rPr>
        <w:t>分步处置子公司</w:t>
      </w:r>
    </w:p>
    <w:p>
      <w:pPr>
        <w:pStyle w:val="Style38"/>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8"/>
        <w:keepNext w:val="0"/>
        <w:keepLines w:val="0"/>
        <w:widowControl w:val="0"/>
        <w:numPr>
          <w:ilvl w:val="0"/>
          <w:numId w:val="31"/>
        </w:numPr>
        <w:shd w:val="clear" w:color="auto" w:fill="auto"/>
        <w:tabs>
          <w:tab w:pos="817" w:val="left"/>
        </w:tabs>
        <w:bidi w:val="0"/>
        <w:spacing w:before="0" w:after="0" w:line="418" w:lineRule="auto"/>
        <w:ind w:left="0" w:right="0" w:firstLine="440"/>
        <w:jc w:val="left"/>
      </w:pPr>
      <w:bookmarkStart w:id="897" w:name="bookmark897"/>
      <w:bookmarkEnd w:id="897"/>
      <w:r>
        <w:rPr>
          <w:color w:val="000000"/>
          <w:spacing w:val="0"/>
          <w:w w:val="100"/>
          <w:position w:val="0"/>
        </w:rPr>
        <w:t>这些交易是同时或者在考虑了彼此影响的情况下订立的；</w:t>
      </w:r>
    </w:p>
    <w:p>
      <w:pPr>
        <w:pStyle w:val="Style38"/>
        <w:keepNext w:val="0"/>
        <w:keepLines w:val="0"/>
        <w:widowControl w:val="0"/>
        <w:numPr>
          <w:ilvl w:val="0"/>
          <w:numId w:val="31"/>
        </w:numPr>
        <w:shd w:val="clear" w:color="auto" w:fill="auto"/>
        <w:tabs>
          <w:tab w:pos="817" w:val="left"/>
        </w:tabs>
        <w:bidi w:val="0"/>
        <w:spacing w:before="0" w:after="0" w:line="418" w:lineRule="auto"/>
        <w:ind w:left="0" w:right="0" w:firstLine="440"/>
        <w:jc w:val="left"/>
      </w:pPr>
      <w:bookmarkStart w:id="898" w:name="bookmark898"/>
      <w:bookmarkEnd w:id="898"/>
      <w:r>
        <w:rPr>
          <w:color w:val="000000"/>
          <w:spacing w:val="0"/>
          <w:w w:val="100"/>
          <w:position w:val="0"/>
        </w:rPr>
        <w:t>这些交易整体才能达成一项完整的商业结果；</w:t>
      </w:r>
    </w:p>
    <w:p>
      <w:pPr>
        <w:pStyle w:val="Style38"/>
        <w:keepNext w:val="0"/>
        <w:keepLines w:val="0"/>
        <w:widowControl w:val="0"/>
        <w:numPr>
          <w:ilvl w:val="0"/>
          <w:numId w:val="31"/>
        </w:numPr>
        <w:shd w:val="clear" w:color="auto" w:fill="auto"/>
        <w:tabs>
          <w:tab w:pos="817" w:val="left"/>
        </w:tabs>
        <w:bidi w:val="0"/>
        <w:spacing w:before="0" w:after="0" w:line="418" w:lineRule="auto"/>
        <w:ind w:left="0" w:right="0" w:firstLine="440"/>
        <w:jc w:val="left"/>
      </w:pPr>
      <w:bookmarkStart w:id="899" w:name="bookmark899"/>
      <w:bookmarkEnd w:id="899"/>
      <w:r>
        <w:rPr>
          <w:color w:val="000000"/>
          <w:spacing w:val="0"/>
          <w:w w:val="100"/>
          <w:position w:val="0"/>
        </w:rPr>
        <w:t>一项交易的发生取决于其他至少一项交易的发生；</w:t>
      </w:r>
    </w:p>
    <w:p>
      <w:pPr>
        <w:pStyle w:val="Style38"/>
        <w:keepNext w:val="0"/>
        <w:keepLines w:val="0"/>
        <w:widowControl w:val="0"/>
        <w:numPr>
          <w:ilvl w:val="0"/>
          <w:numId w:val="31"/>
        </w:numPr>
        <w:shd w:val="clear" w:color="auto" w:fill="auto"/>
        <w:tabs>
          <w:tab w:pos="817" w:val="left"/>
        </w:tabs>
        <w:bidi w:val="0"/>
        <w:spacing w:before="0" w:after="0" w:line="418" w:lineRule="auto"/>
        <w:ind w:left="0" w:right="0" w:firstLine="440"/>
        <w:jc w:val="left"/>
      </w:pPr>
      <w:bookmarkStart w:id="900" w:name="bookmark900"/>
      <w:bookmarkEnd w:id="900"/>
      <w:r>
        <w:rPr>
          <w:color w:val="000000"/>
          <w:spacing w:val="0"/>
          <w:w w:val="100"/>
          <w:position w:val="0"/>
        </w:rPr>
        <w:t>一项交易单独看是不经济的，但是和其他交易一并考虑时是经济的。</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处置对子公司股权投资直至丧失控制权的各项交易属于一揽子交易的，公司将各项交易作为一项处置 子公司并丧失控制权的交易进行会计处理；但是，在丧失控制权之前每一次处置价款与处置投资对应的享 有该子公司净资产份额的差额，在合并财务报表中确认为其他综合收益，在丧失控制权时一并转入丧失控 制权当期的损益。</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8"/>
        <w:keepNext w:val="0"/>
        <w:keepLines w:val="0"/>
        <w:widowControl w:val="0"/>
        <w:numPr>
          <w:ilvl w:val="0"/>
          <w:numId w:val="33"/>
        </w:numPr>
        <w:shd w:val="clear" w:color="auto" w:fill="auto"/>
        <w:tabs>
          <w:tab w:pos="923" w:val="left"/>
        </w:tabs>
        <w:bidi w:val="0"/>
        <w:spacing w:before="0" w:after="0" w:line="400" w:lineRule="exact"/>
        <w:ind w:left="0" w:right="0" w:firstLine="440"/>
        <w:jc w:val="both"/>
      </w:pPr>
      <w:bookmarkStart w:id="901" w:name="bookmark901"/>
      <w:bookmarkEnd w:id="901"/>
      <w:r>
        <w:rPr>
          <w:color w:val="000000"/>
          <w:spacing w:val="0"/>
          <w:w w:val="100"/>
          <w:position w:val="0"/>
        </w:rPr>
        <w:t>购买子公司少数股权</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公司因购买少数股权新取得的长期股权投资与按照新增持股比例计算应享有子公司自购买日(或合并 日)开始持续计算的净资产份额之间的差额，调整合并资产负债表中的资本公积中的股本溢价，资本公积 中的股本溢价不足冲减的，调整留存收益。</w:t>
      </w:r>
    </w:p>
    <w:p>
      <w:pPr>
        <w:pStyle w:val="Style38"/>
        <w:keepNext w:val="0"/>
        <w:keepLines w:val="0"/>
        <w:widowControl w:val="0"/>
        <w:numPr>
          <w:ilvl w:val="0"/>
          <w:numId w:val="33"/>
        </w:numPr>
        <w:shd w:val="clear" w:color="auto" w:fill="auto"/>
        <w:tabs>
          <w:tab w:pos="923" w:val="left"/>
        </w:tabs>
        <w:bidi w:val="0"/>
        <w:spacing w:before="0" w:after="0" w:line="400" w:lineRule="exact"/>
        <w:ind w:left="0" w:right="0" w:firstLine="440"/>
        <w:jc w:val="left"/>
      </w:pPr>
      <w:bookmarkStart w:id="902" w:name="bookmark902"/>
      <w:bookmarkEnd w:id="902"/>
      <w:r>
        <w:rPr>
          <w:color w:val="000000"/>
          <w:spacing w:val="0"/>
          <w:w w:val="100"/>
          <w:position w:val="0"/>
        </w:rPr>
        <w:t>不丧失控制权的情况下部分处置对子公司的股权投资</w:t>
      </w:r>
    </w:p>
    <w:p>
      <w:pPr>
        <w:pStyle w:val="Style38"/>
        <w:keepNext w:val="0"/>
        <w:keepLines w:val="0"/>
        <w:widowControl w:val="0"/>
        <w:shd w:val="clear" w:color="auto" w:fill="auto"/>
        <w:bidi w:val="0"/>
        <w:spacing w:before="0" w:after="380" w:line="400"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5"/>
        <w:keepNext/>
        <w:keepLines/>
        <w:widowControl w:val="0"/>
        <w:shd w:val="clear" w:color="auto" w:fill="auto"/>
        <w:bidi w:val="0"/>
        <w:spacing w:before="0" w:after="300" w:line="418"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7</w:t>
      </w:r>
      <w:bookmarkEnd w:id="905"/>
      <w:r>
        <w:rPr>
          <w:color w:val="000000"/>
          <w:spacing w:val="0"/>
          <w:w w:val="100"/>
          <w:position w:val="0"/>
        </w:rPr>
        <w:t>、合营安排分类及共同经营会计处理方法</w:t>
      </w:r>
      <w:bookmarkEnd w:id="903"/>
      <w:bookmarkEnd w:id="904"/>
      <w:bookmarkEnd w:id="906"/>
    </w:p>
    <w:p>
      <w:pPr>
        <w:pStyle w:val="Style35"/>
        <w:keepNext/>
        <w:keepLines/>
        <w:widowControl w:val="0"/>
        <w:numPr>
          <w:ilvl w:val="0"/>
          <w:numId w:val="35"/>
        </w:numPr>
        <w:shd w:val="clear" w:color="auto" w:fill="auto"/>
        <w:bidi w:val="0"/>
        <w:spacing w:before="0" w:after="0" w:line="418" w:lineRule="auto"/>
        <w:ind w:left="0" w:right="0" w:firstLine="440"/>
        <w:jc w:val="left"/>
      </w:pPr>
      <w:bookmarkStart w:id="903" w:name="bookmark903"/>
      <w:bookmarkStart w:id="904" w:name="bookmark904"/>
      <w:bookmarkStart w:id="907" w:name="bookmark907"/>
      <w:bookmarkEnd w:id="907"/>
      <w:r>
        <w:rPr>
          <w:color w:val="000000"/>
          <w:spacing w:val="0"/>
          <w:w w:val="100"/>
          <w:position w:val="0"/>
        </w:rPr>
        <w:t>合营安排的分类</w:t>
      </w:r>
      <w:bookmarkEnd w:id="903"/>
      <w:bookmarkEnd w:id="904"/>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公司根据合营安排的结构、法律形式以及合营安排中约定的条款、其他相关事实和情况等因素，将合 </w:t>
      </w:r>
      <w:r>
        <w:rPr>
          <w:color w:val="000000"/>
          <w:spacing w:val="0"/>
          <w:w w:val="100"/>
          <w:position w:val="0"/>
        </w:rPr>
        <w:t>营安排分为共同经营和合营企业。</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8"/>
        <w:keepNext w:val="0"/>
        <w:keepLines w:val="0"/>
        <w:widowControl w:val="0"/>
        <w:shd w:val="clear" w:color="auto" w:fill="auto"/>
        <w:tabs>
          <w:tab w:pos="928" w:val="left"/>
        </w:tabs>
        <w:bidi w:val="0"/>
        <w:spacing w:before="0" w:after="0" w:line="400" w:lineRule="exact"/>
        <w:ind w:left="0" w:right="0" w:firstLine="44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合营安排的法律形式表明，合营方对该安排中的相关资产和负债分别享有权利和承担义务。</w:t>
      </w:r>
    </w:p>
    <w:p>
      <w:pPr>
        <w:pStyle w:val="Style38"/>
        <w:keepNext w:val="0"/>
        <w:keepLines w:val="0"/>
        <w:widowControl w:val="0"/>
        <w:shd w:val="clear" w:color="auto" w:fill="auto"/>
        <w:tabs>
          <w:tab w:pos="928" w:val="left"/>
        </w:tabs>
        <w:bidi w:val="0"/>
        <w:spacing w:before="0" w:after="0" w:line="400" w:lineRule="exact"/>
        <w:ind w:left="0" w:right="0" w:firstLine="44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合营安排的合同条款约定，合营方对该安排中的相关资产和负债分别享有权利和承担义务。</w:t>
      </w:r>
    </w:p>
    <w:p>
      <w:pPr>
        <w:pStyle w:val="Style38"/>
        <w:keepNext w:val="0"/>
        <w:keepLines w:val="0"/>
        <w:widowControl w:val="0"/>
        <w:shd w:val="clear" w:color="auto" w:fill="auto"/>
        <w:tabs>
          <w:tab w:pos="1021" w:val="left"/>
        </w:tabs>
        <w:bidi w:val="0"/>
        <w:spacing w:before="0" w:after="160" w:line="400" w:lineRule="exact"/>
        <w:ind w:left="0" w:right="0" w:firstLine="44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其他相关事实和情况表明，合营方对该安排中的相关资产和负债分别享有权利和承担义务，如 合营方享有与合营安排相关的几乎所有产出，并且该安排中负债的清偿持续依赖于合营方的支持。</w:t>
      </w:r>
    </w:p>
    <w:p>
      <w:pPr>
        <w:pStyle w:val="Style38"/>
        <w:keepNext w:val="0"/>
        <w:keepLines w:val="0"/>
        <w:widowControl w:val="0"/>
        <w:numPr>
          <w:ilvl w:val="0"/>
          <w:numId w:val="35"/>
        </w:numPr>
        <w:shd w:val="clear" w:color="auto" w:fill="auto"/>
        <w:bidi w:val="0"/>
        <w:spacing w:before="0" w:after="0" w:line="418" w:lineRule="auto"/>
        <w:ind w:left="0" w:right="0" w:firstLine="440"/>
        <w:jc w:val="both"/>
      </w:pPr>
      <w:bookmarkStart w:id="911" w:name="bookmark911"/>
      <w:bookmarkEnd w:id="911"/>
      <w:r>
        <w:rPr>
          <w:b/>
          <w:bCs/>
          <w:color w:val="000000"/>
          <w:spacing w:val="0"/>
          <w:w w:val="100"/>
          <w:position w:val="0"/>
        </w:rPr>
        <w:t>共同经营会计处理方法</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公司确认共同经营中利益份额中与公司相关的下列项目，并按照相关企业会计准则的规定进行会计处 理：</w:t>
      </w:r>
    </w:p>
    <w:p>
      <w:pPr>
        <w:pStyle w:val="Style38"/>
        <w:keepNext w:val="0"/>
        <w:keepLines w:val="0"/>
        <w:widowControl w:val="0"/>
        <w:shd w:val="clear" w:color="auto" w:fill="auto"/>
        <w:tabs>
          <w:tab w:pos="928" w:val="left"/>
        </w:tabs>
        <w:bidi w:val="0"/>
        <w:spacing w:before="0" w:after="0" w:line="400" w:lineRule="exact"/>
        <w:ind w:left="0" w:right="0" w:firstLine="44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38"/>
        <w:keepNext w:val="0"/>
        <w:keepLines w:val="0"/>
        <w:widowControl w:val="0"/>
        <w:shd w:val="clear" w:color="auto" w:fill="auto"/>
        <w:tabs>
          <w:tab w:pos="928" w:val="left"/>
        </w:tabs>
        <w:bidi w:val="0"/>
        <w:spacing w:before="0" w:after="0" w:line="400" w:lineRule="exact"/>
        <w:ind w:left="0" w:right="0" w:firstLine="44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38"/>
        <w:keepNext w:val="0"/>
        <w:keepLines w:val="0"/>
        <w:widowControl w:val="0"/>
        <w:shd w:val="clear" w:color="auto" w:fill="auto"/>
        <w:tabs>
          <w:tab w:pos="928" w:val="left"/>
        </w:tabs>
        <w:bidi w:val="0"/>
        <w:spacing w:before="0" w:after="0" w:line="400" w:lineRule="exact"/>
        <w:ind w:left="0" w:right="0" w:firstLine="440"/>
        <w:jc w:val="left"/>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38"/>
        <w:keepNext w:val="0"/>
        <w:keepLines w:val="0"/>
        <w:widowControl w:val="0"/>
        <w:shd w:val="clear" w:color="auto" w:fill="auto"/>
        <w:tabs>
          <w:tab w:pos="928" w:val="left"/>
        </w:tabs>
        <w:bidi w:val="0"/>
        <w:spacing w:before="0" w:after="0" w:line="400" w:lineRule="exact"/>
        <w:ind w:left="0" w:right="0" w:firstLine="440"/>
        <w:jc w:val="left"/>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38"/>
        <w:keepNext w:val="0"/>
        <w:keepLines w:val="0"/>
        <w:widowControl w:val="0"/>
        <w:shd w:val="clear" w:color="auto" w:fill="auto"/>
        <w:tabs>
          <w:tab w:pos="928" w:val="left"/>
        </w:tabs>
        <w:bidi w:val="0"/>
        <w:spacing w:before="0" w:after="0" w:line="400" w:lineRule="exact"/>
        <w:ind w:left="0" w:right="0" w:firstLine="440"/>
        <w:jc w:val="left"/>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确认单独所发生的费用，以及按其份额确认共同经营发生的费用。</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公司向共同经营投出或出售资产等（该资产构成业务的除外），在该资产等由共同经营出售给第三方 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号——资产减值》等规定的资产减值损失的，公司全额确认该损失。</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公司自共同经营购买资产等（该资产构成业务的除外），在将该资产等出售给第三方之前，仅确认因 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 资产减值》等规定的资产减值损失的，公司按承担的份额确认该部分损失。</w:t>
      </w:r>
    </w:p>
    <w:p>
      <w:pPr>
        <w:pStyle w:val="Style38"/>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公司对共同经营不享有共同控制，如果公司享有该共同经营相关资产且承担该共同经营相关负债的， 仍按上述原则进行会计处理，否则，应当按照相关企业会计准则的规定进行会计处理。</w:t>
      </w:r>
    </w:p>
    <w:p>
      <w:pPr>
        <w:pStyle w:val="Style38"/>
        <w:keepNext w:val="0"/>
        <w:keepLines w:val="0"/>
        <w:widowControl w:val="0"/>
        <w:shd w:val="clear" w:color="auto" w:fill="auto"/>
        <w:tabs>
          <w:tab w:pos="845" w:val="left"/>
        </w:tabs>
        <w:bidi w:val="0"/>
        <w:spacing w:before="0" w:after="0" w:line="418" w:lineRule="auto"/>
        <w:ind w:left="0" w:right="0" w:firstLine="440"/>
        <w:jc w:val="both"/>
      </w:pPr>
      <w:bookmarkStart w:id="917" w:name="bookmark917"/>
      <w:r>
        <w:rPr>
          <w:rFonts w:ascii="Times New Roman" w:eastAsia="Times New Roman" w:hAnsi="Times New Roman" w:cs="Times New Roman"/>
          <w:b/>
          <w:bCs/>
          <w:color w:val="000000"/>
          <w:spacing w:val="0"/>
          <w:w w:val="100"/>
          <w:position w:val="0"/>
        </w:rPr>
        <w:t>8</w:t>
      </w:r>
      <w:bookmarkEnd w:id="917"/>
      <w:r>
        <w:rPr>
          <w:b/>
          <w:bCs/>
          <w:color w:val="000000"/>
          <w:spacing w:val="0"/>
          <w:w w:val="100"/>
          <w:position w:val="0"/>
        </w:rPr>
        <w:t>、</w:t>
        <w:tab/>
        <w:t>现金及现金等价物的确定标准</w:t>
      </w:r>
    </w:p>
    <w:p>
      <w:pPr>
        <w:pStyle w:val="Style38"/>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在编制现金流量表时，将公司库存现金以及可以随时用于支付的存款确认为现金。将同时具备期限短 （一般从购买日起三个月内到期）、流动性强、易于转换为已知金额的现金、价值变动风险很小四个条件 的投资，确定为现金等价物。</w:t>
      </w:r>
    </w:p>
    <w:p>
      <w:pPr>
        <w:pStyle w:val="Style38"/>
        <w:keepNext w:val="0"/>
        <w:keepLines w:val="0"/>
        <w:widowControl w:val="0"/>
        <w:shd w:val="clear" w:color="auto" w:fill="auto"/>
        <w:tabs>
          <w:tab w:pos="845" w:val="left"/>
        </w:tabs>
        <w:bidi w:val="0"/>
        <w:spacing w:before="0" w:after="0" w:line="418" w:lineRule="auto"/>
        <w:ind w:left="0" w:right="0" w:firstLine="440"/>
        <w:jc w:val="both"/>
      </w:pPr>
      <w:bookmarkStart w:id="918" w:name="bookmark918"/>
      <w:r>
        <w:rPr>
          <w:rFonts w:ascii="Times New Roman" w:eastAsia="Times New Roman" w:hAnsi="Times New Roman" w:cs="Times New Roman"/>
          <w:b/>
          <w:bCs/>
          <w:color w:val="000000"/>
          <w:spacing w:val="0"/>
          <w:w w:val="100"/>
          <w:position w:val="0"/>
        </w:rPr>
        <w:t>9</w:t>
      </w:r>
      <w:bookmarkEnd w:id="918"/>
      <w:r>
        <w:rPr>
          <w:b/>
          <w:bCs/>
          <w:color w:val="000000"/>
          <w:spacing w:val="0"/>
          <w:w w:val="100"/>
          <w:position w:val="0"/>
        </w:rPr>
        <w:t>、</w:t>
        <w:tab/>
        <w:t>外币业务和外币报表折算</w:t>
      </w:r>
    </w:p>
    <w:p>
      <w:pPr>
        <w:pStyle w:val="Style38"/>
        <w:keepNext w:val="0"/>
        <w:keepLines w:val="0"/>
        <w:widowControl w:val="0"/>
        <w:numPr>
          <w:ilvl w:val="0"/>
          <w:numId w:val="37"/>
        </w:numPr>
        <w:shd w:val="clear" w:color="auto" w:fill="auto"/>
        <w:bidi w:val="0"/>
        <w:spacing w:before="0" w:after="0" w:line="418" w:lineRule="auto"/>
        <w:ind w:left="0" w:right="0" w:firstLine="440"/>
        <w:jc w:val="both"/>
      </w:pPr>
      <w:bookmarkStart w:id="919" w:name="bookmark919"/>
      <w:bookmarkEnd w:id="919"/>
      <w:r>
        <w:rPr>
          <w:b/>
          <w:bCs/>
          <w:color w:val="000000"/>
          <w:spacing w:val="0"/>
          <w:w w:val="100"/>
          <w:position w:val="0"/>
        </w:rPr>
        <w:t>外币业务</w:t>
      </w:r>
    </w:p>
    <w:p>
      <w:pPr>
        <w:pStyle w:val="Style38"/>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外币业务交易在初始确认时，采用交易发生日的即期汇率作为折算汇率折合成人民币记账。</w:t>
      </w:r>
    </w:p>
    <w:p>
      <w:pPr>
        <w:pStyle w:val="Style38"/>
        <w:keepNext w:val="0"/>
        <w:keepLines w:val="0"/>
        <w:widowControl w:val="0"/>
        <w:shd w:val="clear" w:color="auto" w:fill="auto"/>
        <w:bidi w:val="0"/>
        <w:spacing w:before="0" w:after="80" w:line="400" w:lineRule="exact"/>
        <w:ind w:left="0" w:right="0" w:firstLine="44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8"/>
        <w:keepNext w:val="0"/>
        <w:keepLines w:val="0"/>
        <w:widowControl w:val="0"/>
        <w:shd w:val="clear" w:color="auto" w:fill="auto"/>
        <w:bidi w:val="0"/>
        <w:spacing w:before="0" w:after="0" w:line="334" w:lineRule="exact"/>
        <w:ind w:left="0" w:right="0" w:firstLine="440"/>
        <w:jc w:val="both"/>
        <w:rPr>
          <w:sz w:val="17"/>
          <w:szCs w:val="17"/>
        </w:rPr>
      </w:pPr>
      <w:r>
        <w:rPr>
          <w:color w:val="000000"/>
          <w:spacing w:val="0"/>
          <w:w w:val="100"/>
          <w:position w:val="0"/>
          <w:sz w:val="20"/>
          <w:szCs w:val="20"/>
        </w:rPr>
        <w:t>以公允价值计量的外币非货币性项目，采用公允价值确定日的即期汇率折算，折算后的记账本位币金 额与原记账本位币金额的差额，作为公允价值变动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含汇率变动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处理，计入当期损益或确认为其他综合收 </w:t>
      </w:r>
      <w:r>
        <w:rPr>
          <w:color w:val="000000"/>
          <w:spacing w:val="0"/>
          <w:w w:val="100"/>
          <w:position w:val="0"/>
          <w:sz w:val="20"/>
          <w:szCs w:val="20"/>
          <w:u w:val="single"/>
        </w:rPr>
        <w:t>、</w:t>
      </w:r>
      <w:r>
        <w:rPr>
          <w:i/>
          <w:iCs/>
          <w:color w:val="000000"/>
          <w:spacing w:val="0"/>
          <w:w w:val="100"/>
          <w:position w:val="0"/>
          <w:sz w:val="17"/>
          <w:szCs w:val="17"/>
          <w:u w:val="single"/>
        </w:rPr>
        <w:t>八</w:t>
      </w:r>
    </w:p>
    <w:p>
      <w:pPr>
        <w:pStyle w:val="Style38"/>
        <w:keepNext w:val="0"/>
        <w:keepLines w:val="0"/>
        <w:widowControl w:val="0"/>
        <w:shd w:val="clear" w:color="auto" w:fill="auto"/>
        <w:bidi w:val="0"/>
        <w:spacing w:before="0" w:after="180" w:line="400" w:lineRule="exact"/>
        <w:ind w:left="0" w:right="0" w:firstLine="0"/>
        <w:jc w:val="left"/>
      </w:pPr>
      <w:r>
        <w:rPr>
          <w:color w:val="000000"/>
          <w:spacing w:val="0"/>
          <w:w w:val="100"/>
          <w:position w:val="0"/>
        </w:rPr>
        <w:t>益。</w:t>
      </w:r>
    </w:p>
    <w:p>
      <w:pPr>
        <w:pStyle w:val="Style38"/>
        <w:keepNext w:val="0"/>
        <w:keepLines w:val="0"/>
        <w:widowControl w:val="0"/>
        <w:shd w:val="clear" w:color="auto" w:fill="auto"/>
        <w:bidi w:val="0"/>
        <w:spacing w:before="0" w:after="0" w:line="418" w:lineRule="auto"/>
        <w:ind w:left="0" w:right="0" w:firstLine="440"/>
        <w:jc w:val="left"/>
      </w:pPr>
      <w:bookmarkStart w:id="920" w:name="bookmark920"/>
      <w:r>
        <w:rPr>
          <w:rFonts w:ascii="Times New Roman" w:eastAsia="Times New Roman" w:hAnsi="Times New Roman" w:cs="Times New Roman"/>
          <w:b/>
          <w:bCs/>
          <w:color w:val="000000"/>
          <w:spacing w:val="0"/>
          <w:w w:val="100"/>
          <w:position w:val="0"/>
        </w:rPr>
        <w:t>1</w:t>
      </w:r>
      <w:bookmarkEnd w:id="920"/>
      <w:r>
        <w:rPr>
          <w:rFonts w:ascii="Times New Roman" w:eastAsia="Times New Roman" w:hAnsi="Times New Roman" w:cs="Times New Roman"/>
          <w:b/>
          <w:bCs/>
          <w:color w:val="000000"/>
          <w:spacing w:val="0"/>
          <w:w w:val="100"/>
          <w:position w:val="0"/>
        </w:rPr>
        <w:t>0</w:t>
      </w:r>
      <w:r>
        <w:rPr>
          <w:b/>
          <w:bCs/>
          <w:color w:val="000000"/>
          <w:spacing w:val="0"/>
          <w:w w:val="100"/>
          <w:position w:val="0"/>
        </w:rPr>
        <w:t>、金融工具</w:t>
      </w:r>
    </w:p>
    <w:p>
      <w:pPr>
        <w:pStyle w:val="Style38"/>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在公司成为金融工具合同的一方时确认一项金融资产或金融负债。</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实际利率法是指计算金融资产或金融负债的摊余成本以及将利息收入或利息费用分摊计入各会计期 间的方法。</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38"/>
        <w:keepNext w:val="0"/>
        <w:keepLines w:val="0"/>
        <w:widowControl w:val="0"/>
        <w:shd w:val="clear" w:color="auto" w:fill="auto"/>
        <w:bidi w:val="0"/>
        <w:spacing w:before="0" w:after="180" w:line="400" w:lineRule="exact"/>
        <w:ind w:left="0" w:right="0" w:firstLine="44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val="0"/>
        <w:keepLines w:val="0"/>
        <w:widowControl w:val="0"/>
        <w:numPr>
          <w:ilvl w:val="0"/>
          <w:numId w:val="39"/>
        </w:numPr>
        <w:shd w:val="clear" w:color="auto" w:fill="auto"/>
        <w:bidi w:val="0"/>
        <w:spacing w:before="0" w:after="0" w:line="418" w:lineRule="auto"/>
        <w:ind w:left="0" w:right="0" w:firstLine="440"/>
        <w:jc w:val="both"/>
      </w:pPr>
      <w:bookmarkStart w:id="921" w:name="bookmark921"/>
      <w:bookmarkEnd w:id="921"/>
      <w:r>
        <w:rPr>
          <w:b/>
          <w:bCs/>
          <w:color w:val="000000"/>
          <w:spacing w:val="0"/>
          <w:w w:val="100"/>
          <w:position w:val="0"/>
        </w:rPr>
        <w:t>金融资产分类和计量</w:t>
      </w:r>
    </w:p>
    <w:p>
      <w:pPr>
        <w:pStyle w:val="Style38"/>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公司根据所管理金融资产的业务模式和金融资产的合同现金流量特征，将金融资产划分为以下三类：</w:t>
      </w:r>
    </w:p>
    <w:p>
      <w:pPr>
        <w:pStyle w:val="Style38"/>
        <w:keepNext w:val="0"/>
        <w:keepLines w:val="0"/>
        <w:widowControl w:val="0"/>
        <w:shd w:val="clear" w:color="auto" w:fill="auto"/>
        <w:tabs>
          <w:tab w:pos="928" w:val="left"/>
        </w:tabs>
        <w:bidi w:val="0"/>
        <w:spacing w:before="0" w:after="0" w:line="400" w:lineRule="exact"/>
        <w:ind w:left="0" w:right="0" w:firstLine="440"/>
        <w:jc w:val="left"/>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38"/>
        <w:keepNext w:val="0"/>
        <w:keepLines w:val="0"/>
        <w:widowControl w:val="0"/>
        <w:shd w:val="clear" w:color="auto" w:fill="auto"/>
        <w:tabs>
          <w:tab w:pos="928" w:val="left"/>
        </w:tabs>
        <w:bidi w:val="0"/>
        <w:spacing w:before="0" w:after="0" w:line="400" w:lineRule="exact"/>
        <w:ind w:left="0" w:right="0" w:firstLine="44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w:t>
      </w:r>
    </w:p>
    <w:p>
      <w:pPr>
        <w:pStyle w:val="Style38"/>
        <w:keepNext w:val="0"/>
        <w:keepLines w:val="0"/>
        <w:widowControl w:val="0"/>
        <w:shd w:val="clear" w:color="auto" w:fill="auto"/>
        <w:tabs>
          <w:tab w:pos="928" w:val="left"/>
        </w:tabs>
        <w:bidi w:val="0"/>
        <w:spacing w:before="0" w:after="0" w:line="400" w:lineRule="exact"/>
        <w:ind w:left="0" w:right="0" w:firstLine="440"/>
        <w:jc w:val="left"/>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以公允价值计量且其变动计入当期损益的金融资产。</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金融资产的后续计量取决于其分类，当且仅当公司改变管理金融资产的业务模式时，才对所有受影响 的相关金融资产进行重分类。</w:t>
      </w:r>
    </w:p>
    <w:p>
      <w:pPr>
        <w:pStyle w:val="Style38"/>
        <w:keepNext w:val="0"/>
        <w:keepLines w:val="0"/>
        <w:widowControl w:val="0"/>
        <w:shd w:val="clear" w:color="auto" w:fill="auto"/>
        <w:bidi w:val="0"/>
        <w:spacing w:before="0" w:after="0" w:line="400" w:lineRule="exact"/>
        <w:ind w:left="0" w:right="0" w:firstLine="44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）分类为以摊余成本计量的金融资产</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的支付，且管理该金融资产的业务模式是以收取合同现金流量为目标，则公司将该金融资产分类为以摊余 成本计量的金融资产。公司分类为以摊余成本计量的金融资产包括货币资金、应收票据及应收账款、其他 应收款、长期应收款、债权投资等。</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公司对此类金融资产采用实际利率法确认利息收入，按摊余成本进行后续计量，其发生减值时或终止 确认、修改产生的利得或损失，计入当期损益。除下列情况外，公司根据金融资产账面余额乘以实际利率 计算确定利息收入：</w:t>
      </w:r>
    </w:p>
    <w:p>
      <w:pPr>
        <w:pStyle w:val="Style38"/>
        <w:keepNext w:val="0"/>
        <w:keepLines w:val="0"/>
        <w:widowControl w:val="0"/>
        <w:shd w:val="clear" w:color="auto" w:fill="auto"/>
        <w:bidi w:val="0"/>
        <w:spacing w:before="0" w:after="0" w:line="400" w:lineRule="exact"/>
        <w:ind w:left="0" w:right="0" w:firstLine="440"/>
        <w:jc w:val="both"/>
      </w:pPr>
      <w:bookmarkStart w:id="926" w:name="bookmark926"/>
      <w:r>
        <w:rPr>
          <w:rFonts w:ascii="Times New Roman" w:eastAsia="Times New Roman" w:hAnsi="Times New Roman" w:cs="Times New Roman"/>
          <w:color w:val="000000"/>
          <w:spacing w:val="0"/>
          <w:w w:val="100"/>
          <w:position w:val="0"/>
        </w:rPr>
        <w:t>1</w:t>
      </w:r>
      <w:bookmarkEnd w:id="926"/>
      <w:r>
        <w:rPr>
          <w:color w:val="000000"/>
          <w:spacing w:val="0"/>
          <w:w w:val="100"/>
          <w:position w:val="0"/>
        </w:rPr>
        <w:t>）对于购入或源生的已发生信用减值的金融资产，公司自初始确认起，按照该金融资产的摊余成本 和经信用调整的实际利率计算确定其利息收入。</w:t>
      </w:r>
    </w:p>
    <w:p>
      <w:pPr>
        <w:pStyle w:val="Style38"/>
        <w:keepNext w:val="0"/>
        <w:keepLines w:val="0"/>
        <w:widowControl w:val="0"/>
        <w:shd w:val="clear" w:color="auto" w:fill="auto"/>
        <w:bidi w:val="0"/>
        <w:spacing w:before="0" w:after="0" w:line="410" w:lineRule="exact"/>
        <w:ind w:left="0" w:right="0" w:firstLine="440"/>
        <w:jc w:val="both"/>
      </w:pPr>
      <w:bookmarkStart w:id="927" w:name="bookmark927"/>
      <w:r>
        <w:rPr>
          <w:rFonts w:ascii="Times New Roman" w:eastAsia="Times New Roman" w:hAnsi="Times New Roman" w:cs="Times New Roman"/>
          <w:color w:val="000000"/>
          <w:spacing w:val="0"/>
          <w:w w:val="100"/>
          <w:position w:val="0"/>
        </w:rPr>
        <w:t>2</w:t>
      </w:r>
      <w:bookmarkEnd w:id="927"/>
      <w:r>
        <w:rPr>
          <w:color w:val="000000"/>
          <w:spacing w:val="0"/>
          <w:w w:val="100"/>
          <w:position w:val="0"/>
        </w:rPr>
        <w:t>）对于购入或源生的未发生信用减值、但在后续期间成为已发生信用减值的金融资产，公司在后续 期间，按照该金融资产的摊余成本和实际利率计算确定其利息收入。若该金融工具在后续期间因其信用风 险有所改善而不再存在信用减值，公司转按实际利率乘以该金融资产账面余额来计算确定利息收入。</w:t>
      </w:r>
    </w:p>
    <w:p>
      <w:pPr>
        <w:pStyle w:val="Style38"/>
        <w:keepNext w:val="0"/>
        <w:keepLines w:val="0"/>
        <w:widowControl w:val="0"/>
        <w:shd w:val="clear" w:color="auto" w:fill="auto"/>
        <w:tabs>
          <w:tab w:pos="897" w:val="left"/>
        </w:tabs>
        <w:bidi w:val="0"/>
        <w:spacing w:before="0" w:after="0" w:line="401" w:lineRule="exact"/>
        <w:ind w:left="0" w:right="0" w:firstLine="44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的支付，且管理该金融资产的业务模式既以收取合同现金流量为目标又以出售该金融资产为目标，则公司 将该金融资产分类为以公允价值计量且其变动计入其他综合收益的金融资产。</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公司对此类金融资产采用实际利率法确认利息收入。除利息收入、减值损失及汇兑差额确认为当期损 益外，其余公允价值变动计入其他综合收益。当该金融资产终止确认时，之前计入其他综合收益的累计利 得或损失从其他综合收益中转出，计入当期损益。</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38"/>
        <w:keepNext w:val="0"/>
        <w:keepLines w:val="0"/>
        <w:widowControl w:val="0"/>
        <w:shd w:val="clear" w:color="auto" w:fill="auto"/>
        <w:tabs>
          <w:tab w:pos="897" w:val="left"/>
        </w:tabs>
        <w:bidi w:val="0"/>
        <w:spacing w:before="0" w:after="0" w:line="401" w:lineRule="exact"/>
        <w:ind w:left="0" w:right="0" w:firstLine="44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在初始确认时，公司可以单项金融资产为基础不可撤销地将非交易性权益工具投资指定为以公允价值 计量且其变动计入其他综合收益的金融资产。</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计入其他综合收益的累计利得或损失从其他综合收益中转出，计入留存收益。公司持有该权益工具投资期 间，在公司收取股利的权利已经确立，与股利相关的经济利益很可能流入公司，且股利的金额能够可靠计 量时，确认股利收入并计入当期损益。公司对此类金融资产在其他权益工具投资项目下列报。</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38"/>
        <w:keepNext w:val="0"/>
        <w:keepLines w:val="0"/>
        <w:widowControl w:val="0"/>
        <w:shd w:val="clear" w:color="auto" w:fill="auto"/>
        <w:tabs>
          <w:tab w:pos="897" w:val="left"/>
        </w:tabs>
        <w:bidi w:val="0"/>
        <w:spacing w:before="0" w:after="0" w:line="401" w:lineRule="exact"/>
        <w:ind w:left="0" w:right="0" w:firstLine="44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公司对此类金融资产采用公允价值进行后续计量，将公允价值变动形成的利得或损失以及与此类金融 资产相关的股利和利息收入计入当期损益。</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公司对此类金融资产根据其流动性在交易性金融资产、其他非流动金融资产项目列报。</w:t>
      </w:r>
    </w:p>
    <w:p>
      <w:pPr>
        <w:pStyle w:val="Style38"/>
        <w:keepNext w:val="0"/>
        <w:keepLines w:val="0"/>
        <w:widowControl w:val="0"/>
        <w:shd w:val="clear" w:color="auto" w:fill="auto"/>
        <w:tabs>
          <w:tab w:pos="897" w:val="left"/>
        </w:tabs>
        <w:bidi w:val="0"/>
        <w:spacing w:before="0" w:after="0" w:line="401" w:lineRule="exact"/>
        <w:ind w:left="0" w:right="0" w:firstLine="44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在初始确认时，公司为了消除或显著减少会计错配，可以单项金融资产为基础不可撤销地将金融资产 指定为以公允价值计量且其变动计入当期损益的金融资产。</w:t>
      </w:r>
    </w:p>
    <w:p>
      <w:pPr>
        <w:pStyle w:val="Style38"/>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混合合同包含一项或多项嵌入衍生工具，且其主合同不属于以上金融资产的，公司可以将其整体指定 为以公允价值计量且其变动计入当期损益的金融工具。但下列情况除外：</w:t>
      </w:r>
    </w:p>
    <w:p>
      <w:pPr>
        <w:pStyle w:val="Style38"/>
        <w:keepNext w:val="0"/>
        <w:keepLines w:val="0"/>
        <w:widowControl w:val="0"/>
        <w:shd w:val="clear" w:color="auto" w:fill="auto"/>
        <w:tabs>
          <w:tab w:pos="797" w:val="left"/>
        </w:tabs>
        <w:bidi w:val="0"/>
        <w:spacing w:before="0" w:after="0" w:line="420" w:lineRule="auto"/>
        <w:ind w:left="0" w:right="0" w:firstLine="440"/>
        <w:jc w:val="left"/>
      </w:pPr>
      <w:bookmarkStart w:id="932" w:name="bookmark932"/>
      <w:r>
        <w:rPr>
          <w:rFonts w:ascii="Times New Roman" w:eastAsia="Times New Roman" w:hAnsi="Times New Roman" w:cs="Times New Roman"/>
          <w:color w:val="000000"/>
          <w:spacing w:val="0"/>
          <w:w w:val="100"/>
          <w:position w:val="0"/>
        </w:rPr>
        <w:t>1</w:t>
      </w:r>
      <w:bookmarkEnd w:id="932"/>
      <w:r>
        <w:rPr>
          <w:color w:val="000000"/>
          <w:spacing w:val="0"/>
          <w:w w:val="100"/>
          <w:position w:val="0"/>
        </w:rPr>
        <w:t>）</w:t>
        <w:tab/>
        <w:t>嵌入衍生工具不会对混合合同的现金流量产生重大改变。</w:t>
      </w:r>
    </w:p>
    <w:p>
      <w:pPr>
        <w:pStyle w:val="Style38"/>
        <w:keepNext w:val="0"/>
        <w:keepLines w:val="0"/>
        <w:widowControl w:val="0"/>
        <w:shd w:val="clear" w:color="auto" w:fill="auto"/>
        <w:tabs>
          <w:tab w:pos="794" w:val="left"/>
        </w:tabs>
        <w:bidi w:val="0"/>
        <w:spacing w:before="0" w:after="0" w:line="403" w:lineRule="exact"/>
        <w:ind w:left="0" w:right="0" w:firstLine="440"/>
        <w:jc w:val="both"/>
      </w:pPr>
      <w:bookmarkStart w:id="933" w:name="bookmark933"/>
      <w:r>
        <w:rPr>
          <w:rFonts w:ascii="Times New Roman" w:eastAsia="Times New Roman" w:hAnsi="Times New Roman" w:cs="Times New Roman"/>
          <w:color w:val="000000"/>
          <w:spacing w:val="0"/>
          <w:w w:val="100"/>
          <w:position w:val="0"/>
        </w:rPr>
        <w:t>2</w:t>
      </w:r>
      <w:bookmarkEnd w:id="933"/>
      <w:r>
        <w:rPr>
          <w:color w:val="000000"/>
          <w:spacing w:val="0"/>
          <w:w w:val="100"/>
          <w:position w:val="0"/>
        </w:rPr>
        <w:t>）</w:t>
        <w:tab/>
        <w:t>在初次确定类似的混合合同是否需要分拆时，几乎不需分析就能明确其包含的嵌入衍生工具不应 分拆。如嵌入贷款的提前还款权，允许持有人以接近摊余成本的金额提前偿还贷款，该提前还款权不需要 分拆。</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公司对此类金融资产采用公允价值进行后续计量，将公允价值变动形成的利得或损失以及与此类金融 资产相关的股利和利息收入计入当期损益。</w:t>
      </w:r>
    </w:p>
    <w:p>
      <w:pPr>
        <w:pStyle w:val="Style38"/>
        <w:keepNext w:val="0"/>
        <w:keepLines w:val="0"/>
        <w:widowControl w:val="0"/>
        <w:shd w:val="clear" w:color="auto" w:fill="auto"/>
        <w:bidi w:val="0"/>
        <w:spacing w:before="0" w:after="160" w:line="403" w:lineRule="exact"/>
        <w:ind w:left="0" w:right="0" w:firstLine="440"/>
        <w:jc w:val="left"/>
      </w:pPr>
      <w:r>
        <w:rPr>
          <w:color w:val="000000"/>
          <w:spacing w:val="0"/>
          <w:w w:val="100"/>
          <w:position w:val="0"/>
        </w:rPr>
        <w:t>公司对此类金融资产根据其流动性在交易性金融资产、其他非流动金融资产项目列报。</w:t>
      </w:r>
    </w:p>
    <w:p>
      <w:pPr>
        <w:pStyle w:val="Style38"/>
        <w:keepNext w:val="0"/>
        <w:keepLines w:val="0"/>
        <w:widowControl w:val="0"/>
        <w:numPr>
          <w:ilvl w:val="0"/>
          <w:numId w:val="39"/>
        </w:numPr>
        <w:shd w:val="clear" w:color="auto" w:fill="auto"/>
        <w:bidi w:val="0"/>
        <w:spacing w:before="0" w:after="0" w:line="420" w:lineRule="auto"/>
        <w:ind w:left="0" w:right="0" w:firstLine="440"/>
        <w:jc w:val="both"/>
      </w:pPr>
      <w:bookmarkStart w:id="934" w:name="bookmark934"/>
      <w:bookmarkEnd w:id="934"/>
      <w:r>
        <w:rPr>
          <w:b/>
          <w:bCs/>
          <w:color w:val="000000"/>
          <w:spacing w:val="0"/>
          <w:w w:val="100"/>
          <w:position w:val="0"/>
        </w:rPr>
        <w:t>金融负债分类和计量</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公司根据所发行金融工具的合同条款及其所反映的经济实质而非仅以法律形式，结合金融负债和权益 工具的定义，在初始确认时将该金融工具或其组成部分分类为金融负债或权益工具。金融负债在初始确认 时分类为：以公允价值计量且其变动计入当期损益的金融负债、其他金融负债、被指定为有效套期工具的 衍生工具。</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金融负债的后续计量取决于其分类：</w:t>
      </w:r>
    </w:p>
    <w:p>
      <w:pPr>
        <w:pStyle w:val="Style38"/>
        <w:keepNext w:val="0"/>
        <w:keepLines w:val="0"/>
        <w:widowControl w:val="0"/>
        <w:shd w:val="clear" w:color="auto" w:fill="auto"/>
        <w:bidi w:val="0"/>
        <w:spacing w:before="0" w:after="0" w:line="403" w:lineRule="exact"/>
        <w:ind w:left="0" w:right="0" w:firstLine="440"/>
        <w:jc w:val="left"/>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38"/>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在初始确认时，为了提供更相关的会计信息，公司将满足下列条件之一的金融负债不可撤销地指定为 以公允价值计量且其变动计入当期损益的金融负债：</w:t>
      </w:r>
    </w:p>
    <w:p>
      <w:pPr>
        <w:pStyle w:val="Style38"/>
        <w:keepNext w:val="0"/>
        <w:keepLines w:val="0"/>
        <w:widowControl w:val="0"/>
        <w:shd w:val="clear" w:color="auto" w:fill="auto"/>
        <w:bidi w:val="0"/>
        <w:spacing w:before="0" w:after="0" w:line="420" w:lineRule="auto"/>
        <w:ind w:left="0" w:right="0" w:firstLine="440"/>
        <w:jc w:val="both"/>
      </w:pPr>
      <w:bookmarkStart w:id="936" w:name="bookmark936"/>
      <w:r>
        <w:rPr>
          <w:rFonts w:ascii="Times New Roman" w:eastAsia="Times New Roman" w:hAnsi="Times New Roman" w:cs="Times New Roman"/>
          <w:color w:val="000000"/>
          <w:spacing w:val="0"/>
          <w:w w:val="100"/>
          <w:position w:val="0"/>
        </w:rPr>
        <w:t>1</w:t>
      </w:r>
      <w:bookmarkEnd w:id="936"/>
      <w:r>
        <w:rPr>
          <w:color w:val="000000"/>
          <w:spacing w:val="0"/>
          <w:w w:val="100"/>
          <w:position w:val="0"/>
        </w:rPr>
        <w:t>）能够消除或显著减少会计错配。</w:t>
      </w:r>
    </w:p>
    <w:p>
      <w:pPr>
        <w:pStyle w:val="Style38"/>
        <w:keepNext w:val="0"/>
        <w:keepLines w:val="0"/>
        <w:widowControl w:val="0"/>
        <w:shd w:val="clear" w:color="auto" w:fill="auto"/>
        <w:bidi w:val="0"/>
        <w:spacing w:before="0" w:after="0" w:line="406" w:lineRule="exact"/>
        <w:ind w:left="0" w:right="0" w:firstLine="860"/>
        <w:jc w:val="both"/>
      </w:pPr>
      <w:bookmarkStart w:id="937" w:name="bookmark937"/>
      <w:r>
        <w:rPr>
          <w:rFonts w:ascii="Times New Roman" w:eastAsia="Times New Roman" w:hAnsi="Times New Roman" w:cs="Times New Roman"/>
          <w:color w:val="000000"/>
          <w:spacing w:val="0"/>
          <w:w w:val="100"/>
          <w:position w:val="0"/>
        </w:rPr>
        <w:t>2</w:t>
      </w:r>
      <w:bookmarkEnd w:id="937"/>
      <w:r>
        <w:rPr>
          <w:color w:val="000000"/>
          <w:spacing w:val="0"/>
          <w:w w:val="100"/>
          <w:position w:val="0"/>
        </w:rPr>
        <w:t>）根据正式书面文件载明的企业风险管理或投资策略，以公允价值为基础对金融负债组合或金 融资产和金融负债组合进行管理和业绩评价，并在企业内部以此为基础向关键管理人员报告。</w:t>
      </w:r>
    </w:p>
    <w:p>
      <w:pPr>
        <w:pStyle w:val="Style38"/>
        <w:keepNext w:val="0"/>
        <w:keepLines w:val="0"/>
        <w:widowControl w:val="0"/>
        <w:shd w:val="clear" w:color="auto" w:fill="auto"/>
        <w:bidi w:val="0"/>
        <w:spacing w:before="0" w:after="160" w:line="406" w:lineRule="exact"/>
        <w:ind w:left="0" w:right="0" w:firstLine="440"/>
        <w:jc w:val="both"/>
      </w:pPr>
      <w:r>
        <w:rPr>
          <w:color w:val="000000"/>
          <w:spacing w:val="0"/>
          <w:w w:val="100"/>
          <w:position w:val="0"/>
        </w:rPr>
        <w:t>公司对此类金融负债采用公允价值进行后续计量，除由公司自身信用风险变动引起的公允价值变动计 入其他综合收益之外，其他公允价值变动计入当期损益。除非由公司自身信用风险变动引起的公允价值变 动计入其他综合收益会造成或扩大损益中的会计错配，公司将所有公允价值变动（包括自身信用风险变动 的影响金额）计入当期损益。</w:t>
      </w:r>
    </w:p>
    <w:p>
      <w:pPr>
        <w:pStyle w:val="Style38"/>
        <w:keepNext w:val="0"/>
        <w:keepLines w:val="0"/>
        <w:widowControl w:val="0"/>
        <w:shd w:val="clear" w:color="auto" w:fill="auto"/>
        <w:bidi w:val="0"/>
        <w:spacing w:before="0" w:after="0" w:line="401" w:lineRule="exact"/>
        <w:ind w:left="0" w:right="0" w:firstLine="44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38"/>
        <w:keepNext w:val="0"/>
        <w:keepLines w:val="0"/>
        <w:widowControl w:val="0"/>
        <w:shd w:val="clear" w:color="auto" w:fill="auto"/>
        <w:tabs>
          <w:tab w:pos="813" w:val="left"/>
        </w:tabs>
        <w:bidi w:val="0"/>
        <w:spacing w:before="0" w:after="0" w:line="401" w:lineRule="exact"/>
        <w:ind w:left="0" w:right="0" w:firstLine="440"/>
        <w:jc w:val="both"/>
      </w:pPr>
      <w:bookmarkStart w:id="939" w:name="bookmark939"/>
      <w:r>
        <w:rPr>
          <w:rFonts w:ascii="Times New Roman" w:eastAsia="Times New Roman" w:hAnsi="Times New Roman" w:cs="Times New Roman"/>
          <w:color w:val="000000"/>
          <w:spacing w:val="0"/>
          <w:w w:val="100"/>
          <w:position w:val="0"/>
        </w:rPr>
        <w:t>1</w:t>
      </w:r>
      <w:bookmarkEnd w:id="939"/>
      <w:r>
        <w:rPr>
          <w:color w:val="000000"/>
          <w:spacing w:val="0"/>
          <w:w w:val="100"/>
          <w:position w:val="0"/>
        </w:rPr>
        <w:t>）</w:t>
        <w:tab/>
        <w:t>以公允价值计量且其变动计入当期损益的金融负债。</w:t>
      </w:r>
    </w:p>
    <w:p>
      <w:pPr>
        <w:pStyle w:val="Style38"/>
        <w:keepNext w:val="0"/>
        <w:keepLines w:val="0"/>
        <w:widowControl w:val="0"/>
        <w:shd w:val="clear" w:color="auto" w:fill="auto"/>
        <w:tabs>
          <w:tab w:pos="832" w:val="left"/>
        </w:tabs>
        <w:bidi w:val="0"/>
        <w:spacing w:before="0" w:after="0" w:line="401" w:lineRule="exact"/>
        <w:ind w:left="0" w:right="0" w:firstLine="440"/>
        <w:jc w:val="both"/>
      </w:pPr>
      <w:bookmarkStart w:id="940" w:name="bookmark940"/>
      <w:r>
        <w:rPr>
          <w:rFonts w:ascii="Times New Roman" w:eastAsia="Times New Roman" w:hAnsi="Times New Roman" w:cs="Times New Roman"/>
          <w:color w:val="000000"/>
          <w:spacing w:val="0"/>
          <w:w w:val="100"/>
          <w:position w:val="0"/>
        </w:rPr>
        <w:t>2</w:t>
      </w:r>
      <w:bookmarkEnd w:id="940"/>
      <w:r>
        <w:rPr>
          <w:color w:val="000000"/>
          <w:spacing w:val="0"/>
          <w:w w:val="100"/>
          <w:position w:val="0"/>
        </w:rPr>
        <w:t>）</w:t>
        <w:tab/>
        <w:t>金融资产转移不符合终止确认条件或继续涉入被转移金融资产所形成的金融负债。</w:t>
      </w:r>
    </w:p>
    <w:p>
      <w:pPr>
        <w:pStyle w:val="Style38"/>
        <w:keepNext w:val="0"/>
        <w:keepLines w:val="0"/>
        <w:widowControl w:val="0"/>
        <w:shd w:val="clear" w:color="auto" w:fill="auto"/>
        <w:bidi w:val="0"/>
        <w:spacing w:before="0" w:after="0" w:line="401" w:lineRule="exact"/>
        <w:ind w:left="0" w:right="0" w:firstLine="440"/>
        <w:jc w:val="both"/>
      </w:pPr>
      <w:bookmarkStart w:id="941" w:name="bookmark941"/>
      <w:r>
        <w:rPr>
          <w:rFonts w:ascii="Times New Roman" w:eastAsia="Times New Roman" w:hAnsi="Times New Roman" w:cs="Times New Roman"/>
          <w:color w:val="000000"/>
          <w:spacing w:val="0"/>
          <w:w w:val="100"/>
          <w:position w:val="0"/>
        </w:rPr>
        <w:t>3</w:t>
      </w:r>
      <w:bookmarkEnd w:id="941"/>
      <w:r>
        <w:rPr>
          <w:color w:val="000000"/>
          <w:spacing w:val="0"/>
          <w:w w:val="100"/>
          <w:position w:val="0"/>
        </w:rPr>
        <w:t>） 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 款承诺。</w:t>
      </w:r>
    </w:p>
    <w:p>
      <w:pPr>
        <w:pStyle w:val="Style38"/>
        <w:keepNext w:val="0"/>
        <w:keepLines w:val="0"/>
        <w:widowControl w:val="0"/>
        <w:shd w:val="clear" w:color="auto" w:fill="auto"/>
        <w:bidi w:val="0"/>
        <w:spacing w:before="0" w:after="160" w:line="401" w:lineRule="exact"/>
        <w:ind w:left="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38"/>
        <w:keepNext w:val="0"/>
        <w:keepLines w:val="0"/>
        <w:widowControl w:val="0"/>
        <w:numPr>
          <w:ilvl w:val="0"/>
          <w:numId w:val="39"/>
        </w:numPr>
        <w:shd w:val="clear" w:color="auto" w:fill="auto"/>
        <w:tabs>
          <w:tab w:pos="784" w:val="left"/>
        </w:tabs>
        <w:bidi w:val="0"/>
        <w:spacing w:before="0" w:after="0" w:line="418" w:lineRule="auto"/>
        <w:ind w:left="0" w:right="0" w:firstLine="440"/>
        <w:jc w:val="both"/>
      </w:pPr>
      <w:bookmarkStart w:id="942" w:name="bookmark942"/>
      <w:bookmarkEnd w:id="942"/>
      <w:r>
        <w:rPr>
          <w:b/>
          <w:bCs/>
          <w:color w:val="000000"/>
          <w:spacing w:val="0"/>
          <w:w w:val="100"/>
          <w:position w:val="0"/>
        </w:rPr>
        <w:t>金融资产和金融负债的终止确认</w:t>
      </w:r>
    </w:p>
    <w:p>
      <w:pPr>
        <w:pStyle w:val="Style38"/>
        <w:keepNext w:val="0"/>
        <w:keepLines w:val="0"/>
        <w:widowControl w:val="0"/>
        <w:shd w:val="clear" w:color="auto" w:fill="auto"/>
        <w:tabs>
          <w:tab w:pos="928" w:val="left"/>
        </w:tabs>
        <w:bidi w:val="0"/>
        <w:spacing w:before="0" w:after="0" w:line="401" w:lineRule="exact"/>
        <w:ind w:left="0" w:right="0" w:firstLine="44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38"/>
        <w:keepNext w:val="0"/>
        <w:keepLines w:val="0"/>
        <w:widowControl w:val="0"/>
        <w:shd w:val="clear" w:color="auto" w:fill="auto"/>
        <w:bidi w:val="0"/>
        <w:spacing w:before="0" w:after="0" w:line="401" w:lineRule="exact"/>
        <w:ind w:left="0" w:right="0" w:firstLine="440"/>
        <w:jc w:val="left"/>
      </w:pPr>
      <w:bookmarkStart w:id="944" w:name="bookmark944"/>
      <w:r>
        <w:rPr>
          <w:rFonts w:ascii="Times New Roman" w:eastAsia="Times New Roman" w:hAnsi="Times New Roman" w:cs="Times New Roman"/>
          <w:color w:val="000000"/>
          <w:spacing w:val="0"/>
          <w:w w:val="100"/>
          <w:position w:val="0"/>
        </w:rPr>
        <w:t>1</w:t>
      </w:r>
      <w:bookmarkEnd w:id="944"/>
      <w:r>
        <w:rPr>
          <w:color w:val="000000"/>
          <w:spacing w:val="0"/>
          <w:w w:val="100"/>
          <w:position w:val="0"/>
        </w:rPr>
        <w:t>）收取该金融资产现金流量的合同权利终止。</w:t>
      </w:r>
    </w:p>
    <w:p>
      <w:pPr>
        <w:pStyle w:val="Style38"/>
        <w:keepNext w:val="0"/>
        <w:keepLines w:val="0"/>
        <w:widowControl w:val="0"/>
        <w:shd w:val="clear" w:color="auto" w:fill="auto"/>
        <w:bidi w:val="0"/>
        <w:spacing w:before="0" w:after="0" w:line="401" w:lineRule="exact"/>
        <w:ind w:left="0" w:right="0" w:firstLine="860"/>
        <w:jc w:val="both"/>
      </w:pPr>
      <w:bookmarkStart w:id="945" w:name="bookmark945"/>
      <w:r>
        <w:rPr>
          <w:rFonts w:ascii="Times New Roman" w:eastAsia="Times New Roman" w:hAnsi="Times New Roman" w:cs="Times New Roman"/>
          <w:color w:val="000000"/>
          <w:spacing w:val="0"/>
          <w:w w:val="100"/>
          <w:position w:val="0"/>
        </w:rPr>
        <w:t>2</w:t>
      </w:r>
      <w:bookmarkEnd w:id="945"/>
      <w:r>
        <w:rPr>
          <w:color w:val="000000"/>
          <w:spacing w:val="0"/>
          <w:w w:val="100"/>
          <w:position w:val="0"/>
        </w:rPr>
        <w:t>）该金融资产已转移，且该转移满足金融资产终止确认的规定。</w:t>
      </w:r>
    </w:p>
    <w:p>
      <w:pPr>
        <w:pStyle w:val="Style38"/>
        <w:keepNext w:val="0"/>
        <w:keepLines w:val="0"/>
        <w:widowControl w:val="0"/>
        <w:shd w:val="clear" w:color="auto" w:fill="auto"/>
        <w:tabs>
          <w:tab w:pos="928" w:val="left"/>
        </w:tabs>
        <w:bidi w:val="0"/>
        <w:spacing w:before="0" w:after="0" w:line="401" w:lineRule="exact"/>
        <w:ind w:left="0" w:right="0" w:firstLine="44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金融负债（或其一部分）的现时义务已经解除的，则终止确认该金融负债（或该部分金融负债）。</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公司与借出方之间签订协议，以承担新金融负债方式替换原金融负债，且新金融负债与原金融负债的 合同条款实质上不同的，或对原金融负债（或其一部分）的合同条款做出实质性修改的，则终止确认原金 融负债，同时确认一项新金融负债，账面价值与支付的对价（包括转出的非现金资产或承担的负债）之间 的差额，计入当期损益。</w:t>
      </w:r>
    </w:p>
    <w:p>
      <w:pPr>
        <w:pStyle w:val="Style38"/>
        <w:keepNext w:val="0"/>
        <w:keepLines w:val="0"/>
        <w:widowControl w:val="0"/>
        <w:shd w:val="clear" w:color="auto" w:fill="auto"/>
        <w:bidi w:val="0"/>
        <w:spacing w:before="0" w:after="160" w:line="401" w:lineRule="exact"/>
        <w:ind w:left="0" w:right="0" w:firstLine="440"/>
        <w:jc w:val="both"/>
      </w:pPr>
      <w:r>
        <w:rPr>
          <w:color w:val="000000"/>
          <w:spacing w:val="0"/>
          <w:w w:val="100"/>
          <w:position w:val="0"/>
        </w:rPr>
        <w:t>公司回购金融负债一部分的，按照继续确认部分和终止确认部分在回购日各自的公允价值占整体公允 价值的比例，对该金融负债整体的账面价值进行分配。分配给终止确认部分的账面价值与支付的对价（包 括转出的非现金资产或承担的负债）之间的差额，应当计入当期损益。</w:t>
      </w:r>
    </w:p>
    <w:p>
      <w:pPr>
        <w:pStyle w:val="Style38"/>
        <w:keepNext w:val="0"/>
        <w:keepLines w:val="0"/>
        <w:widowControl w:val="0"/>
        <w:numPr>
          <w:ilvl w:val="0"/>
          <w:numId w:val="39"/>
        </w:numPr>
        <w:shd w:val="clear" w:color="auto" w:fill="auto"/>
        <w:tabs>
          <w:tab w:pos="784" w:val="left"/>
        </w:tabs>
        <w:bidi w:val="0"/>
        <w:spacing w:before="0" w:after="0" w:line="418" w:lineRule="auto"/>
        <w:ind w:left="0" w:right="0" w:firstLine="440"/>
        <w:jc w:val="both"/>
      </w:pPr>
      <w:bookmarkStart w:id="947" w:name="bookmark947"/>
      <w:bookmarkEnd w:id="947"/>
      <w:r>
        <w:rPr>
          <w:b/>
          <w:bCs/>
          <w:color w:val="000000"/>
          <w:spacing w:val="0"/>
          <w:w w:val="100"/>
          <w:position w:val="0"/>
        </w:rPr>
        <w:t>金融资产转移的确认依据和计量方法</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公司在发生金融资产转移时，评估其保留金融资产所有权上的风险和报酬的程度，并分别下列情形处 理：</w:t>
      </w:r>
    </w:p>
    <w:p>
      <w:pPr>
        <w:pStyle w:val="Style38"/>
        <w:keepNext w:val="0"/>
        <w:keepLines w:val="0"/>
        <w:widowControl w:val="0"/>
        <w:shd w:val="clear" w:color="auto" w:fill="auto"/>
        <w:tabs>
          <w:tab w:pos="1021" w:val="left"/>
        </w:tabs>
        <w:bidi w:val="0"/>
        <w:spacing w:before="0" w:after="0" w:line="401" w:lineRule="exact"/>
        <w:ind w:left="0" w:right="0" w:firstLine="4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w:t>
        <w:tab/>
        <w:t>转移了金融资产所有权上几乎所有风险和报酬的，则终止确认该金融资产，并将转移中产生或 保留的权利和义务单独确认为资产或负债。</w:t>
      </w:r>
    </w:p>
    <w:p>
      <w:pPr>
        <w:pStyle w:val="Style38"/>
        <w:keepNext w:val="0"/>
        <w:keepLines w:val="0"/>
        <w:widowControl w:val="0"/>
        <w:shd w:val="clear" w:color="auto" w:fill="auto"/>
        <w:tabs>
          <w:tab w:pos="928" w:val="left"/>
        </w:tabs>
        <w:bidi w:val="0"/>
        <w:spacing w:before="0" w:after="0" w:line="401" w:lineRule="exact"/>
        <w:ind w:left="0" w:right="0" w:firstLine="44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38"/>
        <w:keepNext w:val="0"/>
        <w:keepLines w:val="0"/>
        <w:widowControl w:val="0"/>
        <w:shd w:val="clear" w:color="auto" w:fill="auto"/>
        <w:tabs>
          <w:tab w:pos="1006" w:val="left"/>
        </w:tabs>
        <w:bidi w:val="0"/>
        <w:spacing w:before="0" w:after="0" w:line="401" w:lineRule="exact"/>
        <w:ind w:left="0" w:right="0" w:firstLine="44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 的其他情形），则根据其是否保留了对金融资产的控制，分别下列情形处理：</w:t>
      </w:r>
    </w:p>
    <w:p>
      <w:pPr>
        <w:pStyle w:val="Style38"/>
        <w:keepNext w:val="0"/>
        <w:keepLines w:val="0"/>
        <w:widowControl w:val="0"/>
        <w:shd w:val="clear" w:color="auto" w:fill="auto"/>
        <w:bidi w:val="0"/>
        <w:spacing w:before="0" w:after="0" w:line="401"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）未保留对该金融资产控制的，则终止确认该金融资产，并将转移中产生或保留的权利和义务单独 确认为资产或负债。</w:t>
      </w:r>
    </w:p>
    <w:p>
      <w:pPr>
        <w:pStyle w:val="Style38"/>
        <w:keepNext w:val="0"/>
        <w:keepLines w:val="0"/>
        <w:widowControl w:val="0"/>
        <w:shd w:val="clear" w:color="auto" w:fill="auto"/>
        <w:bidi w:val="0"/>
        <w:spacing w:before="0" w:after="0" w:line="405" w:lineRule="exact"/>
        <w:ind w:left="0" w:right="0" w:firstLine="440"/>
        <w:jc w:val="both"/>
      </w:pPr>
      <w:bookmarkStart w:id="951" w:name="bookmark951"/>
      <w:r>
        <w:rPr>
          <w:rFonts w:ascii="Times New Roman" w:eastAsia="Times New Roman" w:hAnsi="Times New Roman" w:cs="Times New Roman"/>
          <w:color w:val="000000"/>
          <w:spacing w:val="0"/>
          <w:w w:val="100"/>
          <w:position w:val="0"/>
        </w:rPr>
        <w:t>2</w:t>
      </w:r>
      <w:bookmarkEnd w:id="951"/>
      <w:r>
        <w:rPr>
          <w:color w:val="000000"/>
          <w:spacing w:val="0"/>
          <w:w w:val="100"/>
          <w:position w:val="0"/>
        </w:rPr>
        <w:t>）保留了对该金融资产控制的，则按照其继续涉入被转移金融资产的程度继续确认有关金融资产， 并相应确认相关负债。继续涉入被转移金融资产的程度，是指公司承担的被转移金融资产价值变动风险或 报酬的程度。</w:t>
      </w:r>
    </w:p>
    <w:p>
      <w:pPr>
        <w:pStyle w:val="Style38"/>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38"/>
        <w:keepNext w:val="0"/>
        <w:keepLines w:val="0"/>
        <w:widowControl w:val="0"/>
        <w:shd w:val="clear" w:color="auto" w:fill="auto"/>
        <w:tabs>
          <w:tab w:pos="910" w:val="left"/>
        </w:tabs>
        <w:bidi w:val="0"/>
        <w:spacing w:before="0" w:after="0" w:line="405" w:lineRule="exact"/>
        <w:ind w:left="0" w:right="0" w:firstLine="44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38"/>
        <w:keepNext w:val="0"/>
        <w:keepLines w:val="0"/>
        <w:widowControl w:val="0"/>
        <w:shd w:val="clear" w:color="auto" w:fill="auto"/>
        <w:tabs>
          <w:tab w:pos="797" w:val="left"/>
        </w:tabs>
        <w:bidi w:val="0"/>
        <w:spacing w:before="0" w:after="0" w:line="405" w:lineRule="exact"/>
        <w:ind w:left="0" w:right="0" w:firstLine="440"/>
        <w:jc w:val="both"/>
      </w:pPr>
      <w:bookmarkStart w:id="953" w:name="bookmark953"/>
      <w:r>
        <w:rPr>
          <w:rFonts w:ascii="Times New Roman" w:eastAsia="Times New Roman" w:hAnsi="Times New Roman" w:cs="Times New Roman"/>
          <w:color w:val="000000"/>
          <w:spacing w:val="0"/>
          <w:w w:val="100"/>
          <w:position w:val="0"/>
        </w:rPr>
        <w:t>1</w:t>
      </w:r>
      <w:bookmarkEnd w:id="953"/>
      <w:r>
        <w:rPr>
          <w:color w:val="000000"/>
          <w:spacing w:val="0"/>
          <w:w w:val="100"/>
          <w:position w:val="0"/>
        </w:rPr>
        <w:t>）</w:t>
        <w:tab/>
        <w:t>被转移金融资产在终止确认日的账面价值。</w:t>
      </w:r>
    </w:p>
    <w:p>
      <w:pPr>
        <w:pStyle w:val="Style38"/>
        <w:keepNext w:val="0"/>
        <w:keepLines w:val="0"/>
        <w:widowControl w:val="0"/>
        <w:shd w:val="clear" w:color="auto" w:fill="auto"/>
        <w:tabs>
          <w:tab w:pos="797" w:val="left"/>
        </w:tabs>
        <w:bidi w:val="0"/>
        <w:spacing w:before="0" w:after="0" w:line="405" w:lineRule="exact"/>
        <w:ind w:left="0" w:right="0" w:firstLine="440"/>
        <w:jc w:val="both"/>
      </w:pPr>
      <w:bookmarkStart w:id="954" w:name="bookmark954"/>
      <w:r>
        <w:rPr>
          <w:rFonts w:ascii="Times New Roman" w:eastAsia="Times New Roman" w:hAnsi="Times New Roman" w:cs="Times New Roman"/>
          <w:color w:val="000000"/>
          <w:spacing w:val="0"/>
          <w:w w:val="100"/>
          <w:position w:val="0"/>
        </w:rPr>
        <w:t>2</w:t>
      </w:r>
      <w:bookmarkEnd w:id="954"/>
      <w:r>
        <w:rPr>
          <w:color w:val="000000"/>
          <w:spacing w:val="0"/>
          <w:w w:val="100"/>
          <w:position w:val="0"/>
        </w:rPr>
        <w:t>）</w:t>
        <w:tab/>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38"/>
        <w:keepNext w:val="0"/>
        <w:keepLines w:val="0"/>
        <w:widowControl w:val="0"/>
        <w:shd w:val="clear" w:color="auto" w:fill="auto"/>
        <w:tabs>
          <w:tab w:pos="1003" w:val="left"/>
        </w:tabs>
        <w:bidi w:val="0"/>
        <w:spacing w:before="0" w:after="0" w:line="405" w:lineRule="exact"/>
        <w:ind w:left="0" w:right="0" w:firstLine="44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金融资产部分转移且该被转移部分整体满足终止确认条件的，将转移前金融资产整体的账面价 值，在终止确认部分和继续确认部分（在此种情形下，所保留的服务资产应当视同继续确认金融资产的一 部分）之间，按照转移日各自的相对公允价值进行分摊，并将下列两项金额的差额计入当期损益：</w:t>
      </w:r>
    </w:p>
    <w:p>
      <w:pPr>
        <w:pStyle w:val="Style38"/>
        <w:keepNext w:val="0"/>
        <w:keepLines w:val="0"/>
        <w:widowControl w:val="0"/>
        <w:shd w:val="clear" w:color="auto" w:fill="auto"/>
        <w:tabs>
          <w:tab w:pos="797" w:val="left"/>
        </w:tabs>
        <w:bidi w:val="0"/>
        <w:spacing w:before="0" w:after="0" w:line="405" w:lineRule="exact"/>
        <w:ind w:left="0" w:right="0" w:firstLine="440"/>
        <w:jc w:val="both"/>
      </w:pPr>
      <w:bookmarkStart w:id="956" w:name="bookmark956"/>
      <w:r>
        <w:rPr>
          <w:rFonts w:ascii="Times New Roman" w:eastAsia="Times New Roman" w:hAnsi="Times New Roman" w:cs="Times New Roman"/>
          <w:color w:val="000000"/>
          <w:spacing w:val="0"/>
          <w:w w:val="100"/>
          <w:position w:val="0"/>
        </w:rPr>
        <w:t>1</w:t>
      </w:r>
      <w:bookmarkEnd w:id="956"/>
      <w:r>
        <w:rPr>
          <w:color w:val="000000"/>
          <w:spacing w:val="0"/>
          <w:w w:val="100"/>
          <w:position w:val="0"/>
        </w:rPr>
        <w:t>）</w:t>
        <w:tab/>
        <w:t>终止确认部分在终止确认日的账面价值。</w:t>
      </w:r>
    </w:p>
    <w:p>
      <w:pPr>
        <w:pStyle w:val="Style38"/>
        <w:keepNext w:val="0"/>
        <w:keepLines w:val="0"/>
        <w:widowControl w:val="0"/>
        <w:shd w:val="clear" w:color="auto" w:fill="auto"/>
        <w:tabs>
          <w:tab w:pos="797" w:val="left"/>
        </w:tabs>
        <w:bidi w:val="0"/>
        <w:spacing w:before="0" w:after="0" w:line="405" w:lineRule="exact"/>
        <w:ind w:left="0" w:right="0" w:firstLine="440"/>
        <w:jc w:val="both"/>
      </w:pPr>
      <w:bookmarkStart w:id="957" w:name="bookmark957"/>
      <w:r>
        <w:rPr>
          <w:rFonts w:ascii="Times New Roman" w:eastAsia="Times New Roman" w:hAnsi="Times New Roman" w:cs="Times New Roman"/>
          <w:color w:val="000000"/>
          <w:spacing w:val="0"/>
          <w:w w:val="100"/>
          <w:position w:val="0"/>
        </w:rPr>
        <w:t>2</w:t>
      </w:r>
      <w:bookmarkEnd w:id="957"/>
      <w:r>
        <w:rPr>
          <w:color w:val="000000"/>
          <w:spacing w:val="0"/>
          <w:w w:val="100"/>
          <w:position w:val="0"/>
        </w:rPr>
        <w:t>）</w:t>
        <w:tab/>
        <w:t>终止确认部分收到的对价，与原计入其他综合收益的公允价值变动累计额中对应终止确认部分的 金额（涉及转移的金融资产为以公允价值计量且其变动计入其他综合收益的金融资产）之和。</w:t>
      </w:r>
    </w:p>
    <w:p>
      <w:pPr>
        <w:pStyle w:val="Style38"/>
        <w:keepNext w:val="0"/>
        <w:keepLines w:val="0"/>
        <w:widowControl w:val="0"/>
        <w:shd w:val="clear" w:color="auto" w:fill="auto"/>
        <w:bidi w:val="0"/>
        <w:spacing w:before="0" w:after="160" w:line="405"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8"/>
        <w:keepNext w:val="0"/>
        <w:keepLines w:val="0"/>
        <w:widowControl w:val="0"/>
        <w:numPr>
          <w:ilvl w:val="0"/>
          <w:numId w:val="39"/>
        </w:numPr>
        <w:shd w:val="clear" w:color="auto" w:fill="auto"/>
        <w:tabs>
          <w:tab w:pos="766" w:val="left"/>
        </w:tabs>
        <w:bidi w:val="0"/>
        <w:spacing w:before="0" w:after="0" w:line="422" w:lineRule="auto"/>
        <w:ind w:left="0" w:right="0" w:firstLine="440"/>
        <w:jc w:val="both"/>
      </w:pPr>
      <w:bookmarkStart w:id="958" w:name="bookmark958"/>
      <w:bookmarkEnd w:id="958"/>
      <w:r>
        <w:rPr>
          <w:b/>
          <w:bCs/>
          <w:color w:val="000000"/>
          <w:spacing w:val="0"/>
          <w:w w:val="100"/>
          <w:position w:val="0"/>
        </w:rPr>
        <w:t>金融资产和金融负债公允价值的确定方法</w:t>
      </w:r>
    </w:p>
    <w:p>
      <w:pPr>
        <w:pStyle w:val="Style38"/>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38"/>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38"/>
        <w:keepNext w:val="0"/>
        <w:keepLines w:val="0"/>
        <w:widowControl w:val="0"/>
        <w:shd w:val="clear" w:color="auto" w:fill="auto"/>
        <w:bidi w:val="0"/>
        <w:spacing w:before="0" w:after="160" w:line="405" w:lineRule="exact"/>
        <w:ind w:left="0" w:right="0" w:firstLine="440"/>
        <w:jc w:val="both"/>
      </w:pPr>
      <w:r>
        <w:rPr>
          <w:color w:val="000000"/>
          <w:spacing w:val="0"/>
          <w:w w:val="100"/>
          <w:position w:val="0"/>
        </w:rPr>
        <w:t>不存在活跃市场的金融资产或金融负债，采用估值技术确定其公允价值。在估值时，公司采用在当前 情况下适用并且有足够可利用数据和其他信息支持的估值技术，选择与市场参与者在相关资产或负债的交 易中所考虑的资产或负债特征相一致的输入值，并尽可能优先使用相关可观察输入值。在相关可观察输入 值无法取得或取得不切实可行的情况下，使用不可观察输入值。</w:t>
      </w:r>
    </w:p>
    <w:p>
      <w:pPr>
        <w:pStyle w:val="Style38"/>
        <w:keepNext w:val="0"/>
        <w:keepLines w:val="0"/>
        <w:widowControl w:val="0"/>
        <w:numPr>
          <w:ilvl w:val="0"/>
          <w:numId w:val="39"/>
        </w:numPr>
        <w:shd w:val="clear" w:color="auto" w:fill="auto"/>
        <w:tabs>
          <w:tab w:pos="766" w:val="left"/>
        </w:tabs>
        <w:bidi w:val="0"/>
        <w:spacing w:before="0" w:after="0" w:line="422" w:lineRule="auto"/>
        <w:ind w:left="0" w:right="0" w:firstLine="440"/>
        <w:jc w:val="both"/>
      </w:pPr>
      <w:bookmarkStart w:id="959" w:name="bookmark959"/>
      <w:bookmarkEnd w:id="959"/>
      <w:r>
        <w:rPr>
          <w:b/>
          <w:bCs/>
          <w:color w:val="000000"/>
          <w:spacing w:val="0"/>
          <w:w w:val="100"/>
          <w:position w:val="0"/>
        </w:rPr>
        <w:t>金融工具减值</w:t>
      </w:r>
    </w:p>
    <w:p>
      <w:pPr>
        <w:pStyle w:val="Style38"/>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公司以预期信用损失为基础，对分类为以摊余成本计量的金融资产、分类为以公允价值计量且其变动 计入其他综合收益的金融资产以及财务担保合同，进行减值会计处理并确认损失准备。</w:t>
      </w:r>
    </w:p>
    <w:p>
      <w:pPr>
        <w:pStyle w:val="Style38"/>
        <w:keepNext w:val="0"/>
        <w:keepLines w:val="0"/>
        <w:widowControl w:val="0"/>
        <w:shd w:val="clear" w:color="auto" w:fill="auto"/>
        <w:bidi w:val="0"/>
        <w:spacing w:before="0" w:after="80" w:line="405" w:lineRule="exact"/>
        <w:ind w:left="0" w:right="0" w:firstLine="440"/>
        <w:jc w:val="both"/>
      </w:pPr>
      <w:r>
        <w:rPr>
          <w:color w:val="000000"/>
          <w:spacing w:val="0"/>
          <w:w w:val="100"/>
          <w:position w:val="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全部现金短缺的现值。其中，对于公司购买或源生的已发生信用减值的金融资产，应按照该金融资产经信 用调整的实际利率折现。</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对由收入准则规范的交易形成的应收款项，公司运用简化计量方法，按照相当于整个存续期内预期信 用损失的金额计量损失准备。</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除上述采用简化计量方法和购买或源生的已发生信用减值以外的其他金融资产，公司在每个资产负债 表日评估相关金融工具的信用风险自初始确认后是否已显著增加，并按照下列情形分别计量其损失准备、 确认预期信用损失及其变动：</w:t>
      </w:r>
    </w:p>
    <w:p>
      <w:pPr>
        <w:pStyle w:val="Style38"/>
        <w:keepNext w:val="0"/>
        <w:keepLines w:val="0"/>
        <w:widowControl w:val="0"/>
        <w:numPr>
          <w:ilvl w:val="0"/>
          <w:numId w:val="41"/>
        </w:numPr>
        <w:shd w:val="clear" w:color="auto" w:fill="auto"/>
        <w:tabs>
          <w:tab w:pos="986" w:val="left"/>
        </w:tabs>
        <w:bidi w:val="0"/>
        <w:spacing w:before="0" w:after="0" w:line="402" w:lineRule="exact"/>
        <w:ind w:left="0" w:right="0" w:firstLine="440"/>
        <w:jc w:val="both"/>
      </w:pPr>
      <w:bookmarkStart w:id="960" w:name="bookmark960"/>
      <w:bookmarkEnd w:id="960"/>
      <w:r>
        <w:rPr>
          <w:color w:val="000000"/>
          <w:spacing w:val="0"/>
          <w:w w:val="100"/>
          <w:position w:val="0"/>
        </w:rPr>
        <w:t>如果该金融工具的信用风险自初始确认后并未显著增加，处于第一阶段，则按照相当于该金融 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38"/>
        <w:keepNext w:val="0"/>
        <w:keepLines w:val="0"/>
        <w:widowControl w:val="0"/>
        <w:numPr>
          <w:ilvl w:val="0"/>
          <w:numId w:val="41"/>
        </w:numPr>
        <w:shd w:val="clear" w:color="auto" w:fill="auto"/>
        <w:tabs>
          <w:tab w:pos="991" w:val="left"/>
        </w:tabs>
        <w:bidi w:val="0"/>
        <w:spacing w:before="0" w:after="0" w:line="402" w:lineRule="exact"/>
        <w:ind w:left="0" w:right="0" w:firstLine="440"/>
        <w:jc w:val="both"/>
      </w:pPr>
      <w:bookmarkStart w:id="961" w:name="bookmark961"/>
      <w:bookmarkEnd w:id="961"/>
      <w:r>
        <w:rPr>
          <w:color w:val="000000"/>
          <w:spacing w:val="0"/>
          <w:w w:val="100"/>
          <w:position w:val="0"/>
        </w:rPr>
        <w:t>如果该金融工具的信用风险自初始确认后已显著增加但尚未发生信用减值的，处于第二阶段， 则按照相当于该金融工具整个存续期内预期信用损失的金额计量其损失准备，并按照账面余额和实际利率 计算利息收入。</w:t>
      </w:r>
    </w:p>
    <w:p>
      <w:pPr>
        <w:pStyle w:val="Style38"/>
        <w:keepNext w:val="0"/>
        <w:keepLines w:val="0"/>
        <w:widowControl w:val="0"/>
        <w:numPr>
          <w:ilvl w:val="0"/>
          <w:numId w:val="41"/>
        </w:numPr>
        <w:shd w:val="clear" w:color="auto" w:fill="auto"/>
        <w:tabs>
          <w:tab w:pos="986" w:val="left"/>
        </w:tabs>
        <w:bidi w:val="0"/>
        <w:spacing w:before="0" w:after="0" w:line="402" w:lineRule="exact"/>
        <w:ind w:left="0" w:right="0" w:firstLine="440"/>
        <w:jc w:val="both"/>
      </w:pPr>
      <w:bookmarkStart w:id="962" w:name="bookmark962"/>
      <w:bookmarkEnd w:id="962"/>
      <w:r>
        <w:rPr>
          <w:color w:val="000000"/>
          <w:spacing w:val="0"/>
          <w:w w:val="100"/>
          <w:position w:val="0"/>
        </w:rPr>
        <w:t>如果该金融工具自初始确认后已经发生信用减值的，处于第三阶段，公司按照相当于该金融工 具整个存续期内预期信用损失的金额计量其损失准备，并按照摊余成本和实际利率计算利息收入。</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允价值计量且其变动计入其他综合收益的金融资产，公司在其他综合收益中确认其信用损失准备，不减少 该金融资产在资产负债表中列示的账面价值。</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公司在前一会计期间已经按照相当于金融工具整个存续期内预期信用损失的金额计量了损失准备，但 在当期资产负债表日，该金融工具已不再属于自初始确认后信用风险显著增加的情形的，公司在当期资产 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个月内预期信用损失的金额计量该金融工具的损失准备，由此形成的损失准备 的转回金额作为减值利得计入当期损益。</w:t>
      </w:r>
    </w:p>
    <w:p>
      <w:pPr>
        <w:pStyle w:val="Style38"/>
        <w:keepNext w:val="0"/>
        <w:keepLines w:val="0"/>
        <w:widowControl w:val="0"/>
        <w:numPr>
          <w:ilvl w:val="0"/>
          <w:numId w:val="43"/>
        </w:numPr>
        <w:shd w:val="clear" w:color="auto" w:fill="auto"/>
        <w:bidi w:val="0"/>
        <w:spacing w:before="0" w:after="0" w:line="402" w:lineRule="exact"/>
        <w:ind w:left="0" w:right="0" w:firstLine="440"/>
        <w:jc w:val="both"/>
      </w:pPr>
      <w:bookmarkStart w:id="963" w:name="bookmark963"/>
      <w:bookmarkEnd w:id="963"/>
      <w:r>
        <w:rPr>
          <w:color w:val="000000"/>
          <w:spacing w:val="0"/>
          <w:w w:val="100"/>
          <w:position w:val="0"/>
        </w:rPr>
        <w:t>信用风险显著增加</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公司利用可获得的合理且有依据的前瞻性信息，通过比较金融工具在资产负债表日发生违约的风险与 在初始确认日发生违约的风险，以确定金融工具的信用风险自初始确认后是否已显著增加。对于财务担保 合同，公司在应用金融工具减值规定时，将公司成为做出不可撤销承诺的一方之日作为初始确认日。</w:t>
      </w:r>
    </w:p>
    <w:p>
      <w:pPr>
        <w:pStyle w:val="Style38"/>
        <w:keepNext w:val="0"/>
        <w:keepLines w:val="0"/>
        <w:widowControl w:val="0"/>
        <w:shd w:val="clear" w:color="auto" w:fill="auto"/>
        <w:bidi w:val="0"/>
        <w:spacing w:before="0" w:after="160" w:line="402" w:lineRule="exact"/>
        <w:ind w:left="0" w:right="0" w:firstLine="440"/>
        <w:jc w:val="both"/>
      </w:pPr>
      <w:r>
        <w:rPr>
          <w:color w:val="000000"/>
          <w:spacing w:val="0"/>
          <w:w w:val="100"/>
          <w:position w:val="0"/>
        </w:rPr>
        <w:t>公司在评估信用风险是否显著增加时会考虑如下因素：</w:t>
      </w:r>
    </w:p>
    <w:p>
      <w:pPr>
        <w:pStyle w:val="Style38"/>
        <w:keepNext w:val="0"/>
        <w:keepLines w:val="0"/>
        <w:widowControl w:val="0"/>
        <w:numPr>
          <w:ilvl w:val="0"/>
          <w:numId w:val="45"/>
        </w:numPr>
        <w:shd w:val="clear" w:color="auto" w:fill="auto"/>
        <w:tabs>
          <w:tab w:pos="783" w:val="left"/>
        </w:tabs>
        <w:bidi w:val="0"/>
        <w:spacing w:before="0" w:after="0" w:line="420" w:lineRule="auto"/>
        <w:ind w:left="0" w:right="0" w:firstLine="440"/>
        <w:jc w:val="both"/>
      </w:pPr>
      <w:bookmarkStart w:id="964" w:name="bookmark964"/>
      <w:bookmarkEnd w:id="964"/>
      <w:r>
        <w:rPr>
          <w:color w:val="000000"/>
          <w:spacing w:val="0"/>
          <w:w w:val="100"/>
          <w:position w:val="0"/>
        </w:rPr>
        <w:t>债务人经营成果实际或预期是否发生显著变化；</w:t>
      </w:r>
    </w:p>
    <w:p>
      <w:pPr>
        <w:pStyle w:val="Style38"/>
        <w:keepNext w:val="0"/>
        <w:keepLines w:val="0"/>
        <w:widowControl w:val="0"/>
        <w:numPr>
          <w:ilvl w:val="0"/>
          <w:numId w:val="45"/>
        </w:numPr>
        <w:shd w:val="clear" w:color="auto" w:fill="auto"/>
        <w:bidi w:val="0"/>
        <w:spacing w:before="0" w:after="0" w:line="420" w:lineRule="auto"/>
        <w:ind w:left="0" w:right="0" w:firstLine="440"/>
        <w:jc w:val="both"/>
      </w:pPr>
      <w:bookmarkStart w:id="965" w:name="bookmark965"/>
      <w:bookmarkEnd w:id="965"/>
      <w:r>
        <w:rPr>
          <w:color w:val="000000"/>
          <w:spacing w:val="0"/>
          <w:w w:val="100"/>
          <w:position w:val="0"/>
        </w:rPr>
        <w:t xml:space="preserve"> 债务人所处的监管、经济或技术环境是否发生显著不利变化；</w:t>
      </w:r>
    </w:p>
    <w:p>
      <w:pPr>
        <w:pStyle w:val="Style38"/>
        <w:keepNext w:val="0"/>
        <w:keepLines w:val="0"/>
        <w:widowControl w:val="0"/>
        <w:numPr>
          <w:ilvl w:val="0"/>
          <w:numId w:val="45"/>
        </w:numPr>
        <w:shd w:val="clear" w:color="auto" w:fill="auto"/>
        <w:tabs>
          <w:tab w:pos="775" w:val="left"/>
        </w:tabs>
        <w:bidi w:val="0"/>
        <w:spacing w:before="0" w:after="160" w:line="402" w:lineRule="exact"/>
        <w:ind w:left="0" w:right="0" w:firstLine="440"/>
        <w:jc w:val="both"/>
      </w:pPr>
      <w:bookmarkStart w:id="966" w:name="bookmark966"/>
      <w:bookmarkEnd w:id="966"/>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38"/>
        <w:keepNext w:val="0"/>
        <w:keepLines w:val="0"/>
        <w:widowControl w:val="0"/>
        <w:numPr>
          <w:ilvl w:val="0"/>
          <w:numId w:val="45"/>
        </w:numPr>
        <w:shd w:val="clear" w:color="auto" w:fill="auto"/>
        <w:tabs>
          <w:tab w:pos="802" w:val="left"/>
        </w:tabs>
        <w:bidi w:val="0"/>
        <w:spacing w:before="0" w:after="80" w:line="420" w:lineRule="auto"/>
        <w:ind w:left="0" w:right="0" w:firstLine="440"/>
        <w:jc w:val="both"/>
      </w:pPr>
      <w:bookmarkStart w:id="967" w:name="bookmark967"/>
      <w:bookmarkEnd w:id="967"/>
      <w:r>
        <w:rPr>
          <w:color w:val="000000"/>
          <w:spacing w:val="0"/>
          <w:w w:val="100"/>
          <w:position w:val="0"/>
        </w:rPr>
        <w:t>债务人预期表现和还款行为是否发生显著变化；</w:t>
      </w:r>
    </w:p>
    <w:p>
      <w:pPr>
        <w:pStyle w:val="Style38"/>
        <w:keepNext w:val="0"/>
        <w:keepLines w:val="0"/>
        <w:widowControl w:val="0"/>
        <w:shd w:val="clear" w:color="auto" w:fill="auto"/>
        <w:bidi w:val="0"/>
        <w:spacing w:before="0" w:after="0" w:line="404" w:lineRule="exact"/>
        <w:ind w:left="0" w:right="0" w:firstLine="440"/>
        <w:jc w:val="left"/>
      </w:pPr>
      <w:bookmarkStart w:id="968" w:name="bookmark968"/>
      <w:r>
        <w:rPr>
          <w:rFonts w:ascii="Times New Roman" w:eastAsia="Times New Roman" w:hAnsi="Times New Roman" w:cs="Times New Roman"/>
          <w:color w:val="000000"/>
          <w:spacing w:val="0"/>
          <w:w w:val="100"/>
          <w:position w:val="0"/>
        </w:rPr>
        <w:t>5</w:t>
      </w:r>
      <w:bookmarkEnd w:id="968"/>
      <w:r>
        <w:rPr>
          <w:color w:val="000000"/>
          <w:spacing w:val="0"/>
          <w:w w:val="100"/>
          <w:position w:val="0"/>
        </w:rPr>
        <w:t>）公司对金融工具信用管理方法是否发生变化等。</w:t>
      </w:r>
    </w:p>
    <w:p>
      <w:pPr>
        <w:pStyle w:val="Style38"/>
        <w:keepNext w:val="0"/>
        <w:keepLines w:val="0"/>
        <w:widowControl w:val="0"/>
        <w:shd w:val="clear" w:color="auto" w:fill="auto"/>
        <w:bidi w:val="0"/>
        <w:spacing w:before="0" w:after="0" w:line="404" w:lineRule="exact"/>
        <w:ind w:left="0" w:right="0" w:firstLine="440"/>
        <w:jc w:val="both"/>
      </w:pPr>
      <w:r>
        <w:rPr>
          <w:color w:val="000000"/>
          <w:spacing w:val="0"/>
          <w:w w:val="100"/>
          <w:position w:val="0"/>
        </w:rPr>
        <w:t>于资产负债表日，若公司判断金融工具只具有较低的信用风险，则公司假定该金融工具的信用风险自 初始确认后并未显著增加。如果金融工具的违约风险较低，借款人在短期内履行其合同现金流量义务的能 力很强，并且即使较长时期内经济形势和经营环境存在不利变化，但未必一定降低借款人履行其合同现金 流量义务的能力，则该金融工具被视为具有较低的信用风险。</w:t>
      </w:r>
    </w:p>
    <w:p>
      <w:pPr>
        <w:pStyle w:val="Style38"/>
        <w:keepNext w:val="0"/>
        <w:keepLines w:val="0"/>
        <w:widowControl w:val="0"/>
        <w:shd w:val="clear" w:color="auto" w:fill="auto"/>
        <w:tabs>
          <w:tab w:pos="928" w:val="left"/>
        </w:tabs>
        <w:bidi w:val="0"/>
        <w:spacing w:before="0" w:after="0" w:line="404" w:lineRule="exact"/>
        <w:ind w:left="0" w:right="0" w:firstLine="44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38"/>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38"/>
        <w:keepNext w:val="0"/>
        <w:keepLines w:val="0"/>
        <w:widowControl w:val="0"/>
        <w:shd w:val="clear" w:color="auto" w:fill="auto"/>
        <w:tabs>
          <w:tab w:pos="813" w:val="left"/>
        </w:tabs>
        <w:bidi w:val="0"/>
        <w:spacing w:before="0" w:after="0" w:line="404" w:lineRule="exact"/>
        <w:ind w:left="0" w:right="0" w:firstLine="440"/>
        <w:jc w:val="both"/>
      </w:pPr>
      <w:bookmarkStart w:id="970" w:name="bookmark970"/>
      <w:r>
        <w:rPr>
          <w:rFonts w:ascii="Times New Roman" w:eastAsia="Times New Roman" w:hAnsi="Times New Roman" w:cs="Times New Roman"/>
          <w:color w:val="000000"/>
          <w:spacing w:val="0"/>
          <w:w w:val="100"/>
          <w:position w:val="0"/>
        </w:rPr>
        <w:t>1</w:t>
      </w:r>
      <w:bookmarkEnd w:id="970"/>
      <w:r>
        <w:rPr>
          <w:color w:val="000000"/>
          <w:spacing w:val="0"/>
          <w:w w:val="100"/>
          <w:position w:val="0"/>
        </w:rPr>
        <w:t>）</w:t>
        <w:tab/>
        <w:t>发行方或债务人发生重大财务困难；</w:t>
      </w:r>
    </w:p>
    <w:p>
      <w:pPr>
        <w:pStyle w:val="Style38"/>
        <w:keepNext w:val="0"/>
        <w:keepLines w:val="0"/>
        <w:widowControl w:val="0"/>
        <w:shd w:val="clear" w:color="auto" w:fill="auto"/>
        <w:bidi w:val="0"/>
        <w:spacing w:before="0" w:after="0" w:line="404" w:lineRule="exact"/>
        <w:ind w:left="0" w:right="0" w:firstLine="440"/>
        <w:jc w:val="left"/>
      </w:pPr>
      <w:bookmarkStart w:id="971" w:name="bookmark971"/>
      <w:r>
        <w:rPr>
          <w:rFonts w:ascii="Times New Roman" w:eastAsia="Times New Roman" w:hAnsi="Times New Roman" w:cs="Times New Roman"/>
          <w:color w:val="000000"/>
          <w:spacing w:val="0"/>
          <w:w w:val="100"/>
          <w:position w:val="0"/>
        </w:rPr>
        <w:t>2</w:t>
      </w:r>
      <w:bookmarkEnd w:id="971"/>
      <w:r>
        <w:rPr>
          <w:color w:val="000000"/>
          <w:spacing w:val="0"/>
          <w:w w:val="100"/>
          <w:position w:val="0"/>
        </w:rPr>
        <w:t>） 债务人违反合同，如偿付利息或本金违约或逾期等；</w:t>
      </w:r>
    </w:p>
    <w:p>
      <w:pPr>
        <w:pStyle w:val="Style38"/>
        <w:keepNext w:val="0"/>
        <w:keepLines w:val="0"/>
        <w:widowControl w:val="0"/>
        <w:shd w:val="clear" w:color="auto" w:fill="auto"/>
        <w:bidi w:val="0"/>
        <w:spacing w:before="0" w:after="0" w:line="404" w:lineRule="exact"/>
        <w:ind w:left="0" w:right="0" w:firstLine="440"/>
        <w:jc w:val="left"/>
      </w:pPr>
      <w:bookmarkStart w:id="972" w:name="bookmark972"/>
      <w:r>
        <w:rPr>
          <w:rFonts w:ascii="Times New Roman" w:eastAsia="Times New Roman" w:hAnsi="Times New Roman" w:cs="Times New Roman"/>
          <w:color w:val="000000"/>
          <w:spacing w:val="0"/>
          <w:w w:val="100"/>
          <w:position w:val="0"/>
        </w:rPr>
        <w:t>3</w:t>
      </w:r>
      <w:bookmarkEnd w:id="972"/>
      <w:r>
        <w:rPr>
          <w:color w:val="000000"/>
          <w:spacing w:val="0"/>
          <w:w w:val="100"/>
          <w:position w:val="0"/>
        </w:rPr>
        <w:t>） 债权人出于与债务人财务困难有关的经济或合同考虑，给予债务人在任何其他情况下都不会做出 的让步；</w:t>
      </w:r>
    </w:p>
    <w:p>
      <w:pPr>
        <w:pStyle w:val="Style38"/>
        <w:keepNext w:val="0"/>
        <w:keepLines w:val="0"/>
        <w:widowControl w:val="0"/>
        <w:shd w:val="clear" w:color="auto" w:fill="auto"/>
        <w:tabs>
          <w:tab w:pos="832" w:val="left"/>
        </w:tabs>
        <w:bidi w:val="0"/>
        <w:spacing w:before="0" w:after="0" w:line="404" w:lineRule="exact"/>
        <w:ind w:left="0" w:right="0" w:firstLine="440"/>
        <w:jc w:val="left"/>
      </w:pPr>
      <w:bookmarkStart w:id="973" w:name="bookmark973"/>
      <w:r>
        <w:rPr>
          <w:rFonts w:ascii="Times New Roman" w:eastAsia="Times New Roman" w:hAnsi="Times New Roman" w:cs="Times New Roman"/>
          <w:color w:val="000000"/>
          <w:spacing w:val="0"/>
          <w:w w:val="100"/>
          <w:position w:val="0"/>
        </w:rPr>
        <w:t>4</w:t>
      </w:r>
      <w:bookmarkEnd w:id="973"/>
      <w:r>
        <w:rPr>
          <w:color w:val="000000"/>
          <w:spacing w:val="0"/>
          <w:w w:val="100"/>
          <w:position w:val="0"/>
        </w:rPr>
        <w:t>）</w:t>
        <w:tab/>
        <w:t>债务人很可能破产或进行其他财务重组；</w:t>
      </w:r>
    </w:p>
    <w:p>
      <w:pPr>
        <w:pStyle w:val="Style38"/>
        <w:keepNext w:val="0"/>
        <w:keepLines w:val="0"/>
        <w:widowControl w:val="0"/>
        <w:shd w:val="clear" w:color="auto" w:fill="auto"/>
        <w:tabs>
          <w:tab w:pos="832" w:val="left"/>
        </w:tabs>
        <w:bidi w:val="0"/>
        <w:spacing w:before="0" w:after="0" w:line="404" w:lineRule="exact"/>
        <w:ind w:left="0" w:right="0" w:firstLine="440"/>
        <w:jc w:val="left"/>
      </w:pPr>
      <w:bookmarkStart w:id="974" w:name="bookmark974"/>
      <w:r>
        <w:rPr>
          <w:rFonts w:ascii="Times New Roman" w:eastAsia="Times New Roman" w:hAnsi="Times New Roman" w:cs="Times New Roman"/>
          <w:color w:val="000000"/>
          <w:spacing w:val="0"/>
          <w:w w:val="100"/>
          <w:position w:val="0"/>
        </w:rPr>
        <w:t>5</w:t>
      </w:r>
      <w:bookmarkEnd w:id="974"/>
      <w:r>
        <w:rPr>
          <w:color w:val="000000"/>
          <w:spacing w:val="0"/>
          <w:w w:val="100"/>
          <w:position w:val="0"/>
        </w:rPr>
        <w:t>）</w:t>
        <w:tab/>
        <w:t>发行方或债务人财务困难导致该金融资产的活跃市场消失；</w:t>
      </w:r>
    </w:p>
    <w:p>
      <w:pPr>
        <w:pStyle w:val="Style38"/>
        <w:keepNext w:val="0"/>
        <w:keepLines w:val="0"/>
        <w:widowControl w:val="0"/>
        <w:shd w:val="clear" w:color="auto" w:fill="auto"/>
        <w:tabs>
          <w:tab w:pos="832" w:val="left"/>
        </w:tabs>
        <w:bidi w:val="0"/>
        <w:spacing w:before="0" w:after="0" w:line="404" w:lineRule="exact"/>
        <w:ind w:left="0" w:right="0" w:firstLine="440"/>
        <w:jc w:val="left"/>
      </w:pPr>
      <w:bookmarkStart w:id="975" w:name="bookmark975"/>
      <w:r>
        <w:rPr>
          <w:rFonts w:ascii="Times New Roman" w:eastAsia="Times New Roman" w:hAnsi="Times New Roman" w:cs="Times New Roman"/>
          <w:color w:val="000000"/>
          <w:spacing w:val="0"/>
          <w:w w:val="100"/>
          <w:position w:val="0"/>
        </w:rPr>
        <w:t>6</w:t>
      </w:r>
      <w:bookmarkEnd w:id="975"/>
      <w:r>
        <w:rPr>
          <w:color w:val="000000"/>
          <w:spacing w:val="0"/>
          <w:w w:val="100"/>
          <w:position w:val="0"/>
        </w:rPr>
        <w:t>）</w:t>
        <w:tab/>
        <w:t>以大幅折扣购买或源生一项金融资产，该折扣反映了发生信用损失的事实。</w:t>
      </w:r>
    </w:p>
    <w:p>
      <w:pPr>
        <w:pStyle w:val="Style38"/>
        <w:keepNext w:val="0"/>
        <w:keepLines w:val="0"/>
        <w:widowControl w:val="0"/>
        <w:shd w:val="clear" w:color="auto" w:fill="auto"/>
        <w:bidi w:val="0"/>
        <w:spacing w:before="0" w:after="0" w:line="404"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38"/>
        <w:keepNext w:val="0"/>
        <w:keepLines w:val="0"/>
        <w:widowControl w:val="0"/>
        <w:shd w:val="clear" w:color="auto" w:fill="auto"/>
        <w:tabs>
          <w:tab w:pos="928" w:val="left"/>
        </w:tabs>
        <w:bidi w:val="0"/>
        <w:spacing w:before="0" w:after="0" w:line="404" w:lineRule="exact"/>
        <w:ind w:left="0" w:right="0" w:firstLine="440"/>
        <w:jc w:val="left"/>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38"/>
        <w:keepNext w:val="0"/>
        <w:keepLines w:val="0"/>
        <w:widowControl w:val="0"/>
        <w:shd w:val="clear" w:color="auto" w:fill="auto"/>
        <w:bidi w:val="0"/>
        <w:spacing w:before="0" w:after="0" w:line="427" w:lineRule="exact"/>
        <w:ind w:left="0" w:right="0" w:firstLine="440"/>
        <w:jc w:val="left"/>
      </w:pPr>
      <w:r>
        <w:rPr>
          <w:color w:val="000000"/>
          <w:spacing w:val="0"/>
          <w:w w:val="100"/>
          <w:position w:val="0"/>
        </w:rPr>
        <w:t>公司基于单项和组合评估金融工具的预期信用损失，在评估预期信用损失时，考虑有关过去事项、当 前状况以及未来经济状况预测的合理且有依据的信息。</w:t>
      </w:r>
    </w:p>
    <w:p>
      <w:pPr>
        <w:pStyle w:val="Style38"/>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公司以共同信用风险特征为依据，将金融工具分为不同组合。公司采用的共同信用风险特征包括：金 融工具类型、信用风险评级、账龄组合等。相关金融工具的单项评估标准和组合信用风险特征详见相关金 融工具的会计政策。</w:t>
      </w:r>
    </w:p>
    <w:p>
      <w:pPr>
        <w:pStyle w:val="Style38"/>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公司按照下列方法确定相关金融工具的预期信用损失：</w:t>
      </w:r>
    </w:p>
    <w:p>
      <w:pPr>
        <w:pStyle w:val="Style38"/>
        <w:keepNext w:val="0"/>
        <w:keepLines w:val="0"/>
        <w:widowControl w:val="0"/>
        <w:shd w:val="clear" w:color="auto" w:fill="auto"/>
        <w:tabs>
          <w:tab w:pos="813" w:val="left"/>
        </w:tabs>
        <w:bidi w:val="0"/>
        <w:spacing w:before="0" w:after="0" w:line="402" w:lineRule="exact"/>
        <w:ind w:left="0" w:right="0" w:firstLine="440"/>
        <w:jc w:val="left"/>
      </w:pPr>
      <w:bookmarkStart w:id="977" w:name="bookmark977"/>
      <w:r>
        <w:rPr>
          <w:rFonts w:ascii="Times New Roman" w:eastAsia="Times New Roman" w:hAnsi="Times New Roman" w:cs="Times New Roman"/>
          <w:color w:val="000000"/>
          <w:spacing w:val="0"/>
          <w:w w:val="100"/>
          <w:position w:val="0"/>
        </w:rPr>
        <w:t>1</w:t>
      </w:r>
      <w:bookmarkEnd w:id="977"/>
      <w:r>
        <w:rPr>
          <w:color w:val="000000"/>
          <w:spacing w:val="0"/>
          <w:w w:val="100"/>
          <w:position w:val="0"/>
        </w:rPr>
        <w:t>）</w:t>
        <w:tab/>
        <w:t>对于金融资产，信用损失为公司应收取的合同现金流量与预期收取的现金流量之间差额的现值。</w:t>
      </w:r>
    </w:p>
    <w:p>
      <w:pPr>
        <w:pStyle w:val="Style38"/>
        <w:keepNext w:val="0"/>
        <w:keepLines w:val="0"/>
        <w:widowControl w:val="0"/>
        <w:shd w:val="clear" w:color="auto" w:fill="auto"/>
        <w:tabs>
          <w:tab w:pos="810" w:val="left"/>
        </w:tabs>
        <w:bidi w:val="0"/>
        <w:spacing w:before="0" w:after="0" w:line="402" w:lineRule="exact"/>
        <w:ind w:left="0" w:right="0" w:firstLine="440"/>
        <w:jc w:val="left"/>
      </w:pPr>
      <w:bookmarkStart w:id="978" w:name="bookmark978"/>
      <w:r>
        <w:rPr>
          <w:rFonts w:ascii="Times New Roman" w:eastAsia="Times New Roman" w:hAnsi="Times New Roman" w:cs="Times New Roman"/>
          <w:color w:val="000000"/>
          <w:spacing w:val="0"/>
          <w:w w:val="100"/>
          <w:position w:val="0"/>
        </w:rPr>
        <w:t>2</w:t>
      </w:r>
      <w:bookmarkEnd w:id="978"/>
      <w:r>
        <w:rPr>
          <w:color w:val="000000"/>
          <w:spacing w:val="0"/>
          <w:w w:val="100"/>
          <w:position w:val="0"/>
        </w:rPr>
        <w:t>）</w:t>
        <w:tab/>
        <w:t>对于财务担保合同，信用损失为公司就该合同持有人发生的信用损失向其做出赔付的预计付款额， 减去公司预期向该合同持有人、债务人或任何其他方收取的金额之间差额的现值。</w:t>
      </w:r>
    </w:p>
    <w:p>
      <w:pPr>
        <w:pStyle w:val="Style38"/>
        <w:keepNext w:val="0"/>
        <w:keepLines w:val="0"/>
        <w:widowControl w:val="0"/>
        <w:shd w:val="clear" w:color="auto" w:fill="auto"/>
        <w:tabs>
          <w:tab w:pos="810" w:val="left"/>
        </w:tabs>
        <w:bidi w:val="0"/>
        <w:spacing w:before="0" w:after="0" w:line="402" w:lineRule="exact"/>
        <w:ind w:left="0" w:right="0" w:firstLine="440"/>
        <w:jc w:val="left"/>
      </w:pPr>
      <w:bookmarkStart w:id="979" w:name="bookmark979"/>
      <w:r>
        <w:rPr>
          <w:rFonts w:ascii="Times New Roman" w:eastAsia="Times New Roman" w:hAnsi="Times New Roman" w:cs="Times New Roman"/>
          <w:color w:val="000000"/>
          <w:spacing w:val="0"/>
          <w:w w:val="100"/>
          <w:position w:val="0"/>
        </w:rPr>
        <w:t>3</w:t>
      </w:r>
      <w:bookmarkEnd w:id="979"/>
      <w:r>
        <w:rPr>
          <w:color w:val="000000"/>
          <w:spacing w:val="0"/>
          <w:w w:val="100"/>
          <w:position w:val="0"/>
        </w:rPr>
        <w:t>）</w:t>
        <w:tab/>
        <w:t>对于资产负债表日已发生信用减值但并非购买或源生已发生信用减值的金融资产，信用损失为该 金融资产账面余额与按原实际利率折现的估计未来现金流量的现值之间的差额。</w:t>
      </w:r>
    </w:p>
    <w:p>
      <w:pPr>
        <w:pStyle w:val="Style38"/>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公司计量金融工具预期信用损失的方法反映的因素包括：通过评价一系列可能的结果而确定的无偏概 率加权平均金额；货币时间价值；在资产负债表日无须付出不必要的额外成本或努力即可获得的有关过去 事项、当前状况以及未来经济状况预测的合理且有依据的信息。</w:t>
      </w:r>
    </w:p>
    <w:p>
      <w:pPr>
        <w:pStyle w:val="Style38"/>
        <w:keepNext w:val="0"/>
        <w:keepLines w:val="0"/>
        <w:widowControl w:val="0"/>
        <w:shd w:val="clear" w:color="auto" w:fill="auto"/>
        <w:tabs>
          <w:tab w:pos="928" w:val="left"/>
        </w:tabs>
        <w:bidi w:val="0"/>
        <w:spacing w:before="0" w:after="0" w:line="403" w:lineRule="exact"/>
        <w:ind w:left="0" w:right="0" w:firstLine="440"/>
        <w:jc w:val="left"/>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4</w:t>
      </w:r>
      <w:r>
        <w:rPr>
          <w:color w:val="000000"/>
          <w:spacing w:val="0"/>
          <w:w w:val="100"/>
          <w:position w:val="0"/>
        </w:rPr>
        <w:t>）</w:t>
        <w:tab/>
        <w:t>减记金融资产</w:t>
      </w:r>
    </w:p>
    <w:p>
      <w:pPr>
        <w:pStyle w:val="Style38"/>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当公司不再合理预期金融资产合同现金流量能够全部或部分收回的，直接减记该金融资产的账面余额。 这种减记构成相关金融资产的终止确认。</w:t>
      </w:r>
    </w:p>
    <w:p>
      <w:pPr>
        <w:pStyle w:val="Style38"/>
        <w:keepNext w:val="0"/>
        <w:keepLines w:val="0"/>
        <w:widowControl w:val="0"/>
        <w:numPr>
          <w:ilvl w:val="0"/>
          <w:numId w:val="39"/>
        </w:numPr>
        <w:shd w:val="clear" w:color="auto" w:fill="auto"/>
        <w:bidi w:val="0"/>
        <w:spacing w:before="0" w:after="0" w:line="403" w:lineRule="exact"/>
        <w:ind w:left="0" w:right="0" w:firstLine="440"/>
        <w:jc w:val="left"/>
      </w:pPr>
      <w:bookmarkStart w:id="981" w:name="bookmark981"/>
      <w:bookmarkEnd w:id="981"/>
      <w:r>
        <w:rPr>
          <w:b/>
          <w:bCs/>
          <w:color w:val="000000"/>
          <w:spacing w:val="0"/>
          <w:w w:val="100"/>
          <w:position w:val="0"/>
        </w:rPr>
        <w:t>金融资产及金融负债的抵销</w:t>
      </w:r>
    </w:p>
    <w:p>
      <w:pPr>
        <w:pStyle w:val="Style38"/>
        <w:keepNext w:val="0"/>
        <w:keepLines w:val="0"/>
        <w:widowControl w:val="0"/>
        <w:shd w:val="clear" w:color="auto" w:fill="auto"/>
        <w:bidi w:val="0"/>
        <w:spacing w:before="0" w:after="0" w:line="403" w:lineRule="exact"/>
        <w:ind w:left="0" w:right="0" w:firstLine="440"/>
        <w:jc w:val="left"/>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8"/>
        <w:keepNext w:val="0"/>
        <w:keepLines w:val="0"/>
        <w:widowControl w:val="0"/>
        <w:shd w:val="clear" w:color="auto" w:fill="auto"/>
        <w:tabs>
          <w:tab w:pos="928" w:val="left"/>
        </w:tabs>
        <w:bidi w:val="0"/>
        <w:spacing w:before="0" w:after="0" w:line="403" w:lineRule="exact"/>
        <w:ind w:left="0" w:right="0" w:firstLine="440"/>
        <w:jc w:val="left"/>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w:t>
        <w:tab/>
        <w:t>公司具有抵销已确认金额的法定权利，且该种法定权利是当前可执行的；</w:t>
      </w:r>
    </w:p>
    <w:p>
      <w:pPr>
        <w:pStyle w:val="Style38"/>
        <w:keepNext w:val="0"/>
        <w:keepLines w:val="0"/>
        <w:widowControl w:val="0"/>
        <w:shd w:val="clear" w:color="auto" w:fill="auto"/>
        <w:tabs>
          <w:tab w:pos="928" w:val="left"/>
        </w:tabs>
        <w:bidi w:val="0"/>
        <w:spacing w:before="0" w:after="220" w:line="403" w:lineRule="exact"/>
        <w:ind w:left="0" w:right="0" w:firstLine="440"/>
        <w:jc w:val="left"/>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tab/>
        <w:t>公司计划以净额结算，或同时变现该金融资产和清偿该金融负债。</w:t>
      </w:r>
    </w:p>
    <w:p>
      <w:pPr>
        <w:pStyle w:val="Style35"/>
        <w:keepNext/>
        <w:keepLines/>
        <w:widowControl w:val="0"/>
        <w:shd w:val="clear" w:color="auto" w:fill="auto"/>
        <w:bidi w:val="0"/>
        <w:spacing w:before="0" w:after="280" w:line="403" w:lineRule="exact"/>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1</w:t>
      </w:r>
      <w:bookmarkEnd w:id="98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84"/>
      <w:bookmarkEnd w:id="985"/>
      <w:bookmarkEnd w:id="987"/>
    </w:p>
    <w:p>
      <w:pPr>
        <w:pStyle w:val="Style38"/>
        <w:keepNext w:val="0"/>
        <w:keepLines w:val="0"/>
        <w:widowControl w:val="0"/>
        <w:shd w:val="clear" w:color="auto" w:fill="auto"/>
        <w:bidi w:val="0"/>
        <w:spacing w:before="0" w:after="0" w:line="394" w:lineRule="exact"/>
        <w:ind w:left="440" w:right="0" w:firstLine="0"/>
        <w:jc w:val="left"/>
      </w:pPr>
      <w:r>
        <w:rPr>
          <w:color w:val="000000"/>
          <w:spacing w:val="0"/>
          <w:w w:val="100"/>
          <w:position w:val="0"/>
        </w:rPr>
        <w:t>公司对应收票据的预期信用损失的确定方法及会计处理方法详见本附注四/（九）</w:t>
      </w:r>
      <w:r>
        <w:rPr>
          <w:rFonts w:ascii="Times New Roman" w:eastAsia="Times New Roman" w:hAnsi="Times New Roman" w:cs="Times New Roman"/>
          <w:color w:val="000000"/>
          <w:spacing w:val="0"/>
          <w:w w:val="100"/>
          <w:position w:val="0"/>
        </w:rPr>
        <w:t>6.</w:t>
      </w:r>
      <w:r>
        <w:rPr>
          <w:color w:val="000000"/>
          <w:spacing w:val="0"/>
          <w:w w:val="100"/>
          <w:position w:val="0"/>
        </w:rPr>
        <w:t>金融工具减值。 公司对在单项工具层面能以合理成本评估预期信用损失的充分证据的应收票据单独确定其信用损失。</w:t>
      </w:r>
    </w:p>
    <w:p>
      <w:pPr>
        <w:pStyle w:val="Style32"/>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当在单项工具层面无法以合理成本评估预期信用损失的充分证据时，公司参考历史信用损失经验，结 合当前状况以及对未来经济状况的判断，依据信用风险特征将应收票据划分为若干组合，在组合基础上计 算预期信用损失。确定组合的依据如下：</w:t>
      </w:r>
    </w:p>
    <w:tbl>
      <w:tblPr>
        <w:tblOverlap w:val="never"/>
        <w:jc w:val="center"/>
        <w:tblLayout w:type="fixed"/>
      </w:tblPr>
      <w:tblGrid>
        <w:gridCol w:w="1315"/>
        <w:gridCol w:w="3854"/>
        <w:gridCol w:w="446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无风险银行承兑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承兑人为违约风险较小的银行，信用评级较高， 历史上未发生票据违约，信用损失风险极低。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 况的预期计量坏账准备</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其他票据组合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包括除上述组合之外的其他票据。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参考历史信用损失经验，结合当前状况以及对未来经济状 况的预测，编制应收票据账龄与整个存续期预期信用损失 率对照表，计算预期信用损失。</w:t>
            </w:r>
          </w:p>
        </w:tc>
      </w:tr>
    </w:tbl>
    <w:p>
      <w:pPr>
        <w:widowControl w:val="0"/>
        <w:spacing w:after="639" w:line="1" w:lineRule="exact"/>
      </w:pPr>
    </w:p>
    <w:p>
      <w:pPr>
        <w:pStyle w:val="Style35"/>
        <w:keepNext/>
        <w:keepLines/>
        <w:widowControl w:val="0"/>
        <w:shd w:val="clear" w:color="auto" w:fill="auto"/>
        <w:bidi w:val="0"/>
        <w:spacing w:before="0" w:after="46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88"/>
      <w:bookmarkEnd w:id="989"/>
      <w:bookmarkEnd w:id="991"/>
    </w:p>
    <w:p>
      <w:pPr>
        <w:pStyle w:val="Style3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公司对应收账款的预期信用损失的确定方法及会计处理方法详见本附注四/（九）</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公司对在单项工具层面能以合理成本评估预期信用损失的充分证据的应收账款单独确定其信用损失。</w:t>
      </w:r>
    </w:p>
    <w:p>
      <w:pPr>
        <w:pStyle w:val="Style32"/>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当在单项工具层面无法以合理成本评估预期信用损失的充分证据时，公司参考历史信用损失经验，结 合当前状况以及对未来经济状况的判断，依据信用风险特征将应收账款划分为若干组合，在组合基础上计 算预期信用损失。确定组合的依据如下：</w:t>
      </w:r>
    </w:p>
    <w:tbl>
      <w:tblPr>
        <w:tblOverlap w:val="never"/>
        <w:jc w:val="center"/>
        <w:tblLayout w:type="fixed"/>
      </w:tblPr>
      <w:tblGrid>
        <w:gridCol w:w="1243"/>
        <w:gridCol w:w="4018"/>
        <w:gridCol w:w="439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纳入合并范围的关联方组合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 状况的预期计量坏账准备</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款在途的应收账款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 状况的预期计量坏账准备</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除上述组合之外的应收账款，公司根据以往的历史 经验对应收账款计提比例做出最佳估计，以应收账 款的账龄作为信用风险特征进行分类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考历史信用损失经验，结合当前状况以及对未来经济状 况的预测，编制应收账款账龄与整个存续期预期信用损 失率对照表，计算预期信用损失。</w:t>
            </w:r>
          </w:p>
        </w:tc>
      </w:tr>
    </w:tbl>
    <w:p>
      <w:pPr>
        <w:pStyle w:val="Style35"/>
        <w:keepNext/>
        <w:keepLines/>
        <w:widowControl w:val="0"/>
        <w:shd w:val="clear" w:color="auto" w:fill="auto"/>
        <w:tabs>
          <w:tab w:pos="516" w:val="left"/>
        </w:tabs>
        <w:bidi w:val="0"/>
        <w:spacing w:before="0" w:after="300" w:line="401" w:lineRule="exact"/>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1</w:t>
      </w:r>
      <w:bookmarkEnd w:id="99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92"/>
      <w:bookmarkEnd w:id="993"/>
      <w:bookmarkEnd w:id="995"/>
    </w:p>
    <w:p>
      <w:pPr>
        <w:pStyle w:val="Style38"/>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公司对应收款项融资的预期信用损失的确定方法及会计处理方法详见本附注五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5"/>
        <w:keepNext/>
        <w:keepLines/>
        <w:widowControl w:val="0"/>
        <w:shd w:val="clear" w:color="auto" w:fill="auto"/>
        <w:tabs>
          <w:tab w:pos="516" w:val="left"/>
        </w:tabs>
        <w:bidi w:val="0"/>
        <w:spacing w:before="0" w:after="400" w:line="401" w:lineRule="exact"/>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96"/>
      <w:bookmarkEnd w:id="997"/>
      <w:bookmarkEnd w:id="999"/>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其他应收款的预期信用损失的确定方法及会计处理方法</w:t>
      </w:r>
    </w:p>
    <w:p>
      <w:pPr>
        <w:pStyle w:val="Style38"/>
        <w:keepNext w:val="0"/>
        <w:keepLines w:val="0"/>
        <w:widowControl w:val="0"/>
        <w:shd w:val="clear" w:color="auto" w:fill="auto"/>
        <w:bidi w:val="0"/>
        <w:spacing w:before="0" w:after="140" w:line="401" w:lineRule="exact"/>
        <w:ind w:left="0" w:right="0" w:firstLine="440"/>
        <w:jc w:val="both"/>
      </w:pPr>
      <w:r>
        <w:rPr>
          <w:color w:val="000000"/>
          <w:spacing w:val="0"/>
          <w:w w:val="100"/>
          <w:position w:val="0"/>
        </w:rPr>
        <w:t>公司对其他应收款的预期信用损失的确定方法及会计处理方法详见本附注四/ （九）</w:t>
      </w:r>
      <w:r>
        <w:rPr>
          <w:rFonts w:ascii="Times New Roman" w:eastAsia="Times New Roman" w:hAnsi="Times New Roman" w:cs="Times New Roman"/>
          <w:color w:val="000000"/>
          <w:spacing w:val="0"/>
          <w:w w:val="100"/>
          <w:position w:val="0"/>
        </w:rPr>
        <w:t>6.</w:t>
      </w:r>
      <w:r>
        <w:rPr>
          <w:color w:val="000000"/>
          <w:spacing w:val="0"/>
          <w:w w:val="100"/>
          <w:position w:val="0"/>
        </w:rPr>
        <w:t>金融工具减值。 公司对在单项工具层面能以合理成本评估预期信用损失的充分证据的其他应收款单独确定其信用损 失。</w:t>
      </w:r>
    </w:p>
    <w:p>
      <w:pPr>
        <w:pStyle w:val="Style32"/>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当在单项工具层面无法以合理成本评估预期信用损失的充分证据时，公司参考历史信用损失经验，结</w:t>
      </w:r>
    </w:p>
    <w:p>
      <w:pPr>
        <w:pStyle w:val="Style32"/>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合当前状况以及对未来经济状况的判断，依据信用风险特征将其他应收款划分为若干组合，在组合基础上</w:t>
      </w:r>
    </w:p>
    <w:p>
      <w:pPr>
        <w:pStyle w:val="Style32"/>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计算预期信用损失。确定组合的依据如下：</w:t>
      </w:r>
    </w:p>
    <w:tbl>
      <w:tblPr>
        <w:tblOverlap w:val="never"/>
        <w:jc w:val="center"/>
        <w:tblLayout w:type="fixed"/>
      </w:tblPr>
      <w:tblGrid>
        <w:gridCol w:w="1243"/>
        <w:gridCol w:w="4469"/>
        <w:gridCol w:w="394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纳入合并范围的关联方组合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 经济状况的预期计量坏账准备</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支付宝账户余额的其他应收款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参考历史信用损失经验，结合当前状况以及对未来 经济状况的预期计量坏账准备</w:t>
            </w:r>
          </w:p>
        </w:tc>
      </w:tr>
      <w:tr>
        <w:trPr>
          <w:trHeight w:val="129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除上述组合之外的应收账款，公司根据以往的历史经验对 其他应收款计提比例做出最佳估计，以其他应收款的账龄 作为信用风险特征进行分类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参考历史信用损失经验，结合当期状况以及对未来 经济状况的预测，通过违约风险敞口和未来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内或整个存续期预期信用损失率，计算预期信用损 失</w:t>
            </w:r>
          </w:p>
        </w:tc>
      </w:tr>
    </w:tbl>
    <w:p>
      <w:pPr>
        <w:widowControl w:val="0"/>
        <w:spacing w:after="479" w:line="1" w:lineRule="exact"/>
      </w:pPr>
    </w:p>
    <w:p>
      <w:pPr>
        <w:pStyle w:val="Style35"/>
        <w:keepNext/>
        <w:keepLines/>
        <w:widowControl w:val="0"/>
        <w:shd w:val="clear" w:color="auto" w:fill="auto"/>
        <w:bidi w:val="0"/>
        <w:spacing w:before="0" w:after="300" w:line="399" w:lineRule="exact"/>
        <w:ind w:left="0" w:right="0" w:firstLine="0"/>
        <w:jc w:val="both"/>
      </w:pPr>
      <w:bookmarkStart w:id="1000" w:name="bookmark1000"/>
      <w:bookmarkStart w:id="1001" w:name="bookmark1001"/>
      <w:bookmarkStart w:id="1002" w:name="bookmark1002"/>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1000"/>
      <w:bookmarkEnd w:id="1001"/>
      <w:bookmarkEnd w:id="1002"/>
    </w:p>
    <w:p>
      <w:pPr>
        <w:pStyle w:val="Style35"/>
        <w:keepNext/>
        <w:keepLines/>
        <w:widowControl w:val="0"/>
        <w:numPr>
          <w:ilvl w:val="0"/>
          <w:numId w:val="47"/>
        </w:numPr>
        <w:shd w:val="clear" w:color="auto" w:fill="auto"/>
        <w:tabs>
          <w:tab w:pos="774" w:val="left"/>
        </w:tabs>
        <w:bidi w:val="0"/>
        <w:spacing w:before="0" w:after="0" w:line="399" w:lineRule="exact"/>
        <w:ind w:left="0" w:right="0" w:firstLine="440"/>
        <w:jc w:val="both"/>
      </w:pPr>
      <w:bookmarkStart w:id="1000" w:name="bookmark1000"/>
      <w:bookmarkStart w:id="1001" w:name="bookmark1001"/>
      <w:bookmarkStart w:id="1003" w:name="bookmark1003"/>
      <w:bookmarkEnd w:id="1003"/>
      <w:r>
        <w:rPr>
          <w:color w:val="000000"/>
          <w:spacing w:val="0"/>
          <w:w w:val="100"/>
          <w:position w:val="0"/>
        </w:rPr>
        <w:t>存货的分类</w:t>
      </w:r>
      <w:bookmarkEnd w:id="1000"/>
      <w:bookmarkEnd w:id="1001"/>
    </w:p>
    <w:p>
      <w:pPr>
        <w:pStyle w:val="Style38"/>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存货是指公司在日常活动中持有以备出售的产成品或商品、处在生产过程中的在产品、在生产过程或 提供劳务过程中耗用的材料和物料等。主要包括原材料、在产品、库存商品、发出商品等。</w:t>
      </w:r>
    </w:p>
    <w:p>
      <w:pPr>
        <w:pStyle w:val="Style38"/>
        <w:keepNext w:val="0"/>
        <w:keepLines w:val="0"/>
        <w:widowControl w:val="0"/>
        <w:numPr>
          <w:ilvl w:val="0"/>
          <w:numId w:val="47"/>
        </w:numPr>
        <w:shd w:val="clear" w:color="auto" w:fill="auto"/>
        <w:tabs>
          <w:tab w:pos="784" w:val="left"/>
        </w:tabs>
        <w:bidi w:val="0"/>
        <w:spacing w:before="0" w:after="0" w:line="399" w:lineRule="exact"/>
        <w:ind w:left="0" w:right="0" w:firstLine="440"/>
        <w:jc w:val="both"/>
      </w:pPr>
      <w:bookmarkStart w:id="1004" w:name="bookmark1004"/>
      <w:bookmarkEnd w:id="1004"/>
      <w:r>
        <w:rPr>
          <w:b/>
          <w:bCs/>
          <w:color w:val="000000"/>
          <w:spacing w:val="0"/>
          <w:w w:val="100"/>
          <w:position w:val="0"/>
        </w:rPr>
        <w:t>存货的计价方法</w:t>
      </w:r>
    </w:p>
    <w:p>
      <w:pPr>
        <w:pStyle w:val="Style38"/>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存货在取得时，按成本进行初始计量，包括采购成本、加工成本和其他成本。存货发出时按月末一次 加权平均法计价。</w:t>
      </w:r>
    </w:p>
    <w:p>
      <w:pPr>
        <w:pStyle w:val="Style38"/>
        <w:keepNext w:val="0"/>
        <w:keepLines w:val="0"/>
        <w:widowControl w:val="0"/>
        <w:numPr>
          <w:ilvl w:val="0"/>
          <w:numId w:val="47"/>
        </w:numPr>
        <w:shd w:val="clear" w:color="auto" w:fill="auto"/>
        <w:tabs>
          <w:tab w:pos="784" w:val="left"/>
        </w:tabs>
        <w:bidi w:val="0"/>
        <w:spacing w:before="0" w:after="0" w:line="399" w:lineRule="exact"/>
        <w:ind w:left="0" w:right="0" w:firstLine="440"/>
        <w:jc w:val="both"/>
      </w:pPr>
      <w:bookmarkStart w:id="1005" w:name="bookmark1005"/>
      <w:bookmarkEnd w:id="1005"/>
      <w:r>
        <w:rPr>
          <w:b/>
          <w:bCs/>
          <w:color w:val="000000"/>
          <w:spacing w:val="0"/>
          <w:w w:val="100"/>
          <w:position w:val="0"/>
        </w:rPr>
        <w:t>存货可变现净值的确定依据及存货跌价准备的计提方法</w:t>
      </w:r>
    </w:p>
    <w:p>
      <w:pPr>
        <w:pStyle w:val="Style38"/>
        <w:keepNext w:val="0"/>
        <w:keepLines w:val="0"/>
        <w:widowControl w:val="0"/>
        <w:shd w:val="clear" w:color="auto" w:fill="auto"/>
        <w:bidi w:val="0"/>
        <w:spacing w:before="0" w:after="0" w:line="399" w:lineRule="exact"/>
        <w:ind w:left="0" w:right="0" w:firstLine="440"/>
        <w:jc w:val="both"/>
      </w:pPr>
      <w:r>
        <w:rPr>
          <w:color w:val="000000"/>
          <w:spacing w:val="0"/>
          <w:w w:val="100"/>
          <w:position w:val="0"/>
        </w:rPr>
        <w:t xml:space="preserve">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w:t>
      </w:r>
      <w:r>
        <w:rPr>
          <w:color w:val="000000"/>
          <w:spacing w:val="0"/>
          <w:w w:val="100"/>
          <w:position w:val="0"/>
        </w:rPr>
        <w:t>计算，若持有存货的数量多于销售合同订购数量的，超出部分的存货的可变现净值以一般销售价格为基础 计算。</w:t>
      </w:r>
    </w:p>
    <w:p>
      <w:pPr>
        <w:pStyle w:val="Style38"/>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8"/>
        <w:keepNext w:val="0"/>
        <w:keepLines w:val="0"/>
        <w:widowControl w:val="0"/>
        <w:shd w:val="clear" w:color="auto" w:fill="auto"/>
        <w:bidi w:val="0"/>
        <w:spacing w:before="0" w:after="160" w:line="398"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8"/>
        <w:keepNext w:val="0"/>
        <w:keepLines w:val="0"/>
        <w:widowControl w:val="0"/>
        <w:numPr>
          <w:ilvl w:val="0"/>
          <w:numId w:val="47"/>
        </w:numPr>
        <w:shd w:val="clear" w:color="auto" w:fill="auto"/>
        <w:tabs>
          <w:tab w:pos="784" w:val="left"/>
        </w:tabs>
        <w:bidi w:val="0"/>
        <w:spacing w:before="0" w:after="0" w:line="415" w:lineRule="auto"/>
        <w:ind w:left="0" w:right="0" w:firstLine="440"/>
        <w:jc w:val="both"/>
      </w:pPr>
      <w:bookmarkStart w:id="1006" w:name="bookmark1006"/>
      <w:bookmarkEnd w:id="1006"/>
      <w:r>
        <w:rPr>
          <w:b/>
          <w:bCs/>
          <w:color w:val="000000"/>
          <w:spacing w:val="0"/>
          <w:w w:val="100"/>
          <w:position w:val="0"/>
        </w:rPr>
        <w:t>存货的盘存制度</w:t>
      </w:r>
    </w:p>
    <w:p>
      <w:pPr>
        <w:pStyle w:val="Style38"/>
        <w:keepNext w:val="0"/>
        <w:keepLines w:val="0"/>
        <w:widowControl w:val="0"/>
        <w:shd w:val="clear" w:color="auto" w:fill="auto"/>
        <w:bidi w:val="0"/>
        <w:spacing w:before="0" w:after="160" w:line="398" w:lineRule="exact"/>
        <w:ind w:left="0" w:right="0" w:firstLine="440"/>
        <w:jc w:val="both"/>
      </w:pPr>
      <w:r>
        <w:rPr>
          <w:color w:val="000000"/>
          <w:spacing w:val="0"/>
          <w:w w:val="100"/>
          <w:position w:val="0"/>
        </w:rPr>
        <w:t>采用永续盘存制，并且定期对存货进行盘点</w:t>
      </w:r>
      <w:r>
        <w:rPr>
          <w:color w:val="000000"/>
          <w:spacing w:val="0"/>
          <w:w w:val="100"/>
          <w:position w:val="0"/>
        </w:rPr>
        <w:t>，</w:t>
      </w:r>
      <w:r>
        <w:rPr>
          <w:color w:val="000000"/>
          <w:spacing w:val="0"/>
          <w:w w:val="100"/>
          <w:position w:val="0"/>
        </w:rPr>
        <w:t>盘点结果如与账面记录不符，根据管理权限报经批准后， 在年终结账前处理完毕，计入当期损益。</w:t>
      </w:r>
    </w:p>
    <w:p>
      <w:pPr>
        <w:pStyle w:val="Style38"/>
        <w:keepNext w:val="0"/>
        <w:keepLines w:val="0"/>
        <w:widowControl w:val="0"/>
        <w:numPr>
          <w:ilvl w:val="0"/>
          <w:numId w:val="47"/>
        </w:numPr>
        <w:shd w:val="clear" w:color="auto" w:fill="auto"/>
        <w:tabs>
          <w:tab w:pos="784" w:val="left"/>
        </w:tabs>
        <w:bidi w:val="0"/>
        <w:spacing w:before="0" w:after="0" w:line="415" w:lineRule="auto"/>
        <w:ind w:left="0" w:right="0" w:firstLine="440"/>
        <w:jc w:val="both"/>
      </w:pPr>
      <w:bookmarkStart w:id="1007" w:name="bookmark1007"/>
      <w:bookmarkEnd w:id="1007"/>
      <w:r>
        <w:rPr>
          <w:b/>
          <w:bCs/>
          <w:color w:val="000000"/>
          <w:spacing w:val="0"/>
          <w:w w:val="100"/>
          <w:position w:val="0"/>
        </w:rPr>
        <w:t>低值易耗品和包装物的摊销方法</w:t>
      </w:r>
    </w:p>
    <w:p>
      <w:pPr>
        <w:pStyle w:val="Style38"/>
        <w:keepNext w:val="0"/>
        <w:keepLines w:val="0"/>
        <w:widowControl w:val="0"/>
        <w:shd w:val="clear" w:color="auto" w:fill="auto"/>
        <w:tabs>
          <w:tab w:pos="928" w:val="left"/>
        </w:tabs>
        <w:bidi w:val="0"/>
        <w:spacing w:before="0" w:after="0" w:line="398" w:lineRule="exact"/>
        <w:ind w:left="0" w:right="0" w:firstLine="44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38"/>
        <w:keepNext w:val="0"/>
        <w:keepLines w:val="0"/>
        <w:widowControl w:val="0"/>
        <w:shd w:val="clear" w:color="auto" w:fill="auto"/>
        <w:tabs>
          <w:tab w:pos="928" w:val="left"/>
        </w:tabs>
        <w:bidi w:val="0"/>
        <w:spacing w:before="0" w:after="380" w:line="398" w:lineRule="exact"/>
        <w:ind w:left="0" w:right="0" w:firstLine="44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5"/>
        <w:keepNext/>
        <w:keepLines/>
        <w:widowControl w:val="0"/>
        <w:shd w:val="clear" w:color="auto" w:fill="auto"/>
        <w:tabs>
          <w:tab w:pos="544" w:val="left"/>
        </w:tabs>
        <w:bidi w:val="0"/>
        <w:spacing w:before="0" w:after="160" w:line="415" w:lineRule="auto"/>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bookmarkEnd w:id="101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1010"/>
      <w:bookmarkEnd w:id="1011"/>
      <w:bookmarkEnd w:id="1013"/>
    </w:p>
    <w:p>
      <w:pPr>
        <w:pStyle w:val="Style38"/>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公司已向客户转让商品而有权收取对价的权利，且该权利取决于时间流逝之外的其他因素的，确认为 合同资产。公司拥有的无条件（即，仅取决于时间流逝）向客户收取对价的权利作为应收款项单独列示。</w:t>
      </w:r>
    </w:p>
    <w:p>
      <w:pPr>
        <w:pStyle w:val="Style38"/>
        <w:keepNext w:val="0"/>
        <w:keepLines w:val="0"/>
        <w:widowControl w:val="0"/>
        <w:shd w:val="clear" w:color="auto" w:fill="auto"/>
        <w:bidi w:val="0"/>
        <w:spacing w:before="0" w:after="380" w:line="398" w:lineRule="exact"/>
        <w:ind w:left="0" w:right="0" w:firstLine="440"/>
        <w:jc w:val="both"/>
      </w:pPr>
      <w:r>
        <w:rPr>
          <w:color w:val="000000"/>
          <w:spacing w:val="0"/>
          <w:w w:val="100"/>
          <w:position w:val="0"/>
        </w:rPr>
        <w:t>公司对合同资产的预期信用损失的确定方法及会计处理方法详见本附注五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5"/>
        <w:keepNext/>
        <w:keepLines/>
        <w:widowControl w:val="0"/>
        <w:shd w:val="clear" w:color="auto" w:fill="auto"/>
        <w:tabs>
          <w:tab w:pos="544" w:val="left"/>
        </w:tabs>
        <w:bidi w:val="0"/>
        <w:spacing w:before="0" w:after="300" w:line="415" w:lineRule="auto"/>
        <w:ind w:left="0" w:right="0" w:firstLine="0"/>
        <w:jc w:val="both"/>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1</w:t>
      </w:r>
      <w:bookmarkEnd w:id="1016"/>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1014"/>
      <w:bookmarkEnd w:id="1015"/>
      <w:bookmarkEnd w:id="1017"/>
    </w:p>
    <w:p>
      <w:pPr>
        <w:pStyle w:val="Style35"/>
        <w:keepNext/>
        <w:keepLines/>
        <w:widowControl w:val="0"/>
        <w:numPr>
          <w:ilvl w:val="0"/>
          <w:numId w:val="49"/>
        </w:numPr>
        <w:shd w:val="clear" w:color="auto" w:fill="auto"/>
        <w:tabs>
          <w:tab w:pos="774" w:val="left"/>
        </w:tabs>
        <w:bidi w:val="0"/>
        <w:spacing w:before="0" w:after="0" w:line="420" w:lineRule="auto"/>
        <w:ind w:left="0" w:right="0" w:firstLine="440"/>
        <w:jc w:val="both"/>
      </w:pPr>
      <w:bookmarkStart w:id="1014" w:name="bookmark1014"/>
      <w:bookmarkStart w:id="1015" w:name="bookmark1015"/>
      <w:bookmarkStart w:id="1018" w:name="bookmark1018"/>
      <w:bookmarkEnd w:id="1018"/>
      <w:r>
        <w:rPr>
          <w:color w:val="000000"/>
          <w:spacing w:val="0"/>
          <w:w w:val="100"/>
          <w:position w:val="0"/>
        </w:rPr>
        <w:t>合同履约成本</w:t>
      </w:r>
      <w:bookmarkEnd w:id="1014"/>
      <w:bookmarkEnd w:id="1015"/>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公司对于为履行合同发生的成本，不属于除收入准则外的其他企业会计准则范围且同时满足下列条件 的作为合同履约成本确认为一项资产：</w:t>
      </w:r>
    </w:p>
    <w:p>
      <w:pPr>
        <w:pStyle w:val="Style38"/>
        <w:keepNext w:val="0"/>
        <w:keepLines w:val="0"/>
        <w:widowControl w:val="0"/>
        <w:shd w:val="clear" w:color="auto" w:fill="auto"/>
        <w:bidi w:val="0"/>
        <w:spacing w:before="0" w:after="0" w:line="402" w:lineRule="exact"/>
        <w:ind w:left="0" w:right="0" w:firstLine="44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 该成本与一份当前或预期取得的合同直接相关，包括直接人工、直接材料、制造费用（或类似 费用）、明确由客户承担的成本以及仅因该合同而发生的其他成本；</w:t>
      </w:r>
    </w:p>
    <w:p>
      <w:pPr>
        <w:pStyle w:val="Style38"/>
        <w:keepNext w:val="0"/>
        <w:keepLines w:val="0"/>
        <w:widowControl w:val="0"/>
        <w:shd w:val="clear" w:color="auto" w:fill="auto"/>
        <w:tabs>
          <w:tab w:pos="928" w:val="left"/>
        </w:tabs>
        <w:bidi w:val="0"/>
        <w:spacing w:before="0" w:after="0" w:line="402" w:lineRule="exact"/>
        <w:ind w:left="0" w:right="0" w:firstLine="44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该成本增加了企业未来用于履行履约义务的资源。</w:t>
      </w:r>
    </w:p>
    <w:p>
      <w:pPr>
        <w:pStyle w:val="Style38"/>
        <w:keepNext w:val="0"/>
        <w:keepLines w:val="0"/>
        <w:widowControl w:val="0"/>
        <w:shd w:val="clear" w:color="auto" w:fill="auto"/>
        <w:tabs>
          <w:tab w:pos="928" w:val="left"/>
        </w:tabs>
        <w:bidi w:val="0"/>
        <w:spacing w:before="0" w:after="0" w:line="402" w:lineRule="exact"/>
        <w:ind w:left="0" w:right="0" w:firstLine="44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38"/>
        <w:keepNext w:val="0"/>
        <w:keepLines w:val="0"/>
        <w:widowControl w:val="0"/>
        <w:shd w:val="clear" w:color="auto" w:fill="auto"/>
        <w:bidi w:val="0"/>
        <w:spacing w:before="0" w:after="160" w:line="402" w:lineRule="exact"/>
        <w:ind w:left="0" w:right="0" w:firstLine="440"/>
        <w:jc w:val="both"/>
      </w:pPr>
      <w:r>
        <w:rPr>
          <w:color w:val="000000"/>
          <w:spacing w:val="0"/>
          <w:w w:val="100"/>
          <w:position w:val="0"/>
        </w:rPr>
        <w:t>该资产根据其初始确认时摊销期限是否超过一个正常营业周期在存货或其他非流动资产中列报。</w:t>
      </w:r>
    </w:p>
    <w:p>
      <w:pPr>
        <w:pStyle w:val="Style38"/>
        <w:keepNext w:val="0"/>
        <w:keepLines w:val="0"/>
        <w:widowControl w:val="0"/>
        <w:numPr>
          <w:ilvl w:val="0"/>
          <w:numId w:val="49"/>
        </w:numPr>
        <w:shd w:val="clear" w:color="auto" w:fill="auto"/>
        <w:tabs>
          <w:tab w:pos="784" w:val="left"/>
        </w:tabs>
        <w:bidi w:val="0"/>
        <w:spacing w:before="0" w:after="0" w:line="420" w:lineRule="auto"/>
        <w:ind w:left="0" w:right="0" w:firstLine="440"/>
        <w:jc w:val="both"/>
      </w:pPr>
      <w:bookmarkStart w:id="1022" w:name="bookmark1022"/>
      <w:bookmarkEnd w:id="1022"/>
      <w:r>
        <w:rPr>
          <w:b/>
          <w:bCs/>
          <w:color w:val="000000"/>
          <w:spacing w:val="0"/>
          <w:w w:val="100"/>
          <w:position w:val="0"/>
        </w:rPr>
        <w:t>合同取得成本</w:t>
      </w:r>
    </w:p>
    <w:p>
      <w:pPr>
        <w:pStyle w:val="Style38"/>
        <w:keepNext w:val="0"/>
        <w:keepLines w:val="0"/>
        <w:widowControl w:val="0"/>
        <w:shd w:val="clear" w:color="auto" w:fill="auto"/>
        <w:bidi w:val="0"/>
        <w:spacing w:before="0" w:after="160" w:line="402" w:lineRule="exact"/>
        <w:ind w:left="0" w:right="0" w:firstLine="440"/>
        <w:jc w:val="both"/>
      </w:pPr>
      <w:r>
        <w:rPr>
          <w:color w:val="000000"/>
          <w:spacing w:val="0"/>
          <w:w w:val="100"/>
          <w:position w:val="0"/>
        </w:rPr>
        <w:t>公司为取得合同发生的增量成本预期能够收回的，作为合同取得成本确认为一项资产。增量成本是指 公司不取得合同就不会发生的成本，如销售佣金等。对于摊销期限不超过一年的，在发生时计入当期损益。</w:t>
      </w:r>
    </w:p>
    <w:p>
      <w:pPr>
        <w:pStyle w:val="Style38"/>
        <w:keepNext w:val="0"/>
        <w:keepLines w:val="0"/>
        <w:widowControl w:val="0"/>
        <w:numPr>
          <w:ilvl w:val="0"/>
          <w:numId w:val="49"/>
        </w:numPr>
        <w:shd w:val="clear" w:color="auto" w:fill="auto"/>
        <w:tabs>
          <w:tab w:pos="784" w:val="left"/>
        </w:tabs>
        <w:bidi w:val="0"/>
        <w:spacing w:before="0" w:after="0" w:line="420" w:lineRule="auto"/>
        <w:ind w:left="0" w:right="0" w:firstLine="440"/>
        <w:jc w:val="both"/>
      </w:pPr>
      <w:bookmarkStart w:id="1023" w:name="bookmark1023"/>
      <w:bookmarkEnd w:id="1023"/>
      <w:r>
        <w:rPr>
          <w:b/>
          <w:bCs/>
          <w:color w:val="000000"/>
          <w:spacing w:val="0"/>
          <w:w w:val="100"/>
          <w:position w:val="0"/>
        </w:rPr>
        <w:t>合同成本摊销</w:t>
      </w:r>
    </w:p>
    <w:p>
      <w:pPr>
        <w:pStyle w:val="Style38"/>
        <w:keepNext w:val="0"/>
        <w:keepLines w:val="0"/>
        <w:widowControl w:val="0"/>
        <w:shd w:val="clear" w:color="auto" w:fill="auto"/>
        <w:bidi w:val="0"/>
        <w:spacing w:before="0" w:after="160" w:line="402" w:lineRule="exact"/>
        <w:ind w:left="0" w:right="0" w:firstLine="44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38"/>
        <w:keepNext w:val="0"/>
        <w:keepLines w:val="0"/>
        <w:widowControl w:val="0"/>
        <w:numPr>
          <w:ilvl w:val="0"/>
          <w:numId w:val="49"/>
        </w:numPr>
        <w:shd w:val="clear" w:color="auto" w:fill="auto"/>
        <w:bidi w:val="0"/>
        <w:spacing w:before="0" w:after="0" w:line="402" w:lineRule="exact"/>
        <w:ind w:left="0" w:right="0" w:firstLine="440"/>
        <w:jc w:val="left"/>
      </w:pPr>
      <w:bookmarkStart w:id="1024" w:name="bookmark1024"/>
      <w:bookmarkEnd w:id="1024"/>
      <w:r>
        <w:rPr>
          <w:b/>
          <w:bCs/>
          <w:color w:val="000000"/>
          <w:spacing w:val="0"/>
          <w:w w:val="100"/>
          <w:position w:val="0"/>
        </w:rPr>
        <w:t>合同成本减值</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上述与合同成本有关的资产，账面价值高于公司因转让与该资产相关的商品预期能够取得剩余对价与 为转让该相关商品估计将要发生的成本的差额的，超出部分应当计提减值准备，并确认为资产减值损失。</w:t>
      </w:r>
    </w:p>
    <w:p>
      <w:pPr>
        <w:pStyle w:val="Style38"/>
        <w:keepNext w:val="0"/>
        <w:keepLines w:val="0"/>
        <w:widowControl w:val="0"/>
        <w:shd w:val="clear" w:color="auto" w:fill="auto"/>
        <w:bidi w:val="0"/>
        <w:spacing w:before="0" w:after="200" w:line="402" w:lineRule="exact"/>
        <w:ind w:left="0" w:right="0" w:firstLine="440"/>
        <w:jc w:val="both"/>
      </w:pPr>
      <w:r>
        <w:rPr>
          <w:color w:val="000000"/>
          <w:spacing w:val="0"/>
          <w:w w:val="100"/>
          <w:position w:val="0"/>
        </w:rPr>
        <w:t>计提减值准备后，如果以前期间减值的因素发生变化，使得上述两项差额高于该资产账面价值的，转 回原己计提的资产减值准备，并计入当期损益，但转回后的资产账面价值不超过假定不计提减值准备情况 下该资产在转回日的账面价值。</w:t>
      </w:r>
    </w:p>
    <w:p>
      <w:pPr>
        <w:pStyle w:val="Style35"/>
        <w:keepNext/>
        <w:keepLines/>
        <w:widowControl w:val="0"/>
        <w:shd w:val="clear" w:color="auto" w:fill="auto"/>
        <w:tabs>
          <w:tab w:pos="474" w:val="left"/>
        </w:tabs>
        <w:bidi w:val="0"/>
        <w:spacing w:before="0" w:after="300" w:line="400" w:lineRule="exact"/>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1025"/>
      <w:bookmarkEnd w:id="1026"/>
      <w:bookmarkEnd w:id="1028"/>
    </w:p>
    <w:p>
      <w:pPr>
        <w:pStyle w:val="Style35"/>
        <w:keepNext/>
        <w:keepLines/>
        <w:widowControl w:val="0"/>
        <w:numPr>
          <w:ilvl w:val="0"/>
          <w:numId w:val="51"/>
        </w:numPr>
        <w:shd w:val="clear" w:color="auto" w:fill="auto"/>
        <w:tabs>
          <w:tab w:pos="774" w:val="left"/>
        </w:tabs>
        <w:bidi w:val="0"/>
        <w:spacing w:before="0" w:after="0" w:line="400" w:lineRule="exact"/>
        <w:ind w:left="0" w:right="0" w:firstLine="440"/>
        <w:jc w:val="left"/>
      </w:pPr>
      <w:bookmarkStart w:id="1025" w:name="bookmark1025"/>
      <w:bookmarkStart w:id="1026" w:name="bookmark1026"/>
      <w:bookmarkStart w:id="1029" w:name="bookmark1029"/>
      <w:bookmarkEnd w:id="1029"/>
      <w:r>
        <w:rPr>
          <w:color w:val="000000"/>
          <w:spacing w:val="0"/>
          <w:w w:val="100"/>
          <w:position w:val="0"/>
        </w:rPr>
        <w:t>划分为持有待售确认标准</w:t>
      </w:r>
      <w:bookmarkEnd w:id="1025"/>
      <w:bookmarkEnd w:id="1026"/>
    </w:p>
    <w:p>
      <w:pPr>
        <w:pStyle w:val="Style38"/>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公司将同时满足下列条件的非流动资产或处置组确认为持有待售组成部分：</w:t>
      </w:r>
    </w:p>
    <w:p>
      <w:pPr>
        <w:pStyle w:val="Style38"/>
        <w:keepNext w:val="0"/>
        <w:keepLines w:val="0"/>
        <w:widowControl w:val="0"/>
        <w:numPr>
          <w:ilvl w:val="0"/>
          <w:numId w:val="53"/>
        </w:numPr>
        <w:shd w:val="clear" w:color="auto" w:fill="auto"/>
        <w:tabs>
          <w:tab w:pos="928" w:val="left"/>
        </w:tabs>
        <w:bidi w:val="0"/>
        <w:spacing w:before="0" w:after="0" w:line="400" w:lineRule="exact"/>
        <w:ind w:left="0" w:right="0" w:firstLine="440"/>
        <w:jc w:val="left"/>
      </w:pPr>
      <w:bookmarkStart w:id="1030" w:name="bookmark1030"/>
      <w:bookmarkEnd w:id="1030"/>
      <w:r>
        <w:rPr>
          <w:color w:val="000000"/>
          <w:spacing w:val="0"/>
          <w:w w:val="100"/>
          <w:position w:val="0"/>
        </w:rPr>
        <w:t>根据类似交易中出售此类资产或处置组的惯例，在当前状况下即可立即出售；</w:t>
      </w:r>
    </w:p>
    <w:p>
      <w:pPr>
        <w:pStyle w:val="Style38"/>
        <w:keepNext w:val="0"/>
        <w:keepLines w:val="0"/>
        <w:widowControl w:val="0"/>
        <w:numPr>
          <w:ilvl w:val="0"/>
          <w:numId w:val="53"/>
        </w:numPr>
        <w:shd w:val="clear" w:color="auto" w:fill="auto"/>
        <w:tabs>
          <w:tab w:pos="1021" w:val="left"/>
        </w:tabs>
        <w:bidi w:val="0"/>
        <w:spacing w:before="0" w:after="0" w:line="422" w:lineRule="exact"/>
        <w:ind w:left="0" w:right="0" w:firstLine="440"/>
        <w:jc w:val="both"/>
      </w:pPr>
      <w:bookmarkStart w:id="1031" w:name="bookmark1031"/>
      <w:bookmarkEnd w:id="1031"/>
      <w:r>
        <w:rPr>
          <w:color w:val="000000"/>
          <w:spacing w:val="0"/>
          <w:w w:val="100"/>
          <w:position w:val="0"/>
        </w:rPr>
        <w:t>出售极可能发生，即公司已经就一项出售计划作出决议，且获得确定的购买承诺，预计出售将 在一年内完成。</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确定的购买承诺，是指公司与其他方签订的具有法律约束力的购买协议，该协议包含交易价格、时间 和足够严厉的违约惩罚等重要条款，使协议出现重大调整或者撤销的可能性极小。</w:t>
      </w:r>
    </w:p>
    <w:p>
      <w:pPr>
        <w:pStyle w:val="Style38"/>
        <w:keepNext w:val="0"/>
        <w:keepLines w:val="0"/>
        <w:widowControl w:val="0"/>
        <w:numPr>
          <w:ilvl w:val="0"/>
          <w:numId w:val="51"/>
        </w:numPr>
        <w:shd w:val="clear" w:color="auto" w:fill="auto"/>
        <w:tabs>
          <w:tab w:pos="784" w:val="left"/>
        </w:tabs>
        <w:bidi w:val="0"/>
        <w:spacing w:before="0" w:after="0" w:line="400" w:lineRule="exact"/>
        <w:ind w:left="0" w:right="0" w:firstLine="440"/>
        <w:jc w:val="both"/>
      </w:pPr>
      <w:bookmarkStart w:id="1032" w:name="bookmark1032"/>
      <w:bookmarkEnd w:id="1032"/>
      <w:r>
        <w:rPr>
          <w:b/>
          <w:bCs/>
          <w:color w:val="000000"/>
          <w:spacing w:val="0"/>
          <w:w w:val="100"/>
          <w:position w:val="0"/>
        </w:rPr>
        <w:t>持有待售核算方法</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公司对于持有待售的非流动资产或处置组不计提折旧或摊销，其账面价值高于公允价值减去出售费用 后的净额的，应当将账面价值减记至公允价值减去出售费用后的净额，减记的金额确认为资产减值损失， 计入当期损益，同时计提持有待售资产减值准备。</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w:t>
      </w:r>
    </w:p>
    <w:p>
      <w:pPr>
        <w:pStyle w:val="Style38"/>
        <w:keepNext w:val="0"/>
        <w:keepLines w:val="0"/>
        <w:widowControl w:val="0"/>
        <w:shd w:val="clear" w:color="auto" w:fill="auto"/>
        <w:bidi w:val="0"/>
        <w:spacing w:before="0" w:after="200" w:line="400" w:lineRule="exact"/>
        <w:ind w:left="0" w:right="0" w:firstLine="860"/>
        <w:jc w:val="both"/>
      </w:pPr>
      <w:r>
        <w:rPr>
          <w:color w:val="000000"/>
          <w:spacing w:val="0"/>
          <w:w w:val="100"/>
          <w:position w:val="0"/>
        </w:rPr>
        <w:t>上述原则适用于所有非流动资产，但不包括采用公允价值模式进行后续计量的投资性房地产、采 用公允价值减去出售费用后的净额计量的生物资产、职工薪酬形成的资产、递延所得税资产、由金融工具 相关会计准则规范的金融资产、由保险合同相关会计准则规范的保险合同所产生的权利。</w:t>
      </w:r>
    </w:p>
    <w:p>
      <w:pPr>
        <w:pStyle w:val="Style35"/>
        <w:keepNext/>
        <w:keepLines/>
        <w:widowControl w:val="0"/>
        <w:shd w:val="clear" w:color="auto" w:fill="auto"/>
        <w:tabs>
          <w:tab w:pos="474" w:val="left"/>
        </w:tabs>
        <w:bidi w:val="0"/>
        <w:spacing w:before="0" w:after="300" w:line="400" w:lineRule="exact"/>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rFonts w:ascii="Times New Roman" w:eastAsia="Times New Roman" w:hAnsi="Times New Roman" w:cs="Times New Roman"/>
          <w:color w:val="000000"/>
          <w:spacing w:val="0"/>
          <w:w w:val="100"/>
          <w:position w:val="0"/>
        </w:rPr>
        <w:t>9</w:t>
      </w:r>
      <w:r>
        <w:rPr>
          <w:color w:val="000000"/>
          <w:spacing w:val="0"/>
          <w:w w:val="100"/>
          <w:position w:val="0"/>
        </w:rPr>
        <w:t>、</w:t>
        <w:tab/>
        <w:t>其他债权投资</w:t>
      </w:r>
      <w:bookmarkEnd w:id="1033"/>
      <w:bookmarkEnd w:id="1034"/>
      <w:bookmarkEnd w:id="1036"/>
    </w:p>
    <w:p>
      <w:pPr>
        <w:pStyle w:val="Style38"/>
        <w:keepNext w:val="0"/>
        <w:keepLines w:val="0"/>
        <w:widowControl w:val="0"/>
        <w:shd w:val="clear" w:color="auto" w:fill="auto"/>
        <w:bidi w:val="0"/>
        <w:spacing w:before="0" w:after="200" w:line="400" w:lineRule="exact"/>
        <w:ind w:left="0" w:right="0" w:firstLine="440"/>
        <w:jc w:val="both"/>
      </w:pPr>
      <w:r>
        <w:rPr>
          <w:color w:val="000000"/>
          <w:spacing w:val="0"/>
          <w:w w:val="100"/>
          <w:position w:val="0"/>
        </w:rPr>
        <w:t>公司对其他债权投资的预期信用损失的确定方法及会计处理方法详见本附注五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5"/>
        <w:keepNext/>
        <w:keepLines/>
        <w:widowControl w:val="0"/>
        <w:shd w:val="clear" w:color="auto" w:fill="auto"/>
        <w:tabs>
          <w:tab w:pos="483" w:val="left"/>
        </w:tabs>
        <w:bidi w:val="0"/>
        <w:spacing w:before="0" w:after="300" w:line="400" w:lineRule="exact"/>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rFonts w:ascii="Times New Roman" w:eastAsia="Times New Roman" w:hAnsi="Times New Roman" w:cs="Times New Roman"/>
          <w:color w:val="000000"/>
          <w:spacing w:val="0"/>
          <w:w w:val="100"/>
          <w:position w:val="0"/>
        </w:rPr>
        <w:t>0</w:t>
      </w:r>
      <w:r>
        <w:rPr>
          <w:color w:val="000000"/>
          <w:spacing w:val="0"/>
          <w:w w:val="100"/>
          <w:position w:val="0"/>
        </w:rPr>
        <w:t>、</w:t>
        <w:tab/>
        <w:t>长期应收款</w:t>
      </w:r>
      <w:bookmarkEnd w:id="1037"/>
      <w:bookmarkEnd w:id="1038"/>
      <w:bookmarkEnd w:id="1040"/>
    </w:p>
    <w:p>
      <w:pPr>
        <w:pStyle w:val="Style38"/>
        <w:keepNext w:val="0"/>
        <w:keepLines w:val="0"/>
        <w:widowControl w:val="0"/>
        <w:shd w:val="clear" w:color="auto" w:fill="auto"/>
        <w:bidi w:val="0"/>
        <w:spacing w:before="0" w:after="200" w:line="400" w:lineRule="exact"/>
        <w:ind w:left="0" w:right="0" w:firstLine="440"/>
        <w:jc w:val="left"/>
      </w:pPr>
      <w:r>
        <w:rPr>
          <w:color w:val="000000"/>
          <w:spacing w:val="0"/>
          <w:w w:val="100"/>
          <w:position w:val="0"/>
        </w:rPr>
        <w:t>公司对长期应收款的预期信用损失的确定方法及会计处理方法详见本附注五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5"/>
        <w:keepNext/>
        <w:keepLines/>
        <w:widowControl w:val="0"/>
        <w:shd w:val="clear" w:color="auto" w:fill="auto"/>
        <w:tabs>
          <w:tab w:pos="483" w:val="left"/>
        </w:tabs>
        <w:bidi w:val="0"/>
        <w:spacing w:before="0" w:after="460" w:line="400" w:lineRule="exact"/>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w:t>
      </w:r>
      <w:bookmarkEnd w:id="1041"/>
      <w:bookmarkEnd w:id="1042"/>
      <w:bookmarkEnd w:id="1044"/>
    </w:p>
    <w:p>
      <w:pPr>
        <w:pStyle w:val="Style35"/>
        <w:keepNext/>
        <w:keepLines/>
        <w:widowControl w:val="0"/>
        <w:numPr>
          <w:ilvl w:val="0"/>
          <w:numId w:val="55"/>
        </w:numPr>
        <w:shd w:val="clear" w:color="auto" w:fill="auto"/>
        <w:bidi w:val="0"/>
        <w:spacing w:before="0" w:after="260" w:line="240" w:lineRule="auto"/>
        <w:ind w:left="0" w:right="0" w:firstLine="440"/>
        <w:jc w:val="both"/>
      </w:pPr>
      <w:bookmarkStart w:id="1041" w:name="bookmark1041"/>
      <w:bookmarkStart w:id="1042" w:name="bookmark1042"/>
      <w:bookmarkStart w:id="1045" w:name="bookmark1045"/>
      <w:bookmarkEnd w:id="1045"/>
      <w:r>
        <w:rPr>
          <w:color w:val="000000"/>
          <w:spacing w:val="0"/>
          <w:w w:val="100"/>
          <w:position w:val="0"/>
        </w:rPr>
        <w:t>初始投资成本的确定</w:t>
      </w:r>
      <w:bookmarkEnd w:id="1041"/>
      <w:bookmarkEnd w:id="1042"/>
    </w:p>
    <w:p>
      <w:pPr>
        <w:pStyle w:val="Style38"/>
        <w:keepNext w:val="0"/>
        <w:keepLines w:val="0"/>
        <w:widowControl w:val="0"/>
        <w:numPr>
          <w:ilvl w:val="0"/>
          <w:numId w:val="57"/>
        </w:numPr>
        <w:shd w:val="clear" w:color="auto" w:fill="auto"/>
        <w:tabs>
          <w:tab w:pos="1002" w:val="left"/>
        </w:tabs>
        <w:bidi w:val="0"/>
        <w:spacing w:before="0" w:after="0" w:line="401" w:lineRule="exact"/>
        <w:ind w:left="0" w:right="0" w:firstLine="440"/>
        <w:jc w:val="both"/>
      </w:pPr>
      <w:bookmarkStart w:id="1046" w:name="bookmark1046"/>
      <w:bookmarkEnd w:id="1046"/>
      <w:r>
        <w:rPr>
          <w:color w:val="000000"/>
          <w:spacing w:val="0"/>
          <w:w w:val="100"/>
          <w:position w:val="0"/>
        </w:rPr>
        <w:t>企业合并形成的长期股权投资，具体会计政策详见本附注五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 合并的会计处理方法。</w:t>
      </w:r>
    </w:p>
    <w:p>
      <w:pPr>
        <w:pStyle w:val="Style38"/>
        <w:keepNext w:val="0"/>
        <w:keepLines w:val="0"/>
        <w:widowControl w:val="0"/>
        <w:numPr>
          <w:ilvl w:val="0"/>
          <w:numId w:val="57"/>
        </w:numPr>
        <w:shd w:val="clear" w:color="auto" w:fill="auto"/>
        <w:tabs>
          <w:tab w:pos="909" w:val="left"/>
        </w:tabs>
        <w:bidi w:val="0"/>
        <w:spacing w:before="0" w:after="0" w:line="401" w:lineRule="exact"/>
        <w:ind w:left="0" w:right="0" w:firstLine="440"/>
        <w:jc w:val="both"/>
      </w:pPr>
      <w:bookmarkStart w:id="1047" w:name="bookmark1047"/>
      <w:bookmarkEnd w:id="1047"/>
      <w:r>
        <w:rPr>
          <w:color w:val="000000"/>
          <w:spacing w:val="0"/>
          <w:w w:val="100"/>
          <w:position w:val="0"/>
        </w:rPr>
        <w:t>其他方式取得的长期股权投资</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通过债务重组取得的长期股权投资，其初始投资成本按照公允价值为基础确定。</w:t>
      </w:r>
    </w:p>
    <w:p>
      <w:pPr>
        <w:pStyle w:val="Style38"/>
        <w:keepNext w:val="0"/>
        <w:keepLines w:val="0"/>
        <w:widowControl w:val="0"/>
        <w:numPr>
          <w:ilvl w:val="0"/>
          <w:numId w:val="55"/>
        </w:numPr>
        <w:shd w:val="clear" w:color="auto" w:fill="auto"/>
        <w:bidi w:val="0"/>
        <w:spacing w:before="0" w:after="0" w:line="401" w:lineRule="exact"/>
        <w:ind w:left="0" w:right="0" w:firstLine="440"/>
        <w:jc w:val="both"/>
      </w:pPr>
      <w:bookmarkStart w:id="1048" w:name="bookmark1048"/>
      <w:bookmarkEnd w:id="1048"/>
      <w:r>
        <w:rPr>
          <w:b/>
          <w:bCs/>
          <w:color w:val="000000"/>
          <w:spacing w:val="0"/>
          <w:w w:val="100"/>
          <w:position w:val="0"/>
        </w:rPr>
        <w:t>后续计量及损益确认</w:t>
      </w:r>
    </w:p>
    <w:p>
      <w:pPr>
        <w:pStyle w:val="Style38"/>
        <w:keepNext w:val="0"/>
        <w:keepLines w:val="0"/>
        <w:widowControl w:val="0"/>
        <w:numPr>
          <w:ilvl w:val="0"/>
          <w:numId w:val="59"/>
        </w:numPr>
        <w:shd w:val="clear" w:color="auto" w:fill="auto"/>
        <w:tabs>
          <w:tab w:pos="909" w:val="left"/>
        </w:tabs>
        <w:bidi w:val="0"/>
        <w:spacing w:before="0" w:after="0" w:line="401" w:lineRule="exact"/>
        <w:ind w:left="0" w:right="0" w:firstLine="440"/>
        <w:jc w:val="both"/>
      </w:pPr>
      <w:bookmarkStart w:id="1049" w:name="bookmark1049"/>
      <w:bookmarkEnd w:id="1049"/>
      <w:r>
        <w:rPr>
          <w:color w:val="000000"/>
          <w:spacing w:val="0"/>
          <w:w w:val="100"/>
          <w:position w:val="0"/>
        </w:rPr>
        <w:t>成本法</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公司能够对被投资单位实施控制的长期股权投资采用成本法核算，并按照初始投资成本计价，追加或 收回投资调整长期股权投资的成本。</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除取得投资时实际支付的价款或对价中包含的已宣告但尚未发放的现金股利或利润外，公司按照享有 被投资单位宣告分派的现金股利或利润确认为当期投资收益。</w:t>
      </w:r>
    </w:p>
    <w:p>
      <w:pPr>
        <w:pStyle w:val="Style38"/>
        <w:keepNext w:val="0"/>
        <w:keepLines w:val="0"/>
        <w:widowControl w:val="0"/>
        <w:numPr>
          <w:ilvl w:val="0"/>
          <w:numId w:val="59"/>
        </w:numPr>
        <w:shd w:val="clear" w:color="auto" w:fill="auto"/>
        <w:tabs>
          <w:tab w:pos="909" w:val="left"/>
        </w:tabs>
        <w:bidi w:val="0"/>
        <w:spacing w:before="0" w:after="0" w:line="401" w:lineRule="exact"/>
        <w:ind w:left="0" w:right="0" w:firstLine="440"/>
        <w:jc w:val="left"/>
      </w:pPr>
      <w:bookmarkStart w:id="1050" w:name="bookmark1050"/>
      <w:bookmarkEnd w:id="1050"/>
      <w:r>
        <w:rPr>
          <w:color w:val="000000"/>
          <w:spacing w:val="0"/>
          <w:w w:val="100"/>
          <w:position w:val="0"/>
        </w:rPr>
        <w:t>权益法</w:t>
      </w:r>
    </w:p>
    <w:p>
      <w:pPr>
        <w:pStyle w:val="Style3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公司对联营企业和合营企业的长期股权投资采用权益法核算；对于其中一部分通过风险投资机构、共 同基金、信托公司或包括投连险基金在内的类似主体间接持有的联营企业的权益性投资，采用公允价值计 量且其变动计入损益。</w:t>
      </w:r>
    </w:p>
    <w:p>
      <w:pPr>
        <w:pStyle w:val="Style3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3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公司取得长期股权投资后，按照应享有或应分担的被投资单位实现的净损益和其他综合收益的份额， 分别确认投资收益和其他综合收益，同时调整长期股权投资的账面价值；并按照被投资单位宣告分派的利 润或现金股利计算应享有的部分，相应减少长期股权投资的账面价值；对于被投资单位除净损益、其他综 合收益和利润分配以外所有者权益的其他变动，调整长期股权投资的账面价值并计入所有者权益。</w:t>
      </w:r>
    </w:p>
    <w:p>
      <w:pPr>
        <w:pStyle w:val="Style3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公司在确认应享有被投资单位净损益的份额时，以取得投资时被投资单位各项可辨认资产等的公允价 值为基础，对被投资单位的净利润进行调整后确认。公司与联营企业、合营企业之间发生的未实现内部交 易损益按照应享有的比例计算归属于公司的部分予以抵销，在此基础上确认投资损益。</w:t>
      </w:r>
    </w:p>
    <w:p>
      <w:pPr>
        <w:pStyle w:val="Style3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 xml:space="preserve">公司确认应分担被投资单位发生的亏损时，按照以下顺序进行处理：首先，冲减长期股权投资的账面 价值。其次，长期股权投资的账面价值不足以冲减的，以其他实质上构成对被投资单位净投资的长期权益 </w:t>
      </w:r>
      <w:r>
        <w:rPr>
          <w:color w:val="000000"/>
          <w:spacing w:val="0"/>
          <w:w w:val="100"/>
          <w:position w:val="0"/>
        </w:rPr>
        <w:t>账面价值为限继续确认投资损失，冲减长期应收项目等的账面价值。最后，经过上述处理，按照投资合同 或协议约定企业仍承担额外义务的，按预计承担的义务确认预计负债，计入当期投资损失。</w:t>
      </w:r>
    </w:p>
    <w:p>
      <w:pPr>
        <w:pStyle w:val="Style38"/>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8"/>
        <w:keepNext w:val="0"/>
        <w:keepLines w:val="0"/>
        <w:widowControl w:val="0"/>
        <w:numPr>
          <w:ilvl w:val="0"/>
          <w:numId w:val="55"/>
        </w:numPr>
        <w:shd w:val="clear" w:color="auto" w:fill="auto"/>
        <w:bidi w:val="0"/>
        <w:spacing w:before="0" w:after="0" w:line="418" w:lineRule="auto"/>
        <w:ind w:left="0" w:right="0" w:firstLine="440"/>
        <w:jc w:val="both"/>
      </w:pPr>
      <w:bookmarkStart w:id="1051" w:name="bookmark1051"/>
      <w:bookmarkEnd w:id="1051"/>
      <w:r>
        <w:rPr>
          <w:b/>
          <w:bCs/>
          <w:color w:val="000000"/>
          <w:spacing w:val="0"/>
          <w:w w:val="100"/>
          <w:position w:val="0"/>
        </w:rPr>
        <w:t>长期股权投资核算方法的转换</w:t>
      </w:r>
    </w:p>
    <w:p>
      <w:pPr>
        <w:pStyle w:val="Style38"/>
        <w:keepNext w:val="0"/>
        <w:keepLines w:val="0"/>
        <w:widowControl w:val="0"/>
        <w:numPr>
          <w:ilvl w:val="0"/>
          <w:numId w:val="61"/>
        </w:numPr>
        <w:shd w:val="clear" w:color="auto" w:fill="auto"/>
        <w:tabs>
          <w:tab w:pos="908" w:val="left"/>
        </w:tabs>
        <w:bidi w:val="0"/>
        <w:spacing w:before="0" w:after="0" w:line="400" w:lineRule="exact"/>
        <w:ind w:left="0" w:right="0" w:firstLine="440"/>
        <w:jc w:val="both"/>
      </w:pPr>
      <w:bookmarkStart w:id="1052" w:name="bookmark1052"/>
      <w:bookmarkEnd w:id="1052"/>
      <w:r>
        <w:rPr>
          <w:color w:val="000000"/>
          <w:spacing w:val="0"/>
          <w:w w:val="100"/>
          <w:position w:val="0"/>
        </w:rPr>
        <w:t>公允价值计量转权益法核算</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公司原持有的对被投资单位不具有控制、共同控制或重大影响的按金融工具确认和计量准则进行会计 处理的权益性投资，因追加投资等原因能够对被投资单位施加重大影响或实施共同控制但不构成控制的， 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号一金融工具确认和计量》确定的原持有的股权投资的公允价值加上新增投资 成本之和，作为改按权益法核算的初始投资成本。</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38"/>
        <w:keepNext w:val="0"/>
        <w:keepLines w:val="0"/>
        <w:widowControl w:val="0"/>
        <w:numPr>
          <w:ilvl w:val="0"/>
          <w:numId w:val="61"/>
        </w:numPr>
        <w:shd w:val="clear" w:color="auto" w:fill="auto"/>
        <w:tabs>
          <w:tab w:pos="908" w:val="left"/>
        </w:tabs>
        <w:bidi w:val="0"/>
        <w:spacing w:before="0" w:after="0" w:line="400" w:lineRule="exact"/>
        <w:ind w:left="0" w:right="0" w:firstLine="440"/>
        <w:jc w:val="both"/>
      </w:pPr>
      <w:bookmarkStart w:id="1053" w:name="bookmark1053"/>
      <w:bookmarkEnd w:id="1053"/>
      <w:r>
        <w:rPr>
          <w:color w:val="000000"/>
          <w:spacing w:val="0"/>
          <w:w w:val="100"/>
          <w:position w:val="0"/>
        </w:rPr>
        <w:t>公允价值计量或权益法核算转成本法核算</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公司原持有的对被投资单位不具有控制、共同控制或重大影响的按金融工具确认和计量准则进行会计 处理的权益性投资，或原持有对联营企业、合营企业的长期股权投资，因追加投资等原因能够对非同一控 制下的被投资单位实施控制的，在编制个别财务报表时，按照原持有的股权投资账面价值加上新增投资成 本之和，作为改按成本法核算的初始投资成本。</w:t>
      </w:r>
    </w:p>
    <w:p>
      <w:pPr>
        <w:pStyle w:val="Style38"/>
        <w:keepNext w:val="0"/>
        <w:keepLines w:val="0"/>
        <w:widowControl w:val="0"/>
        <w:shd w:val="clear" w:color="auto" w:fill="auto"/>
        <w:bidi w:val="0"/>
        <w:spacing w:before="0" w:after="0" w:line="370"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号一金融工具确认和计量》的有关规定进行会 计处理的，原计入其他综合收益的累计公允价值变动在改按成本法核算时转入当期损益。</w:t>
      </w:r>
    </w:p>
    <w:p>
      <w:pPr>
        <w:pStyle w:val="Style38"/>
        <w:keepNext w:val="0"/>
        <w:keepLines w:val="0"/>
        <w:widowControl w:val="0"/>
        <w:numPr>
          <w:ilvl w:val="0"/>
          <w:numId w:val="61"/>
        </w:numPr>
        <w:shd w:val="clear" w:color="auto" w:fill="auto"/>
        <w:tabs>
          <w:tab w:pos="908" w:val="left"/>
        </w:tabs>
        <w:bidi w:val="0"/>
        <w:spacing w:before="0" w:after="0" w:line="403" w:lineRule="exact"/>
        <w:ind w:left="0" w:right="0" w:firstLine="440"/>
        <w:jc w:val="both"/>
      </w:pPr>
      <w:bookmarkStart w:id="1054" w:name="bookmark1054"/>
      <w:bookmarkEnd w:id="1054"/>
      <w:r>
        <w:rPr>
          <w:color w:val="000000"/>
          <w:spacing w:val="0"/>
          <w:w w:val="100"/>
          <w:position w:val="0"/>
        </w:rPr>
        <w:t>权益法核算转公允价值计量</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公司因处置部分股权投资等原因丧失了对被投资单位的共同控制或重大影响的，处置后的剩余股权改 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号——金融工具确认和计量》核算，其在丧失共同控制或重大影响之日的公允价值 与账面价值之间的差额计入当期损益。</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38"/>
        <w:keepNext w:val="0"/>
        <w:keepLines w:val="0"/>
        <w:widowControl w:val="0"/>
        <w:numPr>
          <w:ilvl w:val="0"/>
          <w:numId w:val="61"/>
        </w:numPr>
        <w:shd w:val="clear" w:color="auto" w:fill="auto"/>
        <w:tabs>
          <w:tab w:pos="1013" w:val="left"/>
        </w:tabs>
        <w:bidi w:val="0"/>
        <w:spacing w:before="0" w:after="0" w:line="403" w:lineRule="exact"/>
        <w:ind w:left="440" w:right="0" w:firstLine="0"/>
        <w:jc w:val="left"/>
      </w:pPr>
      <w:bookmarkStart w:id="1055" w:name="bookmark1055"/>
      <w:bookmarkEnd w:id="1055"/>
      <w:r>
        <w:rPr>
          <w:color w:val="000000"/>
          <w:spacing w:val="0"/>
          <w:w w:val="100"/>
          <w:position w:val="0"/>
        </w:rPr>
        <w:t>成本法转权益法 公司因处置部分权益性投资等原因丧失了对被投资单位的控制的，在编制个别财务报表时，处置后的</w:t>
      </w:r>
    </w:p>
    <w:p>
      <w:pPr>
        <w:pStyle w:val="Style38"/>
        <w:keepNext w:val="0"/>
        <w:keepLines w:val="0"/>
        <w:widowControl w:val="0"/>
        <w:shd w:val="clear" w:color="auto" w:fill="auto"/>
        <w:bidi w:val="0"/>
        <w:spacing w:before="0" w:after="0" w:line="403" w:lineRule="exact"/>
        <w:ind w:left="0" w:right="0" w:firstLine="0"/>
        <w:jc w:val="both"/>
      </w:pPr>
      <w:r>
        <w:rPr>
          <w:color w:val="000000"/>
          <w:spacing w:val="0"/>
          <w:w w:val="100"/>
          <w:position w:val="0"/>
        </w:rPr>
        <w:t>剩余股权能够对被投资单位实施共同控制或施加重大影响的，改按权益法核算，并对该剩余股权视同自取 得时即采用权益法核算进行调整。</w:t>
      </w:r>
    </w:p>
    <w:p>
      <w:pPr>
        <w:pStyle w:val="Style38"/>
        <w:keepNext w:val="0"/>
        <w:keepLines w:val="0"/>
        <w:widowControl w:val="0"/>
        <w:numPr>
          <w:ilvl w:val="0"/>
          <w:numId w:val="61"/>
        </w:numPr>
        <w:shd w:val="clear" w:color="auto" w:fill="auto"/>
        <w:tabs>
          <w:tab w:pos="908" w:val="left"/>
        </w:tabs>
        <w:bidi w:val="0"/>
        <w:spacing w:before="0" w:after="0" w:line="400" w:lineRule="exact"/>
        <w:ind w:left="0" w:right="0" w:firstLine="440"/>
        <w:jc w:val="left"/>
      </w:pPr>
      <w:bookmarkStart w:id="1056" w:name="bookmark1056"/>
      <w:bookmarkEnd w:id="1056"/>
      <w:r>
        <w:rPr>
          <w:color w:val="000000"/>
          <w:spacing w:val="0"/>
          <w:w w:val="100"/>
          <w:position w:val="0"/>
        </w:rPr>
        <w:t>成本法转公允价值计量</w:t>
      </w:r>
    </w:p>
    <w:p>
      <w:pPr>
        <w:pStyle w:val="Style38"/>
        <w:keepNext w:val="0"/>
        <w:keepLines w:val="0"/>
        <w:widowControl w:val="0"/>
        <w:shd w:val="clear" w:color="auto" w:fill="auto"/>
        <w:bidi w:val="0"/>
        <w:spacing w:before="0" w:after="160" w:line="402" w:lineRule="exact"/>
        <w:ind w:left="0" w:right="0" w:firstLine="440"/>
        <w:jc w:val="both"/>
      </w:pPr>
      <w:r>
        <w:rPr>
          <w:color w:val="000000"/>
          <w:spacing w:val="0"/>
          <w:w w:val="100"/>
          <w:position w:val="0"/>
        </w:rPr>
        <w:t>公司因处置部分权益性投资等原因丧失了对被投资单位的控制的，在编制个别财务报表时，处置后的 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 认和计量》的有关规定进行会计处理，其在丧失控制之日的公允价值与账面价值间的差额计入当期损益。</w:t>
      </w:r>
    </w:p>
    <w:p>
      <w:pPr>
        <w:pStyle w:val="Style38"/>
        <w:keepNext w:val="0"/>
        <w:keepLines w:val="0"/>
        <w:widowControl w:val="0"/>
        <w:numPr>
          <w:ilvl w:val="0"/>
          <w:numId w:val="55"/>
        </w:numPr>
        <w:shd w:val="clear" w:color="auto" w:fill="auto"/>
        <w:tabs>
          <w:tab w:pos="763" w:val="left"/>
        </w:tabs>
        <w:bidi w:val="0"/>
        <w:spacing w:before="0" w:after="0" w:line="420" w:lineRule="auto"/>
        <w:ind w:left="0" w:right="0" w:firstLine="440"/>
        <w:jc w:val="left"/>
      </w:pPr>
      <w:bookmarkStart w:id="1057" w:name="bookmark1057"/>
      <w:bookmarkEnd w:id="1057"/>
      <w:r>
        <w:rPr>
          <w:b/>
          <w:bCs/>
          <w:color w:val="000000"/>
          <w:spacing w:val="0"/>
          <w:w w:val="100"/>
          <w:position w:val="0"/>
        </w:rPr>
        <w:t>长期股权投资的处置</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8"/>
        <w:keepNext w:val="0"/>
        <w:keepLines w:val="0"/>
        <w:widowControl w:val="0"/>
        <w:shd w:val="clear" w:color="auto" w:fill="auto"/>
        <w:tabs>
          <w:tab w:pos="907" w:val="left"/>
        </w:tabs>
        <w:bidi w:val="0"/>
        <w:spacing w:before="0" w:after="0" w:line="402" w:lineRule="exact"/>
        <w:ind w:left="0" w:right="0" w:firstLine="44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8"/>
        <w:keepNext w:val="0"/>
        <w:keepLines w:val="0"/>
        <w:widowControl w:val="0"/>
        <w:shd w:val="clear" w:color="auto" w:fill="auto"/>
        <w:tabs>
          <w:tab w:pos="907" w:val="left"/>
        </w:tabs>
        <w:bidi w:val="0"/>
        <w:spacing w:before="0" w:after="0" w:line="402" w:lineRule="exact"/>
        <w:ind w:left="0" w:right="0" w:firstLine="440"/>
        <w:jc w:val="left"/>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8"/>
        <w:keepNext w:val="0"/>
        <w:keepLines w:val="0"/>
        <w:widowControl w:val="0"/>
        <w:shd w:val="clear" w:color="auto" w:fill="auto"/>
        <w:tabs>
          <w:tab w:pos="907" w:val="left"/>
        </w:tabs>
        <w:bidi w:val="0"/>
        <w:spacing w:before="0" w:after="0" w:line="402" w:lineRule="exact"/>
        <w:ind w:left="0" w:right="0" w:firstLine="440"/>
        <w:jc w:val="left"/>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8"/>
        <w:keepNext w:val="0"/>
        <w:keepLines w:val="0"/>
        <w:widowControl w:val="0"/>
        <w:shd w:val="clear" w:color="auto" w:fill="auto"/>
        <w:tabs>
          <w:tab w:pos="907" w:val="left"/>
        </w:tabs>
        <w:bidi w:val="0"/>
        <w:spacing w:before="0" w:after="0" w:line="402" w:lineRule="exact"/>
        <w:ind w:left="0" w:right="0" w:firstLine="44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38"/>
        <w:keepNext w:val="0"/>
        <w:keepLines w:val="0"/>
        <w:widowControl w:val="0"/>
        <w:shd w:val="clear" w:color="auto" w:fill="auto"/>
        <w:tabs>
          <w:tab w:pos="1000" w:val="left"/>
        </w:tabs>
        <w:bidi w:val="0"/>
        <w:spacing w:before="0" w:after="0" w:line="402" w:lineRule="exact"/>
        <w:ind w:left="0" w:right="0" w:firstLine="44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 之日的公允价值与账面价值间的差额计入当期损益。</w:t>
      </w:r>
    </w:p>
    <w:p>
      <w:pPr>
        <w:pStyle w:val="Style38"/>
        <w:keepNext w:val="0"/>
        <w:keepLines w:val="0"/>
        <w:widowControl w:val="0"/>
        <w:shd w:val="clear" w:color="auto" w:fill="auto"/>
        <w:tabs>
          <w:tab w:pos="1000" w:val="left"/>
        </w:tabs>
        <w:bidi w:val="0"/>
        <w:spacing w:before="0" w:after="0" w:line="402" w:lineRule="exact"/>
        <w:ind w:left="0" w:right="0" w:firstLine="44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 资相应对享有子公司自购买日或合并日开始持续计算的净资产份额之间的差额，调整资本公积（股本溢价）,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8"/>
        <w:keepNext w:val="0"/>
        <w:keepLines w:val="0"/>
        <w:widowControl w:val="0"/>
        <w:shd w:val="clear" w:color="auto" w:fill="auto"/>
        <w:tabs>
          <w:tab w:pos="1000" w:val="left"/>
        </w:tabs>
        <w:bidi w:val="0"/>
        <w:spacing w:before="0" w:after="0" w:line="402" w:lineRule="exact"/>
        <w:ind w:left="0" w:right="0" w:firstLine="44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38"/>
        <w:keepNext w:val="0"/>
        <w:keepLines w:val="0"/>
        <w:widowControl w:val="0"/>
        <w:shd w:val="clear" w:color="auto" w:fill="auto"/>
        <w:tabs>
          <w:tab w:pos="1000" w:val="left"/>
        </w:tabs>
        <w:bidi w:val="0"/>
        <w:spacing w:before="0" w:after="160" w:line="402" w:lineRule="exact"/>
        <w:ind w:left="0" w:right="0" w:firstLine="44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 份额的差额，确认为其他综合收益，在丧失控制权时一并转入丧失控制权当期的损益。</w:t>
      </w:r>
    </w:p>
    <w:p>
      <w:pPr>
        <w:pStyle w:val="Style38"/>
        <w:keepNext w:val="0"/>
        <w:keepLines w:val="0"/>
        <w:widowControl w:val="0"/>
        <w:numPr>
          <w:ilvl w:val="0"/>
          <w:numId w:val="55"/>
        </w:numPr>
        <w:shd w:val="clear" w:color="auto" w:fill="auto"/>
        <w:bidi w:val="0"/>
        <w:spacing w:before="0" w:after="0" w:line="420" w:lineRule="auto"/>
        <w:ind w:left="0" w:right="0" w:firstLine="440"/>
        <w:jc w:val="both"/>
      </w:pPr>
      <w:bookmarkStart w:id="1066" w:name="bookmark1066"/>
      <w:bookmarkEnd w:id="1066"/>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共同控制、重大影响的判断标准</w:t>
      </w:r>
    </w:p>
    <w:p>
      <w:pPr>
        <w:pStyle w:val="Style38"/>
        <w:keepNext w:val="0"/>
        <w:keepLines w:val="0"/>
        <w:widowControl w:val="0"/>
        <w:shd w:val="clear" w:color="auto" w:fill="auto"/>
        <w:bidi w:val="0"/>
        <w:spacing w:before="0" w:after="0" w:line="402" w:lineRule="exact"/>
        <w:ind w:left="0" w:right="0" w:firstLine="440"/>
        <w:jc w:val="left"/>
      </w:pPr>
      <w:r>
        <w:rPr>
          <w:color w:val="000000"/>
          <w:spacing w:val="0"/>
          <w:w w:val="100"/>
          <w:position w:val="0"/>
        </w:rPr>
        <w:t xml:space="preserve">如果公司按照相关约定与其他参与方集体控制某项安排，并且对该安排回报具有重大影响的活动决策, </w:t>
      </w:r>
      <w:r>
        <w:rPr>
          <w:color w:val="000000"/>
          <w:spacing w:val="0"/>
          <w:w w:val="100"/>
          <w:position w:val="0"/>
        </w:rPr>
        <w:t>需要经过分享控制权的参与方一致同意时才存在，则视为公司与其他参与方共同控制某项安排，该安排即 属于合营安排。</w:t>
      </w:r>
    </w:p>
    <w:p>
      <w:pPr>
        <w:pStyle w:val="Style38"/>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合营安排通过单独主体达成的，根据相关约定判断公司对该单独主体的净资产享有权利时，将该单独 主体作为合营企业，采用权益法核算。若根据相关约定判断公司并非对该单独主体的净资产享有权利时， 该单独主体作为共同经营，公司确认与共同经营利益份额相关的项目，并按照相关企业会计准则的规定进 行会计处理。</w:t>
      </w:r>
    </w:p>
    <w:p>
      <w:pPr>
        <w:pStyle w:val="Style38"/>
        <w:keepNext w:val="0"/>
        <w:keepLines w:val="0"/>
        <w:widowControl w:val="0"/>
        <w:shd w:val="clear" w:color="auto" w:fill="auto"/>
        <w:bidi w:val="0"/>
        <w:spacing w:before="0" w:after="360" w:line="398" w:lineRule="exact"/>
        <w:ind w:left="0" w:right="0" w:firstLine="860"/>
        <w:jc w:val="both"/>
      </w:pPr>
      <w:r>
        <w:rPr>
          <w:color w:val="000000"/>
          <w:spacing w:val="0"/>
          <w:w w:val="100"/>
          <w:position w:val="0"/>
        </w:rPr>
        <w:t>重大影响，是指投资方对被投资单位的财务和经营政策有参与决策的权力，但并不能够控制或者 与其他方一起共同控制这些政策的制定。公司通过以下一种或多种情形，并综合考虑所有事实和情况后， 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 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 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5"/>
        <w:keepNext/>
        <w:keepLines/>
        <w:widowControl w:val="0"/>
        <w:shd w:val="clear" w:color="auto" w:fill="auto"/>
        <w:bidi w:val="0"/>
        <w:spacing w:before="0" w:after="220" w:line="415"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067"/>
      <w:bookmarkEnd w:id="1068"/>
      <w:bookmarkEnd w:id="1070"/>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投资性房地产计量模式 成本法计量 折旧或摊销方法</w:t>
      </w:r>
    </w:p>
    <w:p>
      <w:pPr>
        <w:pStyle w:val="Style32"/>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投资性房地产的预计使用寿命、净残值率及年折旧（摊销）率列示如下:</w:t>
      </w:r>
    </w:p>
    <w:tbl>
      <w:tblPr>
        <w:tblOverlap w:val="never"/>
        <w:jc w:val="center"/>
        <w:tblLayout w:type="fixed"/>
      </w:tblPr>
      <w:tblGrid>
        <w:gridCol w:w="2563"/>
        <w:gridCol w:w="2410"/>
        <w:gridCol w:w="2410"/>
        <w:gridCol w:w="227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预计净残值率</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after="479" w:line="1" w:lineRule="exact"/>
      </w:pPr>
    </w:p>
    <w:p>
      <w:pPr>
        <w:pStyle w:val="Style35"/>
        <w:keepNext/>
        <w:keepLines/>
        <w:widowControl w:val="0"/>
        <w:shd w:val="clear" w:color="auto" w:fill="auto"/>
        <w:bidi w:val="0"/>
        <w:spacing w:before="0" w:after="220" w:line="408" w:lineRule="exact"/>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071"/>
      <w:bookmarkEnd w:id="1072"/>
      <w:bookmarkEnd w:id="1074"/>
    </w:p>
    <w:p>
      <w:pPr>
        <w:pStyle w:val="Style48"/>
        <w:keepNext/>
        <w:keepLines/>
        <w:widowControl w:val="0"/>
        <w:shd w:val="clear" w:color="auto" w:fill="auto"/>
        <w:bidi w:val="0"/>
        <w:spacing w:before="0" w:after="280" w:line="408" w:lineRule="exact"/>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75"/>
      <w:bookmarkEnd w:id="1076"/>
      <w:bookmarkEnd w:id="1078"/>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38"/>
        <w:keepNext w:val="0"/>
        <w:keepLines w:val="0"/>
        <w:widowControl w:val="0"/>
        <w:shd w:val="clear" w:color="auto" w:fill="auto"/>
        <w:tabs>
          <w:tab w:pos="804" w:val="left"/>
        </w:tabs>
        <w:bidi w:val="0"/>
        <w:spacing w:before="0" w:after="0" w:line="408" w:lineRule="exact"/>
        <w:ind w:left="0" w:right="0" w:firstLine="440"/>
        <w:jc w:val="both"/>
      </w:pPr>
      <w:bookmarkStart w:id="1079" w:name="bookmark1079"/>
      <w:r>
        <w:rPr>
          <w:rFonts w:ascii="Times New Roman" w:eastAsia="Times New Roman" w:hAnsi="Times New Roman" w:cs="Times New Roman"/>
          <w:color w:val="000000"/>
          <w:spacing w:val="0"/>
          <w:w w:val="100"/>
          <w:position w:val="0"/>
        </w:rPr>
        <w:t>1</w:t>
      </w:r>
      <w:bookmarkEnd w:id="1079"/>
      <w:r>
        <w:rPr>
          <w:color w:val="000000"/>
          <w:spacing w:val="0"/>
          <w:w w:val="100"/>
          <w:position w:val="0"/>
        </w:rPr>
        <w:t>）</w:t>
        <w:tab/>
        <w:t>与该固定资产有关的经济利益很可能流入企业；</w:t>
      </w:r>
    </w:p>
    <w:p>
      <w:pPr>
        <w:pStyle w:val="Style38"/>
        <w:keepNext w:val="0"/>
        <w:keepLines w:val="0"/>
        <w:widowControl w:val="0"/>
        <w:shd w:val="clear" w:color="auto" w:fill="auto"/>
        <w:tabs>
          <w:tab w:pos="823" w:val="left"/>
        </w:tabs>
        <w:bidi w:val="0"/>
        <w:spacing w:before="0" w:after="360" w:line="408" w:lineRule="exact"/>
        <w:ind w:left="0" w:right="0" w:firstLine="440"/>
        <w:jc w:val="both"/>
      </w:pPr>
      <w:bookmarkStart w:id="1080" w:name="bookmark1080"/>
      <w:r>
        <w:rPr>
          <w:rFonts w:ascii="Times New Roman" w:eastAsia="Times New Roman" w:hAnsi="Times New Roman" w:cs="Times New Roman"/>
          <w:color w:val="000000"/>
          <w:spacing w:val="0"/>
          <w:w w:val="100"/>
          <w:position w:val="0"/>
        </w:rPr>
        <w:t>2</w:t>
      </w:r>
      <w:bookmarkEnd w:id="1080"/>
      <w:r>
        <w:rPr>
          <w:color w:val="000000"/>
          <w:spacing w:val="0"/>
          <w:w w:val="100"/>
          <w:position w:val="0"/>
        </w:rPr>
        <w:t>）</w:t>
        <w:tab/>
        <w:t>该固定资产的成本能够可靠地计量。</w:t>
      </w:r>
    </w:p>
    <w:p>
      <w:pPr>
        <w:pStyle w:val="Style32"/>
        <w:keepNext w:val="0"/>
        <w:keepLines w:val="0"/>
        <w:widowControl w:val="0"/>
        <w:shd w:val="clear" w:color="auto" w:fill="auto"/>
        <w:bidi w:val="0"/>
        <w:spacing w:before="0" w:after="0" w:line="240" w:lineRule="auto"/>
        <w:ind w:left="96" w:right="0" w:firstLine="0"/>
        <w:jc w:val="left"/>
        <w:rPr>
          <w:sz w:val="20"/>
          <w:szCs w:val="20"/>
        </w:rPr>
      </w:pPr>
      <w:bookmarkStart w:id="1081" w:name="bookmark108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1081"/>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9.5-31.67</w:t>
            </w:r>
          </w:p>
        </w:tc>
      </w:tr>
    </w:tbl>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bl>
    <w:p>
      <w:pPr>
        <w:widowControl w:val="0"/>
        <w:spacing w:after="179" w:line="1" w:lineRule="exact"/>
      </w:pPr>
    </w:p>
    <w:p>
      <w:pPr>
        <w:pStyle w:val="Style48"/>
        <w:keepNext/>
        <w:keepLines/>
        <w:widowControl w:val="0"/>
        <w:shd w:val="clear" w:color="auto" w:fill="auto"/>
        <w:bidi w:val="0"/>
        <w:spacing w:before="0" w:after="280" w:line="401" w:lineRule="exact"/>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82"/>
      <w:bookmarkEnd w:id="1083"/>
      <w:bookmarkEnd w:id="1085"/>
    </w:p>
    <w:p>
      <w:pPr>
        <w:pStyle w:val="Style38"/>
        <w:keepNext w:val="0"/>
        <w:keepLines w:val="0"/>
        <w:widowControl w:val="0"/>
        <w:shd w:val="clear" w:color="auto" w:fill="auto"/>
        <w:bidi w:val="0"/>
        <w:spacing w:before="0" w:after="380" w:line="401" w:lineRule="exact"/>
        <w:ind w:left="0" w:right="0" w:firstLine="440"/>
        <w:jc w:val="both"/>
      </w:pPr>
      <w:r>
        <w:rPr>
          <w:color w:val="000000"/>
          <w:spacing w:val="0"/>
          <w:w w:val="100"/>
          <w:position w:val="0"/>
        </w:rPr>
        <w:t>当公司租入的固定资产符合下列一项或数项标准时，确认为融资租入固定资产：</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 租赁资产的所有权转移给公司。</w:t>
      </w:r>
      <w:r>
        <w:rPr>
          <w:rFonts w:ascii="Times New Roman" w:eastAsia="Times New Roman" w:hAnsi="Times New Roman" w:cs="Times New Roman"/>
          <w:color w:val="000000"/>
          <w:spacing w:val="0"/>
          <w:w w:val="100"/>
          <w:position w:val="0"/>
        </w:rPr>
        <w:t>2</w:t>
      </w:r>
      <w:r>
        <w:rPr>
          <w:color w:val="000000"/>
          <w:spacing w:val="0"/>
          <w:w w:val="100"/>
          <w:position w:val="0"/>
        </w:rPr>
        <w:t>）公司有购买租赁资产的选择权，所订立的购买价款预计将远低于行使 选择权时租赁资产的公允价值，因而在租赁开始日就可以合理确定公司将会行使这种选择权。</w:t>
      </w:r>
      <w:r>
        <w:rPr>
          <w:rFonts w:ascii="Times New Roman" w:eastAsia="Times New Roman" w:hAnsi="Times New Roman" w:cs="Times New Roman"/>
          <w:color w:val="000000"/>
          <w:spacing w:val="0"/>
          <w:w w:val="100"/>
          <w:position w:val="0"/>
        </w:rPr>
        <w:t>3</w:t>
      </w:r>
      <w:r>
        <w:rPr>
          <w:color w:val="000000"/>
          <w:spacing w:val="0"/>
          <w:w w:val="100"/>
          <w:position w:val="0"/>
        </w:rPr>
        <w:t>）即使资 产的所有权不转移，但租赁期占租赁资产使用寿命的大部分。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）公司在租赁开始日的最低租赁付款额现 值，几乎相当于租赁开始日租赁资产公允价值。</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）租赁资产性质特殊，如果不作较大改造，只有公司才 能使用。</w:t>
      </w:r>
    </w:p>
    <w:p>
      <w:pPr>
        <w:pStyle w:val="Style38"/>
        <w:keepNext w:val="0"/>
        <w:keepLines w:val="0"/>
        <w:widowControl w:val="0"/>
        <w:shd w:val="clear" w:color="auto" w:fill="auto"/>
        <w:bidi w:val="0"/>
        <w:spacing w:before="0" w:after="380" w:line="402" w:lineRule="exact"/>
        <w:ind w:left="0" w:right="0" w:firstLine="440"/>
        <w:jc w:val="both"/>
      </w:pPr>
      <w:r>
        <w:rPr>
          <w:color w:val="000000"/>
          <w:spacing w:val="0"/>
          <w:w w:val="100"/>
          <w:position w:val="0"/>
        </w:rPr>
        <w:t>融资租赁租入的固定资产，按租赁开始日租赁资产公允价值与最低租赁付款额的 现值两者中较低 者，作为入账价值。最低租赁付款额作为长期应付款的入账价值，其差额作为未确认融资费用。在租赁谈 判和签订租赁合同过程中发生的，可归属于租赁项目的手续费、律师费、差旅费、印花税等初始直接费用， 计入租入资产价值。未确认融资费用在租赁期内各个期间采用实际利率法进行分摊。</w:t>
      </w:r>
    </w:p>
    <w:p>
      <w:pPr>
        <w:pStyle w:val="Style38"/>
        <w:keepNext w:val="0"/>
        <w:keepLines w:val="0"/>
        <w:widowControl w:val="0"/>
        <w:shd w:val="clear" w:color="auto" w:fill="auto"/>
        <w:bidi w:val="0"/>
        <w:spacing w:before="0" w:after="180" w:line="398" w:lineRule="exact"/>
        <w:ind w:left="0" w:right="0" w:firstLine="440"/>
        <w:jc w:val="both"/>
      </w:pPr>
      <w:r>
        <w:rPr>
          <w:color w:val="000000"/>
          <w:spacing w:val="0"/>
          <w:w w:val="100"/>
          <w:position w:val="0"/>
        </w:rPr>
        <w:t>公司采用与自有固定资产相一致的折旧政策计提融资租入固定资产折旧。能够合理确定租赁期届满时 取得租赁资产所有权的，在租赁资产使用寿命内计提折旧。无法合理确定租赁期届满时能够取得租赁资产 所有权的，在租赁期与租赁资产使用寿命两者中较短的期间内计提折旧。</w:t>
      </w:r>
    </w:p>
    <w:p>
      <w:pPr>
        <w:pStyle w:val="Style35"/>
        <w:keepNext/>
        <w:keepLines/>
        <w:widowControl w:val="0"/>
        <w:shd w:val="clear" w:color="auto" w:fill="auto"/>
        <w:tabs>
          <w:tab w:pos="445" w:val="left"/>
        </w:tabs>
        <w:bidi w:val="0"/>
        <w:spacing w:before="0" w:after="460" w:line="401" w:lineRule="exact"/>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1086"/>
      <w:bookmarkEnd w:id="1087"/>
      <w:bookmarkEnd w:id="1089"/>
    </w:p>
    <w:p>
      <w:pPr>
        <w:pStyle w:val="Style35"/>
        <w:keepNext/>
        <w:keepLines/>
        <w:widowControl w:val="0"/>
        <w:numPr>
          <w:ilvl w:val="0"/>
          <w:numId w:val="63"/>
        </w:numPr>
        <w:shd w:val="clear" w:color="auto" w:fill="auto"/>
        <w:tabs>
          <w:tab w:pos="737" w:val="left"/>
        </w:tabs>
        <w:bidi w:val="0"/>
        <w:spacing w:before="0" w:after="0" w:line="420" w:lineRule="auto"/>
        <w:ind w:left="0" w:right="0" w:firstLine="440"/>
        <w:jc w:val="left"/>
      </w:pPr>
      <w:bookmarkStart w:id="1086" w:name="bookmark1086"/>
      <w:bookmarkStart w:id="1087" w:name="bookmark1087"/>
      <w:bookmarkStart w:id="1090" w:name="bookmark1090"/>
      <w:bookmarkEnd w:id="1090"/>
      <w:r>
        <w:rPr>
          <w:color w:val="000000"/>
          <w:spacing w:val="0"/>
          <w:w w:val="100"/>
          <w:position w:val="0"/>
        </w:rPr>
        <w:t>在建工程初始计量</w:t>
      </w:r>
      <w:bookmarkEnd w:id="1086"/>
      <w:bookmarkEnd w:id="1087"/>
    </w:p>
    <w:p>
      <w:pPr>
        <w:pStyle w:val="Style38"/>
        <w:keepNext w:val="0"/>
        <w:keepLines w:val="0"/>
        <w:widowControl w:val="0"/>
        <w:shd w:val="clear" w:color="auto" w:fill="auto"/>
        <w:bidi w:val="0"/>
        <w:spacing w:before="0" w:after="180" w:line="403" w:lineRule="exact"/>
        <w:ind w:left="0" w:right="0" w:firstLine="440"/>
        <w:jc w:val="left"/>
      </w:pPr>
      <w:r>
        <w:rPr>
          <w:color w:val="000000"/>
          <w:spacing w:val="0"/>
          <w:w w:val="100"/>
          <w:position w:val="0"/>
        </w:rPr>
        <w:t>公司自行建造的在建工程按实际成本计价，实际成本由建造该项资产达到预定可使用状态前所发生的 必要支出构成，包括工程用物资成本、人工成本、交纳的相关税费、应予资本化的借款费用以及应分摊的 间接费用等。</w:t>
      </w:r>
    </w:p>
    <w:p>
      <w:pPr>
        <w:pStyle w:val="Style38"/>
        <w:keepNext w:val="0"/>
        <w:keepLines w:val="0"/>
        <w:widowControl w:val="0"/>
        <w:numPr>
          <w:ilvl w:val="0"/>
          <w:numId w:val="63"/>
        </w:numPr>
        <w:shd w:val="clear" w:color="auto" w:fill="auto"/>
        <w:tabs>
          <w:tab w:pos="746" w:val="left"/>
        </w:tabs>
        <w:bidi w:val="0"/>
        <w:spacing w:before="0" w:after="0" w:line="420" w:lineRule="auto"/>
        <w:ind w:left="0" w:right="0" w:firstLine="440"/>
        <w:jc w:val="left"/>
      </w:pPr>
      <w:bookmarkStart w:id="1091" w:name="bookmark1091"/>
      <w:bookmarkEnd w:id="1091"/>
      <w:r>
        <w:rPr>
          <w:b/>
          <w:bCs/>
          <w:color w:val="000000"/>
          <w:spacing w:val="0"/>
          <w:w w:val="100"/>
          <w:position w:val="0"/>
        </w:rPr>
        <w:t>在建工程结转为固定资产的标准和时点</w:t>
      </w:r>
    </w:p>
    <w:p>
      <w:pPr>
        <w:pStyle w:val="Style38"/>
        <w:keepNext w:val="0"/>
        <w:keepLines w:val="0"/>
        <w:widowControl w:val="0"/>
        <w:shd w:val="clear" w:color="auto" w:fill="auto"/>
        <w:bidi w:val="0"/>
        <w:spacing w:before="0" w:after="180" w:line="312" w:lineRule="exact"/>
        <w:ind w:left="0" w:right="0" w:firstLine="440"/>
        <w:jc w:val="left"/>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工程预算、造价或者工程实际成本等，按估计的价值转入固定资产，并按公司固定资产折旧政策计提固定 资产的折旧，待办理竣工决算后，再按实际成本调整原来的暂估价值，但不调整原己计提的折旧额。</w:t>
      </w:r>
    </w:p>
    <w:p>
      <w:pPr>
        <w:pStyle w:val="Style35"/>
        <w:keepNext/>
        <w:keepLines/>
        <w:widowControl w:val="0"/>
        <w:shd w:val="clear" w:color="auto" w:fill="auto"/>
        <w:tabs>
          <w:tab w:pos="445" w:val="left"/>
        </w:tabs>
        <w:bidi w:val="0"/>
        <w:spacing w:before="0" w:after="460" w:line="401" w:lineRule="exact"/>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bookmarkEnd w:id="1094"/>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1092"/>
      <w:bookmarkEnd w:id="1093"/>
      <w:bookmarkEnd w:id="1095"/>
    </w:p>
    <w:p>
      <w:pPr>
        <w:pStyle w:val="Style35"/>
        <w:keepNext/>
        <w:keepLines/>
        <w:widowControl w:val="0"/>
        <w:numPr>
          <w:ilvl w:val="0"/>
          <w:numId w:val="65"/>
        </w:numPr>
        <w:shd w:val="clear" w:color="auto" w:fill="auto"/>
        <w:bidi w:val="0"/>
        <w:spacing w:before="0" w:after="340" w:line="240" w:lineRule="auto"/>
        <w:ind w:left="0" w:right="0" w:firstLine="440"/>
        <w:jc w:val="both"/>
      </w:pPr>
      <w:bookmarkStart w:id="1092" w:name="bookmark1092"/>
      <w:bookmarkStart w:id="1093" w:name="bookmark1093"/>
      <w:bookmarkStart w:id="1096" w:name="bookmark1096"/>
      <w:bookmarkEnd w:id="1096"/>
      <w:r>
        <w:rPr>
          <w:color w:val="000000"/>
          <w:spacing w:val="0"/>
          <w:w w:val="100"/>
          <w:position w:val="0"/>
        </w:rPr>
        <w:t>借款费用资本化的确认原则</w:t>
      </w:r>
      <w:bookmarkEnd w:id="1092"/>
      <w:bookmarkEnd w:id="1093"/>
    </w:p>
    <w:p>
      <w:pPr>
        <w:pStyle w:val="Style38"/>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38"/>
        <w:keepNext w:val="0"/>
        <w:keepLines w:val="0"/>
        <w:widowControl w:val="0"/>
        <w:shd w:val="clear" w:color="auto" w:fill="auto"/>
        <w:bidi w:val="0"/>
        <w:spacing w:before="0" w:after="0" w:line="398"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8"/>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借款费用同时满足下列条件时开始资本化：</w:t>
      </w:r>
    </w:p>
    <w:p>
      <w:pPr>
        <w:pStyle w:val="Style38"/>
        <w:keepNext w:val="0"/>
        <w:keepLines w:val="0"/>
        <w:widowControl w:val="0"/>
        <w:shd w:val="clear" w:color="auto" w:fill="auto"/>
        <w:tabs>
          <w:tab w:pos="1016" w:val="left"/>
        </w:tabs>
        <w:bidi w:val="0"/>
        <w:spacing w:before="0" w:after="0" w:line="398" w:lineRule="exact"/>
        <w:ind w:left="0" w:right="0" w:firstLine="440"/>
        <w:jc w:val="both"/>
      </w:pPr>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8"/>
        <w:keepNext w:val="0"/>
        <w:keepLines w:val="0"/>
        <w:widowControl w:val="0"/>
        <w:shd w:val="clear" w:color="auto" w:fill="auto"/>
        <w:tabs>
          <w:tab w:pos="928" w:val="left"/>
        </w:tabs>
        <w:bidi w:val="0"/>
        <w:spacing w:before="0" w:after="0" w:line="403" w:lineRule="exact"/>
        <w:ind w:left="0" w:right="0" w:firstLine="440"/>
        <w:jc w:val="both"/>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8"/>
        <w:keepNext w:val="0"/>
        <w:keepLines w:val="0"/>
        <w:widowControl w:val="0"/>
        <w:shd w:val="clear" w:color="auto" w:fill="auto"/>
        <w:tabs>
          <w:tab w:pos="928" w:val="left"/>
        </w:tabs>
        <w:bidi w:val="0"/>
        <w:spacing w:before="0" w:after="160" w:line="403" w:lineRule="exact"/>
        <w:ind w:left="0" w:right="0" w:firstLine="440"/>
        <w:jc w:val="left"/>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8"/>
        <w:keepNext w:val="0"/>
        <w:keepLines w:val="0"/>
        <w:widowControl w:val="0"/>
        <w:numPr>
          <w:ilvl w:val="0"/>
          <w:numId w:val="67"/>
        </w:numPr>
        <w:shd w:val="clear" w:color="auto" w:fill="auto"/>
        <w:tabs>
          <w:tab w:pos="784" w:val="left"/>
        </w:tabs>
        <w:bidi w:val="0"/>
        <w:spacing w:before="0" w:after="0" w:line="420" w:lineRule="auto"/>
        <w:ind w:left="0" w:right="0" w:firstLine="440"/>
        <w:jc w:val="both"/>
      </w:pPr>
      <w:bookmarkStart w:id="1100" w:name="bookmark1100"/>
      <w:bookmarkEnd w:id="1100"/>
      <w:r>
        <w:rPr>
          <w:b/>
          <w:bCs/>
          <w:color w:val="000000"/>
          <w:spacing w:val="0"/>
          <w:w w:val="100"/>
          <w:position w:val="0"/>
        </w:rPr>
        <w:t>借款费用资本化期间</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8"/>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8"/>
        <w:keepNext w:val="0"/>
        <w:keepLines w:val="0"/>
        <w:widowControl w:val="0"/>
        <w:numPr>
          <w:ilvl w:val="0"/>
          <w:numId w:val="67"/>
        </w:numPr>
        <w:shd w:val="clear" w:color="auto" w:fill="auto"/>
        <w:tabs>
          <w:tab w:pos="784" w:val="left"/>
        </w:tabs>
        <w:bidi w:val="0"/>
        <w:spacing w:before="0" w:after="0" w:line="420" w:lineRule="auto"/>
        <w:ind w:left="0" w:right="0" w:firstLine="440"/>
        <w:jc w:val="both"/>
      </w:pPr>
      <w:bookmarkStart w:id="1101" w:name="bookmark1101"/>
      <w:bookmarkEnd w:id="1101"/>
      <w:r>
        <w:rPr>
          <w:b/>
          <w:bCs/>
          <w:color w:val="000000"/>
          <w:spacing w:val="0"/>
          <w:w w:val="100"/>
          <w:position w:val="0"/>
        </w:rPr>
        <w:t>暂停资本化期间</w:t>
      </w:r>
    </w:p>
    <w:p>
      <w:pPr>
        <w:pStyle w:val="Style38"/>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8"/>
        <w:keepNext w:val="0"/>
        <w:keepLines w:val="0"/>
        <w:widowControl w:val="0"/>
        <w:numPr>
          <w:ilvl w:val="0"/>
          <w:numId w:val="67"/>
        </w:numPr>
        <w:shd w:val="clear" w:color="auto" w:fill="auto"/>
        <w:tabs>
          <w:tab w:pos="784" w:val="left"/>
        </w:tabs>
        <w:bidi w:val="0"/>
        <w:spacing w:before="0" w:after="0" w:line="420" w:lineRule="auto"/>
        <w:ind w:left="0" w:right="0" w:firstLine="440"/>
        <w:jc w:val="both"/>
      </w:pPr>
      <w:bookmarkStart w:id="1102" w:name="bookmark1102"/>
      <w:bookmarkEnd w:id="1102"/>
      <w:r>
        <w:rPr>
          <w:b/>
          <w:bCs/>
          <w:color w:val="000000"/>
          <w:spacing w:val="0"/>
          <w:w w:val="100"/>
          <w:position w:val="0"/>
        </w:rPr>
        <w:t>借款费用资本化金额的计算方法</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8"/>
        <w:keepNext w:val="0"/>
        <w:keepLines w:val="0"/>
        <w:widowControl w:val="0"/>
        <w:shd w:val="clear" w:color="auto" w:fill="auto"/>
        <w:bidi w:val="0"/>
        <w:spacing w:before="0" w:after="380" w:line="403"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5"/>
        <w:keepNext/>
        <w:keepLines/>
        <w:widowControl w:val="0"/>
        <w:shd w:val="clear" w:color="auto" w:fill="auto"/>
        <w:bidi w:val="0"/>
        <w:spacing w:before="0" w:after="0" w:line="42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103"/>
      <w:bookmarkEnd w:id="1104"/>
      <w:bookmarkEnd w:id="1106"/>
    </w:p>
    <w:p>
      <w:pPr>
        <w:pStyle w:val="Style48"/>
        <w:keepNext/>
        <w:keepLines/>
        <w:widowControl w:val="0"/>
        <w:shd w:val="clear" w:color="auto" w:fill="auto"/>
        <w:bidi w:val="0"/>
        <w:spacing w:before="0" w:after="280" w:line="403" w:lineRule="exact"/>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07"/>
      <w:bookmarkEnd w:id="1108"/>
      <w:bookmarkEnd w:id="1110"/>
    </w:p>
    <w:p>
      <w:pPr>
        <w:pStyle w:val="Style38"/>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 xml:space="preserve">无形资产是指公司拥有或者控制的没有实物形态的可辨认非货币性资产，包括土地使用权、软件及软 </w:t>
      </w:r>
      <w:r>
        <w:rPr>
          <w:color w:val="000000"/>
          <w:spacing w:val="0"/>
          <w:w w:val="100"/>
          <w:position w:val="0"/>
        </w:rPr>
        <w:t>件著作权、商标权、专利技术等。</w:t>
      </w:r>
    </w:p>
    <w:p>
      <w:pPr>
        <w:pStyle w:val="Style38"/>
        <w:keepNext w:val="0"/>
        <w:keepLines w:val="0"/>
        <w:widowControl w:val="0"/>
        <w:numPr>
          <w:ilvl w:val="0"/>
          <w:numId w:val="69"/>
        </w:numPr>
        <w:shd w:val="clear" w:color="auto" w:fill="auto"/>
        <w:tabs>
          <w:tab w:pos="774" w:val="left"/>
        </w:tabs>
        <w:bidi w:val="0"/>
        <w:spacing w:before="0" w:after="0" w:line="418" w:lineRule="auto"/>
        <w:ind w:left="0" w:right="0" w:firstLine="440"/>
        <w:jc w:val="both"/>
      </w:pPr>
      <w:bookmarkStart w:id="1111" w:name="bookmark1111"/>
      <w:bookmarkEnd w:id="1111"/>
      <w:r>
        <w:rPr>
          <w:b/>
          <w:bCs/>
          <w:color w:val="000000"/>
          <w:spacing w:val="0"/>
          <w:w w:val="100"/>
          <w:position w:val="0"/>
        </w:rPr>
        <w:t>无形资产的初始计量</w:t>
      </w:r>
    </w:p>
    <w:p>
      <w:pPr>
        <w:pStyle w:val="Style38"/>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8"/>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8"/>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8"/>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8"/>
        <w:keepNext w:val="0"/>
        <w:keepLines w:val="0"/>
        <w:widowControl w:val="0"/>
        <w:shd w:val="clear" w:color="auto" w:fill="auto"/>
        <w:bidi w:val="0"/>
        <w:spacing w:before="0" w:after="160" w:line="399"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8"/>
        <w:keepNext w:val="0"/>
        <w:keepLines w:val="0"/>
        <w:widowControl w:val="0"/>
        <w:numPr>
          <w:ilvl w:val="0"/>
          <w:numId w:val="69"/>
        </w:numPr>
        <w:shd w:val="clear" w:color="auto" w:fill="auto"/>
        <w:tabs>
          <w:tab w:pos="784" w:val="left"/>
        </w:tabs>
        <w:bidi w:val="0"/>
        <w:spacing w:before="0" w:after="0" w:line="418" w:lineRule="auto"/>
        <w:ind w:left="0" w:right="0" w:firstLine="440"/>
        <w:jc w:val="both"/>
      </w:pPr>
      <w:bookmarkStart w:id="1112" w:name="bookmark1112"/>
      <w:bookmarkEnd w:id="1112"/>
      <w:r>
        <w:rPr>
          <w:b/>
          <w:bCs/>
          <w:color w:val="000000"/>
          <w:spacing w:val="0"/>
          <w:w w:val="100"/>
          <w:position w:val="0"/>
        </w:rPr>
        <w:t>无形资产的后续计量</w:t>
      </w:r>
    </w:p>
    <w:p>
      <w:pPr>
        <w:pStyle w:val="Style38"/>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公司在取得无形资产时分析判断其使用寿命，划分为使用寿命有限和使用寿命不确定的无形资产。</w:t>
      </w:r>
    </w:p>
    <w:p>
      <w:pPr>
        <w:pStyle w:val="Style38"/>
        <w:keepNext w:val="0"/>
        <w:keepLines w:val="0"/>
        <w:widowControl w:val="0"/>
        <w:shd w:val="clear" w:color="auto" w:fill="auto"/>
        <w:bidi w:val="0"/>
        <w:spacing w:before="0" w:after="0" w:line="399" w:lineRule="exact"/>
        <w:ind w:left="0" w:right="0" w:firstLine="440"/>
        <w:jc w:val="both"/>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32"/>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对于使用寿命有限的无形资产，在为企业带来经济利益的期限内按直线法摊销。使用寿命有限的无形 资产预计寿命及依据如下：</w:t>
      </w:r>
    </w:p>
    <w:tbl>
      <w:tblPr>
        <w:tblOverlap w:val="never"/>
        <w:jc w:val="center"/>
        <w:tblLayout w:type="fixed"/>
      </w:tblPr>
      <w:tblGrid>
        <w:gridCol w:w="3269"/>
        <w:gridCol w:w="3120"/>
        <w:gridCol w:w="326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bl>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每期末，对使用寿命有限的无形资产的使用寿命及摊销方法进行复核，如与原先估计数存在差异的,</w:t>
      </w:r>
    </w:p>
    <w:p>
      <w:pPr>
        <w:pStyle w:val="Style38"/>
        <w:keepNext w:val="0"/>
        <w:keepLines w:val="0"/>
        <w:widowControl w:val="0"/>
        <w:shd w:val="clear" w:color="auto" w:fill="auto"/>
        <w:bidi w:val="0"/>
        <w:spacing w:before="0" w:after="0" w:line="401" w:lineRule="exact"/>
        <w:ind w:left="0" w:right="0" w:firstLine="0"/>
        <w:jc w:val="both"/>
      </w:pPr>
      <w:r>
        <w:rPr>
          <w:color w:val="000000"/>
          <w:spacing w:val="0"/>
          <w:w w:val="100"/>
          <w:position w:val="0"/>
        </w:rPr>
        <w:t>进行相应的调整。</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经复核，本期期末无形资产的使用寿命及摊销方法与以前估计未有不同。</w:t>
      </w:r>
    </w:p>
    <w:p>
      <w:pPr>
        <w:pStyle w:val="Style38"/>
        <w:keepNext w:val="0"/>
        <w:keepLines w:val="0"/>
        <w:widowControl w:val="0"/>
        <w:shd w:val="clear" w:color="auto" w:fill="auto"/>
        <w:bidi w:val="0"/>
        <w:spacing w:before="0" w:after="0" w:line="401" w:lineRule="exact"/>
        <w:ind w:left="0" w:right="0" w:firstLine="44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）使用寿命不确定的无形资产</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无法预见无形资产为企业带来经济利益期限的，视为使用寿命不确定的无形资产。对于使用寿命不确 定的无形资产，在持有期间内不摊销，每期末对无形资产的寿命进行复核。如果期末重新复核后仍为不确 定的，在每个会计期间继续进行减值测试。</w:t>
      </w:r>
    </w:p>
    <w:p>
      <w:pPr>
        <w:pStyle w:val="Style48"/>
        <w:keepNext/>
        <w:keepLines/>
        <w:widowControl w:val="0"/>
        <w:numPr>
          <w:ilvl w:val="0"/>
          <w:numId w:val="71"/>
        </w:numPr>
        <w:shd w:val="clear" w:color="auto" w:fill="auto"/>
        <w:bidi w:val="0"/>
        <w:spacing w:before="0" w:after="300" w:line="404" w:lineRule="exact"/>
        <w:ind w:left="0" w:right="0" w:firstLine="0"/>
        <w:jc w:val="both"/>
      </w:pPr>
      <w:bookmarkStart w:id="1115" w:name="bookmark1115"/>
      <w:bookmarkStart w:id="1116" w:name="bookmark1116"/>
      <w:bookmarkStart w:id="1117" w:name="bookmark1117"/>
      <w:bookmarkStart w:id="1118" w:name="bookmark1118"/>
      <w:bookmarkEnd w:id="1117"/>
      <w:r>
        <w:rPr>
          <w:color w:val="000000"/>
          <w:spacing w:val="0"/>
          <w:w w:val="100"/>
          <w:position w:val="0"/>
        </w:rPr>
        <w:t>内部研究开发支出会计政策</w:t>
      </w:r>
      <w:bookmarkEnd w:id="1115"/>
      <w:bookmarkEnd w:id="1116"/>
      <w:bookmarkEnd w:id="1118"/>
    </w:p>
    <w:p>
      <w:pPr>
        <w:pStyle w:val="Style48"/>
        <w:keepNext/>
        <w:keepLines/>
        <w:widowControl w:val="0"/>
        <w:numPr>
          <w:ilvl w:val="0"/>
          <w:numId w:val="73"/>
        </w:numPr>
        <w:shd w:val="clear" w:color="auto" w:fill="auto"/>
        <w:tabs>
          <w:tab w:pos="774" w:val="left"/>
        </w:tabs>
        <w:bidi w:val="0"/>
        <w:spacing w:before="0" w:after="0" w:line="404" w:lineRule="exact"/>
        <w:ind w:left="0" w:right="0" w:firstLine="440"/>
        <w:jc w:val="both"/>
      </w:pPr>
      <w:bookmarkStart w:id="1115" w:name="bookmark1115"/>
      <w:bookmarkStart w:id="1116" w:name="bookmark1116"/>
      <w:bookmarkStart w:id="1119" w:name="bookmark1119"/>
      <w:bookmarkEnd w:id="1119"/>
      <w:r>
        <w:rPr>
          <w:color w:val="000000"/>
          <w:spacing w:val="0"/>
          <w:w w:val="100"/>
          <w:position w:val="0"/>
        </w:rPr>
        <w:t>划分公司内部研究开发项目的研究阶段和开发阶段具体标准</w:t>
      </w:r>
      <w:bookmarkEnd w:id="1115"/>
      <w:bookmarkEnd w:id="1116"/>
    </w:p>
    <w:p>
      <w:pPr>
        <w:pStyle w:val="Style38"/>
        <w:keepNext w:val="0"/>
        <w:keepLines w:val="0"/>
        <w:widowControl w:val="0"/>
        <w:shd w:val="clear" w:color="auto" w:fill="auto"/>
        <w:bidi w:val="0"/>
        <w:spacing w:before="0" w:after="0" w:line="404" w:lineRule="exact"/>
        <w:ind w:left="0" w:right="0" w:firstLine="440"/>
        <w:jc w:val="both"/>
      </w:pPr>
      <w:r>
        <w:rPr>
          <w:color w:val="000000"/>
          <w:spacing w:val="0"/>
          <w:w w:val="100"/>
          <w:position w:val="0"/>
        </w:rPr>
        <w:t>研究阶段：为研发项目而进行的前期市场调研和项目可行性论证的阶段，公司以《研发项目立项申请 书》上项目立项申请审核通过时间作为研发项目进入研究阶段的标准。</w:t>
      </w:r>
    </w:p>
    <w:p>
      <w:pPr>
        <w:pStyle w:val="Style38"/>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开发阶段：研发项目经审批正式确认立项后即进入开发阶段，开发阶段以《项目立项报告》上的立项 时间作为进入开发阶段的标准。</w:t>
      </w:r>
    </w:p>
    <w:p>
      <w:pPr>
        <w:pStyle w:val="Style38"/>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内部研究开发项目研究阶段的支出，在发生时计入当期损益。</w:t>
      </w:r>
    </w:p>
    <w:p>
      <w:pPr>
        <w:pStyle w:val="Style38"/>
        <w:keepNext w:val="0"/>
        <w:keepLines w:val="0"/>
        <w:widowControl w:val="0"/>
        <w:numPr>
          <w:ilvl w:val="0"/>
          <w:numId w:val="73"/>
        </w:numPr>
        <w:shd w:val="clear" w:color="auto" w:fill="auto"/>
        <w:tabs>
          <w:tab w:pos="784" w:val="left"/>
        </w:tabs>
        <w:bidi w:val="0"/>
        <w:spacing w:before="0" w:after="0" w:line="404" w:lineRule="exact"/>
        <w:ind w:left="0" w:right="0" w:firstLine="440"/>
        <w:jc w:val="both"/>
      </w:pPr>
      <w:bookmarkStart w:id="1120" w:name="bookmark1120"/>
      <w:bookmarkEnd w:id="1120"/>
      <w:r>
        <w:rPr>
          <w:b/>
          <w:bCs/>
          <w:color w:val="000000"/>
          <w:spacing w:val="0"/>
          <w:w w:val="100"/>
          <w:position w:val="0"/>
        </w:rPr>
        <w:t>开发阶段支出符合资本化的具体标准</w:t>
      </w:r>
    </w:p>
    <w:p>
      <w:pPr>
        <w:pStyle w:val="Style38"/>
        <w:keepNext w:val="0"/>
        <w:keepLines w:val="0"/>
        <w:widowControl w:val="0"/>
        <w:shd w:val="clear" w:color="auto" w:fill="auto"/>
        <w:bidi w:val="0"/>
        <w:spacing w:before="0" w:after="0" w:line="404" w:lineRule="exact"/>
        <w:ind w:left="0" w:right="0" w:firstLine="440"/>
        <w:jc w:val="left"/>
      </w:pPr>
      <w:r>
        <w:rPr>
          <w:color w:val="000000"/>
          <w:spacing w:val="0"/>
          <w:w w:val="100"/>
          <w:position w:val="0"/>
        </w:rPr>
        <w:t>内部研究开发项目开发阶段的支出，同时满足下列条件时确认为无形资产：</w:t>
      </w:r>
    </w:p>
    <w:p>
      <w:pPr>
        <w:pStyle w:val="Style38"/>
        <w:keepNext w:val="0"/>
        <w:keepLines w:val="0"/>
        <w:widowControl w:val="0"/>
        <w:numPr>
          <w:ilvl w:val="0"/>
          <w:numId w:val="75"/>
        </w:numPr>
        <w:shd w:val="clear" w:color="auto" w:fill="auto"/>
        <w:tabs>
          <w:tab w:pos="928" w:val="left"/>
        </w:tabs>
        <w:bidi w:val="0"/>
        <w:spacing w:before="0" w:after="0" w:line="404" w:lineRule="exact"/>
        <w:ind w:left="0" w:right="0" w:firstLine="440"/>
        <w:jc w:val="left"/>
      </w:pPr>
      <w:bookmarkStart w:id="1121" w:name="bookmark1121"/>
      <w:bookmarkEnd w:id="1121"/>
      <w:r>
        <w:rPr>
          <w:color w:val="000000"/>
          <w:spacing w:val="0"/>
          <w:w w:val="100"/>
          <w:position w:val="0"/>
        </w:rPr>
        <w:t>完成该无形资产以使其能够使用或出售在技术上具有可行性；</w:t>
      </w:r>
    </w:p>
    <w:p>
      <w:pPr>
        <w:pStyle w:val="Style38"/>
        <w:keepNext w:val="0"/>
        <w:keepLines w:val="0"/>
        <w:widowControl w:val="0"/>
        <w:numPr>
          <w:ilvl w:val="0"/>
          <w:numId w:val="75"/>
        </w:numPr>
        <w:shd w:val="clear" w:color="auto" w:fill="auto"/>
        <w:tabs>
          <w:tab w:pos="928" w:val="left"/>
        </w:tabs>
        <w:bidi w:val="0"/>
        <w:spacing w:before="0" w:after="0" w:line="404" w:lineRule="exact"/>
        <w:ind w:left="0" w:right="0" w:firstLine="440"/>
        <w:jc w:val="left"/>
      </w:pPr>
      <w:bookmarkStart w:id="1122" w:name="bookmark1122"/>
      <w:bookmarkEnd w:id="1122"/>
      <w:r>
        <w:rPr>
          <w:color w:val="000000"/>
          <w:spacing w:val="0"/>
          <w:w w:val="100"/>
          <w:position w:val="0"/>
        </w:rPr>
        <w:t>具有完成该无形资产并使用或出售的意图；</w:t>
      </w:r>
    </w:p>
    <w:p>
      <w:pPr>
        <w:pStyle w:val="Style38"/>
        <w:keepNext w:val="0"/>
        <w:keepLines w:val="0"/>
        <w:widowControl w:val="0"/>
        <w:numPr>
          <w:ilvl w:val="0"/>
          <w:numId w:val="75"/>
        </w:numPr>
        <w:shd w:val="clear" w:color="auto" w:fill="auto"/>
        <w:tabs>
          <w:tab w:pos="987" w:val="left"/>
        </w:tabs>
        <w:bidi w:val="0"/>
        <w:spacing w:before="0" w:after="0" w:line="404" w:lineRule="exact"/>
        <w:ind w:left="0" w:right="0" w:firstLine="440"/>
        <w:jc w:val="both"/>
      </w:pPr>
      <w:bookmarkStart w:id="1123" w:name="bookmark1123"/>
      <w:bookmarkEnd w:id="1123"/>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38"/>
        <w:keepNext w:val="0"/>
        <w:keepLines w:val="0"/>
        <w:widowControl w:val="0"/>
        <w:numPr>
          <w:ilvl w:val="0"/>
          <w:numId w:val="75"/>
        </w:numPr>
        <w:shd w:val="clear" w:color="auto" w:fill="auto"/>
        <w:tabs>
          <w:tab w:pos="1021" w:val="left"/>
        </w:tabs>
        <w:bidi w:val="0"/>
        <w:spacing w:before="0" w:after="0" w:line="404" w:lineRule="exact"/>
        <w:ind w:left="0" w:right="0" w:firstLine="440"/>
        <w:jc w:val="both"/>
      </w:pPr>
      <w:bookmarkStart w:id="1124" w:name="bookmark1124"/>
      <w:bookmarkEnd w:id="1124"/>
      <w:r>
        <w:rPr>
          <w:color w:val="000000"/>
          <w:spacing w:val="0"/>
          <w:w w:val="100"/>
          <w:position w:val="0"/>
        </w:rPr>
        <w:t>有足够的技术、财务资源和其他资源支持，以完成该无形资产的开发，并有能力使用或出售该 无形资产；</w:t>
      </w:r>
    </w:p>
    <w:p>
      <w:pPr>
        <w:pStyle w:val="Style38"/>
        <w:keepNext w:val="0"/>
        <w:keepLines w:val="0"/>
        <w:widowControl w:val="0"/>
        <w:numPr>
          <w:ilvl w:val="0"/>
          <w:numId w:val="75"/>
        </w:numPr>
        <w:shd w:val="clear" w:color="auto" w:fill="auto"/>
        <w:tabs>
          <w:tab w:pos="928" w:val="left"/>
        </w:tabs>
        <w:bidi w:val="0"/>
        <w:spacing w:before="0" w:after="0" w:line="404" w:lineRule="exact"/>
        <w:ind w:left="0" w:right="0" w:firstLine="440"/>
        <w:jc w:val="left"/>
      </w:pPr>
      <w:bookmarkStart w:id="1125" w:name="bookmark1125"/>
      <w:bookmarkEnd w:id="1125"/>
      <w:r>
        <w:rPr>
          <w:color w:val="000000"/>
          <w:spacing w:val="0"/>
          <w:w w:val="100"/>
          <w:position w:val="0"/>
        </w:rPr>
        <w:t>归属于该无形资产开发阶段的支出能够可靠地计量。</w:t>
      </w:r>
    </w:p>
    <w:p>
      <w:pPr>
        <w:pStyle w:val="Style38"/>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内部研究开发支出的资本化时点：开发项目在通过前期市场调研和项目可行性论证并报经公司批准 “项目立项”后即进入开发阶段，开发阶段以《项目立项报告》上的立项时间作为项目资本化的时点，整 个开发阶段分为项目立项、项目开发、项目验收、项目发布四个阶段。在项目完成验收之后确认为无形资 产。</w:t>
      </w:r>
    </w:p>
    <w:p>
      <w:pPr>
        <w:pStyle w:val="Style38"/>
        <w:keepNext w:val="0"/>
        <w:keepLines w:val="0"/>
        <w:widowControl w:val="0"/>
        <w:shd w:val="clear" w:color="auto" w:fill="auto"/>
        <w:bidi w:val="0"/>
        <w:spacing w:before="0" w:after="360" w:line="404"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5"/>
        <w:keepNext/>
        <w:keepLines/>
        <w:widowControl w:val="0"/>
        <w:shd w:val="clear" w:color="auto" w:fill="auto"/>
        <w:bidi w:val="0"/>
        <w:spacing w:before="0" w:after="120" w:line="422" w:lineRule="auto"/>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2</w:t>
      </w:r>
      <w:bookmarkEnd w:id="1128"/>
      <w:r>
        <w:rPr>
          <w:rFonts w:ascii="Times New Roman" w:eastAsia="Times New Roman" w:hAnsi="Times New Roman" w:cs="Times New Roman"/>
          <w:color w:val="000000"/>
          <w:spacing w:val="0"/>
          <w:w w:val="100"/>
          <w:position w:val="0"/>
        </w:rPr>
        <w:t>7</w:t>
      </w:r>
      <w:r>
        <w:rPr>
          <w:color w:val="000000"/>
          <w:spacing w:val="0"/>
          <w:w w:val="100"/>
          <w:position w:val="0"/>
        </w:rPr>
        <w:t>、长期资产减值</w:t>
      </w:r>
      <w:bookmarkEnd w:id="1126"/>
      <w:bookmarkEnd w:id="1127"/>
      <w:bookmarkEnd w:id="1129"/>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公司在资产负债表日判断长期资产是否存在可能发生减值的迹象。如果长期资产存在减值迹象的，以 单项资产为基础估计其可收回金额；难以对单项资产的可收回金额进行估计的，以该资产所属的资产组为 基础确定资产组的可收回金额。</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资产减值损失确认后，减值资产的折旧或者摊销费用在未来期间作相应调整，以使该资产在剩余使用 </w:t>
      </w:r>
      <w:r>
        <w:rPr>
          <w:color w:val="000000"/>
          <w:spacing w:val="0"/>
          <w:w w:val="100"/>
          <w:position w:val="0"/>
        </w:rPr>
        <w:t>寿命内，系统地分摊调整后的资产账面价值（扣除预计净残值）。</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38"/>
        <w:keepNext w:val="0"/>
        <w:keepLines w:val="0"/>
        <w:widowControl w:val="0"/>
        <w:shd w:val="clear" w:color="auto" w:fill="auto"/>
        <w:bidi w:val="0"/>
        <w:spacing w:before="0" w:after="380" w:line="400"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5"/>
        <w:keepNext/>
        <w:keepLines/>
        <w:widowControl w:val="0"/>
        <w:shd w:val="clear" w:color="auto" w:fill="auto"/>
        <w:tabs>
          <w:tab w:pos="483" w:val="left"/>
        </w:tabs>
        <w:bidi w:val="0"/>
        <w:spacing w:before="0" w:after="300" w:line="418"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bookmarkEnd w:id="1132"/>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1130"/>
      <w:bookmarkEnd w:id="1131"/>
      <w:bookmarkEnd w:id="1133"/>
    </w:p>
    <w:p>
      <w:pPr>
        <w:pStyle w:val="Style35"/>
        <w:keepNext/>
        <w:keepLines/>
        <w:widowControl w:val="0"/>
        <w:numPr>
          <w:ilvl w:val="0"/>
          <w:numId w:val="77"/>
        </w:numPr>
        <w:shd w:val="clear" w:color="auto" w:fill="auto"/>
        <w:tabs>
          <w:tab w:pos="774" w:val="left"/>
        </w:tabs>
        <w:bidi w:val="0"/>
        <w:spacing w:before="0" w:after="0" w:line="418" w:lineRule="auto"/>
        <w:ind w:left="0" w:right="0" w:firstLine="440"/>
        <w:jc w:val="both"/>
      </w:pPr>
      <w:bookmarkStart w:id="1130" w:name="bookmark1130"/>
      <w:bookmarkStart w:id="1131" w:name="bookmark1131"/>
      <w:bookmarkStart w:id="1134" w:name="bookmark1134"/>
      <w:bookmarkEnd w:id="1134"/>
      <w:r>
        <w:rPr>
          <w:color w:val="000000"/>
          <w:spacing w:val="0"/>
          <w:w w:val="100"/>
          <w:position w:val="0"/>
        </w:rPr>
        <w:t>摊销方法</w:t>
      </w:r>
      <w:bookmarkEnd w:id="1130"/>
      <w:bookmarkEnd w:id="1131"/>
    </w:p>
    <w:p>
      <w:pPr>
        <w:pStyle w:val="Style38"/>
        <w:keepNext w:val="0"/>
        <w:keepLines w:val="0"/>
        <w:widowControl w:val="0"/>
        <w:shd w:val="clear" w:color="auto" w:fill="auto"/>
        <w:bidi w:val="0"/>
        <w:spacing w:before="0" w:after="180" w:line="400" w:lineRule="exact"/>
        <w:ind w:left="0" w:right="0" w:firstLine="440"/>
        <w:jc w:val="both"/>
      </w:pPr>
      <w:r>
        <w:rPr>
          <w:color w:val="000000"/>
          <w:spacing w:val="0"/>
          <w:w w:val="100"/>
          <w:position w:val="0"/>
        </w:rPr>
        <w:t>长期待摊费用，是指公司已经发生但应由本期和以后各期负担的分摊期限在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年以上的各项费用。长 期待摊费用按发生时的实际成本计价，并在受益期限内平均摊销。如果长期待摊费用项目不能使以后会计 期间受益的，则将尚未摊销的该项目的摊余价值全部转入当期损益。</w:t>
      </w:r>
    </w:p>
    <w:p>
      <w:pPr>
        <w:pStyle w:val="Style38"/>
        <w:keepNext w:val="0"/>
        <w:keepLines w:val="0"/>
        <w:widowControl w:val="0"/>
        <w:numPr>
          <w:ilvl w:val="0"/>
          <w:numId w:val="77"/>
        </w:numPr>
        <w:shd w:val="clear" w:color="auto" w:fill="auto"/>
        <w:tabs>
          <w:tab w:pos="784" w:val="left"/>
        </w:tabs>
        <w:bidi w:val="0"/>
        <w:spacing w:before="0" w:after="0" w:line="418" w:lineRule="auto"/>
        <w:ind w:left="0" w:right="0" w:firstLine="440"/>
        <w:jc w:val="left"/>
      </w:pPr>
      <w:bookmarkStart w:id="1135" w:name="bookmark1135"/>
      <w:bookmarkEnd w:id="1135"/>
      <w:r>
        <w:rPr>
          <w:b/>
          <w:bCs/>
          <w:color w:val="000000"/>
          <w:spacing w:val="0"/>
          <w:w w:val="100"/>
          <w:position w:val="0"/>
        </w:rPr>
        <w:t>摊销年限</w:t>
      </w:r>
    </w:p>
    <w:p>
      <w:pPr>
        <w:pStyle w:val="Style38"/>
        <w:keepNext w:val="0"/>
        <w:keepLines w:val="0"/>
        <w:widowControl w:val="0"/>
        <w:shd w:val="clear" w:color="auto" w:fill="auto"/>
        <w:tabs>
          <w:tab w:pos="928" w:val="left"/>
        </w:tabs>
        <w:bidi w:val="0"/>
        <w:spacing w:before="0" w:after="0" w:line="400" w:lineRule="exact"/>
        <w:ind w:left="0" w:right="0" w:firstLine="440"/>
        <w:jc w:val="left"/>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rPr>
        <w:t>1</w:t>
      </w:r>
      <w:r>
        <w:rPr>
          <w:color w:val="000000"/>
          <w:spacing w:val="0"/>
          <w:w w:val="100"/>
          <w:position w:val="0"/>
        </w:rPr>
        <w:t>）</w:t>
        <w:tab/>
        <w:t>房屋装修费按</w:t>
      </w:r>
      <w:r>
        <w:rPr>
          <w:rFonts w:ascii="Times New Roman" w:eastAsia="Times New Roman" w:hAnsi="Times New Roman" w:cs="Times New Roman"/>
          <w:color w:val="000000"/>
          <w:spacing w:val="0"/>
          <w:w w:val="100"/>
          <w:position w:val="0"/>
        </w:rPr>
        <w:t>5</w:t>
      </w:r>
      <w:r>
        <w:rPr>
          <w:color w:val="000000"/>
          <w:spacing w:val="0"/>
          <w:w w:val="100"/>
          <w:position w:val="0"/>
        </w:rPr>
        <w:t>年平均摊销；</w:t>
      </w:r>
    </w:p>
    <w:p>
      <w:pPr>
        <w:pStyle w:val="Style38"/>
        <w:keepNext w:val="0"/>
        <w:keepLines w:val="0"/>
        <w:widowControl w:val="0"/>
        <w:shd w:val="clear" w:color="auto" w:fill="auto"/>
        <w:bidi w:val="0"/>
        <w:spacing w:before="0" w:after="0" w:line="400" w:lineRule="exact"/>
        <w:ind w:left="0" w:right="0" w:firstLine="440"/>
        <w:jc w:val="left"/>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 预付经营租入固定资产的租金，按租赁合同规定的期限平均摊销；</w:t>
      </w:r>
    </w:p>
    <w:p>
      <w:pPr>
        <w:pStyle w:val="Style38"/>
        <w:keepNext w:val="0"/>
        <w:keepLines w:val="0"/>
        <w:widowControl w:val="0"/>
        <w:shd w:val="clear" w:color="auto" w:fill="auto"/>
        <w:tabs>
          <w:tab w:pos="1016" w:val="left"/>
        </w:tabs>
        <w:bidi w:val="0"/>
        <w:spacing w:before="0" w:after="380" w:line="400" w:lineRule="exact"/>
        <w:ind w:left="0" w:right="0" w:firstLine="44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w:t>
        <w:tab/>
        <w:t>经营租赁方式租入的固定资产改良支出，按剩余租赁期与租赁资产尚可使用年限两者中较短的 期限平均摊销。</w:t>
      </w:r>
    </w:p>
    <w:p>
      <w:pPr>
        <w:pStyle w:val="Style35"/>
        <w:keepNext/>
        <w:keepLines/>
        <w:widowControl w:val="0"/>
        <w:shd w:val="clear" w:color="auto" w:fill="auto"/>
        <w:tabs>
          <w:tab w:pos="483" w:val="left"/>
        </w:tabs>
        <w:bidi w:val="0"/>
        <w:spacing w:before="0" w:after="120" w:line="418"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2</w:t>
      </w:r>
      <w:bookmarkEnd w:id="1141"/>
      <w:r>
        <w:rPr>
          <w:rFonts w:ascii="Times New Roman" w:eastAsia="Times New Roman" w:hAnsi="Times New Roman" w:cs="Times New Roman"/>
          <w:color w:val="000000"/>
          <w:spacing w:val="0"/>
          <w:w w:val="100"/>
          <w:position w:val="0"/>
        </w:rPr>
        <w:t>9</w:t>
      </w:r>
      <w:r>
        <w:rPr>
          <w:color w:val="000000"/>
          <w:spacing w:val="0"/>
          <w:w w:val="100"/>
          <w:position w:val="0"/>
        </w:rPr>
        <w:t>、</w:t>
        <w:tab/>
        <w:t>合同负债</w:t>
      </w:r>
      <w:bookmarkEnd w:id="1139"/>
      <w:bookmarkEnd w:id="1140"/>
      <w:bookmarkEnd w:id="1142"/>
    </w:p>
    <w:p>
      <w:pPr>
        <w:pStyle w:val="Style38"/>
        <w:keepNext w:val="0"/>
        <w:keepLines w:val="0"/>
        <w:widowControl w:val="0"/>
        <w:shd w:val="clear" w:color="auto" w:fill="auto"/>
        <w:bidi w:val="0"/>
        <w:spacing w:before="0" w:after="380" w:line="400" w:lineRule="exact"/>
        <w:ind w:left="0" w:right="0" w:firstLine="440"/>
        <w:jc w:val="both"/>
      </w:pPr>
      <w:r>
        <w:rPr>
          <w:color w:val="000000"/>
          <w:spacing w:val="0"/>
          <w:w w:val="100"/>
          <w:position w:val="0"/>
        </w:rPr>
        <w:t>公司将已收或应收客户对价而应向客户转让商品的义务部分确认为合同负债。</w:t>
      </w:r>
    </w:p>
    <w:p>
      <w:pPr>
        <w:pStyle w:val="Style35"/>
        <w:keepNext/>
        <w:keepLines/>
        <w:widowControl w:val="0"/>
        <w:shd w:val="clear" w:color="auto" w:fill="auto"/>
        <w:tabs>
          <w:tab w:pos="483" w:val="left"/>
        </w:tabs>
        <w:bidi w:val="0"/>
        <w:spacing w:before="0" w:after="0" w:line="418"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3</w:t>
      </w:r>
      <w:bookmarkEnd w:id="1145"/>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1143"/>
      <w:bookmarkEnd w:id="1144"/>
      <w:bookmarkEnd w:id="1146"/>
    </w:p>
    <w:p>
      <w:pPr>
        <w:pStyle w:val="Style48"/>
        <w:keepNext/>
        <w:keepLines/>
        <w:widowControl w:val="0"/>
        <w:shd w:val="clear" w:color="auto" w:fill="auto"/>
        <w:tabs>
          <w:tab w:pos="493" w:val="left"/>
        </w:tabs>
        <w:bidi w:val="0"/>
        <w:spacing w:before="0" w:after="300" w:line="400" w:lineRule="exact"/>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47"/>
      <w:bookmarkEnd w:id="1148"/>
      <w:bookmarkEnd w:id="1150"/>
    </w:p>
    <w:p>
      <w:pPr>
        <w:pStyle w:val="Style38"/>
        <w:keepNext w:val="0"/>
        <w:keepLines w:val="0"/>
        <w:widowControl w:val="0"/>
        <w:shd w:val="clear" w:color="auto" w:fill="auto"/>
        <w:bidi w:val="0"/>
        <w:spacing w:before="0" w:after="180" w:line="310" w:lineRule="exact"/>
        <w:ind w:left="0" w:right="0" w:firstLine="440"/>
        <w:jc w:val="left"/>
      </w:pPr>
      <w:r>
        <w:rPr>
          <w:color w:val="000000"/>
          <w:spacing w:val="0"/>
          <w:w w:val="100"/>
          <w:position w:val="0"/>
        </w:rPr>
        <w:t>短期薪酬是指公司在职工提供相关服务的年度报告期间结束后十二个月内需要全部予以支付的职工 薪酬，离职后福利和辞退福利除外。公司在职工提供服务的会计期间，将应付的短期薪酬确认为负债，并 根据职工提供服务的受益对象计入相关资产成本和费用。</w:t>
      </w:r>
    </w:p>
    <w:p>
      <w:pPr>
        <w:pStyle w:val="Style48"/>
        <w:keepNext/>
        <w:keepLines/>
        <w:widowControl w:val="0"/>
        <w:shd w:val="clear" w:color="auto" w:fill="auto"/>
        <w:tabs>
          <w:tab w:pos="493" w:val="left"/>
        </w:tabs>
        <w:bidi w:val="0"/>
        <w:spacing w:before="0" w:after="300" w:line="400" w:lineRule="exact"/>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51"/>
      <w:bookmarkEnd w:id="1152"/>
      <w:bookmarkEnd w:id="1154"/>
    </w:p>
    <w:p>
      <w:pPr>
        <w:pStyle w:val="Style38"/>
        <w:keepNext w:val="0"/>
        <w:keepLines w:val="0"/>
        <w:widowControl w:val="0"/>
        <w:shd w:val="clear" w:color="auto" w:fill="auto"/>
        <w:bidi w:val="0"/>
        <w:spacing w:before="0" w:after="300" w:line="403" w:lineRule="exact"/>
        <w:ind w:left="0" w:right="0" w:firstLine="440"/>
        <w:jc w:val="both"/>
      </w:pPr>
      <w:r>
        <w:rPr>
          <w:color w:val="000000"/>
          <w:spacing w:val="0"/>
          <w:w w:val="100"/>
          <w:position w:val="0"/>
        </w:rPr>
        <w:t>离职后福利是指公司为获得职工提供的服务而在职工退休或与公司解除劳动关系后，提供的各种形式 的报酬和福利，短期薪酬和辞退福利除外。</w:t>
      </w:r>
    </w:p>
    <w:p>
      <w:pPr>
        <w:pStyle w:val="Style3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公司的离职后福利计划分类为设定提存计划和设定受益计划。</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保险等。在职工为公司提供服务的会计期间，将根据设定提存计划计算的应缴存金额确认为负债，并计入 当期损益或相关资产成本。</w:t>
      </w:r>
    </w:p>
    <w:p>
      <w:pPr>
        <w:pStyle w:val="Style38"/>
        <w:keepNext w:val="0"/>
        <w:keepLines w:val="0"/>
        <w:widowControl w:val="0"/>
        <w:shd w:val="clear" w:color="auto" w:fill="auto"/>
        <w:bidi w:val="0"/>
        <w:spacing w:before="0" w:after="180" w:line="401" w:lineRule="exact"/>
        <w:ind w:left="0" w:right="0" w:firstLine="540"/>
        <w:jc w:val="left"/>
      </w:pPr>
      <w:r>
        <w:rPr>
          <w:color w:val="000000"/>
          <w:spacing w:val="0"/>
          <w:w w:val="100"/>
          <w:position w:val="0"/>
        </w:rPr>
        <w:t>公司按照国家规定的标准定期缴付上述款项后，不再有其他的支付义务。</w:t>
      </w:r>
    </w:p>
    <w:p>
      <w:pPr>
        <w:pStyle w:val="Style48"/>
        <w:keepNext/>
        <w:keepLines/>
        <w:widowControl w:val="0"/>
        <w:numPr>
          <w:ilvl w:val="0"/>
          <w:numId w:val="71"/>
        </w:numPr>
        <w:shd w:val="clear" w:color="auto" w:fill="auto"/>
        <w:tabs>
          <w:tab w:pos="504" w:val="left"/>
        </w:tabs>
        <w:bidi w:val="0"/>
        <w:spacing w:before="0" w:after="360" w:line="401" w:lineRule="exact"/>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辞退福利的会计处理方法</w:t>
      </w:r>
      <w:bookmarkEnd w:id="1155"/>
      <w:bookmarkEnd w:id="1156"/>
      <w:bookmarkEnd w:id="1158"/>
    </w:p>
    <w:p>
      <w:pPr>
        <w:pStyle w:val="Style38"/>
        <w:keepNext w:val="0"/>
        <w:keepLines w:val="0"/>
        <w:widowControl w:val="0"/>
        <w:shd w:val="clear" w:color="auto" w:fill="auto"/>
        <w:bidi w:val="0"/>
        <w:spacing w:before="0" w:after="0" w:line="357" w:lineRule="exact"/>
        <w:ind w:left="0" w:right="0" w:firstLine="440"/>
        <w:jc w:val="both"/>
        <w:rPr>
          <w:sz w:val="17"/>
          <w:szCs w:val="17"/>
        </w:rPr>
      </w:pPr>
      <w:r>
        <w:rPr>
          <w:color w:val="000000"/>
          <w:spacing w:val="0"/>
          <w:w w:val="100"/>
          <w:position w:val="0"/>
          <w:sz w:val="20"/>
          <w:szCs w:val="20"/>
        </w:rPr>
        <w:t xml:space="preserve">辞退福利是指公司在职工劳动合同到期之前解除与职工的劳动关系，或者为鼓励职工自愿接受裁减而 给予职工的补偿，在公司不能单方面撤回解除劳动关系计划或裁减建议时和确认与涉及支付辞退福利的重 组相关的成本费用时两者孰早日，确认因解除与职工的劳动关系给予补偿而产生的负债，同时计入当期损 </w:t>
      </w:r>
      <w:r>
        <w:rPr>
          <w:color w:val="000000"/>
          <w:spacing w:val="0"/>
          <w:w w:val="100"/>
          <w:position w:val="0"/>
          <w:sz w:val="20"/>
          <w:szCs w:val="20"/>
          <w:u w:val="single"/>
        </w:rPr>
        <w:t>、</w:t>
      </w:r>
      <w:r>
        <w:rPr>
          <w:i/>
          <w:iCs/>
          <w:color w:val="000000"/>
          <w:spacing w:val="0"/>
          <w:w w:val="100"/>
          <w:position w:val="0"/>
          <w:sz w:val="17"/>
          <w:szCs w:val="17"/>
          <w:u w:val="single"/>
        </w:rPr>
        <w:t>八</w:t>
      </w:r>
    </w:p>
    <w:p>
      <w:pPr>
        <w:pStyle w:val="Style38"/>
        <w:keepNext w:val="0"/>
        <w:keepLines w:val="0"/>
        <w:widowControl w:val="0"/>
        <w:shd w:val="clear" w:color="auto" w:fill="auto"/>
        <w:bidi w:val="0"/>
        <w:spacing w:before="0" w:after="0" w:line="401" w:lineRule="exact"/>
        <w:ind w:left="0" w:right="0" w:firstLine="0"/>
        <w:jc w:val="left"/>
      </w:pPr>
      <w:r>
        <w:rPr>
          <w:color w:val="000000"/>
          <w:spacing w:val="0"/>
          <w:w w:val="100"/>
          <w:position w:val="0"/>
        </w:rPr>
        <w:t>益。</w:t>
      </w:r>
    </w:p>
    <w:p>
      <w:pPr>
        <w:pStyle w:val="Style38"/>
        <w:keepNext w:val="0"/>
        <w:keepLines w:val="0"/>
        <w:widowControl w:val="0"/>
        <w:shd w:val="clear" w:color="auto" w:fill="auto"/>
        <w:bidi w:val="0"/>
        <w:spacing w:before="0" w:after="180" w:line="401" w:lineRule="exact"/>
        <w:ind w:left="0" w:right="0" w:firstLine="440"/>
        <w:jc w:val="both"/>
      </w:pPr>
      <w:r>
        <w:rPr>
          <w:color w:val="000000"/>
          <w:spacing w:val="0"/>
          <w:w w:val="100"/>
          <w:position w:val="0"/>
        </w:rPr>
        <w:t>公司向接受内部退休安排的职工提供内退福利。内退福利是指，向未达到国家规定的退休年龄、经公 司管理层批准自愿退出工作岗位的职工支付的工资及为其缴纳的社会保险费等。公司自内部退休安排开始 之日起至职工达到正常退休年龄止，向内退职工支付内部退养福利。对于内退福利，公司比照辞退福利进 行会计处理，在符合辞退福利相关确认条件时，将自职工停止提供服务日至正常退休日期间拟支付的内退 职工工资和缴纳的社会保险费等，确认为负债，一次性计入当期损益。内退福利的精算假设变化及福利标 准调整引起的差异于发生时计入当期损益。</w:t>
      </w:r>
    </w:p>
    <w:p>
      <w:pPr>
        <w:pStyle w:val="Style48"/>
        <w:keepNext/>
        <w:keepLines/>
        <w:widowControl w:val="0"/>
        <w:numPr>
          <w:ilvl w:val="0"/>
          <w:numId w:val="71"/>
        </w:numPr>
        <w:shd w:val="clear" w:color="auto" w:fill="auto"/>
        <w:tabs>
          <w:tab w:pos="504" w:val="left"/>
        </w:tabs>
        <w:bidi w:val="0"/>
        <w:spacing w:before="0" w:after="300" w:line="401" w:lineRule="exact"/>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其他长期职工福利的会计处理方法</w:t>
      </w:r>
      <w:bookmarkEnd w:id="1159"/>
      <w:bookmarkEnd w:id="1160"/>
      <w:bookmarkEnd w:id="1162"/>
    </w:p>
    <w:p>
      <w:pPr>
        <w:pStyle w:val="Style38"/>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38"/>
        <w:keepNext w:val="0"/>
        <w:keepLines w:val="0"/>
        <w:widowControl w:val="0"/>
        <w:shd w:val="clear" w:color="auto" w:fill="auto"/>
        <w:bidi w:val="0"/>
        <w:spacing w:before="0" w:after="360" w:line="402" w:lineRule="exact"/>
        <w:ind w:left="0" w:right="0" w:firstLine="440"/>
        <w:jc w:val="both"/>
      </w:pPr>
      <w:r>
        <w:rPr>
          <w:color w:val="000000"/>
          <w:spacing w:val="0"/>
          <w:w w:val="100"/>
          <w:position w:val="0"/>
        </w:rPr>
        <w:t>对符合设定提存计划条件的其他长期职工福利，在职工为公司提供服务的会计期间，将应缴存金额确 认为负债，并计入当期损益或相关资产成本；除上述情形外的其他长期职工福利，在资产负债表日使用预 期累计福利单位法进行精算，将设定受益计划产生的福利义务归属于职工提供服务的期间，并计入当期损 益或相关资产成本。</w:t>
      </w:r>
    </w:p>
    <w:p>
      <w:pPr>
        <w:pStyle w:val="Style35"/>
        <w:keepNext/>
        <w:keepLines/>
        <w:widowControl w:val="0"/>
        <w:shd w:val="clear" w:color="auto" w:fill="auto"/>
        <w:bidi w:val="0"/>
        <w:spacing w:before="0" w:after="300" w:line="420" w:lineRule="auto"/>
        <w:ind w:left="0" w:right="0" w:firstLine="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163"/>
      <w:bookmarkEnd w:id="1164"/>
      <w:bookmarkEnd w:id="1166"/>
    </w:p>
    <w:p>
      <w:pPr>
        <w:pStyle w:val="Style38"/>
        <w:keepNext w:val="0"/>
        <w:keepLines w:val="0"/>
        <w:widowControl w:val="0"/>
        <w:numPr>
          <w:ilvl w:val="0"/>
          <w:numId w:val="79"/>
        </w:numPr>
        <w:shd w:val="clear" w:color="auto" w:fill="auto"/>
        <w:tabs>
          <w:tab w:pos="755" w:val="left"/>
        </w:tabs>
        <w:bidi w:val="0"/>
        <w:spacing w:before="0" w:after="0" w:line="420" w:lineRule="auto"/>
        <w:ind w:left="0" w:right="0" w:firstLine="440"/>
        <w:jc w:val="left"/>
      </w:pPr>
      <w:bookmarkStart w:id="1167" w:name="bookmark1167"/>
      <w:bookmarkEnd w:id="1167"/>
      <w:r>
        <w:rPr>
          <w:color w:val="000000"/>
          <w:spacing w:val="0"/>
          <w:w w:val="100"/>
          <w:position w:val="0"/>
        </w:rPr>
        <w:t>预计负债的确认标准</w:t>
      </w:r>
    </w:p>
    <w:p>
      <w:pPr>
        <w:pStyle w:val="Style3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与或有事项相关的义务同时满足下列条件时，公司确认为预计负债：</w:t>
      </w:r>
    </w:p>
    <w:p>
      <w:pPr>
        <w:pStyle w:val="Style3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该义务是公司承担的现时义务；</w:t>
      </w:r>
    </w:p>
    <w:p>
      <w:pPr>
        <w:pStyle w:val="Style3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履行该义务很可能导致经济利益流出公司；</w:t>
      </w:r>
    </w:p>
    <w:p>
      <w:pPr>
        <w:pStyle w:val="Style38"/>
        <w:keepNext w:val="0"/>
        <w:keepLines w:val="0"/>
        <w:widowControl w:val="0"/>
        <w:shd w:val="clear" w:color="auto" w:fill="auto"/>
        <w:bidi w:val="0"/>
        <w:spacing w:before="0" w:after="180" w:line="401" w:lineRule="exact"/>
        <w:ind w:left="0" w:right="0" w:firstLine="440"/>
        <w:jc w:val="both"/>
      </w:pPr>
      <w:r>
        <w:rPr>
          <w:color w:val="000000"/>
          <w:spacing w:val="0"/>
          <w:w w:val="100"/>
          <w:position w:val="0"/>
        </w:rPr>
        <w:t>该义务的金额能够可靠地计量。</w:t>
      </w:r>
    </w:p>
    <w:p>
      <w:pPr>
        <w:pStyle w:val="Style38"/>
        <w:keepNext w:val="0"/>
        <w:keepLines w:val="0"/>
        <w:widowControl w:val="0"/>
        <w:numPr>
          <w:ilvl w:val="0"/>
          <w:numId w:val="79"/>
        </w:numPr>
        <w:shd w:val="clear" w:color="auto" w:fill="auto"/>
        <w:tabs>
          <w:tab w:pos="774" w:val="left"/>
        </w:tabs>
        <w:bidi w:val="0"/>
        <w:spacing w:before="0" w:after="0" w:line="420" w:lineRule="auto"/>
        <w:ind w:left="0" w:right="0" w:firstLine="440"/>
        <w:jc w:val="both"/>
      </w:pPr>
      <w:bookmarkStart w:id="1168" w:name="bookmark1168"/>
      <w:bookmarkEnd w:id="1168"/>
      <w:r>
        <w:rPr>
          <w:color w:val="000000"/>
          <w:spacing w:val="0"/>
          <w:w w:val="100"/>
          <w:position w:val="0"/>
        </w:rPr>
        <w:t>预计负债的计量方法</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公司预计负债按履行相关现时义务所需的支出的最佳估计数进行初始计量。</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公司在确定最佳估计数时，综合考虑与或有事项有关的风险、不确定性和货币时间价值等因素。对于 </w:t>
      </w:r>
      <w:r>
        <w:rPr>
          <w:color w:val="000000"/>
          <w:spacing w:val="0"/>
          <w:w w:val="100"/>
          <w:position w:val="0"/>
        </w:rPr>
        <w:t>货币时间价值影响重大的，通过对相关未来现金流出进行折现后确定最佳估计数。</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最佳估计数分别以下情况处理：</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8"/>
        <w:keepNext w:val="0"/>
        <w:keepLines w:val="0"/>
        <w:widowControl w:val="0"/>
        <w:shd w:val="clear" w:color="auto" w:fill="auto"/>
        <w:bidi w:val="0"/>
        <w:spacing w:before="0" w:after="360" w:line="401" w:lineRule="exact"/>
        <w:ind w:left="0" w:right="0" w:firstLine="440"/>
        <w:jc w:val="both"/>
      </w:pPr>
      <w:r>
        <w:rPr>
          <w:color w:val="000000"/>
          <w:spacing w:val="0"/>
          <w:w w:val="100"/>
          <w:position w:val="0"/>
        </w:rPr>
        <w:t>公司清偿预计负债所需支出全部或部分预期由第三方补偿的，补偿金额在基本确定能够收到时，作为 资产单独确认，确认的补偿金额不超过预计负债的账面价值。</w:t>
      </w:r>
    </w:p>
    <w:p>
      <w:pPr>
        <w:pStyle w:val="Style35"/>
        <w:keepNext/>
        <w:keepLines/>
        <w:widowControl w:val="0"/>
        <w:shd w:val="clear" w:color="auto" w:fill="auto"/>
        <w:bidi w:val="0"/>
        <w:spacing w:before="0" w:after="300" w:line="418" w:lineRule="auto"/>
        <w:ind w:left="0" w:right="0" w:firstLine="0"/>
        <w:jc w:val="both"/>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3</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、股份支付</w:t>
      </w:r>
      <w:bookmarkEnd w:id="1169"/>
      <w:bookmarkEnd w:id="1170"/>
      <w:bookmarkEnd w:id="1172"/>
    </w:p>
    <w:p>
      <w:pPr>
        <w:pStyle w:val="Style35"/>
        <w:keepNext/>
        <w:keepLines/>
        <w:widowControl w:val="0"/>
        <w:numPr>
          <w:ilvl w:val="0"/>
          <w:numId w:val="81"/>
        </w:numPr>
        <w:shd w:val="clear" w:color="auto" w:fill="auto"/>
        <w:tabs>
          <w:tab w:pos="755" w:val="left"/>
        </w:tabs>
        <w:bidi w:val="0"/>
        <w:spacing w:before="0" w:after="0" w:line="418" w:lineRule="auto"/>
        <w:ind w:left="0" w:right="0" w:firstLine="440"/>
        <w:jc w:val="left"/>
      </w:pPr>
      <w:bookmarkStart w:id="1169" w:name="bookmark1169"/>
      <w:bookmarkStart w:id="1170" w:name="bookmark1170"/>
      <w:bookmarkStart w:id="1173" w:name="bookmark1173"/>
      <w:bookmarkEnd w:id="1173"/>
      <w:r>
        <w:rPr>
          <w:color w:val="000000"/>
          <w:spacing w:val="0"/>
          <w:w w:val="100"/>
          <w:position w:val="0"/>
        </w:rPr>
        <w:t>股份支付的种类</w:t>
      </w:r>
      <w:bookmarkEnd w:id="1169"/>
      <w:bookmarkEnd w:id="1170"/>
    </w:p>
    <w:p>
      <w:pPr>
        <w:pStyle w:val="Style38"/>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公司的股份支付分为以权益结算的股份支付和以现金结算的股份支付。</w:t>
      </w:r>
    </w:p>
    <w:p>
      <w:pPr>
        <w:pStyle w:val="Style38"/>
        <w:keepNext w:val="0"/>
        <w:keepLines w:val="0"/>
        <w:widowControl w:val="0"/>
        <w:numPr>
          <w:ilvl w:val="0"/>
          <w:numId w:val="81"/>
        </w:numPr>
        <w:shd w:val="clear" w:color="auto" w:fill="auto"/>
        <w:tabs>
          <w:tab w:pos="765" w:val="left"/>
        </w:tabs>
        <w:bidi w:val="0"/>
        <w:spacing w:before="0" w:after="0" w:line="418" w:lineRule="auto"/>
        <w:ind w:left="0" w:right="0" w:firstLine="440"/>
        <w:jc w:val="both"/>
      </w:pPr>
      <w:bookmarkStart w:id="1174" w:name="bookmark1174"/>
      <w:bookmarkEnd w:id="1174"/>
      <w:r>
        <w:rPr>
          <w:b/>
          <w:bCs/>
          <w:color w:val="000000"/>
          <w:spacing w:val="0"/>
          <w:w w:val="100"/>
          <w:position w:val="0"/>
        </w:rPr>
        <w:t>权益工具公允价值的确定方法</w:t>
      </w:r>
    </w:p>
    <w:p>
      <w:pPr>
        <w:pStyle w:val="Style38"/>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 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38"/>
        <w:keepNext w:val="0"/>
        <w:keepLines w:val="0"/>
        <w:widowControl w:val="0"/>
        <w:shd w:val="clear" w:color="auto" w:fill="auto"/>
        <w:bidi w:val="0"/>
        <w:spacing w:before="0" w:after="60" w:line="399"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8"/>
        <w:keepNext w:val="0"/>
        <w:keepLines w:val="0"/>
        <w:widowControl w:val="0"/>
        <w:numPr>
          <w:ilvl w:val="0"/>
          <w:numId w:val="81"/>
        </w:numPr>
        <w:shd w:val="clear" w:color="auto" w:fill="auto"/>
        <w:tabs>
          <w:tab w:pos="765" w:val="left"/>
        </w:tabs>
        <w:bidi w:val="0"/>
        <w:spacing w:before="0" w:after="0" w:line="427" w:lineRule="auto"/>
        <w:ind w:left="0" w:right="0" w:firstLine="440"/>
        <w:jc w:val="both"/>
      </w:pPr>
      <w:bookmarkStart w:id="1175" w:name="bookmark1175"/>
      <w:bookmarkEnd w:id="1175"/>
      <w:r>
        <w:rPr>
          <w:b/>
          <w:bCs/>
          <w:color w:val="000000"/>
          <w:spacing w:val="0"/>
          <w:w w:val="100"/>
          <w:position w:val="0"/>
        </w:rPr>
        <w:t>确定可行权权益工具最佳估计的依据</w:t>
      </w:r>
    </w:p>
    <w:p>
      <w:pPr>
        <w:pStyle w:val="Style38"/>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38"/>
        <w:keepNext w:val="0"/>
        <w:keepLines w:val="0"/>
        <w:widowControl w:val="0"/>
        <w:numPr>
          <w:ilvl w:val="0"/>
          <w:numId w:val="81"/>
        </w:numPr>
        <w:shd w:val="clear" w:color="auto" w:fill="auto"/>
        <w:tabs>
          <w:tab w:pos="765" w:val="left"/>
        </w:tabs>
        <w:bidi w:val="0"/>
        <w:spacing w:before="0" w:after="0" w:line="418" w:lineRule="auto"/>
        <w:ind w:left="0" w:right="0" w:firstLine="440"/>
        <w:jc w:val="both"/>
      </w:pPr>
      <w:bookmarkStart w:id="1176" w:name="bookmark1176"/>
      <w:bookmarkEnd w:id="1176"/>
      <w:r>
        <w:rPr>
          <w:b/>
          <w:bCs/>
          <w:color w:val="000000"/>
          <w:spacing w:val="0"/>
          <w:w w:val="100"/>
          <w:position w:val="0"/>
        </w:rPr>
        <w:t>会计处理方法</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以现金结算的股份支付，按照公司承担的以股份或其他权益工具为基础计算确定的负债的公允价值计 量。授予后立即可行权的，在授予日以公司承担负债的公允价值计入相关成本或费用，相应增加负债。在 完成等待期内的服务或达到规定业绩条件以后才可行权的以现金结算的股份支付，在等待期内的每个资产 负债表日，以对可行权情况的最佳估计为基础，按照公司承担负债的公允价值金额，将当期取得的服务计 入成本或费用和相应的负债。在相关负债结算前的每个资产负债表日以及结算日，对负债的公允价值重新 </w:t>
      </w:r>
      <w:r>
        <w:rPr>
          <w:color w:val="000000"/>
          <w:spacing w:val="0"/>
          <w:w w:val="100"/>
          <w:position w:val="0"/>
        </w:rPr>
        <w:t>计量，其变动计入当期损益。</w:t>
      </w:r>
    </w:p>
    <w:p>
      <w:pPr>
        <w:pStyle w:val="Style38"/>
        <w:keepNext w:val="0"/>
        <w:keepLines w:val="0"/>
        <w:widowControl w:val="0"/>
        <w:shd w:val="clear" w:color="auto" w:fill="auto"/>
        <w:bidi w:val="0"/>
        <w:spacing w:before="0" w:after="360" w:line="403" w:lineRule="exact"/>
        <w:ind w:left="0" w:right="0" w:firstLine="440"/>
        <w:jc w:val="both"/>
      </w:pPr>
      <w:r>
        <w:rPr>
          <w:color w:val="000000"/>
          <w:spacing w:val="0"/>
          <w:w w:val="100"/>
          <w:position w:val="0"/>
        </w:rPr>
        <w:t>若在等待期内取消了授予的权益工具，公司对取消所授予的权益性工具作为加速行权处理，将剩余等 待期内应确认的金额立即计入当期损益，同时确认资本公积。职工或其他方能够选择满足非可行权条件但 在等待期内未满足的，公司将其作为授予权益工具的取消处理。</w:t>
      </w:r>
    </w:p>
    <w:p>
      <w:pPr>
        <w:pStyle w:val="Style35"/>
        <w:keepNext/>
        <w:keepLines/>
        <w:widowControl w:val="0"/>
        <w:shd w:val="clear" w:color="auto" w:fill="auto"/>
        <w:bidi w:val="0"/>
        <w:spacing w:before="0" w:after="240" w:line="418" w:lineRule="auto"/>
        <w:ind w:left="0" w:right="0" w:firstLine="0"/>
        <w:jc w:val="left"/>
      </w:pPr>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33</w:t>
      </w:r>
      <w:r>
        <w:rPr>
          <w:color w:val="000000"/>
          <w:spacing w:val="0"/>
          <w:w w:val="100"/>
          <w:position w:val="0"/>
        </w:rPr>
        <w:t>、收入</w:t>
      </w:r>
      <w:bookmarkEnd w:id="1177"/>
      <w:bookmarkEnd w:id="1178"/>
      <w:bookmarkEnd w:id="1179"/>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收入确认和计量所采用的会计政策</w:t>
      </w:r>
    </w:p>
    <w:p>
      <w:pPr>
        <w:pStyle w:val="Style38"/>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公司业务主要包括安全产品、安全解决方案、安全服务、电商运营服务；按收入类别细分为：信息安 全产品、信息安全集成、信息安全服务、电磁安防产品、电磁安防工程、电磁安防服务、系统服务、推广 运营服务。</w:t>
      </w:r>
    </w:p>
    <w:p>
      <w:pPr>
        <w:pStyle w:val="Style38"/>
        <w:keepNext w:val="0"/>
        <w:keepLines w:val="0"/>
        <w:widowControl w:val="0"/>
        <w:numPr>
          <w:ilvl w:val="0"/>
          <w:numId w:val="83"/>
        </w:numPr>
        <w:shd w:val="clear" w:color="auto" w:fill="auto"/>
        <w:tabs>
          <w:tab w:pos="733" w:val="left"/>
        </w:tabs>
        <w:bidi w:val="0"/>
        <w:spacing w:before="0" w:after="0" w:line="418" w:lineRule="auto"/>
        <w:ind w:left="0" w:right="0" w:firstLine="440"/>
        <w:jc w:val="both"/>
      </w:pPr>
      <w:bookmarkStart w:id="1180" w:name="bookmark1180"/>
      <w:bookmarkEnd w:id="1180"/>
      <w:r>
        <w:rPr>
          <w:b/>
          <w:bCs/>
          <w:color w:val="000000"/>
          <w:spacing w:val="0"/>
          <w:w w:val="100"/>
          <w:position w:val="0"/>
        </w:rPr>
        <w:t>收入确认的一般原则</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公司在履行了合同中的履约义务，即在客户取得相关商品或服务控制权时，按照分摊至该项履约义务 的交易价格确认收入。</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履约义务，是指合同中公司向客户转让可明确区分商品或服务的承诺。</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公司在合同开始日即对合同进行评估，识别该合同所包含的各单项履约义务，并确定各单项履约义务 是在某一时段内履行，还是某一时点履行。满足下列条件之一的，属于在某一时间段内履行的履约义务， 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客户在公司履约的同时即取得并消耗公司履约所带来的经 济利益;</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客户能够控制公司履约过程中在建的商品；</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公司履约过程中所产出的商品具有不可替代用途, 且公司在整个合同期间内有权就累计至今已完成的履约部分收取款项。否则，公司在客户取得相关商品或 服务控制权的时点确认收入。</w:t>
      </w:r>
    </w:p>
    <w:p>
      <w:pPr>
        <w:pStyle w:val="Style38"/>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对于在某一时段内履行的履约义务，公司根据商品和劳务的性质，采用产出法</w:t>
      </w:r>
      <w:r>
        <w:rPr>
          <w:rFonts w:ascii="Times New Roman" w:eastAsia="Times New Roman" w:hAnsi="Times New Roman" w:cs="Times New Roman"/>
          <w:color w:val="000000"/>
          <w:spacing w:val="0"/>
          <w:w w:val="100"/>
          <w:position w:val="0"/>
        </w:rPr>
        <w:t>/</w:t>
      </w:r>
      <w:r>
        <w:rPr>
          <w:color w:val="000000"/>
          <w:spacing w:val="0"/>
          <w:w w:val="100"/>
          <w:position w:val="0"/>
        </w:rPr>
        <w:t>投入法确定恰当的履约 进度。产出法是根据已转移给客户的商品对于客户的价值确定履约进度(投入法是根据公司为履行履约义 务的投入确定履约进度)。当履约进度不能合理确定时，公司已经发生的成本预计能够得到补偿的，按照 已经发生的成本金额确认收入，直到履约进度能够合理确定为止。</w:t>
      </w:r>
    </w:p>
    <w:p>
      <w:pPr>
        <w:pStyle w:val="Style38"/>
        <w:keepNext w:val="0"/>
        <w:keepLines w:val="0"/>
        <w:widowControl w:val="0"/>
        <w:numPr>
          <w:ilvl w:val="0"/>
          <w:numId w:val="83"/>
        </w:numPr>
        <w:shd w:val="clear" w:color="auto" w:fill="auto"/>
        <w:tabs>
          <w:tab w:pos="742" w:val="left"/>
        </w:tabs>
        <w:bidi w:val="0"/>
        <w:spacing w:before="0" w:after="0" w:line="418" w:lineRule="auto"/>
        <w:ind w:left="0" w:right="0" w:firstLine="440"/>
        <w:jc w:val="both"/>
      </w:pPr>
      <w:bookmarkStart w:id="1181" w:name="bookmark1181"/>
      <w:bookmarkEnd w:id="1181"/>
      <w:r>
        <w:rPr>
          <w:b/>
          <w:bCs/>
          <w:color w:val="000000"/>
          <w:spacing w:val="0"/>
          <w:w w:val="100"/>
          <w:position w:val="0"/>
        </w:rPr>
        <w:t>收入确认的具体方法</w:t>
      </w:r>
    </w:p>
    <w:p>
      <w:pPr>
        <w:pStyle w:val="Style38"/>
        <w:keepNext w:val="0"/>
        <w:keepLines w:val="0"/>
        <w:widowControl w:val="0"/>
        <w:numPr>
          <w:ilvl w:val="0"/>
          <w:numId w:val="85"/>
        </w:numPr>
        <w:shd w:val="clear" w:color="auto" w:fill="auto"/>
        <w:tabs>
          <w:tab w:pos="979" w:val="left"/>
        </w:tabs>
        <w:bidi w:val="0"/>
        <w:spacing w:before="0" w:after="0" w:line="401" w:lineRule="exact"/>
        <w:ind w:left="0" w:right="0" w:firstLine="440"/>
        <w:jc w:val="both"/>
      </w:pPr>
      <w:bookmarkStart w:id="1182" w:name="bookmark1182"/>
      <w:bookmarkEnd w:id="1182"/>
      <w:r>
        <w:rPr>
          <w:color w:val="000000"/>
          <w:spacing w:val="0"/>
          <w:w w:val="100"/>
          <w:position w:val="0"/>
        </w:rPr>
        <w:t>信息安全产品：安全产品销售分为单纯安全产品销售以及通过集成业务销售安全产品两种方式。 单纯自有产品销售，一般不需安装或只需简单安装，在完成产品交付时确认收入；通过集成业务销售的安 全产品则按照安全集成的收入确认方式确认收入。</w:t>
      </w:r>
    </w:p>
    <w:p>
      <w:pPr>
        <w:pStyle w:val="Style38"/>
        <w:keepNext w:val="0"/>
        <w:keepLines w:val="0"/>
        <w:widowControl w:val="0"/>
        <w:numPr>
          <w:ilvl w:val="0"/>
          <w:numId w:val="85"/>
        </w:numPr>
        <w:shd w:val="clear" w:color="auto" w:fill="auto"/>
        <w:bidi w:val="0"/>
        <w:spacing w:before="0" w:after="140" w:line="401" w:lineRule="exact"/>
        <w:ind w:left="0" w:right="0" w:firstLine="440"/>
        <w:jc w:val="both"/>
      </w:pPr>
      <w:bookmarkStart w:id="1183" w:name="bookmark1183"/>
      <w:bookmarkEnd w:id="1183"/>
      <w:r>
        <w:rPr>
          <w:color w:val="000000"/>
          <w:spacing w:val="0"/>
          <w:w w:val="100"/>
          <w:position w:val="0"/>
        </w:rPr>
        <w:t xml:space="preserve"> 信息安全集成：安全集成业务的收入确认方式依据双方签署的验收报告，验收一般可分为初验 和终验，初验报告是指客户对安全集成业务实施内容、进度、质量以及是否达到合同效果予以确认；而终 验报告是对业务整体服务核查后形成的总结报告。鉴于终验只是对初验结果的进一步确认，安全集成业务 验收分初验和终验的，取得初验报告时确认收入；不分初验和终验的，取得验收报告时确认收入。若公司 只提供安全集成业务所需的安全产品及其配套组件，其安装及测试由客户或第三方完成，在完成产品交付 时确认收入。</w:t>
      </w:r>
    </w:p>
    <w:p>
      <w:pPr>
        <w:pStyle w:val="Style38"/>
        <w:keepNext w:val="0"/>
        <w:keepLines w:val="0"/>
        <w:widowControl w:val="0"/>
        <w:shd w:val="clear" w:color="auto" w:fill="auto"/>
        <w:tabs>
          <w:tab w:pos="1021" w:val="left"/>
        </w:tabs>
        <w:bidi w:val="0"/>
        <w:spacing w:before="0" w:after="0" w:line="410" w:lineRule="exact"/>
        <w:ind w:left="0" w:right="0" w:firstLine="440"/>
        <w:jc w:val="both"/>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w:t>
        <w:tab/>
        <w:t>信息安全服务：对于在资产负债表日服务已完成，经服务接受方验收合格后确认收入；在资产 负债表日未完成的，公司在资产负债表日按完工百分比法确认收入，完工百分比按已发生成本占预计总成 本的比例确定。</w:t>
      </w:r>
    </w:p>
    <w:p>
      <w:pPr>
        <w:pStyle w:val="Style38"/>
        <w:keepNext w:val="0"/>
        <w:keepLines w:val="0"/>
        <w:widowControl w:val="0"/>
        <w:shd w:val="clear" w:color="auto" w:fill="auto"/>
        <w:tabs>
          <w:tab w:pos="928" w:val="left"/>
        </w:tabs>
        <w:bidi w:val="0"/>
        <w:spacing w:before="0" w:after="0" w:line="410" w:lineRule="exact"/>
        <w:ind w:left="0" w:right="0" w:firstLine="440"/>
        <w:jc w:val="both"/>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rPr>
        <w:t>4</w:t>
      </w:r>
      <w:r>
        <w:rPr>
          <w:color w:val="000000"/>
          <w:spacing w:val="0"/>
          <w:w w:val="100"/>
          <w:position w:val="0"/>
        </w:rPr>
        <w:t>）</w:t>
        <w:tab/>
        <w:t>电磁安防产品：在产品销售并且经购货方验收，取得购货方验收依据的时间作为收入确认时点。</w:t>
      </w:r>
    </w:p>
    <w:p>
      <w:pPr>
        <w:pStyle w:val="Style38"/>
        <w:keepNext w:val="0"/>
        <w:keepLines w:val="0"/>
        <w:widowControl w:val="0"/>
        <w:shd w:val="clear" w:color="auto" w:fill="auto"/>
        <w:tabs>
          <w:tab w:pos="928" w:val="left"/>
        </w:tabs>
        <w:bidi w:val="0"/>
        <w:spacing w:before="0" w:after="0" w:line="410" w:lineRule="exact"/>
        <w:ind w:left="0" w:right="0" w:firstLine="440"/>
        <w:jc w:val="both"/>
      </w:pPr>
      <w:bookmarkStart w:id="1186" w:name="bookmark1186"/>
      <w:r>
        <w:rPr>
          <w:color w:val="000000"/>
          <w:spacing w:val="0"/>
          <w:w w:val="100"/>
          <w:position w:val="0"/>
        </w:rPr>
        <w:t>（</w:t>
      </w:r>
      <w:bookmarkEnd w:id="1186"/>
      <w:r>
        <w:rPr>
          <w:rFonts w:ascii="Times New Roman" w:eastAsia="Times New Roman" w:hAnsi="Times New Roman" w:cs="Times New Roman"/>
          <w:color w:val="000000"/>
          <w:spacing w:val="0"/>
          <w:w w:val="100"/>
          <w:position w:val="0"/>
        </w:rPr>
        <w:t>5</w:t>
      </w:r>
      <w:r>
        <w:rPr>
          <w:color w:val="000000"/>
          <w:spacing w:val="0"/>
          <w:w w:val="100"/>
          <w:position w:val="0"/>
        </w:rPr>
        <w:t>）</w:t>
        <w:tab/>
        <w:t>电磁安防工程：在工程完工并经被施工单位验收时，确认相应的工程收入，同时结转工程成本。</w:t>
      </w:r>
    </w:p>
    <w:p>
      <w:pPr>
        <w:pStyle w:val="Style38"/>
        <w:keepNext w:val="0"/>
        <w:keepLines w:val="0"/>
        <w:widowControl w:val="0"/>
        <w:shd w:val="clear" w:color="auto" w:fill="auto"/>
        <w:tabs>
          <w:tab w:pos="1016" w:val="left"/>
        </w:tabs>
        <w:bidi w:val="0"/>
        <w:spacing w:before="0" w:after="0" w:line="410" w:lineRule="exact"/>
        <w:ind w:left="0" w:right="0" w:firstLine="440"/>
        <w:jc w:val="both"/>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rPr>
        <w:t>6</w:t>
      </w:r>
      <w:r>
        <w:rPr>
          <w:color w:val="000000"/>
          <w:spacing w:val="0"/>
          <w:w w:val="100"/>
          <w:position w:val="0"/>
        </w:rPr>
        <w:t>）</w:t>
        <w:tab/>
        <w:t>电磁安防服务：在服务完成后取得甲方确认的验收或竣工资料时，确认相应的服务收入，同时 结转技术服务成本。</w:t>
      </w:r>
    </w:p>
    <w:p>
      <w:pPr>
        <w:pStyle w:val="Style38"/>
        <w:keepNext w:val="0"/>
        <w:keepLines w:val="0"/>
        <w:widowControl w:val="0"/>
        <w:shd w:val="clear" w:color="auto" w:fill="auto"/>
        <w:tabs>
          <w:tab w:pos="1021" w:val="left"/>
        </w:tabs>
        <w:bidi w:val="0"/>
        <w:spacing w:before="0" w:after="0" w:line="406" w:lineRule="exact"/>
        <w:ind w:left="0" w:right="0" w:firstLine="440"/>
        <w:jc w:val="both"/>
      </w:pPr>
      <w:bookmarkStart w:id="1188" w:name="bookmark1188"/>
      <w:r>
        <w:rPr>
          <w:color w:val="000000"/>
          <w:spacing w:val="0"/>
          <w:w w:val="100"/>
          <w:position w:val="0"/>
        </w:rPr>
        <w:t>（</w:t>
      </w:r>
      <w:bookmarkEnd w:id="1188"/>
      <w:r>
        <w:rPr>
          <w:rFonts w:ascii="Times New Roman" w:eastAsia="Times New Roman" w:hAnsi="Times New Roman" w:cs="Times New Roman"/>
          <w:color w:val="000000"/>
          <w:spacing w:val="0"/>
          <w:w w:val="100"/>
          <w:position w:val="0"/>
        </w:rPr>
        <w:t>7</w:t>
      </w:r>
      <w:r>
        <w:rPr>
          <w:color w:val="000000"/>
          <w:spacing w:val="0"/>
          <w:w w:val="100"/>
          <w:position w:val="0"/>
        </w:rPr>
        <w:t>）</w:t>
        <w:tab/>
        <w:t>系统服务：利用自身支付清算技术和平台向客户提供清分结算服务，按照交易金额的一定比例 收取的清分结算手续费。服务提供时确认收入，根据交易系统平台反映的交易结算金额，按照与合作商户 确定的一定比例收入确定清分结算收入。</w:t>
      </w:r>
    </w:p>
    <w:p>
      <w:pPr>
        <w:pStyle w:val="Style38"/>
        <w:keepNext w:val="0"/>
        <w:keepLines w:val="0"/>
        <w:widowControl w:val="0"/>
        <w:shd w:val="clear" w:color="auto" w:fill="auto"/>
        <w:tabs>
          <w:tab w:pos="1021" w:val="left"/>
        </w:tabs>
        <w:bidi w:val="0"/>
        <w:spacing w:before="0" w:after="200" w:line="404" w:lineRule="exact"/>
        <w:ind w:left="0" w:right="0" w:firstLine="440"/>
        <w:jc w:val="both"/>
      </w:pPr>
      <w:bookmarkStart w:id="1189" w:name="bookmark1189"/>
      <w:r>
        <w:rPr>
          <w:color w:val="000000"/>
          <w:spacing w:val="0"/>
          <w:w w:val="100"/>
          <w:position w:val="0"/>
        </w:rPr>
        <w:t>（</w:t>
      </w:r>
      <w:bookmarkEnd w:id="1189"/>
      <w:r>
        <w:rPr>
          <w:rFonts w:ascii="Times New Roman" w:eastAsia="Times New Roman" w:hAnsi="Times New Roman" w:cs="Times New Roman"/>
          <w:color w:val="000000"/>
          <w:spacing w:val="0"/>
          <w:w w:val="100"/>
          <w:position w:val="0"/>
        </w:rPr>
        <w:t>8</w:t>
      </w:r>
      <w:r>
        <w:rPr>
          <w:color w:val="000000"/>
          <w:spacing w:val="0"/>
          <w:w w:val="100"/>
          <w:position w:val="0"/>
        </w:rPr>
        <w:t>）</w:t>
        <w:tab/>
        <w:t>推广运营服务：利用自身电子商务平台，为合作商户进行推广运营收取中间差价形成的佣金服 务费收入。主要是为油品零售商户进行推广运营获取的服务费收入</w:t>
      </w:r>
      <w:r>
        <w:rPr>
          <w:color w:val="000000"/>
          <w:spacing w:val="0"/>
          <w:w w:val="100"/>
          <w:position w:val="0"/>
        </w:rPr>
        <w:t>，</w:t>
      </w:r>
      <w:r>
        <w:rPr>
          <w:color w:val="000000"/>
          <w:spacing w:val="0"/>
          <w:w w:val="100"/>
          <w:position w:val="0"/>
        </w:rPr>
        <w:t>除油品零售商户外，还为商场、超市、 餐饮、汽车等其他商户提供推广运营服务。根据终端客户所消费金额或者消费数量，按照约定的一定服务 费标准自合作商户取得佣金收入，因此公司根据电子商务平台上反映的交易数据，以及与合作商户对账确 认的交易数据，以服务收入的形式确认当期收入。</w:t>
      </w:r>
    </w:p>
    <w:p>
      <w:pPr>
        <w:pStyle w:val="Style35"/>
        <w:keepNext/>
        <w:keepLines/>
        <w:widowControl w:val="0"/>
        <w:shd w:val="clear" w:color="auto" w:fill="auto"/>
        <w:bidi w:val="0"/>
        <w:spacing w:before="0" w:line="405" w:lineRule="exact"/>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190"/>
      <w:bookmarkEnd w:id="1191"/>
      <w:bookmarkEnd w:id="1193"/>
    </w:p>
    <w:p>
      <w:pPr>
        <w:pStyle w:val="Style35"/>
        <w:keepNext/>
        <w:keepLines/>
        <w:widowControl w:val="0"/>
        <w:numPr>
          <w:ilvl w:val="0"/>
          <w:numId w:val="87"/>
        </w:numPr>
        <w:shd w:val="clear" w:color="auto" w:fill="auto"/>
        <w:tabs>
          <w:tab w:pos="774" w:val="left"/>
        </w:tabs>
        <w:bidi w:val="0"/>
        <w:spacing w:before="0" w:after="0" w:line="427" w:lineRule="auto"/>
        <w:ind w:left="0" w:right="0" w:firstLine="440"/>
        <w:jc w:val="both"/>
      </w:pPr>
      <w:bookmarkStart w:id="1190" w:name="bookmark1190"/>
      <w:bookmarkStart w:id="1191" w:name="bookmark1191"/>
      <w:bookmarkStart w:id="1194" w:name="bookmark1194"/>
      <w:bookmarkEnd w:id="1194"/>
      <w:r>
        <w:rPr>
          <w:color w:val="000000"/>
          <w:spacing w:val="0"/>
          <w:w w:val="100"/>
          <w:position w:val="0"/>
        </w:rPr>
        <w:t>类型</w:t>
      </w:r>
      <w:bookmarkEnd w:id="1190"/>
      <w:bookmarkEnd w:id="1191"/>
    </w:p>
    <w:p>
      <w:pPr>
        <w:pStyle w:val="Style38"/>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政府补助，是公司从政府无偿取得的货币性资产与非货币性资产。根据相关政府文件规定的补助对象， 将政府补助划分为与资产相关的政府补助和与收益相关的政府补助。</w:t>
      </w:r>
    </w:p>
    <w:p>
      <w:pPr>
        <w:pStyle w:val="Style38"/>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与资产相关的政府补助，是指公司取得的、用于购建或以其他方式形成长期资产的政府补助。</w:t>
      </w:r>
    </w:p>
    <w:p>
      <w:pPr>
        <w:pStyle w:val="Style38"/>
        <w:keepNext w:val="0"/>
        <w:keepLines w:val="0"/>
        <w:widowControl w:val="0"/>
        <w:shd w:val="clear" w:color="auto" w:fill="auto"/>
        <w:bidi w:val="0"/>
        <w:spacing w:before="0" w:after="60" w:line="408" w:lineRule="exact"/>
        <w:ind w:left="0" w:right="0" w:firstLine="440"/>
        <w:jc w:val="left"/>
      </w:pPr>
      <w:r>
        <w:rPr>
          <w:color w:val="000000"/>
          <w:spacing w:val="0"/>
          <w:w w:val="100"/>
          <w:position w:val="0"/>
        </w:rPr>
        <w:t>与收益相关的政府补助，是指除与资产相关的政府补助之外的政府补助。</w:t>
      </w:r>
    </w:p>
    <w:p>
      <w:pPr>
        <w:pStyle w:val="Style38"/>
        <w:keepNext w:val="0"/>
        <w:keepLines w:val="0"/>
        <w:widowControl w:val="0"/>
        <w:numPr>
          <w:ilvl w:val="0"/>
          <w:numId w:val="87"/>
        </w:numPr>
        <w:shd w:val="clear" w:color="auto" w:fill="auto"/>
        <w:tabs>
          <w:tab w:pos="784" w:val="left"/>
        </w:tabs>
        <w:bidi w:val="0"/>
        <w:spacing w:before="0" w:after="0" w:line="418" w:lineRule="auto"/>
        <w:ind w:left="0" w:right="0" w:firstLine="440"/>
        <w:jc w:val="both"/>
      </w:pPr>
      <w:bookmarkStart w:id="1195" w:name="bookmark1195"/>
      <w:bookmarkEnd w:id="1195"/>
      <w:r>
        <w:rPr>
          <w:b/>
          <w:bCs/>
          <w:color w:val="000000"/>
          <w:spacing w:val="0"/>
          <w:w w:val="100"/>
          <w:position w:val="0"/>
        </w:rPr>
        <w:t>政府补助的确认</w:t>
      </w:r>
    </w:p>
    <w:p>
      <w:pPr>
        <w:pStyle w:val="Style38"/>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38"/>
        <w:keepNext w:val="0"/>
        <w:keepLines w:val="0"/>
        <w:widowControl w:val="0"/>
        <w:shd w:val="clear" w:color="auto" w:fill="auto"/>
        <w:bidi w:val="0"/>
        <w:spacing w:before="0" w:after="60" w:line="400"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 直接计入当期损益。</w:t>
      </w:r>
    </w:p>
    <w:p>
      <w:pPr>
        <w:pStyle w:val="Style38"/>
        <w:keepNext w:val="0"/>
        <w:keepLines w:val="0"/>
        <w:widowControl w:val="0"/>
        <w:numPr>
          <w:ilvl w:val="0"/>
          <w:numId w:val="87"/>
        </w:numPr>
        <w:shd w:val="clear" w:color="auto" w:fill="auto"/>
        <w:tabs>
          <w:tab w:pos="784" w:val="left"/>
        </w:tabs>
        <w:bidi w:val="0"/>
        <w:spacing w:before="0" w:after="0" w:line="422" w:lineRule="auto"/>
        <w:ind w:left="0" w:right="0" w:firstLine="440"/>
        <w:jc w:val="both"/>
      </w:pPr>
      <w:bookmarkStart w:id="1196" w:name="bookmark1196"/>
      <w:bookmarkEnd w:id="1196"/>
      <w:r>
        <w:rPr>
          <w:b/>
          <w:bCs/>
          <w:color w:val="000000"/>
          <w:spacing w:val="0"/>
          <w:w w:val="100"/>
          <w:position w:val="0"/>
        </w:rPr>
        <w:t>会计处理方法</w:t>
      </w:r>
    </w:p>
    <w:p>
      <w:pPr>
        <w:pStyle w:val="Style38"/>
        <w:keepNext w:val="0"/>
        <w:keepLines w:val="0"/>
        <w:widowControl w:val="0"/>
        <w:shd w:val="clear" w:color="auto" w:fill="auto"/>
        <w:bidi w:val="0"/>
        <w:spacing w:before="0" w:after="0" w:line="405" w:lineRule="exact"/>
        <w:ind w:left="0" w:right="0" w:firstLine="440"/>
        <w:jc w:val="both"/>
      </w:pPr>
      <w:r>
        <w:rPr>
          <w:color w:val="000000"/>
          <w:spacing w:val="0"/>
          <w:w w:val="100"/>
          <w:position w:val="0"/>
        </w:rPr>
        <w:t>与资产相关的政府补助确认为递延收益，在所建造或购买资产使用寿命内按照合理、系统的方法分期 计入损益。</w:t>
      </w:r>
    </w:p>
    <w:p>
      <w:pPr>
        <w:pStyle w:val="Style38"/>
        <w:keepNext w:val="0"/>
        <w:keepLines w:val="0"/>
        <w:widowControl w:val="0"/>
        <w:shd w:val="clear" w:color="auto" w:fill="auto"/>
        <w:bidi w:val="0"/>
        <w:spacing w:before="0" w:after="0" w:line="405" w:lineRule="exact"/>
        <w:ind w:left="0" w:right="0" w:firstLine="44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38"/>
        <w:keepNext w:val="0"/>
        <w:keepLines w:val="0"/>
        <w:widowControl w:val="0"/>
        <w:shd w:val="clear" w:color="auto" w:fill="auto"/>
        <w:bidi w:val="0"/>
        <w:spacing w:before="0" w:after="0" w:line="405" w:lineRule="exact"/>
        <w:ind w:left="0" w:right="0" w:firstLine="440"/>
        <w:jc w:val="both"/>
      </w:pPr>
      <w:r>
        <w:rPr>
          <w:color w:val="000000"/>
          <w:spacing w:val="0"/>
          <w:w w:val="100"/>
          <w:position w:val="0"/>
        </w:rPr>
        <w:t xml:space="preserve">与企业日常活动相关的政府补助计入其他收益或冲减相关成本费用；与企业日常活动无关的政府补助 </w:t>
      </w:r>
      <w:r>
        <w:rPr>
          <w:color w:val="000000"/>
          <w:spacing w:val="0"/>
          <w:w w:val="100"/>
          <w:position w:val="0"/>
        </w:rPr>
        <w:t>计入营业外收支。</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38"/>
        <w:keepNext w:val="0"/>
        <w:keepLines w:val="0"/>
        <w:widowControl w:val="0"/>
        <w:shd w:val="clear" w:color="auto" w:fill="auto"/>
        <w:bidi w:val="0"/>
        <w:spacing w:before="0" w:after="360" w:line="403"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35"/>
        <w:keepNext/>
        <w:keepLines/>
        <w:widowControl w:val="0"/>
        <w:shd w:val="clear" w:color="auto" w:fill="auto"/>
        <w:tabs>
          <w:tab w:pos="532" w:val="left"/>
        </w:tabs>
        <w:bidi w:val="0"/>
        <w:spacing w:before="0" w:after="120" w:line="415"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3</w:t>
      </w:r>
      <w:bookmarkEnd w:id="1199"/>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7"/>
      <w:bookmarkEnd w:id="1198"/>
      <w:bookmarkEnd w:id="1200"/>
    </w:p>
    <w:p>
      <w:pPr>
        <w:pStyle w:val="Style38"/>
        <w:keepNext w:val="0"/>
        <w:keepLines w:val="0"/>
        <w:widowControl w:val="0"/>
        <w:shd w:val="clear" w:color="auto" w:fill="auto"/>
        <w:bidi w:val="0"/>
        <w:spacing w:before="0" w:after="80" w:line="398"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38"/>
        <w:keepNext w:val="0"/>
        <w:keepLines w:val="0"/>
        <w:widowControl w:val="0"/>
        <w:numPr>
          <w:ilvl w:val="0"/>
          <w:numId w:val="89"/>
        </w:numPr>
        <w:shd w:val="clear" w:color="auto" w:fill="auto"/>
        <w:tabs>
          <w:tab w:pos="772" w:val="left"/>
        </w:tabs>
        <w:bidi w:val="0"/>
        <w:spacing w:before="0" w:after="0" w:line="418" w:lineRule="auto"/>
        <w:ind w:left="0" w:right="0" w:firstLine="440"/>
        <w:jc w:val="both"/>
      </w:pPr>
      <w:bookmarkStart w:id="1201" w:name="bookmark1201"/>
      <w:bookmarkEnd w:id="1201"/>
      <w:r>
        <w:rPr>
          <w:b/>
          <w:bCs/>
          <w:color w:val="000000"/>
          <w:spacing w:val="0"/>
          <w:w w:val="100"/>
          <w:position w:val="0"/>
        </w:rPr>
        <w:t>确认递延所得税资产的依据</w:t>
      </w:r>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公司以很可能取得用来抵扣可抵扣暂时性差异、能够结转以后年度的可抵扣亏损和税款抵减的应纳税 所得额为限，确认由可抵扣暂时性差异产生的递延所得税资产。但是，同时具有下列特征的交易中因资产 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 影响会计利润也不影响应纳税所得额或可抵扣亏损。</w:t>
      </w:r>
    </w:p>
    <w:p>
      <w:pPr>
        <w:pStyle w:val="Style38"/>
        <w:keepNext w:val="0"/>
        <w:keepLines w:val="0"/>
        <w:widowControl w:val="0"/>
        <w:shd w:val="clear" w:color="auto" w:fill="auto"/>
        <w:bidi w:val="0"/>
        <w:spacing w:before="0" w:after="80" w:line="401"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8"/>
        <w:keepNext w:val="0"/>
        <w:keepLines w:val="0"/>
        <w:widowControl w:val="0"/>
        <w:numPr>
          <w:ilvl w:val="0"/>
          <w:numId w:val="89"/>
        </w:numPr>
        <w:shd w:val="clear" w:color="auto" w:fill="auto"/>
        <w:tabs>
          <w:tab w:pos="782" w:val="left"/>
        </w:tabs>
        <w:bidi w:val="0"/>
        <w:spacing w:before="0" w:after="80" w:line="240" w:lineRule="auto"/>
        <w:ind w:left="0" w:right="0" w:firstLine="440"/>
        <w:jc w:val="left"/>
      </w:pPr>
      <w:bookmarkStart w:id="1202" w:name="bookmark1202"/>
      <w:bookmarkEnd w:id="1202"/>
      <w:r>
        <w:rPr>
          <w:b/>
          <w:bCs/>
          <w:color w:val="000000"/>
          <w:spacing w:val="0"/>
          <w:w w:val="100"/>
          <w:position w:val="0"/>
        </w:rPr>
        <w:t>确认递延所得税负债的依据</w:t>
      </w:r>
    </w:p>
    <w:p>
      <w:pPr>
        <w:pStyle w:val="Style38"/>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公司将当期与以前期间应交未交的应纳税暂时性差异确认为递延所得税负债。但不包括：</w:t>
      </w:r>
    </w:p>
    <w:p>
      <w:pPr>
        <w:pStyle w:val="Style38"/>
        <w:keepNext w:val="0"/>
        <w:keepLines w:val="0"/>
        <w:widowControl w:val="0"/>
        <w:shd w:val="clear" w:color="auto" w:fill="auto"/>
        <w:tabs>
          <w:tab w:pos="926" w:val="left"/>
        </w:tabs>
        <w:bidi w:val="0"/>
        <w:spacing w:before="0" w:after="0" w:line="240" w:lineRule="auto"/>
        <w:ind w:left="0" w:right="0" w:firstLine="440"/>
        <w:jc w:val="left"/>
      </w:pPr>
      <w:bookmarkStart w:id="1203" w:name="bookmark1203"/>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38"/>
        <w:keepNext w:val="0"/>
        <w:keepLines w:val="0"/>
        <w:widowControl w:val="0"/>
        <w:shd w:val="clear" w:color="auto" w:fill="auto"/>
        <w:tabs>
          <w:tab w:pos="1018" w:val="left"/>
        </w:tabs>
        <w:bidi w:val="0"/>
        <w:spacing w:before="0" w:after="0" w:line="326" w:lineRule="exact"/>
        <w:ind w:left="0" w:right="0" w:firstLine="440"/>
        <w:jc w:val="both"/>
      </w:pPr>
      <w:bookmarkStart w:id="1204" w:name="bookmark1204"/>
      <w:r>
        <w:rPr>
          <w:color w:val="000000"/>
          <w:spacing w:val="0"/>
          <w:w w:val="100"/>
          <w:position w:val="0"/>
        </w:rPr>
        <w:t>（</w:t>
      </w:r>
      <w:bookmarkEnd w:id="1204"/>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 得额（或可抵扣亏损）所形成的暂时性差异；</w:t>
      </w:r>
    </w:p>
    <w:p>
      <w:pPr>
        <w:pStyle w:val="Style38"/>
        <w:keepNext w:val="0"/>
        <w:keepLines w:val="0"/>
        <w:widowControl w:val="0"/>
        <w:shd w:val="clear" w:color="auto" w:fill="auto"/>
        <w:tabs>
          <w:tab w:pos="1014" w:val="left"/>
        </w:tabs>
        <w:bidi w:val="0"/>
        <w:spacing w:before="0" w:after="80" w:line="322" w:lineRule="exact"/>
        <w:ind w:left="0" w:right="0" w:firstLine="440"/>
        <w:jc w:val="both"/>
      </w:pPr>
      <w:bookmarkStart w:id="1205" w:name="bookmark1205"/>
      <w:r>
        <w:rPr>
          <w:color w:val="000000"/>
          <w:spacing w:val="0"/>
          <w:w w:val="100"/>
          <w:position w:val="0"/>
        </w:rPr>
        <w:t>（</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38"/>
        <w:keepNext w:val="0"/>
        <w:keepLines w:val="0"/>
        <w:widowControl w:val="0"/>
        <w:numPr>
          <w:ilvl w:val="0"/>
          <w:numId w:val="89"/>
        </w:numPr>
        <w:shd w:val="clear" w:color="auto" w:fill="auto"/>
        <w:tabs>
          <w:tab w:pos="782" w:val="left"/>
        </w:tabs>
        <w:bidi w:val="0"/>
        <w:spacing w:before="0" w:after="0" w:line="336" w:lineRule="auto"/>
        <w:ind w:left="0" w:right="0" w:firstLine="440"/>
        <w:jc w:val="left"/>
      </w:pPr>
      <w:bookmarkStart w:id="1206" w:name="bookmark1206"/>
      <w:bookmarkEnd w:id="1206"/>
      <w:r>
        <w:rPr>
          <w:b/>
          <w:bCs/>
          <w:color w:val="000000"/>
          <w:spacing w:val="0"/>
          <w:w w:val="100"/>
          <w:position w:val="0"/>
        </w:rPr>
        <w:t>同时满足下列条件时，将递延所得税资产及递延所得税负债以抵销后的净额列示</w:t>
      </w:r>
    </w:p>
    <w:p>
      <w:pPr>
        <w:pStyle w:val="Style38"/>
        <w:keepNext w:val="0"/>
        <w:keepLines w:val="0"/>
        <w:widowControl w:val="0"/>
        <w:shd w:val="clear" w:color="auto" w:fill="auto"/>
        <w:tabs>
          <w:tab w:pos="926" w:val="left"/>
        </w:tabs>
        <w:bidi w:val="0"/>
        <w:spacing w:before="0" w:after="0" w:line="322" w:lineRule="exact"/>
        <w:ind w:left="0" w:right="0" w:firstLine="440"/>
        <w:jc w:val="left"/>
      </w:pPr>
      <w:bookmarkStart w:id="1207" w:name="bookmark1207"/>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38"/>
        <w:keepNext w:val="0"/>
        <w:keepLines w:val="0"/>
        <w:widowControl w:val="0"/>
        <w:shd w:val="clear" w:color="auto" w:fill="auto"/>
        <w:tabs>
          <w:tab w:pos="1018" w:val="left"/>
        </w:tabs>
        <w:bidi w:val="0"/>
        <w:spacing w:before="0" w:after="360" w:line="319" w:lineRule="exact"/>
        <w:ind w:left="0" w:right="0" w:firstLine="440"/>
        <w:jc w:val="left"/>
      </w:pPr>
      <w:bookmarkStart w:id="1208" w:name="bookmark1208"/>
      <w:r>
        <w:rPr>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涉及的纳税主体意图以净额结算当期所得税资产及当期所得税负债或是同时取得资产、清偿债务。</w:t>
      </w:r>
    </w:p>
    <w:p>
      <w:pPr>
        <w:pStyle w:val="Style35"/>
        <w:keepNext/>
        <w:keepLines/>
        <w:widowControl w:val="0"/>
        <w:shd w:val="clear" w:color="auto" w:fill="auto"/>
        <w:tabs>
          <w:tab w:pos="532" w:val="left"/>
        </w:tabs>
        <w:bidi w:val="0"/>
        <w:spacing w:before="0" w:after="120" w:line="415"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w:t>
      </w:r>
      <w:bookmarkEnd w:id="1211"/>
      <w:r>
        <w:rPr>
          <w:rFonts w:ascii="Times New Roman" w:eastAsia="Times New Roman" w:hAnsi="Times New Roman" w:cs="Times New Roman"/>
          <w:color w:val="000000"/>
          <w:spacing w:val="0"/>
          <w:w w:val="100"/>
          <w:position w:val="0"/>
        </w:rPr>
        <w:t>6</w:t>
      </w:r>
      <w:r>
        <w:rPr>
          <w:color w:val="000000"/>
          <w:spacing w:val="0"/>
          <w:w w:val="100"/>
          <w:position w:val="0"/>
        </w:rPr>
        <w:t>、</w:t>
        <w:tab/>
        <w:t>回购公司股份</w:t>
      </w:r>
      <w:bookmarkEnd w:id="1209"/>
      <w:bookmarkEnd w:id="1210"/>
      <w:bookmarkEnd w:id="1212"/>
    </w:p>
    <w:p>
      <w:pPr>
        <w:pStyle w:val="Style38"/>
        <w:keepNext w:val="0"/>
        <w:keepLines w:val="0"/>
        <w:widowControl w:val="0"/>
        <w:shd w:val="clear" w:color="auto" w:fill="auto"/>
        <w:bidi w:val="0"/>
        <w:spacing w:before="0" w:after="360" w:line="398" w:lineRule="exact"/>
        <w:ind w:left="0" w:right="0" w:firstLine="440"/>
        <w:jc w:val="left"/>
      </w:pPr>
      <w:r>
        <w:rPr>
          <w:color w:val="000000"/>
          <w:spacing w:val="0"/>
          <w:w w:val="100"/>
          <w:position w:val="0"/>
        </w:rPr>
        <w:t xml:space="preserve">公司因减少注册资本或奖励职工等原因收购本公司股份的，按实际支付的金额作为库存股处理，同时 进行备查登记；将回购的股份注销时，按注销股票面值和注销股数计算的股票面值总额与实际回购所支付 的金额之间的差额冲减资本公积，资本公积不足冲减的，冲减留存收益；如果将回购的股份奖励给本公司 职工属于以权益结算的股份支付，于职工行权购买公司股份收到价款时，转销交付职工的库存股成本和等 </w:t>
      </w:r>
      <w:r>
        <w:rPr>
          <w:color w:val="000000"/>
          <w:spacing w:val="0"/>
          <w:w w:val="100"/>
          <w:position w:val="0"/>
        </w:rPr>
        <w:t>待期内资本公积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w:t>
      </w:r>
      <w:r>
        <w:rPr>
          <w:color w:val="000000"/>
          <w:spacing w:val="0"/>
          <w:w w:val="100"/>
          <w:position w:val="0"/>
        </w:rPr>
        <w:t>累计金额，同时，按照其差额调整资本公积（股本溢价）。</w:t>
      </w:r>
    </w:p>
    <w:p>
      <w:pPr>
        <w:pStyle w:val="Style35"/>
        <w:keepNext/>
        <w:keepLines/>
        <w:widowControl w:val="0"/>
        <w:shd w:val="clear" w:color="auto" w:fill="auto"/>
        <w:tabs>
          <w:tab w:pos="483" w:val="left"/>
        </w:tabs>
        <w:bidi w:val="0"/>
        <w:spacing w:before="0" w:after="0" w:line="425"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1213"/>
      <w:bookmarkEnd w:id="1214"/>
      <w:bookmarkEnd w:id="1216"/>
    </w:p>
    <w:p>
      <w:pPr>
        <w:pStyle w:val="Style48"/>
        <w:keepNext/>
        <w:keepLines/>
        <w:widowControl w:val="0"/>
        <w:shd w:val="clear" w:color="auto" w:fill="auto"/>
        <w:tabs>
          <w:tab w:pos="493" w:val="left"/>
        </w:tabs>
        <w:bidi w:val="0"/>
        <w:spacing w:before="0" w:after="300" w:line="406" w:lineRule="exact"/>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217"/>
      <w:bookmarkEnd w:id="1218"/>
      <w:bookmarkEnd w:id="1220"/>
    </w:p>
    <w:p>
      <w:pPr>
        <w:pStyle w:val="Style38"/>
        <w:keepNext w:val="0"/>
        <w:keepLines w:val="0"/>
        <w:widowControl w:val="0"/>
        <w:shd w:val="clear" w:color="auto" w:fill="auto"/>
        <w:tabs>
          <w:tab w:pos="813" w:val="left"/>
        </w:tabs>
        <w:bidi w:val="0"/>
        <w:spacing w:before="0" w:after="0" w:line="406" w:lineRule="exact"/>
        <w:ind w:left="0" w:right="0" w:firstLine="440"/>
        <w:jc w:val="left"/>
      </w:pPr>
      <w:bookmarkStart w:id="1221" w:name="bookmark1221"/>
      <w:r>
        <w:rPr>
          <w:rFonts w:ascii="Times New Roman" w:eastAsia="Times New Roman" w:hAnsi="Times New Roman" w:cs="Times New Roman"/>
          <w:color w:val="000000"/>
          <w:spacing w:val="0"/>
          <w:w w:val="100"/>
          <w:position w:val="0"/>
        </w:rPr>
        <w:t>1</w:t>
      </w:r>
      <w:bookmarkEnd w:id="1221"/>
      <w:r>
        <w:rPr>
          <w:color w:val="000000"/>
          <w:spacing w:val="0"/>
          <w:w w:val="100"/>
          <w:position w:val="0"/>
        </w:rPr>
        <w:t>）</w:t>
        <w:tab/>
        <w:t>经营租入资产</w:t>
      </w:r>
    </w:p>
    <w:p>
      <w:pPr>
        <w:pStyle w:val="Style38"/>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38"/>
        <w:keepNext w:val="0"/>
        <w:keepLines w:val="0"/>
        <w:widowControl w:val="0"/>
        <w:shd w:val="clear" w:color="auto" w:fill="auto"/>
        <w:bidi w:val="0"/>
        <w:spacing w:before="0" w:after="0" w:line="406"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8"/>
        <w:keepNext w:val="0"/>
        <w:keepLines w:val="0"/>
        <w:widowControl w:val="0"/>
        <w:shd w:val="clear" w:color="auto" w:fill="auto"/>
        <w:tabs>
          <w:tab w:pos="832" w:val="left"/>
        </w:tabs>
        <w:bidi w:val="0"/>
        <w:spacing w:before="0" w:after="0" w:line="408" w:lineRule="exact"/>
        <w:ind w:left="0" w:right="0" w:firstLine="440"/>
        <w:jc w:val="both"/>
      </w:pPr>
      <w:bookmarkStart w:id="1222" w:name="bookmark1222"/>
      <w:r>
        <w:rPr>
          <w:rFonts w:ascii="Times New Roman" w:eastAsia="Times New Roman" w:hAnsi="Times New Roman" w:cs="Times New Roman"/>
          <w:color w:val="000000"/>
          <w:spacing w:val="0"/>
          <w:w w:val="100"/>
          <w:position w:val="0"/>
        </w:rPr>
        <w:t>2</w:t>
      </w:r>
      <w:bookmarkEnd w:id="1222"/>
      <w:r>
        <w:rPr>
          <w:color w:val="000000"/>
          <w:spacing w:val="0"/>
          <w:w w:val="100"/>
          <w:position w:val="0"/>
        </w:rPr>
        <w:t>）</w:t>
        <w:tab/>
        <w:t>经营租出资产</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38"/>
        <w:keepNext w:val="0"/>
        <w:keepLines w:val="0"/>
        <w:widowControl w:val="0"/>
        <w:shd w:val="clear" w:color="auto" w:fill="auto"/>
        <w:bidi w:val="0"/>
        <w:spacing w:before="0" w:after="180" w:line="408" w:lineRule="exact"/>
        <w:ind w:left="0" w:right="0" w:firstLine="860"/>
        <w:jc w:val="both"/>
      </w:pPr>
      <w:r>
        <w:rPr>
          <w:color w:val="000000"/>
          <w:spacing w:val="0"/>
          <w:w w:val="100"/>
          <w:position w:val="0"/>
        </w:rPr>
        <w:t>公司承担了应由承租方承担的与租赁相关的费用时，公司将该部分费用从租金收入总额中扣除， 按扣除后的租金费用在租赁期内分配。</w:t>
      </w:r>
    </w:p>
    <w:p>
      <w:pPr>
        <w:pStyle w:val="Style48"/>
        <w:keepNext/>
        <w:keepLines/>
        <w:widowControl w:val="0"/>
        <w:shd w:val="clear" w:color="auto" w:fill="auto"/>
        <w:tabs>
          <w:tab w:pos="493" w:val="left"/>
        </w:tabs>
        <w:bidi w:val="0"/>
        <w:spacing w:before="0" w:after="300" w:line="406" w:lineRule="exact"/>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223"/>
      <w:bookmarkEnd w:id="1224"/>
      <w:bookmarkEnd w:id="1226"/>
    </w:p>
    <w:p>
      <w:pPr>
        <w:pStyle w:val="Style38"/>
        <w:keepNext w:val="0"/>
        <w:keepLines w:val="0"/>
        <w:widowControl w:val="0"/>
        <w:shd w:val="clear" w:color="auto" w:fill="auto"/>
        <w:tabs>
          <w:tab w:pos="810" w:val="left"/>
        </w:tabs>
        <w:bidi w:val="0"/>
        <w:spacing w:before="0" w:after="0" w:line="403" w:lineRule="exact"/>
        <w:ind w:left="0" w:right="0" w:firstLine="440"/>
        <w:jc w:val="both"/>
      </w:pPr>
      <w:bookmarkStart w:id="1227" w:name="bookmark1227"/>
      <w:r>
        <w:rPr>
          <w:rFonts w:ascii="Times New Roman" w:eastAsia="Times New Roman" w:hAnsi="Times New Roman" w:cs="Times New Roman"/>
          <w:color w:val="000000"/>
          <w:spacing w:val="0"/>
          <w:w w:val="100"/>
          <w:position w:val="0"/>
        </w:rPr>
        <w:t>1</w:t>
      </w:r>
      <w:bookmarkEnd w:id="1227"/>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融资租入资产的认定依据、计价和折旧方法详见本附注五</w:t>
      </w:r>
      <w:r>
        <w:rPr>
          <w:rFonts w:ascii="Times New Roman" w:eastAsia="Times New Roman" w:hAnsi="Times New Roman" w:cs="Times New Roman"/>
          <w:color w:val="000000"/>
          <w:spacing w:val="0"/>
          <w:w w:val="100"/>
          <w:position w:val="0"/>
        </w:rPr>
        <w:t>19</w:t>
      </w:r>
      <w:r>
        <w:rPr>
          <w:color w:val="000000"/>
          <w:spacing w:val="0"/>
          <w:w w:val="100"/>
          <w:position w:val="0"/>
        </w:rPr>
        <w:t>、固定资产。</w:t>
      </w:r>
    </w:p>
    <w:p>
      <w:pPr>
        <w:pStyle w:val="Style3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公司采用实际利率法对未确认的融资费用，在资产租赁期间内摊销，计入财务费用。</w:t>
      </w:r>
    </w:p>
    <w:p>
      <w:pPr>
        <w:pStyle w:val="Style38"/>
        <w:keepNext w:val="0"/>
        <w:keepLines w:val="0"/>
        <w:widowControl w:val="0"/>
        <w:shd w:val="clear" w:color="auto" w:fill="auto"/>
        <w:tabs>
          <w:tab w:pos="810" w:val="left"/>
        </w:tabs>
        <w:bidi w:val="0"/>
        <w:spacing w:before="0" w:after="180" w:line="403" w:lineRule="exact"/>
        <w:ind w:left="0" w:right="0" w:firstLine="440"/>
        <w:jc w:val="both"/>
      </w:pPr>
      <w:bookmarkStart w:id="1228" w:name="bookmark1228"/>
      <w:r>
        <w:rPr>
          <w:rFonts w:ascii="Times New Roman" w:eastAsia="Times New Roman" w:hAnsi="Times New Roman" w:cs="Times New Roman"/>
          <w:color w:val="000000"/>
          <w:spacing w:val="0"/>
          <w:w w:val="100"/>
          <w:position w:val="0"/>
        </w:rPr>
        <w:t>2</w:t>
      </w:r>
      <w:bookmarkEnd w:id="1228"/>
      <w:r>
        <w:rPr>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5"/>
        <w:keepNext/>
        <w:keepLines/>
        <w:widowControl w:val="0"/>
        <w:shd w:val="clear" w:color="auto" w:fill="auto"/>
        <w:tabs>
          <w:tab w:pos="483" w:val="left"/>
        </w:tabs>
        <w:bidi w:val="0"/>
        <w:spacing w:before="0" w:after="300" w:line="406" w:lineRule="exact"/>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rFonts w:ascii="Times New Roman" w:eastAsia="Times New Roman" w:hAnsi="Times New Roman" w:cs="Times New Roman"/>
          <w:color w:val="000000"/>
          <w:spacing w:val="0"/>
          <w:w w:val="100"/>
          <w:position w:val="0"/>
        </w:rPr>
        <w:t>8</w:t>
      </w:r>
      <w:r>
        <w:rPr>
          <w:color w:val="000000"/>
          <w:spacing w:val="0"/>
          <w:w w:val="100"/>
          <w:position w:val="0"/>
        </w:rPr>
        <w:t>、</w:t>
        <w:tab/>
        <w:t>终止经营</w:t>
      </w:r>
      <w:bookmarkEnd w:id="1229"/>
      <w:bookmarkEnd w:id="1230"/>
      <w:bookmarkEnd w:id="1232"/>
    </w:p>
    <w:p>
      <w:pPr>
        <w:pStyle w:val="Style38"/>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公司将满足下列条件之一的，且该组成部分已经处置或划归为持有待售类别的、能够单独区分的组成 部分确认为终止经营组成部分：</w:t>
      </w:r>
    </w:p>
    <w:p>
      <w:pPr>
        <w:pStyle w:val="Style38"/>
        <w:keepNext w:val="0"/>
        <w:keepLines w:val="0"/>
        <w:widowControl w:val="0"/>
        <w:shd w:val="clear" w:color="auto" w:fill="auto"/>
        <w:tabs>
          <w:tab w:pos="928" w:val="left"/>
        </w:tabs>
        <w:bidi w:val="0"/>
        <w:spacing w:before="0" w:after="0" w:line="406" w:lineRule="exact"/>
        <w:ind w:left="0" w:right="0" w:firstLine="440"/>
        <w:jc w:val="left"/>
      </w:pPr>
      <w:bookmarkStart w:id="1233" w:name="bookmark1233"/>
      <w:r>
        <w:rPr>
          <w:color w:val="000000"/>
          <w:spacing w:val="0"/>
          <w:w w:val="100"/>
          <w:position w:val="0"/>
        </w:rPr>
        <w:t>（</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38"/>
        <w:keepNext w:val="0"/>
        <w:keepLines w:val="0"/>
        <w:widowControl w:val="0"/>
        <w:shd w:val="clear" w:color="auto" w:fill="auto"/>
        <w:tabs>
          <w:tab w:pos="1006" w:val="left"/>
        </w:tabs>
        <w:bidi w:val="0"/>
        <w:spacing w:before="0" w:after="0" w:line="406" w:lineRule="exact"/>
        <w:ind w:left="0" w:right="0" w:firstLine="440"/>
        <w:jc w:val="both"/>
      </w:pPr>
      <w:bookmarkStart w:id="1234" w:name="bookmark1234"/>
      <w:r>
        <w:rPr>
          <w:color w:val="000000"/>
          <w:spacing w:val="0"/>
          <w:w w:val="100"/>
          <w:position w:val="0"/>
        </w:rPr>
        <w:t>（</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该组成部分是拟对一项独立的主要业务或一个单独的主要经营地区进行处置的一项相关联计划 的一部分。</w:t>
      </w:r>
    </w:p>
    <w:p>
      <w:pPr>
        <w:pStyle w:val="Style38"/>
        <w:keepNext w:val="0"/>
        <w:keepLines w:val="0"/>
        <w:widowControl w:val="0"/>
        <w:shd w:val="clear" w:color="auto" w:fill="auto"/>
        <w:tabs>
          <w:tab w:pos="928" w:val="left"/>
        </w:tabs>
        <w:bidi w:val="0"/>
        <w:spacing w:before="0" w:after="0" w:line="406" w:lineRule="exact"/>
        <w:ind w:left="0" w:right="0" w:firstLine="440"/>
        <w:jc w:val="both"/>
      </w:pPr>
      <w:bookmarkStart w:id="1235" w:name="bookmark1235"/>
      <w:r>
        <w:rPr>
          <w:color w:val="000000"/>
          <w:spacing w:val="0"/>
          <w:w w:val="100"/>
          <w:position w:val="0"/>
        </w:rPr>
        <w:t>（</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38"/>
        <w:keepNext w:val="0"/>
        <w:keepLines w:val="0"/>
        <w:widowControl w:val="0"/>
        <w:shd w:val="clear" w:color="auto" w:fill="auto"/>
        <w:bidi w:val="0"/>
        <w:spacing w:before="0" w:after="240" w:line="406" w:lineRule="exact"/>
        <w:ind w:left="0" w:right="0" w:firstLine="440"/>
        <w:jc w:val="left"/>
      </w:pPr>
      <w:r>
        <w:rPr>
          <w:color w:val="000000"/>
          <w:spacing w:val="0"/>
          <w:w w:val="100"/>
          <w:position w:val="0"/>
        </w:rPr>
        <w:t>终止经营的减值损失和转回金额等经营损益及处置损益作为终止经营损益在利润表中列示。</w:t>
      </w:r>
      <w:r>
        <w:br w:type="page"/>
      </w:r>
    </w:p>
    <w:p>
      <w:pPr>
        <w:pStyle w:val="Style35"/>
        <w:keepNext/>
        <w:keepLines/>
        <w:widowControl w:val="0"/>
        <w:shd w:val="clear" w:color="auto" w:fill="auto"/>
        <w:bidi w:val="0"/>
        <w:spacing w:before="0" w:after="36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1236"/>
      <w:bookmarkEnd w:id="1237"/>
      <w:bookmarkEnd w:id="1239"/>
    </w:p>
    <w:p>
      <w:pPr>
        <w:pStyle w:val="Style48"/>
        <w:keepNext/>
        <w:keepLines/>
        <w:widowControl w:val="0"/>
        <w:shd w:val="clear" w:color="auto" w:fill="auto"/>
        <w:bidi w:val="0"/>
        <w:spacing w:before="0" w:after="36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40"/>
      <w:bookmarkEnd w:id="1241"/>
      <w:bookmarkEnd w:id="1243"/>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日召开第四届董 事会第二十一次会议，审议通过了《关 于会计政策变更的议案》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20"/>
        <w:jc w:val="left"/>
      </w:pPr>
      <w:bookmarkStart w:id="1244" w:name="bookmark1244"/>
      <w:r>
        <w:rPr>
          <w:b/>
          <w:bCs/>
          <w:color w:val="000000"/>
          <w:spacing w:val="0"/>
          <w:w w:val="100"/>
          <w:position w:val="0"/>
        </w:rPr>
        <w:t>（</w:t>
      </w:r>
      <w:bookmarkEnd w:id="1244"/>
      <w:r>
        <w:rPr>
          <w:rFonts w:ascii="Times New Roman" w:eastAsia="Times New Roman" w:hAnsi="Times New Roman" w:cs="Times New Roman"/>
          <w:b/>
          <w:bCs/>
          <w:color w:val="000000"/>
          <w:spacing w:val="0"/>
          <w:w w:val="100"/>
          <w:position w:val="0"/>
        </w:rPr>
        <w:t>1</w:t>
      </w:r>
      <w:r>
        <w:rPr>
          <w:b/>
          <w:bCs/>
          <w:color w:val="000000"/>
          <w:spacing w:val="0"/>
          <w:w w:val="100"/>
          <w:position w:val="0"/>
        </w:rPr>
        <w:t>）执行新收入准则对公司的影响</w:t>
      </w:r>
    </w:p>
    <w:p>
      <w:pPr>
        <w:pStyle w:val="Style38"/>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 xml:space="preserve">号——收入》，变更后的会计政 </w:t>
      </w:r>
      <w:r>
        <w:rPr>
          <w:color w:val="000000"/>
          <w:spacing w:val="0"/>
          <w:w w:val="100"/>
          <w:position w:val="0"/>
        </w:rPr>
        <w:t>策详见附注四。</w:t>
      </w:r>
    </w:p>
    <w:p>
      <w:pPr>
        <w:pStyle w:val="Style38"/>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 </w:t>
      </w:r>
      <w:r>
        <w:rPr>
          <w:color w:val="000000"/>
          <w:spacing w:val="0"/>
          <w:w w:val="100"/>
          <w:position w:val="0"/>
        </w:rPr>
        <w:t>留存收益及财务报表其他相关项目金额，对可比期间信息不予调整。</w:t>
      </w:r>
    </w:p>
    <w:p>
      <w:pPr>
        <w:pStyle w:val="Style38"/>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执行新收入准则对本期期初资产负债表相关项目的影响列示如下:</w:t>
      </w:r>
    </w:p>
    <w:tbl>
      <w:tblPr>
        <w:tblOverlap w:val="never"/>
        <w:jc w:val="center"/>
        <w:tblLayout w:type="fixed"/>
      </w:tblPr>
      <w:tblGrid>
        <w:gridCol w:w="1531"/>
        <w:gridCol w:w="1838"/>
        <w:gridCol w:w="1565"/>
        <w:gridCol w:w="1416"/>
        <w:gridCol w:w="1478"/>
        <w:gridCol w:w="1858"/>
      </w:tblGrid>
      <w:tr>
        <w:trPr>
          <w:trHeight w:val="43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7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重分类</w:t>
            </w:r>
          </w:p>
          <w:p>
            <w:pPr>
              <w:pStyle w:val="Style2"/>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重新计量</w:t>
            </w:r>
          </w:p>
          <w:p>
            <w:pPr>
              <w:pStyle w:val="Style2"/>
              <w:keepNext w:val="0"/>
              <w:keepLines w:val="0"/>
              <w:widowControl w:val="0"/>
              <w:shd w:val="clear" w:color="auto" w:fill="auto"/>
              <w:bidi w:val="0"/>
              <w:spacing w:before="0" w:after="0" w:line="240" w:lineRule="auto"/>
              <w:ind w:left="0" w:right="0" w:firstLine="340"/>
              <w:jc w:val="left"/>
            </w:pP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2</w:t>
            </w:r>
            <w:r>
              <w:rPr>
                <w:i/>
                <w:i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376,719,352.99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376,719,352.99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376,719,352.99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328,031,464.39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328,031,464.39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328,031,464.39</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48,687,888.60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48,687,888.60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48,687,888.60</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：说明与收入准则的原规定相比，执行本准则对首次执行日财务报表相关项目重分类情况。本公 </w:t>
      </w:r>
      <w:r>
        <w:rPr>
          <w:color w:val="000000"/>
          <w:spacing w:val="0"/>
          <w:w w:val="100"/>
          <w:position w:val="0"/>
        </w:rPr>
        <w:t>司的预收款项被重分类至合同负债。</w:t>
      </w:r>
    </w:p>
    <w:p>
      <w:pPr>
        <w:pStyle w:val="Style38"/>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：说明与收入准则的原规定相比，执行本准则对首次执行日财务报表相关项目重新计量情况</w:t>
      </w:r>
    </w:p>
    <w:p>
      <w:pPr>
        <w:pStyle w:val="Style38"/>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日合并资产负债表的影响如下：</w:t>
      </w:r>
    </w:p>
    <w:tbl>
      <w:tblPr>
        <w:tblOverlap w:val="never"/>
        <w:jc w:val="center"/>
        <w:tblLayout w:type="fixed"/>
      </w:tblPr>
      <w:tblGrid>
        <w:gridCol w:w="2448"/>
        <w:gridCol w:w="2410"/>
        <w:gridCol w:w="2410"/>
        <w:gridCol w:w="2419"/>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262,507,955.96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-262,507,955.96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237,785,432.03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237,785,432.03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22,234,083.93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22,234,083.93</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2,488,440.00</w:t>
            </w:r>
          </w:p>
        </w:tc>
      </w:tr>
    </w:tbl>
    <w:p>
      <w:pPr>
        <w:widowControl w:val="0"/>
        <w:spacing w:after="159" w:line="1" w:lineRule="exact"/>
      </w:pPr>
    </w:p>
    <w:p>
      <w:pPr>
        <w:pStyle w:val="Style3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年度合并利润表无影响。</w:t>
      </w:r>
    </w:p>
    <w:p>
      <w:pPr>
        <w:pStyle w:val="Style48"/>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245"/>
      <w:bookmarkEnd w:id="1246"/>
      <w:bookmarkEnd w:id="1248"/>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8"/>
        <w:keepNext/>
        <w:keepLines/>
        <w:widowControl w:val="0"/>
        <w:numPr>
          <w:ilvl w:val="0"/>
          <w:numId w:val="85"/>
        </w:numPr>
        <w:shd w:val="clear" w:color="auto" w:fill="auto"/>
        <w:tabs>
          <w:tab w:pos="493" w:val="left"/>
        </w:tabs>
        <w:bidi w:val="0"/>
        <w:spacing w:before="0" w:after="400" w:line="240" w:lineRule="auto"/>
        <w:ind w:left="0" w:right="0" w:firstLine="0"/>
        <w:jc w:val="left"/>
      </w:pPr>
      <w:bookmarkStart w:id="1249" w:name="bookmark1249"/>
      <w:bookmarkStart w:id="1250" w:name="bookmark1250"/>
      <w:bookmarkStart w:id="1251" w:name="bookmark1251"/>
      <w:bookmarkStart w:id="1252" w:name="bookmark1252"/>
      <w:bookmarkEnd w:id="125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249"/>
      <w:bookmarkEnd w:id="1250"/>
      <w:bookmarkEnd w:id="125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275,044,709.06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275,044,709.06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12,664,211.51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12,664,211.51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2,939,498,025.89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2,939,498,025.89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1,290,699,572.81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1,290,699,572.81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42,079,533.37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42,079,533.37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220,824,023.43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220,824,023.43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175,200,955.48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175,200,955.48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2,095,374.76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81,358,816.77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81,358,816.77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5,039,465,223.08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5,039,465,223.08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38,496,731.98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38,496,731.98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10,409,196.20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10,409,196.20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26,585,470.00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26,585,470.00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767,617,444.95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767,617,444.95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1,303,940,905.12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1,303,940,905.12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388,997,804.89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388,997,804.89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8,520,564.46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8,520,564.46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493,586,016.88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493,586,016.88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6,705,599.34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6,705,599.34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156,112,624.66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156,112,624.66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349,586,607.56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349,586,607.56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3,601,058,966.04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3,601,058,966.04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8,640,524,189.12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8,640,524,189.12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2,047,447,425.36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2,047,447,425.36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61,598,600.00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61,598,600.00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446,384,916.80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446,384,916.80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376,719,352.99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-376,719,352.99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328,031,464.39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328,031,464.39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37,698,281.31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37,698,281.31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117,218,775.65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117,218,775.65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279,568,629.13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279,568,629.13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8,159,382.67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8,159,382.67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10,062,791.91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10,062,791.91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536,399,690.65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536,399,690.65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48,687,888.60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48,687,888.60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3,913,098,463.80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3,913,098,463.80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412,531,000.53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412,531,000.53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87,097,076.87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87,097,076.87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106,771,186.78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106,771,186.78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96,936,512.20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96,936,512.20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19,224,930.88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19,224,930.88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722,560,707.26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722,560,707.26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4,635,659,171.06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4,635,659,171.06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1,249,796,194.00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1,249,796,194.00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2,244,302,653.21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2,244,302,653.21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16,143,420.00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16,143,420.00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295,249,512.49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295,249,512.49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3,848,684,180.14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3,848,684,180.14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156,180,837.92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156,180,837.92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4,004,865,018.06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4,004,865,018.06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8,640,524,189.12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8,640,524,189.12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line="355" w:lineRule="exact"/>
        <w:ind w:left="0" w:right="0" w:firstLine="0"/>
        <w:jc w:val="left"/>
      </w:pPr>
      <w:r>
        <w:rPr>
          <w:color w:val="000000"/>
          <w:spacing w:val="0"/>
          <w:w w:val="100"/>
          <w:position w:val="0"/>
        </w:rPr>
        <w:t>调整情况说明 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9,166,604.78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9,166,604.78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233,186,209.03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233,186,209.03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83,903,382.67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83,903,382.67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252,196,173.95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252,196,173.95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5,240,773.27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5,240,773.27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177,161,592.49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177,161,592.49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781,114,035.13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781,114,035.13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17,024,738.20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17,024,738.20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3,737,310,432.00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3,737,310,432.00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167,623,819.28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167,623,819.28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393,541,134.26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393,541,134.26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30,649,128.76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30,649,128.76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3,023,003.50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3,023,003.50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19,515,039.80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19,515,039.80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36,807,600.00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36,807,600.00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4,411,494,895.80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4,411,494,895.80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5,192,608,930.93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5,192,608,930.93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19,063,484.15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19,063,484.15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172,440,201.63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-172,440,201.63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150,210,234.43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150,210,234.43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2,601,575.51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2,601,575.51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18,699,789.24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18,699,789.24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200,076,713.92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200,076,713.92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244,714,704.55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244,714,704.55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22,229,967.20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22,229,967.20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1,095,596,469.00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1,095,596,469.00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262,531,000.53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262,531,000.53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87,097,076.87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87,097,076.87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26,288,299.70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26,288,299.70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12,754,999.53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12,754,999.53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388,671,376.63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388,671,376.63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1,484,267,845.63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1,484,267,845.63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1,249,796,194.00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1,249,796,194.00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2,230,767,963.95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2,230,767,963.95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184,584,526.91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184,584,526.91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3,708,341,085.30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3,708,341,085.30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5,192,608,930.93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5,192,608,930.93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shd w:val="clear" w:color="auto" w:fill="FFFFFF"/>
        </w:rPr>
        <w:t>（</w:t>
      </w:r>
      <w:bookmarkEnd w:id="1255"/>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53"/>
      <w:bookmarkEnd w:id="1254"/>
      <w:bookmarkEnd w:id="125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46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4</w:t>
      </w:r>
      <w:bookmarkEnd w:id="1259"/>
      <w:r>
        <w:rPr>
          <w:rFonts w:ascii="Times New Roman" w:eastAsia="Times New Roman" w:hAnsi="Times New Roman" w:cs="Times New Roman"/>
          <w:color w:val="000000"/>
          <w:spacing w:val="0"/>
          <w:w w:val="100"/>
          <w:position w:val="0"/>
        </w:rPr>
        <w:t>0</w:t>
      </w:r>
      <w:r>
        <w:rPr>
          <w:color w:val="000000"/>
          <w:spacing w:val="0"/>
          <w:w w:val="100"/>
          <w:position w:val="0"/>
        </w:rPr>
        <w:t>、安全生产费</w:t>
      </w:r>
      <w:bookmarkEnd w:id="1257"/>
      <w:bookmarkEnd w:id="1258"/>
      <w:bookmarkEnd w:id="1260"/>
    </w:p>
    <w:p>
      <w:pPr>
        <w:pStyle w:val="Style3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公司按照国家规定提取的安全生产费，计入相关产品的成本或当期损益，同时记入</w:t>
      </w:r>
      <w:r>
        <w:rPr>
          <w:rFonts w:ascii="Times New Roman" w:eastAsia="Times New Roman" w:hAnsi="Times New Roman" w:cs="Times New Roman"/>
          <w:color w:val="000000"/>
          <w:spacing w:val="0"/>
          <w:w w:val="100"/>
          <w:position w:val="0"/>
        </w:rPr>
        <w:t>“</w:t>
      </w:r>
      <w:r>
        <w:rPr>
          <w:color w:val="000000"/>
          <w:spacing w:val="0"/>
          <w:w w:val="100"/>
          <w:position w:val="0"/>
        </w:rPr>
        <w:t>专项储备</w:t>
      </w:r>
      <w:r>
        <w:rPr>
          <w:color w:val="000000"/>
          <w:spacing w:val="0"/>
          <w:w w:val="100"/>
          <w:position w:val="0"/>
        </w:rPr>
        <w:t>''</w:t>
      </w:r>
      <w:r>
        <w:rPr>
          <w:color w:val="000000"/>
          <w:spacing w:val="0"/>
          <w:w w:val="100"/>
          <w:position w:val="0"/>
        </w:rPr>
        <w:t xml:space="preserve">科目。 </w:t>
      </w:r>
      <w:r>
        <w:rPr>
          <w:color w:val="000000"/>
          <w:spacing w:val="0"/>
          <w:w w:val="100"/>
          <w:position w:val="0"/>
        </w:rPr>
        <w:t>使用提取的安全生产费时，属于费用性支出的，直接冲减专项储备。形成固定资产的，通过</w:t>
      </w:r>
      <w:r>
        <w:rPr>
          <w:rFonts w:ascii="Times New Roman" w:eastAsia="Times New Roman" w:hAnsi="Times New Roman" w:cs="Times New Roman"/>
          <w:color w:val="000000"/>
          <w:spacing w:val="0"/>
          <w:w w:val="100"/>
          <w:position w:val="0"/>
        </w:rPr>
        <w:t>“</w:t>
      </w:r>
      <w:r>
        <w:rPr>
          <w:color w:val="000000"/>
          <w:spacing w:val="0"/>
          <w:w w:val="100"/>
          <w:position w:val="0"/>
        </w:rPr>
        <w:t>在建工程</w:t>
      </w:r>
      <w:r>
        <w:rPr>
          <w:rFonts w:ascii="Times New Roman" w:eastAsia="Times New Roman" w:hAnsi="Times New Roman" w:cs="Times New Roman"/>
          <w:color w:val="000000"/>
          <w:spacing w:val="0"/>
          <w:w w:val="100"/>
          <w:position w:val="0"/>
        </w:rPr>
        <w:t>''</w:t>
      </w:r>
      <w:r>
        <w:rPr>
          <w:color w:val="000000"/>
          <w:spacing w:val="0"/>
          <w:w w:val="100"/>
          <w:position w:val="0"/>
        </w:rPr>
        <w:t>科 目归集所发生的支出，待安全项目完工达到预定可使用状态时确认为固定资产；同时，按照形成固定资产 的成本冲减专项储备，并确认相同金额的累计折旧。该固定资产在以后期间不再计提折旧。公司提取的维 简费和其他具有类似性质的费用，比照上述规定处理。</w:t>
      </w:r>
    </w:p>
    <w:p>
      <w:pPr>
        <w:pStyle w:val="Style35"/>
        <w:keepNext/>
        <w:keepLines/>
        <w:widowControl w:val="0"/>
        <w:shd w:val="clear" w:color="auto" w:fill="auto"/>
        <w:bidi w:val="0"/>
        <w:spacing w:before="0" w:after="200" w:line="418" w:lineRule="auto"/>
        <w:ind w:left="0" w:right="0" w:firstLine="0"/>
        <w:jc w:val="left"/>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41</w:t>
      </w:r>
      <w:r>
        <w:rPr>
          <w:color w:val="000000"/>
          <w:spacing w:val="0"/>
          <w:w w:val="100"/>
          <w:position w:val="0"/>
        </w:rPr>
        <w:t>、其他</w:t>
      </w:r>
      <w:bookmarkEnd w:id="1261"/>
      <w:bookmarkEnd w:id="1262"/>
      <w:bookmarkEnd w:id="1263"/>
    </w:p>
    <w:p>
      <w:pPr>
        <w:pStyle w:val="Style26"/>
        <w:keepNext/>
        <w:keepLines/>
        <w:widowControl w:val="0"/>
        <w:shd w:val="clear" w:color="auto" w:fill="auto"/>
        <w:bidi w:val="0"/>
        <w:spacing w:before="0" w:after="36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六</w:t>
      </w:r>
      <w:bookmarkEnd w:id="1266"/>
      <w:r>
        <w:rPr>
          <w:color w:val="000000"/>
          <w:spacing w:val="0"/>
          <w:w w:val="100"/>
          <w:position w:val="0"/>
        </w:rPr>
        <w:t>、税项</w:t>
      </w:r>
      <w:bookmarkEnd w:id="1264"/>
      <w:bookmarkEnd w:id="1265"/>
      <w:bookmarkEnd w:id="1267"/>
    </w:p>
    <w:p>
      <w:pPr>
        <w:pStyle w:val="Style35"/>
        <w:keepNext/>
        <w:keepLines/>
        <w:widowControl w:val="0"/>
        <w:shd w:val="clear" w:color="auto" w:fill="auto"/>
        <w:bidi w:val="0"/>
        <w:spacing w:before="0" w:after="120" w:line="418" w:lineRule="auto"/>
        <w:ind w:left="0" w:right="0" w:firstLine="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68"/>
      <w:bookmarkEnd w:id="1269"/>
      <w:bookmarkEnd w:id="1270"/>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销售收入（营改增试点地区适用应税劳 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3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广东省蓝盾职业培训学院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广东蓝盾移动互联网信息科技有限公司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新设软件企业“两免三减半”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广州市奔特信息科技有限公司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广东蓝盾企业经营管理有限公司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广东省南方信息技术研究院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广东蓝盾新微安全科技有限公司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北京京穗蓝盾信息安全技术有限公司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广东汇青信息科技有限公司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成都蓝盾网信科技有限公司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新设软件企业“两免三减半”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西咸新区蓝盾信息安全技术有限公司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香港蓝盾投资管理有限公司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香港企业所得税税率为</w:t>
            </w:r>
            <w:r>
              <w:rPr>
                <w:rFonts w:ascii="Times New Roman" w:eastAsia="Times New Roman" w:hAnsi="Times New Roman" w:cs="Times New Roman"/>
                <w:color w:val="000000"/>
                <w:spacing w:val="0"/>
                <w:w w:val="100"/>
                <w:position w:val="0"/>
                <w:sz w:val="18"/>
                <w:szCs w:val="18"/>
              </w:rPr>
              <w:t>16.5%</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汇通宝支付有限责任公司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深圳市蓝盾满泰科技发展有限公司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广州蓝盾数据安全技术创新中心有限公司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江西华炜电气技术有限公司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南京微润科技有限公司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东莞市新铂铢电子有限公司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广州华炜测控技术有限公司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东莞市华炜雷电防护设备有限公司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福建中经汇通有限责任公司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广州蓝盾工控技术有限公司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广州市满泰信息科技有限公司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新设软件企业“两免三减半”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北京华炜思创科技有限公司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四川中科蓝盾信息安全技术有限公司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陕西蓝盾云信息安全技术有限公司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湖北蓝盾网信科技有限公司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始兴县都亨加油站有限公司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广州市汇特慧科技有限公司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广东蓝盾网信科技有限公司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宜宾蓝盾信息安全技术有限公司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江门蓝盾创新信息安全技术有限公司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肇庆蓝盾创新信息安全技术有限公司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广东蓝盾智能信息安全技术有限公司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蓝盾汇通电子商务有限公司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广东蓝盾聚能新能源科技有限公司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广东蓝盾量子科技有限公司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宜宾蓝盾量子科技有限公司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广州蓝盾华创信息安全技术有限公司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征收</w:t>
            </w:r>
          </w:p>
        </w:tc>
      </w:tr>
    </w:tbl>
    <w:p>
      <w:pPr>
        <w:widowControl w:val="0"/>
        <w:spacing w:after="319" w:line="1" w:lineRule="exact"/>
      </w:pPr>
    </w:p>
    <w:p>
      <w:pPr>
        <w:pStyle w:val="Style35"/>
        <w:keepNext/>
        <w:keepLines/>
        <w:widowControl w:val="0"/>
        <w:shd w:val="clear" w:color="auto" w:fill="auto"/>
        <w:bidi w:val="0"/>
        <w:spacing w:before="0" w:after="4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color w:val="000000"/>
          <w:spacing w:val="0"/>
          <w:w w:val="100"/>
          <w:position w:val="0"/>
        </w:rPr>
        <w:t>、税收优惠</w:t>
      </w:r>
      <w:bookmarkEnd w:id="1271"/>
      <w:bookmarkEnd w:id="1272"/>
      <w:bookmarkEnd w:id="1274"/>
    </w:p>
    <w:p>
      <w:pPr>
        <w:pStyle w:val="Style3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日取得广东省科学技术厅、广东省财政厅、广东省国家税务局、广东省 </w:t>
      </w:r>
      <w:r>
        <w:rPr>
          <w:color w:val="000000"/>
          <w:spacing w:val="0"/>
          <w:w w:val="100"/>
          <w:position w:val="0"/>
        </w:rPr>
        <w:t>地方税务局下发的编号为</w:t>
      </w:r>
      <w:r>
        <w:rPr>
          <w:rFonts w:ascii="Times New Roman" w:eastAsia="Times New Roman" w:hAnsi="Times New Roman" w:cs="Times New Roman"/>
          <w:color w:val="000000"/>
          <w:spacing w:val="0"/>
          <w:w w:val="100"/>
          <w:position w:val="0"/>
        </w:rPr>
        <w:t>GR202044012628</w:t>
      </w:r>
      <w:r>
        <w:rPr>
          <w:color w:val="000000"/>
          <w:spacing w:val="0"/>
          <w:w w:val="100"/>
          <w:position w:val="0"/>
        </w:rPr>
        <w:t>的《高新技术企业证书》。该认定有效期为三年，于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38"/>
        <w:keepNext w:val="0"/>
        <w:keepLines w:val="0"/>
        <w:widowControl w:val="0"/>
        <w:shd w:val="clear" w:color="auto" w:fill="auto"/>
        <w:tabs>
          <w:tab w:pos="961" w:val="left"/>
        </w:tabs>
        <w:bidi w:val="0"/>
        <w:spacing w:before="0" w:after="0" w:line="399" w:lineRule="exact"/>
        <w:ind w:left="0" w:right="0" w:firstLine="440"/>
        <w:jc w:val="both"/>
      </w:pPr>
      <w:bookmarkStart w:id="1275" w:name="bookmark1275"/>
      <w:r>
        <w:rPr>
          <w:color w:val="000000"/>
          <w:spacing w:val="0"/>
          <w:w w:val="100"/>
          <w:position w:val="0"/>
        </w:rPr>
        <w:t>（</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w:t>
        <w:tab/>
        <w:t>子公司蓝盾信息安全技术有限公司于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日取得广东省科学技术厅、广东省财政厅、 广东省国家税务局、广东省地方税务局下发的编号为</w:t>
      </w:r>
      <w:r>
        <w:rPr>
          <w:rFonts w:ascii="Times New Roman" w:eastAsia="Times New Roman" w:hAnsi="Times New Roman" w:cs="Times New Roman"/>
          <w:color w:val="000000"/>
          <w:spacing w:val="0"/>
          <w:w w:val="100"/>
          <w:position w:val="0"/>
        </w:rPr>
        <w:t>GR202044011961</w:t>
      </w:r>
      <w:r>
        <w:rPr>
          <w:color w:val="000000"/>
          <w:spacing w:val="0"/>
          <w:w w:val="100"/>
          <w:position w:val="0"/>
        </w:rPr>
        <w:t>的《高新技术企业证书》。该认定有 效期为三年，于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38"/>
        <w:keepNext w:val="0"/>
        <w:keepLines w:val="0"/>
        <w:widowControl w:val="0"/>
        <w:shd w:val="clear" w:color="auto" w:fill="auto"/>
        <w:tabs>
          <w:tab w:pos="910" w:val="left"/>
        </w:tabs>
        <w:bidi w:val="0"/>
        <w:spacing w:before="0" w:after="0" w:line="399" w:lineRule="exact"/>
        <w:ind w:left="0" w:right="0" w:firstLine="440"/>
        <w:jc w:val="both"/>
      </w:pPr>
      <w:bookmarkStart w:id="1276" w:name="bookmark1276"/>
      <w:r>
        <w:rPr>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w:t>
        <w:tab/>
        <w:t>子公司广州华炜科技有限公司于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日取得广东省科学技术厅、广东省财政厅、广</w:t>
      </w:r>
    </w:p>
    <w:p>
      <w:pPr>
        <w:pStyle w:val="Style38"/>
        <w:keepNext w:val="0"/>
        <w:keepLines w:val="0"/>
        <w:widowControl w:val="0"/>
        <w:shd w:val="clear" w:color="auto" w:fill="auto"/>
        <w:tabs>
          <w:tab w:pos="7373" w:val="left"/>
        </w:tabs>
        <w:bidi w:val="0"/>
        <w:spacing w:before="0" w:after="0" w:line="399" w:lineRule="exact"/>
        <w:ind w:left="0" w:right="0" w:firstLine="0"/>
        <w:jc w:val="both"/>
      </w:pPr>
      <w:r>
        <w:rPr>
          <w:color w:val="000000"/>
          <w:spacing w:val="0"/>
          <w:w w:val="100"/>
          <w:position w:val="0"/>
        </w:rPr>
        <w:t>东省国家税务局、广东省地方税务局下发的编号为</w:t>
      </w:r>
      <w:r>
        <w:rPr>
          <w:rFonts w:ascii="Times New Roman" w:eastAsia="Times New Roman" w:hAnsi="Times New Roman" w:cs="Times New Roman"/>
          <w:color w:val="000000"/>
          <w:spacing w:val="0"/>
          <w:w w:val="100"/>
          <w:position w:val="0"/>
        </w:rPr>
        <w:t>GR202044012251</w:t>
      </w:r>
      <w:r>
        <w:rPr>
          <w:color w:val="000000"/>
          <w:spacing w:val="0"/>
          <w:w w:val="100"/>
          <w:position w:val="0"/>
        </w:rPr>
        <w:t>的《高新技术企业证书》，该认定有效 期为三年，于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的优惠税率缴纳企业所得税。广州华炜科技有限公司子 公司江西华炜电气技术有限公司于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日取得江西省科学技术厅、江西省财政厅、江西省国家 税务局、江西省地方税务局下发的编号为</w:t>
      </w:r>
      <w:r>
        <w:rPr>
          <w:rFonts w:ascii="Times New Roman" w:eastAsia="Times New Roman" w:hAnsi="Times New Roman" w:cs="Times New Roman"/>
          <w:color w:val="000000"/>
          <w:spacing w:val="0"/>
          <w:w w:val="100"/>
          <w:position w:val="0"/>
        </w:rPr>
        <w:t>GR202036000343</w:t>
      </w:r>
      <w:r>
        <w:rPr>
          <w:color w:val="000000"/>
          <w:spacing w:val="0"/>
          <w:w w:val="100"/>
          <w:position w:val="0"/>
        </w:rPr>
        <w:t xml:space="preserve">的《高新技术企业证书》，该认定有效期为三年，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年及</w:t>
      </w:r>
      <w:r>
        <w:rPr>
          <w:rFonts w:ascii="Times New Roman" w:eastAsia="Times New Roman" w:hAnsi="Times New Roman" w:cs="Times New Roman"/>
          <w:color w:val="000000"/>
          <w:spacing w:val="0"/>
          <w:w w:val="100"/>
          <w:position w:val="0"/>
        </w:rPr>
        <w:t>2022</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的优惠税率缴纳企业所得税。全资子公司东莞市华炜雷电防护设备有 限公司、广州华炜测控技术有限公司符合小型微利企业条件，根据财税〔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号文件，自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p>
    <w:p>
      <w:pPr>
        <w:pStyle w:val="Style38"/>
        <w:keepNext w:val="0"/>
        <w:keepLines w:val="0"/>
        <w:widowControl w:val="0"/>
        <w:shd w:val="clear" w:color="auto" w:fill="auto"/>
        <w:bidi w:val="0"/>
        <w:spacing w:before="0" w:after="0" w:line="399"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 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38"/>
        <w:keepNext w:val="0"/>
        <w:keepLines w:val="0"/>
        <w:widowControl w:val="0"/>
        <w:shd w:val="clear" w:color="auto" w:fill="auto"/>
        <w:tabs>
          <w:tab w:pos="961" w:val="left"/>
        </w:tabs>
        <w:bidi w:val="0"/>
        <w:spacing w:before="0" w:after="0" w:line="399" w:lineRule="exact"/>
        <w:ind w:left="0" w:right="0" w:firstLine="440"/>
        <w:jc w:val="both"/>
      </w:pPr>
      <w:bookmarkStart w:id="1277" w:name="bookmark1277"/>
      <w:r>
        <w:rPr>
          <w:color w:val="000000"/>
          <w:spacing w:val="0"/>
          <w:w w:val="100"/>
          <w:position w:val="0"/>
        </w:rPr>
        <w:t>（</w:t>
      </w:r>
      <w:bookmarkEnd w:id="1277"/>
      <w:r>
        <w:rPr>
          <w:rFonts w:ascii="Times New Roman" w:eastAsia="Times New Roman" w:hAnsi="Times New Roman" w:cs="Times New Roman"/>
          <w:color w:val="000000"/>
          <w:spacing w:val="0"/>
          <w:w w:val="100"/>
          <w:position w:val="0"/>
        </w:rPr>
        <w:t>4</w:t>
      </w:r>
      <w:r>
        <w:rPr>
          <w:color w:val="000000"/>
          <w:spacing w:val="0"/>
          <w:w w:val="100"/>
          <w:position w:val="0"/>
        </w:rPr>
        <w:t>）</w:t>
        <w:tab/>
        <w:t>子公司中经汇通电子商务有限公司于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日再次取得广东省科学技术厅、广东省财 政厅、国家税务总局广东省税务局下发的编号为</w:t>
      </w:r>
      <w:r>
        <w:rPr>
          <w:rFonts w:ascii="Times New Roman" w:eastAsia="Times New Roman" w:hAnsi="Times New Roman" w:cs="Times New Roman"/>
          <w:color w:val="000000"/>
          <w:spacing w:val="0"/>
          <w:w w:val="100"/>
          <w:position w:val="0"/>
        </w:rPr>
        <w:t>GR201844000083</w:t>
      </w:r>
      <w:r>
        <w:rPr>
          <w:color w:val="000000"/>
          <w:spacing w:val="0"/>
          <w:w w:val="100"/>
          <w:position w:val="0"/>
        </w:rPr>
        <w:t>的《高新技术企业证书》，该认定有效期 为三年，于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38"/>
        <w:keepNext w:val="0"/>
        <w:keepLines w:val="0"/>
        <w:widowControl w:val="0"/>
        <w:shd w:val="clear" w:color="auto" w:fill="auto"/>
        <w:bidi w:val="0"/>
        <w:spacing w:before="0" w:after="0" w:line="399" w:lineRule="exact"/>
        <w:ind w:left="0" w:right="0" w:firstLine="440"/>
        <w:jc w:val="both"/>
      </w:pPr>
      <w:bookmarkStart w:id="1278" w:name="bookmark1278"/>
      <w:r>
        <w:rPr>
          <w:color w:val="000000"/>
          <w:spacing w:val="0"/>
          <w:w w:val="100"/>
          <w:position w:val="0"/>
        </w:rPr>
        <w:t>（</w:t>
      </w:r>
      <w:bookmarkEnd w:id="1278"/>
      <w:r>
        <w:rPr>
          <w:rFonts w:ascii="Times New Roman" w:eastAsia="Times New Roman" w:hAnsi="Times New Roman" w:cs="Times New Roman"/>
          <w:color w:val="000000"/>
          <w:spacing w:val="0"/>
          <w:w w:val="100"/>
          <w:position w:val="0"/>
        </w:rPr>
        <w:t>5</w:t>
      </w:r>
      <w:r>
        <w:rPr>
          <w:color w:val="000000"/>
          <w:spacing w:val="0"/>
          <w:w w:val="100"/>
          <w:position w:val="0"/>
        </w:rPr>
        <w:t>） 子公司广东蓝盾新微安全科技有限公司于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日取得广东省科学技术厅、广东省财 政厅、国家税务总局广东省税务局下发的编号为</w:t>
      </w:r>
      <w:r>
        <w:rPr>
          <w:rFonts w:ascii="Times New Roman" w:eastAsia="Times New Roman" w:hAnsi="Times New Roman" w:cs="Times New Roman"/>
          <w:color w:val="000000"/>
          <w:spacing w:val="0"/>
          <w:w w:val="100"/>
          <w:position w:val="0"/>
        </w:rPr>
        <w:t>GR201844009370</w:t>
      </w:r>
      <w:r>
        <w:rPr>
          <w:color w:val="000000"/>
          <w:spacing w:val="0"/>
          <w:w w:val="100"/>
          <w:position w:val="0"/>
        </w:rPr>
        <w:t>的《高新技术企业证书》，该认定有效期 为三年，于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38"/>
        <w:keepNext w:val="0"/>
        <w:keepLines w:val="0"/>
        <w:widowControl w:val="0"/>
        <w:shd w:val="clear" w:color="auto" w:fill="auto"/>
        <w:bidi w:val="0"/>
        <w:spacing w:before="0" w:after="0" w:line="399" w:lineRule="exact"/>
        <w:ind w:left="0" w:right="0" w:firstLine="440"/>
        <w:jc w:val="both"/>
      </w:pPr>
      <w:bookmarkStart w:id="1279" w:name="bookmark1279"/>
      <w:r>
        <w:rPr>
          <w:color w:val="000000"/>
          <w:spacing w:val="0"/>
          <w:w w:val="100"/>
          <w:position w:val="0"/>
        </w:rPr>
        <w:t>（</w:t>
      </w:r>
      <w:bookmarkEnd w:id="1279"/>
      <w:r>
        <w:rPr>
          <w:rFonts w:ascii="Times New Roman" w:eastAsia="Times New Roman" w:hAnsi="Times New Roman" w:cs="Times New Roman"/>
          <w:color w:val="000000"/>
          <w:spacing w:val="0"/>
          <w:w w:val="100"/>
          <w:position w:val="0"/>
        </w:rPr>
        <w:t>6</w:t>
      </w:r>
      <w:r>
        <w:rPr>
          <w:color w:val="000000"/>
          <w:spacing w:val="0"/>
          <w:w w:val="100"/>
          <w:position w:val="0"/>
        </w:rPr>
        <w:t>） 子公司广东蓝盾乐庚信息技术有限公司于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日取得广东省科学技术厅、广东省财 政厅、国家税务总局广东省税务局下发的编号为</w:t>
      </w:r>
      <w:r>
        <w:rPr>
          <w:rFonts w:ascii="Times New Roman" w:eastAsia="Times New Roman" w:hAnsi="Times New Roman" w:cs="Times New Roman"/>
          <w:color w:val="000000"/>
          <w:spacing w:val="0"/>
          <w:w w:val="100"/>
          <w:position w:val="0"/>
        </w:rPr>
        <w:t>GR201844004407</w:t>
      </w:r>
      <w:r>
        <w:rPr>
          <w:color w:val="000000"/>
          <w:spacing w:val="0"/>
          <w:w w:val="100"/>
          <w:position w:val="0"/>
        </w:rPr>
        <w:t>的《高新技术企业证书》，该认定有效期 为三年，于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38"/>
        <w:keepNext w:val="0"/>
        <w:keepLines w:val="0"/>
        <w:widowControl w:val="0"/>
        <w:shd w:val="clear" w:color="auto" w:fill="auto"/>
        <w:tabs>
          <w:tab w:pos="961" w:val="left"/>
        </w:tabs>
        <w:bidi w:val="0"/>
        <w:spacing w:before="0" w:after="0" w:line="399" w:lineRule="exact"/>
        <w:ind w:left="0" w:right="0" w:firstLine="440"/>
        <w:jc w:val="both"/>
      </w:pPr>
      <w:bookmarkStart w:id="1280" w:name="bookmark1280"/>
      <w:r>
        <w:rPr>
          <w:color w:val="000000"/>
          <w:spacing w:val="0"/>
          <w:w w:val="100"/>
          <w:position w:val="0"/>
        </w:rPr>
        <w:t>（</w:t>
      </w:r>
      <w:bookmarkEnd w:id="1280"/>
      <w:r>
        <w:rPr>
          <w:rFonts w:ascii="Times New Roman" w:eastAsia="Times New Roman" w:hAnsi="Times New Roman" w:cs="Times New Roman"/>
          <w:color w:val="000000"/>
          <w:spacing w:val="0"/>
          <w:w w:val="100"/>
          <w:position w:val="0"/>
        </w:rPr>
        <w:t>7</w:t>
      </w:r>
      <w:r>
        <w:rPr>
          <w:color w:val="000000"/>
          <w:spacing w:val="0"/>
          <w:w w:val="100"/>
          <w:position w:val="0"/>
        </w:rPr>
        <w:t>）</w:t>
        <w:tab/>
        <w:t>深圳市蓝盾满泰科技发展有限公司于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日再次取得深圳市科技创新委员会、深圳 市财政委员会、国家税务总局深圳市税务局联合下发的编号为</w:t>
      </w:r>
      <w:r>
        <w:rPr>
          <w:rFonts w:ascii="Times New Roman" w:eastAsia="Times New Roman" w:hAnsi="Times New Roman" w:cs="Times New Roman"/>
          <w:color w:val="000000"/>
          <w:spacing w:val="0"/>
          <w:w w:val="100"/>
          <w:position w:val="0"/>
        </w:rPr>
        <w:t>GR201844204396</w:t>
      </w:r>
      <w:r>
        <w:rPr>
          <w:color w:val="000000"/>
          <w:spacing w:val="0"/>
          <w:w w:val="100"/>
          <w:position w:val="0"/>
        </w:rPr>
        <w:t>的《高新技术企业证书》, 该认定有效期为三年，于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的优惠税率缴纳企业所得税。子公司广州市 满泰信息科技有限公司符合双软企业，根据《关于进一步鼓励软件产业和集成电路产业发展企业所得税政 策的通知》（财税〔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号）和《关于集成电路设计和软件产业企业所得税政策的通知》（财税〔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68</w:t>
      </w:r>
      <w:r>
        <w:rPr>
          <w:color w:val="000000"/>
          <w:spacing w:val="0"/>
          <w:w w:val="100"/>
          <w:position w:val="0"/>
        </w:rPr>
        <w:t>号）等的规定，符合条件的软件企业享受企业所得税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color w:val="000000"/>
          <w:spacing w:val="0"/>
          <w:w w:val="100"/>
          <w:position w:val="0"/>
        </w:rPr>
        <w:t>''</w:t>
      </w:r>
      <w:r>
        <w:rPr>
          <w:color w:val="000000"/>
          <w:spacing w:val="0"/>
          <w:w w:val="100"/>
          <w:position w:val="0"/>
        </w:rPr>
        <w:t>优惠政策，在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 自获利年度起计算优惠期。根据《关于发布修订后的</w:t>
      </w:r>
      <w:r>
        <w:rPr>
          <w:color w:val="000000"/>
          <w:spacing w:val="0"/>
          <w:w w:val="100"/>
          <w:position w:val="0"/>
        </w:rPr>
        <w:t>〈</w:t>
      </w:r>
      <w:r>
        <w:rPr>
          <w:color w:val="000000"/>
          <w:spacing w:val="0"/>
          <w:w w:val="100"/>
          <w:position w:val="0"/>
        </w:rPr>
        <w:t>企业所得税优惠政策事项办理办法</w:t>
      </w:r>
      <w:r>
        <w:rPr>
          <w:color w:val="000000"/>
          <w:spacing w:val="0"/>
          <w:w w:val="100"/>
          <w:position w:val="0"/>
        </w:rPr>
        <w:t>〉</w:t>
      </w:r>
      <w:r>
        <w:rPr>
          <w:color w:val="000000"/>
          <w:spacing w:val="0"/>
          <w:w w:val="100"/>
          <w:position w:val="0"/>
        </w:rPr>
        <w:t>的公告》（国家 税务总局公告</w:t>
      </w:r>
      <w:r>
        <w:rPr>
          <w:rFonts w:ascii="Times New Roman" w:eastAsia="Times New Roman" w:hAnsi="Times New Roman" w:cs="Times New Roman"/>
          <w:color w:val="000000"/>
          <w:spacing w:val="0"/>
          <w:w w:val="100"/>
          <w:position w:val="0"/>
        </w:rPr>
        <w:t>2018</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号）第四条的规定，企业享受优惠事项采取</w:t>
      </w:r>
      <w:r>
        <w:rPr>
          <w:rFonts w:ascii="Times New Roman" w:eastAsia="Times New Roman" w:hAnsi="Times New Roman" w:cs="Times New Roman"/>
          <w:color w:val="000000"/>
          <w:spacing w:val="0"/>
          <w:w w:val="100"/>
          <w:position w:val="0"/>
        </w:rPr>
        <w:t>“</w:t>
      </w:r>
      <w:r>
        <w:rPr>
          <w:color w:val="000000"/>
          <w:spacing w:val="0"/>
          <w:w w:val="100"/>
          <w:position w:val="0"/>
        </w:rPr>
        <w:t>自行判别、申报享受、相关资料 留存备查''的办理方式。根据目前实际情况判断，广州市满泰信息科技有限公司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年度能够享受</w:t>
      </w:r>
      <w:r>
        <w:rPr>
          <w:rFonts w:ascii="Times New Roman" w:eastAsia="Times New Roman" w:hAnsi="Times New Roman" w:cs="Times New Roman"/>
          <w:color w:val="000000"/>
          <w:spacing w:val="0"/>
          <w:w w:val="100"/>
          <w:position w:val="0"/>
        </w:rPr>
        <w:t>“</w:t>
      </w:r>
      <w:r>
        <w:rPr>
          <w:color w:val="000000"/>
          <w:spacing w:val="0"/>
          <w:w w:val="100"/>
          <w:position w:val="0"/>
        </w:rPr>
        <w:t>两免三 减半''优惠政策。</w:t>
      </w:r>
      <w:r>
        <w:rPr>
          <w:rFonts w:ascii="Times New Roman" w:eastAsia="Times New Roman" w:hAnsi="Times New Roman" w:cs="Times New Roman"/>
          <w:color w:val="000000"/>
          <w:spacing w:val="0"/>
          <w:w w:val="100"/>
          <w:position w:val="0"/>
        </w:rPr>
        <w:t>2018</w:t>
      </w:r>
      <w:r>
        <w:rPr>
          <w:color w:val="000000"/>
          <w:spacing w:val="0"/>
          <w:w w:val="100"/>
          <w:position w:val="0"/>
        </w:rPr>
        <w:t>年为免征第一年,</w:t>
      </w:r>
      <w:r>
        <w:rPr>
          <w:rFonts w:ascii="Times New Roman" w:eastAsia="Times New Roman" w:hAnsi="Times New Roman" w:cs="Times New Roman"/>
          <w:color w:val="000000"/>
          <w:spacing w:val="0"/>
          <w:w w:val="100"/>
          <w:position w:val="0"/>
        </w:rPr>
        <w:t>2019</w:t>
      </w:r>
      <w:r>
        <w:rPr>
          <w:color w:val="000000"/>
          <w:spacing w:val="0"/>
          <w:w w:val="100"/>
          <w:position w:val="0"/>
        </w:rPr>
        <w:t>年为免征第二年,</w:t>
      </w:r>
      <w:r>
        <w:rPr>
          <w:rFonts w:ascii="Times New Roman" w:eastAsia="Times New Roman" w:hAnsi="Times New Roman" w:cs="Times New Roman"/>
          <w:color w:val="000000"/>
          <w:spacing w:val="0"/>
          <w:w w:val="100"/>
          <w:position w:val="0"/>
        </w:rPr>
        <w:t>2020</w:t>
      </w:r>
      <w:r>
        <w:rPr>
          <w:color w:val="000000"/>
          <w:spacing w:val="0"/>
          <w:w w:val="100"/>
          <w:position w:val="0"/>
        </w:rPr>
        <w:t>年度享受减半优惠缴纳企业所得税税。</w:t>
      </w:r>
    </w:p>
    <w:p>
      <w:pPr>
        <w:pStyle w:val="Style38"/>
        <w:keepNext w:val="0"/>
        <w:keepLines w:val="0"/>
        <w:widowControl w:val="0"/>
        <w:shd w:val="clear" w:color="auto" w:fill="auto"/>
        <w:tabs>
          <w:tab w:pos="956" w:val="left"/>
        </w:tabs>
        <w:bidi w:val="0"/>
        <w:spacing w:before="0" w:after="0" w:line="400" w:lineRule="exact"/>
        <w:ind w:left="0" w:right="0" w:firstLine="440"/>
        <w:jc w:val="both"/>
      </w:pPr>
      <w:bookmarkStart w:id="1281" w:name="bookmark1281"/>
      <w:r>
        <w:rPr>
          <w:color w:val="000000"/>
          <w:spacing w:val="0"/>
          <w:w w:val="100"/>
          <w:position w:val="0"/>
        </w:rPr>
        <w:t>（</w:t>
      </w:r>
      <w:bookmarkEnd w:id="1281"/>
      <w:r>
        <w:rPr>
          <w:rFonts w:ascii="Times New Roman" w:eastAsia="Times New Roman" w:hAnsi="Times New Roman" w:cs="Times New Roman"/>
          <w:color w:val="000000"/>
          <w:spacing w:val="0"/>
          <w:w w:val="100"/>
          <w:position w:val="0"/>
        </w:rPr>
        <w:t>8</w:t>
      </w:r>
      <w:r>
        <w:rPr>
          <w:color w:val="000000"/>
          <w:spacing w:val="0"/>
          <w:w w:val="100"/>
          <w:position w:val="0"/>
        </w:rPr>
        <w:t>）</w:t>
        <w:tab/>
        <w:t>子公司北京京穗蓝盾信息安全技术有限公司于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日取得北京市科学技术委员会、 北京市财政局、北京市国家税务局、北京市地方税务局联合下发的编号为</w:t>
      </w:r>
      <w:r>
        <w:rPr>
          <w:rFonts w:ascii="Times New Roman" w:eastAsia="Times New Roman" w:hAnsi="Times New Roman" w:cs="Times New Roman"/>
          <w:color w:val="000000"/>
          <w:spacing w:val="0"/>
          <w:w w:val="100"/>
          <w:position w:val="0"/>
        </w:rPr>
        <w:t>GR202011008169</w:t>
      </w:r>
      <w:r>
        <w:rPr>
          <w:color w:val="000000"/>
          <w:spacing w:val="0"/>
          <w:w w:val="100"/>
          <w:position w:val="0"/>
        </w:rPr>
        <w:t>的《高新技术 企业证书》，该认定有效期为三年，于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38"/>
        <w:keepNext w:val="0"/>
        <w:keepLines w:val="0"/>
        <w:widowControl w:val="0"/>
        <w:shd w:val="clear" w:color="auto" w:fill="auto"/>
        <w:tabs>
          <w:tab w:pos="966" w:val="left"/>
        </w:tabs>
        <w:bidi w:val="0"/>
        <w:spacing w:before="0" w:after="0" w:line="400" w:lineRule="exact"/>
        <w:ind w:left="0" w:right="0" w:firstLine="440"/>
        <w:jc w:val="both"/>
      </w:pPr>
      <w:bookmarkStart w:id="1282" w:name="bookmark1282"/>
      <w:r>
        <w:rPr>
          <w:color w:val="000000"/>
          <w:spacing w:val="0"/>
          <w:w w:val="100"/>
          <w:position w:val="0"/>
        </w:rPr>
        <w:t>（</w:t>
      </w:r>
      <w:bookmarkEnd w:id="1282"/>
      <w:r>
        <w:rPr>
          <w:rFonts w:ascii="Times New Roman" w:eastAsia="Times New Roman" w:hAnsi="Times New Roman" w:cs="Times New Roman"/>
          <w:color w:val="000000"/>
          <w:spacing w:val="0"/>
          <w:w w:val="100"/>
          <w:position w:val="0"/>
        </w:rPr>
        <w:t>9</w:t>
      </w:r>
      <w:r>
        <w:rPr>
          <w:color w:val="000000"/>
          <w:spacing w:val="0"/>
          <w:w w:val="100"/>
          <w:position w:val="0"/>
        </w:rPr>
        <w:t>）</w:t>
        <w:tab/>
        <w:t>子公司广东蓝盾移动互联网信息科技有限公司符合双软企业，根据《关于进一步鼓励软件产业 和集成电路产业发展企业所得税政策的通知》（财税〔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号）和《关于集成电路设计和软件产业企 业所得税政策的通知》（财税〔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68</w:t>
      </w:r>
      <w:r>
        <w:rPr>
          <w:color w:val="000000"/>
          <w:spacing w:val="0"/>
          <w:w w:val="100"/>
          <w:position w:val="0"/>
        </w:rPr>
        <w:t>号）等的规定，符合条件的软件企业享受企业所得税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 xml:space="preserve">'' </w:t>
      </w:r>
      <w:r>
        <w:rPr>
          <w:color w:val="000000"/>
          <w:spacing w:val="0"/>
          <w:w w:val="100"/>
          <w:position w:val="0"/>
        </w:rPr>
        <w:t>优惠政策，在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日前自获利年度起计算优惠期。根据《关于发布修订后的</w:t>
      </w:r>
      <w:r>
        <w:rPr>
          <w:color w:val="000000"/>
          <w:spacing w:val="0"/>
          <w:w w:val="100"/>
          <w:position w:val="0"/>
        </w:rPr>
        <w:t>〈</w:t>
      </w:r>
      <w:r>
        <w:rPr>
          <w:color w:val="000000"/>
          <w:spacing w:val="0"/>
          <w:w w:val="100"/>
          <w:position w:val="0"/>
        </w:rPr>
        <w:t>企业所得税优惠 政策事项办理办法</w:t>
      </w:r>
      <w:r>
        <w:rPr>
          <w:color w:val="000000"/>
          <w:spacing w:val="0"/>
          <w:w w:val="100"/>
          <w:position w:val="0"/>
        </w:rPr>
        <w:t>〉</w:t>
      </w:r>
      <w:r>
        <w:rPr>
          <w:color w:val="000000"/>
          <w:spacing w:val="0"/>
          <w:w w:val="100"/>
          <w:position w:val="0"/>
        </w:rPr>
        <w:t>的公告》（国家税务总局公告</w:t>
      </w:r>
      <w:r>
        <w:rPr>
          <w:rFonts w:ascii="Times New Roman" w:eastAsia="Times New Roman" w:hAnsi="Times New Roman" w:cs="Times New Roman"/>
          <w:color w:val="000000"/>
          <w:spacing w:val="0"/>
          <w:w w:val="100"/>
          <w:position w:val="0"/>
        </w:rPr>
        <w:t>2018</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 xml:space="preserve">号）第四条的规定，企业享受优惠事项采取 </w:t>
      </w:r>
      <w:r>
        <w:rPr>
          <w:rFonts w:ascii="Times New Roman" w:eastAsia="Times New Roman" w:hAnsi="Times New Roman" w:cs="Times New Roman"/>
          <w:color w:val="000000"/>
          <w:spacing w:val="0"/>
          <w:w w:val="100"/>
          <w:position w:val="0"/>
        </w:rPr>
        <w:t>“</w:t>
      </w:r>
      <w:r>
        <w:rPr>
          <w:color w:val="000000"/>
          <w:spacing w:val="0"/>
          <w:w w:val="100"/>
          <w:position w:val="0"/>
        </w:rPr>
        <w:t>自行判别、申报享受、相关资料留存备查</w:t>
      </w:r>
      <w:r>
        <w:rPr>
          <w:rFonts w:ascii="Times New Roman" w:eastAsia="Times New Roman" w:hAnsi="Times New Roman" w:cs="Times New Roman"/>
          <w:color w:val="000000"/>
          <w:spacing w:val="0"/>
          <w:w w:val="100"/>
          <w:position w:val="0"/>
        </w:rPr>
        <w:t>”</w:t>
      </w:r>
      <w:r>
        <w:rPr>
          <w:color w:val="000000"/>
          <w:spacing w:val="0"/>
          <w:w w:val="100"/>
          <w:position w:val="0"/>
        </w:rPr>
        <w:t>的办理方式。根据目前实际情况判断，广东蓝盾移动互联网信 息科技有限公司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年度能够享受</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优惠政策。</w:t>
      </w:r>
      <w:r>
        <w:rPr>
          <w:rFonts w:ascii="Times New Roman" w:eastAsia="Times New Roman" w:hAnsi="Times New Roman" w:cs="Times New Roman"/>
          <w:color w:val="000000"/>
          <w:spacing w:val="0"/>
          <w:w w:val="100"/>
          <w:position w:val="0"/>
        </w:rPr>
        <w:t>2019</w:t>
      </w:r>
      <w:r>
        <w:rPr>
          <w:color w:val="000000"/>
          <w:spacing w:val="0"/>
          <w:w w:val="100"/>
          <w:position w:val="0"/>
        </w:rPr>
        <w:t>年为免征第一年,</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年为免征第二年， </w:t>
      </w:r>
      <w:r>
        <w:rPr>
          <w:rFonts w:ascii="Times New Roman" w:eastAsia="Times New Roman" w:hAnsi="Times New Roman" w:cs="Times New Roman"/>
          <w:color w:val="000000"/>
          <w:spacing w:val="0"/>
          <w:w w:val="100"/>
          <w:position w:val="0"/>
        </w:rPr>
        <w:t>2021</w:t>
      </w:r>
      <w:r>
        <w:rPr>
          <w:color w:val="000000"/>
          <w:spacing w:val="0"/>
          <w:w w:val="100"/>
          <w:position w:val="0"/>
        </w:rPr>
        <w:t>年度享受减半优惠缴纳企业所得税。</w:t>
      </w:r>
    </w:p>
    <w:p>
      <w:pPr>
        <w:pStyle w:val="Style38"/>
        <w:keepNext w:val="0"/>
        <w:keepLines w:val="0"/>
        <w:widowControl w:val="0"/>
        <w:shd w:val="clear" w:color="auto" w:fill="auto"/>
        <w:bidi w:val="0"/>
        <w:spacing w:before="0" w:after="0" w:line="400" w:lineRule="exact"/>
        <w:ind w:left="0" w:right="0" w:firstLine="440"/>
        <w:jc w:val="both"/>
      </w:pPr>
      <w:bookmarkStart w:id="1283" w:name="bookmark1283"/>
      <w:r>
        <w:rPr>
          <w:color w:val="000000"/>
          <w:spacing w:val="0"/>
          <w:w w:val="100"/>
          <w:position w:val="0"/>
        </w:rPr>
        <w:t>（</w:t>
      </w:r>
      <w:bookmarkEnd w:id="1283"/>
      <w:r>
        <w:rPr>
          <w:rFonts w:ascii="Times New Roman" w:eastAsia="Times New Roman" w:hAnsi="Times New Roman" w:cs="Times New Roman"/>
          <w:color w:val="000000"/>
          <w:spacing w:val="0"/>
          <w:w w:val="100"/>
          <w:position w:val="0"/>
        </w:rPr>
        <w:t>10</w:t>
      </w:r>
      <w:r>
        <w:rPr>
          <w:color w:val="000000"/>
          <w:spacing w:val="0"/>
          <w:w w:val="100"/>
          <w:position w:val="0"/>
        </w:rPr>
        <w:t>） 子公司成都蓝盾网信科技有限公司符合双软企业，根据《关于进一步鼓励软件产业和集成电路 产业发展企业所得税政策的通知》（财税〔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号）和《关于集成电路设计和软件产业企业所得税政 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68</w:t>
      </w:r>
      <w:r>
        <w:rPr>
          <w:color w:val="000000"/>
          <w:spacing w:val="0"/>
          <w:w w:val="100"/>
          <w:position w:val="0"/>
        </w:rPr>
        <w:t>号）等的规定，符合条件的软件企业享受企业所得税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优惠政策， 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日前自获利年度起计算优惠期。根据《关于发布修订后的</w:t>
      </w:r>
      <w:r>
        <w:rPr>
          <w:color w:val="000000"/>
          <w:spacing w:val="0"/>
          <w:w w:val="100"/>
          <w:position w:val="0"/>
        </w:rPr>
        <w:t>〈</w:t>
      </w:r>
      <w:r>
        <w:rPr>
          <w:color w:val="000000"/>
          <w:spacing w:val="0"/>
          <w:w w:val="100"/>
          <w:position w:val="0"/>
        </w:rPr>
        <w:t>企业所得税优惠政策事项办 理办法</w:t>
      </w:r>
      <w:r>
        <w:rPr>
          <w:rFonts w:ascii="Times New Roman" w:eastAsia="Times New Roman" w:hAnsi="Times New Roman" w:cs="Times New Roman"/>
          <w:color w:val="000000"/>
          <w:spacing w:val="0"/>
          <w:w w:val="100"/>
          <w:position w:val="0"/>
        </w:rPr>
        <w:t>＞</w:t>
      </w:r>
      <w:r>
        <w:rPr>
          <w:color w:val="000000"/>
          <w:spacing w:val="0"/>
          <w:w w:val="100"/>
          <w:position w:val="0"/>
        </w:rPr>
        <w:t>的公告》（国家税务总局公告</w:t>
      </w:r>
      <w:r>
        <w:rPr>
          <w:rFonts w:ascii="Times New Roman" w:eastAsia="Times New Roman" w:hAnsi="Times New Roman" w:cs="Times New Roman"/>
          <w:color w:val="000000"/>
          <w:spacing w:val="0"/>
          <w:w w:val="100"/>
          <w:position w:val="0"/>
        </w:rPr>
        <w:t>2018</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号）第四条的规定，企业享受优惠事项采取</w:t>
      </w:r>
      <w:r>
        <w:rPr>
          <w:rFonts w:ascii="Times New Roman" w:eastAsia="Times New Roman" w:hAnsi="Times New Roman" w:cs="Times New Roman"/>
          <w:color w:val="000000"/>
          <w:spacing w:val="0"/>
          <w:w w:val="100"/>
          <w:position w:val="0"/>
        </w:rPr>
        <w:t>“</w:t>
      </w:r>
      <w:r>
        <w:rPr>
          <w:color w:val="000000"/>
          <w:spacing w:val="0"/>
          <w:w w:val="100"/>
          <w:position w:val="0"/>
        </w:rPr>
        <w:t>自行判别、 申报享受、相关资料留存备查</w:t>
      </w:r>
      <w:r>
        <w:rPr>
          <w:color w:val="000000"/>
          <w:spacing w:val="0"/>
          <w:w w:val="100"/>
          <w:position w:val="0"/>
        </w:rPr>
        <w:t>''</w:t>
      </w:r>
      <w:r>
        <w:rPr>
          <w:color w:val="000000"/>
          <w:spacing w:val="0"/>
          <w:w w:val="100"/>
          <w:position w:val="0"/>
        </w:rPr>
        <w:t>的办理方式。根据目前实际情况判断，成都蓝盾网信科技有限公司</w:t>
      </w:r>
      <w:r>
        <w:rPr>
          <w:rFonts w:ascii="Times New Roman" w:eastAsia="Times New Roman" w:hAnsi="Times New Roman" w:cs="Times New Roman"/>
          <w:color w:val="000000"/>
          <w:spacing w:val="0"/>
          <w:w w:val="100"/>
          <w:position w:val="0"/>
        </w:rPr>
        <w:t>2018</w:t>
      </w:r>
      <w:r>
        <w:rPr>
          <w:color w:val="000000"/>
          <w:spacing w:val="0"/>
          <w:w w:val="100"/>
          <w:position w:val="0"/>
        </w:rPr>
        <w:t>年 度能够享受</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color w:val="000000"/>
          <w:spacing w:val="0"/>
          <w:w w:val="100"/>
          <w:position w:val="0"/>
        </w:rPr>
        <w:t>''</w:t>
      </w:r>
      <w:r>
        <w:rPr>
          <w:color w:val="000000"/>
          <w:spacing w:val="0"/>
          <w:w w:val="100"/>
          <w:position w:val="0"/>
        </w:rPr>
        <w:t>优惠政策。</w:t>
      </w:r>
      <w:r>
        <w:rPr>
          <w:rFonts w:ascii="Times New Roman" w:eastAsia="Times New Roman" w:hAnsi="Times New Roman" w:cs="Times New Roman"/>
          <w:color w:val="000000"/>
          <w:spacing w:val="0"/>
          <w:w w:val="100"/>
          <w:position w:val="0"/>
        </w:rPr>
        <w:t>2018</w:t>
      </w:r>
      <w:r>
        <w:rPr>
          <w:color w:val="000000"/>
          <w:spacing w:val="0"/>
          <w:w w:val="100"/>
          <w:position w:val="0"/>
        </w:rPr>
        <w:t>年为免征第一年，</w:t>
      </w:r>
      <w:r>
        <w:rPr>
          <w:rFonts w:ascii="Times New Roman" w:eastAsia="Times New Roman" w:hAnsi="Times New Roman" w:cs="Times New Roman"/>
          <w:color w:val="000000"/>
          <w:spacing w:val="0"/>
          <w:w w:val="100"/>
          <w:position w:val="0"/>
        </w:rPr>
        <w:t>2019</w:t>
      </w:r>
      <w:r>
        <w:rPr>
          <w:color w:val="000000"/>
          <w:spacing w:val="0"/>
          <w:w w:val="100"/>
          <w:position w:val="0"/>
        </w:rPr>
        <w:t>年为免征第二年，</w:t>
      </w:r>
      <w:r>
        <w:rPr>
          <w:rFonts w:ascii="Times New Roman" w:eastAsia="Times New Roman" w:hAnsi="Times New Roman" w:cs="Times New Roman"/>
          <w:color w:val="000000"/>
          <w:spacing w:val="0"/>
          <w:w w:val="100"/>
          <w:position w:val="0"/>
        </w:rPr>
        <w:t>2020</w:t>
      </w:r>
      <w:r>
        <w:rPr>
          <w:color w:val="000000"/>
          <w:spacing w:val="0"/>
          <w:w w:val="100"/>
          <w:position w:val="0"/>
        </w:rPr>
        <w:t>年度享受减半优 惠缴纳企业所得税税。</w:t>
      </w:r>
    </w:p>
    <w:p>
      <w:pPr>
        <w:pStyle w:val="Style38"/>
        <w:keepNext w:val="0"/>
        <w:keepLines w:val="0"/>
        <w:widowControl w:val="0"/>
        <w:shd w:val="clear" w:color="auto" w:fill="auto"/>
        <w:bidi w:val="0"/>
        <w:spacing w:before="0" w:after="0" w:line="400" w:lineRule="exact"/>
        <w:ind w:left="0" w:right="0" w:firstLine="440"/>
        <w:jc w:val="both"/>
      </w:pPr>
      <w:bookmarkStart w:id="1284" w:name="bookmark1284"/>
      <w:r>
        <w:rPr>
          <w:color w:val="000000"/>
          <w:spacing w:val="0"/>
          <w:w w:val="100"/>
          <w:position w:val="0"/>
        </w:rPr>
        <w:t>（</w:t>
      </w:r>
      <w:bookmarkEnd w:id="1284"/>
      <w:r>
        <w:rPr>
          <w:rFonts w:ascii="Times New Roman" w:eastAsia="Times New Roman" w:hAnsi="Times New Roman" w:cs="Times New Roman"/>
          <w:color w:val="000000"/>
          <w:spacing w:val="0"/>
          <w:w w:val="100"/>
          <w:position w:val="0"/>
        </w:rPr>
        <w:t>11</w:t>
      </w:r>
      <w:r>
        <w:rPr>
          <w:color w:val="000000"/>
          <w:spacing w:val="0"/>
          <w:w w:val="100"/>
          <w:position w:val="0"/>
        </w:rPr>
        <w:t>） 子公司广东省蓝盾职业培训学院、广西蓝盾信息安全技术有限公司、湖北蓝盾信息安全技术有 限公司、广州蓝盾数据安全技术创新中心有限公司、深圳中科蓝盾信息安全技术有限公司、广州市奔特信 息科技有限公司、广州天锐锋信息科技有限公司、广东蓝盾教育科技有限公司、广东汇青信息科技有限公 司、湖北蓝盾网信科技有限公司、宜宾蓝盾信息安全技术有限公司、江门蓝盾创新信息安全技术有限公司、 广州华炜科技有限公司子公司东莞市华炜雷电防护设备有限公司、广州华炜测控技术有限公司、蓝盾信息 安全技术有限公司子公司广州蓝盾工控技术有限公司、四川中科蓝盾信息安全技术有限公司、陕西蓝盾云 信息安全技术有限公司、广东蓝盾网信科技有限公司、肇庆蓝盾创新信息安全技术有限公司、广东蓝盾智 能信息安全技术有限公司、中经汇通电子商务有限公司控股子公司始兴县都亨加油站有限公司、广州市汇 特慧科技有限公司、蓝盾汇通电子商务有限公司、广州市奔特信息科技有限公司子公司广东蓝盾聚能新能 源科技有限公司、广东蓝盾量子科技有限公司、宜宾蓝盾量子科技有限公司、广东蓝盾企业经营管理有限 公司子公司广州蓝盾华创信息安全技术有限公司，均符合小型微利企业条件，根据财税〔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号文件，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p>
    <w:p>
      <w:pPr>
        <w:pStyle w:val="Style38"/>
        <w:keepNext w:val="0"/>
        <w:keepLines w:val="0"/>
        <w:widowControl w:val="0"/>
        <w:shd w:val="clear" w:color="auto" w:fill="auto"/>
        <w:bidi w:val="0"/>
        <w:spacing w:before="0" w:after="0" w:line="400" w:lineRule="exact"/>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 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35"/>
        <w:keepNext/>
        <w:keepLines/>
        <w:widowControl w:val="0"/>
        <w:shd w:val="clear" w:color="auto" w:fill="auto"/>
        <w:bidi w:val="0"/>
        <w:spacing w:before="0" w:after="460" w:line="240" w:lineRule="auto"/>
        <w:ind w:left="0" w:right="0" w:firstLine="66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3</w:t>
      </w:r>
      <w:bookmarkEnd w:id="1287"/>
      <w:r>
        <w:rPr>
          <w:color w:val="000000"/>
          <w:spacing w:val="0"/>
          <w:w w:val="100"/>
          <w:position w:val="0"/>
        </w:rPr>
        <w:t>、其他</w:t>
      </w:r>
      <w:bookmarkEnd w:id="1285"/>
      <w:bookmarkEnd w:id="1286"/>
      <w:bookmarkEnd w:id="1288"/>
    </w:p>
    <w:p>
      <w:pPr>
        <w:pStyle w:val="Style35"/>
        <w:keepNext/>
        <w:keepLines/>
        <w:widowControl w:val="0"/>
        <w:shd w:val="clear" w:color="auto" w:fill="auto"/>
        <w:tabs>
          <w:tab w:pos="1573" w:val="left"/>
        </w:tabs>
        <w:bidi w:val="0"/>
        <w:spacing w:before="0" w:after="140" w:line="240" w:lineRule="auto"/>
        <w:ind w:left="1080" w:right="0" w:firstLine="0"/>
        <w:jc w:val="left"/>
      </w:pPr>
      <w:bookmarkStart w:id="1285" w:name="bookmark1285"/>
      <w:bookmarkStart w:id="1286" w:name="bookmark1286"/>
      <w:bookmarkStart w:id="1289" w:name="bookmark1289"/>
      <w:r>
        <w:rPr>
          <w:color w:val="000000"/>
          <w:spacing w:val="0"/>
          <w:w w:val="100"/>
          <w:position w:val="0"/>
        </w:rPr>
        <w:t>（</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w:t>
        <w:tab/>
        <w:t>房产税</w:t>
      </w:r>
      <w:bookmarkEnd w:id="1285"/>
      <w:bookmarkEnd w:id="1286"/>
    </w:p>
    <w:p>
      <w:pPr>
        <w:pStyle w:val="Style38"/>
        <w:keepNext w:val="0"/>
        <w:keepLines w:val="0"/>
        <w:widowControl w:val="0"/>
        <w:shd w:val="clear" w:color="auto" w:fill="auto"/>
        <w:bidi w:val="0"/>
        <w:spacing w:before="0" w:after="140" w:line="240" w:lineRule="auto"/>
        <w:ind w:left="1080" w:right="0" w:firstLine="0"/>
        <w:jc w:val="left"/>
      </w:pPr>
      <w:r>
        <w:rPr>
          <w:color w:val="000000"/>
          <w:spacing w:val="0"/>
          <w:w w:val="100"/>
          <w:position w:val="0"/>
        </w:rPr>
        <w:t>房产税按照房产原值的</w:t>
      </w:r>
      <w:r>
        <w:rPr>
          <w:rFonts w:ascii="Times New Roman" w:eastAsia="Times New Roman" w:hAnsi="Times New Roman" w:cs="Times New Roman"/>
          <w:color w:val="000000"/>
          <w:spacing w:val="0"/>
          <w:w w:val="100"/>
          <w:position w:val="0"/>
        </w:rPr>
        <w:t>70%</w:t>
      </w:r>
      <w:r>
        <w:rPr>
          <w:color w:val="000000"/>
          <w:spacing w:val="0"/>
          <w:w w:val="100"/>
          <w:position w:val="0"/>
        </w:rPr>
        <w:t>为纳税基准，税率为</w:t>
      </w:r>
      <w:r>
        <w:rPr>
          <w:rFonts w:ascii="Times New Roman" w:eastAsia="Times New Roman" w:hAnsi="Times New Roman" w:cs="Times New Roman"/>
          <w:color w:val="000000"/>
          <w:spacing w:val="0"/>
          <w:w w:val="100"/>
          <w:position w:val="0"/>
        </w:rPr>
        <w:t xml:space="preserve">1.2% </w:t>
      </w:r>
      <w:r>
        <w:rPr>
          <w:color w:val="000000"/>
          <w:spacing w:val="0"/>
          <w:w w:val="100"/>
          <w:position w:val="0"/>
        </w:rPr>
        <w:t>；从租的按照租金乘以</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38"/>
        <w:keepNext w:val="0"/>
        <w:keepLines w:val="0"/>
        <w:widowControl w:val="0"/>
        <w:shd w:val="clear" w:color="auto" w:fill="auto"/>
        <w:tabs>
          <w:tab w:pos="1573" w:val="left"/>
        </w:tabs>
        <w:bidi w:val="0"/>
        <w:spacing w:before="0" w:after="140" w:line="240" w:lineRule="auto"/>
        <w:ind w:left="1080" w:right="0" w:firstLine="0"/>
        <w:jc w:val="left"/>
      </w:pPr>
      <w:bookmarkStart w:id="1290" w:name="bookmark1290"/>
      <w:r>
        <w:rPr>
          <w:b/>
          <w:bCs/>
          <w:color w:val="000000"/>
          <w:spacing w:val="0"/>
          <w:w w:val="100"/>
          <w:position w:val="0"/>
        </w:rPr>
        <w:t>（</w:t>
      </w:r>
      <w:bookmarkEnd w:id="129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个人所得税</w:t>
      </w:r>
    </w:p>
    <w:p>
      <w:pPr>
        <w:pStyle w:val="Style38"/>
        <w:keepNext w:val="0"/>
        <w:keepLines w:val="0"/>
        <w:widowControl w:val="0"/>
        <w:shd w:val="clear" w:color="auto" w:fill="auto"/>
        <w:bidi w:val="0"/>
        <w:spacing w:before="0" w:after="360" w:line="240" w:lineRule="auto"/>
        <w:ind w:left="1080" w:right="0" w:firstLine="0"/>
        <w:jc w:val="left"/>
      </w:pPr>
      <w:r>
        <w:rPr>
          <w:color w:val="000000"/>
          <w:spacing w:val="0"/>
          <w:w w:val="100"/>
          <w:position w:val="0"/>
        </w:rPr>
        <w:t>员工个人所得税由公司代扣代缴。</w:t>
      </w:r>
    </w:p>
    <w:p>
      <w:pPr>
        <w:pStyle w:val="Style26"/>
        <w:keepNext/>
        <w:keepLines/>
        <w:widowControl w:val="0"/>
        <w:shd w:val="clear" w:color="auto" w:fill="auto"/>
        <w:bidi w:val="0"/>
        <w:spacing w:before="0" w:after="360" w:line="240" w:lineRule="auto"/>
        <w:ind w:left="0" w:right="0" w:firstLine="660"/>
        <w:jc w:val="left"/>
      </w:pPr>
      <w:bookmarkStart w:id="1291" w:name="bookmark1291"/>
      <w:bookmarkStart w:id="1292" w:name="bookmark1292"/>
      <w:bookmarkStart w:id="1293" w:name="bookmark1293"/>
      <w:bookmarkStart w:id="1294" w:name="bookmark1294"/>
      <w:r>
        <w:rPr>
          <w:color w:val="000000"/>
          <w:spacing w:val="0"/>
          <w:w w:val="100"/>
          <w:position w:val="0"/>
        </w:rPr>
        <w:t>七</w:t>
      </w:r>
      <w:bookmarkEnd w:id="1293"/>
      <w:r>
        <w:rPr>
          <w:color w:val="000000"/>
          <w:spacing w:val="0"/>
          <w:w w:val="100"/>
          <w:position w:val="0"/>
        </w:rPr>
        <w:t>、合并财务报表项目注释</w:t>
      </w:r>
      <w:bookmarkEnd w:id="1291"/>
      <w:bookmarkEnd w:id="1292"/>
      <w:bookmarkEnd w:id="1294"/>
    </w:p>
    <w:p>
      <w:pPr>
        <w:pStyle w:val="Style35"/>
        <w:keepNext/>
        <w:keepLines/>
        <w:widowControl w:val="0"/>
        <w:shd w:val="clear" w:color="auto" w:fill="auto"/>
        <w:bidi w:val="0"/>
        <w:spacing w:before="0" w:after="360" w:line="240" w:lineRule="auto"/>
        <w:ind w:left="0" w:right="0" w:firstLine="660"/>
        <w:jc w:val="left"/>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95"/>
      <w:bookmarkEnd w:id="1296"/>
      <w:bookmarkEnd w:id="1297"/>
    </w:p>
    <w:p>
      <w:pPr>
        <w:pStyle w:val="Style28"/>
        <w:keepNext w:val="0"/>
        <w:keepLines w:val="0"/>
        <w:widowControl w:val="0"/>
        <w:shd w:val="clear" w:color="auto" w:fill="auto"/>
        <w:bidi w:val="0"/>
        <w:spacing w:before="0" w:after="60" w:line="240" w:lineRule="auto"/>
        <w:ind w:left="96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299,537.60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57,129,454.98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73,108,353.73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12,092,717.25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201,636,817.73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69,313,030.80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275,044,709.06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51,009,707.91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204,371,481.77</w:t>
            </w:r>
          </w:p>
        </w:tc>
      </w:tr>
    </w:tbl>
    <w:p>
      <w:pPr>
        <w:widowControl w:val="0"/>
        <w:spacing w:after="139" w:line="1" w:lineRule="exact"/>
      </w:pPr>
    </w:p>
    <w:p>
      <w:pPr>
        <w:pStyle w:val="Style38"/>
        <w:keepNext w:val="0"/>
        <w:keepLines w:val="0"/>
        <w:widowControl w:val="0"/>
        <w:shd w:val="clear" w:color="auto" w:fill="auto"/>
        <w:bidi w:val="0"/>
        <w:spacing w:before="0" w:after="140" w:line="240" w:lineRule="auto"/>
        <w:ind w:left="1080" w:right="0" w:firstLine="0"/>
        <w:jc w:val="left"/>
      </w:pPr>
      <w:r>
        <w:rPr>
          <w:color w:val="000000"/>
          <w:spacing w:val="0"/>
          <w:w w:val="100"/>
          <w:position w:val="0"/>
        </w:rPr>
        <w:t>其中受限制的货币资金明细如下:</w:t>
      </w:r>
    </w:p>
    <w:tbl>
      <w:tblPr>
        <w:tblOverlap w:val="never"/>
        <w:jc w:val="center"/>
        <w:tblLayout w:type="fixed"/>
      </w:tblPr>
      <w:tblGrid>
        <w:gridCol w:w="3269"/>
        <w:gridCol w:w="3120"/>
        <w:gridCol w:w="326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78,067,109.23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2,950,870.69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65,395,174.84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8,781,624.64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4,885,084.36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汇通宝备付金账户的余额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3,739,152.60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45,430.07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49,290,000.09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被冻结的银行存款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38,916,990.66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2,949,272.10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其他受限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51,009,707.91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204,371,481.77</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66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color w:val="000000"/>
          <w:spacing w:val="0"/>
          <w:w w:val="100"/>
          <w:position w:val="0"/>
        </w:rPr>
        <w:t>、应收票据</w:t>
      </w:r>
      <w:bookmarkEnd w:id="1298"/>
      <w:bookmarkEnd w:id="1299"/>
      <w:bookmarkEnd w:id="1301"/>
    </w:p>
    <w:p>
      <w:pPr>
        <w:pStyle w:val="Style48"/>
        <w:keepNext/>
        <w:keepLines/>
        <w:widowControl w:val="0"/>
        <w:shd w:val="clear" w:color="auto" w:fill="auto"/>
        <w:bidi w:val="0"/>
        <w:spacing w:before="0" w:after="360" w:line="240" w:lineRule="auto"/>
        <w:ind w:left="0" w:right="0" w:firstLine="780"/>
        <w:jc w:val="left"/>
      </w:pPr>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02"/>
      <w:bookmarkEnd w:id="1303"/>
      <w:bookmarkEnd w:id="1304"/>
    </w:p>
    <w:p>
      <w:pPr>
        <w:pStyle w:val="Style28"/>
        <w:keepNext w:val="0"/>
        <w:keepLines w:val="0"/>
        <w:widowControl w:val="0"/>
        <w:shd w:val="clear" w:color="auto" w:fill="auto"/>
        <w:bidi w:val="0"/>
        <w:spacing w:before="0" w:after="60" w:line="240" w:lineRule="auto"/>
        <w:ind w:left="96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4,618,452.16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7,476,975.71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5,081,299.53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5,187,235.80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9,699,751.69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12,664,211.51</w:t>
            </w:r>
          </w:p>
        </w:tc>
      </w:tr>
    </w:tbl>
    <w:p>
      <w:pPr>
        <w:widowControl w:val="0"/>
        <w:spacing w:after="439" w:line="1" w:lineRule="exact"/>
      </w:pPr>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1282"/>
        <w:gridCol w:w="1118"/>
        <w:gridCol w:w="941"/>
        <w:gridCol w:w="941"/>
        <w:gridCol w:w="763"/>
        <w:gridCol w:w="1046"/>
        <w:gridCol w:w="1128"/>
        <w:gridCol w:w="797"/>
        <w:gridCol w:w="1070"/>
        <w:gridCol w:w="797"/>
        <w:gridCol w:w="11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计提比</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320" w:firstLine="0"/>
              <w:jc w:val="right"/>
              <w:rPr>
                <w:sz w:val="14"/>
                <w:szCs w:val="14"/>
              </w:rPr>
            </w:pPr>
            <w:r>
              <w:rPr>
                <w:color w:val="000000"/>
                <w:spacing w:val="0"/>
                <w:w w:val="100"/>
                <w:position w:val="0"/>
                <w:sz w:val="14"/>
                <w:szCs w:val="14"/>
              </w:rPr>
              <w:t>计提比</w:t>
            </w:r>
          </w:p>
          <w:p>
            <w:pPr>
              <w:pStyle w:val="Style2"/>
              <w:keepNext w:val="0"/>
              <w:keepLines w:val="0"/>
              <w:widowControl w:val="0"/>
              <w:shd w:val="clear" w:color="auto" w:fill="auto"/>
              <w:bidi w:val="0"/>
              <w:spacing w:before="0" w:after="0" w:line="240" w:lineRule="auto"/>
              <w:ind w:left="0" w:right="320" w:firstLine="0"/>
              <w:jc w:val="right"/>
              <w:rPr>
                <w:sz w:val="14"/>
                <w:szCs w:val="14"/>
              </w:rPr>
            </w:pPr>
            <w:r>
              <w:rPr>
                <w:color w:val="000000"/>
                <w:spacing w:val="0"/>
                <w:w w:val="100"/>
                <w:position w:val="0"/>
                <w:sz w:val="14"/>
                <w:szCs w:val="14"/>
              </w:rPr>
              <w:t>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按组合计提坏账</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10,339,642.95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639,891.26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9,699,751.69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13,669,046.71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1,004,835.20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12,664,211.51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无风险银行承兑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票据组合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4,618,452.16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4,618,452.16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7,476,975.71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7,476,975.71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其他票据组合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5,721,190.79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639,891.26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5,081,299.53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6,192,071.00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1,004,835.20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5,187,235.80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10,339,642.95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639,891.26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9,699,751.69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13,669,046.71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1,004,835.20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12,664,211.51</w:t>
            </w:r>
          </w:p>
        </w:tc>
      </w:tr>
    </w:tbl>
    <w:p>
      <w:pPr>
        <w:widowControl w:val="0"/>
        <w:spacing w:after="439" w:line="1" w:lineRule="exact"/>
      </w:pPr>
    </w:p>
    <w:p>
      <w:pPr>
        <w:pStyle w:val="Style28"/>
        <w:keepNext w:val="0"/>
        <w:keepLines w:val="0"/>
        <w:widowControl w:val="0"/>
        <w:shd w:val="clear" w:color="auto" w:fill="auto"/>
        <w:bidi w:val="0"/>
        <w:spacing w:before="0" w:line="240" w:lineRule="auto"/>
        <w:ind w:left="0" w:right="0" w:firstLine="660"/>
        <w:jc w:val="left"/>
      </w:pPr>
      <w:r>
        <w:rPr>
          <w:color w:val="000000"/>
          <w:spacing w:val="0"/>
          <w:w w:val="100"/>
          <w:position w:val="0"/>
        </w:rPr>
        <w:t>按组合计提坏账准备：无风险银行承兑票据组合</w:t>
      </w:r>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4,618,452.16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4,618,452.16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66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660"/>
        <w:jc w:val="left"/>
      </w:pPr>
      <w:r>
        <w:rPr>
          <w:color w:val="000000"/>
          <w:spacing w:val="0"/>
          <w:w w:val="100"/>
          <w:position w:val="0"/>
        </w:rPr>
        <w:t>按组合计提坏账准备：其他票据组合</w:t>
      </w:r>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2,214,612.92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110,730.65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2,653,963.74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265,396.37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243,814.24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5,721,190.79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639,891.26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48"/>
        <w:keepNext/>
        <w:keepLines/>
        <w:widowControl w:val="0"/>
        <w:numPr>
          <w:ilvl w:val="0"/>
          <w:numId w:val="91"/>
        </w:numPr>
        <w:shd w:val="clear" w:color="auto" w:fill="auto"/>
        <w:bidi w:val="0"/>
        <w:spacing w:before="0" w:after="380" w:line="240" w:lineRule="auto"/>
        <w:ind w:left="0" w:right="0" w:firstLine="76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本期计提、收回或转回的坏账准备情况</w:t>
      </w:r>
      <w:bookmarkEnd w:id="1305"/>
      <w:bookmarkEnd w:id="1306"/>
      <w:bookmarkEnd w:id="1308"/>
    </w:p>
    <w:p>
      <w:pPr>
        <w:pStyle w:val="Style28"/>
        <w:keepNext w:val="0"/>
        <w:keepLines w:val="0"/>
        <w:widowControl w:val="0"/>
        <w:shd w:val="clear" w:color="auto" w:fill="auto"/>
        <w:bidi w:val="0"/>
        <w:spacing w:before="0" w:line="240" w:lineRule="auto"/>
        <w:ind w:left="0" w:right="0" w:firstLine="76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其他票据组合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1,004,835.20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364,943.94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639,891.26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1,004,835.20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364,943.94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639,891.26</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760"/>
        <w:jc w:val="both"/>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numPr>
          <w:ilvl w:val="0"/>
          <w:numId w:val="91"/>
        </w:numPr>
        <w:shd w:val="clear" w:color="auto" w:fill="auto"/>
        <w:bidi w:val="0"/>
        <w:spacing w:before="0" w:after="380" w:line="240" w:lineRule="auto"/>
        <w:ind w:left="0" w:right="0" w:firstLine="88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期末公司已背书或贴现且在资产负债表日尚未到期的应收票据</w:t>
      </w:r>
      <w:bookmarkEnd w:id="1309"/>
      <w:bookmarkEnd w:id="1310"/>
      <w:bookmarkEnd w:id="1312"/>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6,749,171.81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3,176,755.10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6,749,171.81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3,176,755.10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76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color w:val="000000"/>
          <w:spacing w:val="0"/>
          <w:w w:val="100"/>
          <w:position w:val="0"/>
        </w:rPr>
        <w:t>、应收账款</w:t>
      </w:r>
      <w:bookmarkEnd w:id="1313"/>
      <w:bookmarkEnd w:id="1314"/>
      <w:bookmarkEnd w:id="1316"/>
    </w:p>
    <w:p>
      <w:pPr>
        <w:pStyle w:val="Style48"/>
        <w:keepNext/>
        <w:keepLines/>
        <w:widowControl w:val="0"/>
        <w:shd w:val="clear" w:color="auto" w:fill="auto"/>
        <w:bidi w:val="0"/>
        <w:spacing w:before="0" w:after="380" w:line="240" w:lineRule="auto"/>
        <w:ind w:left="0" w:right="0" w:firstLine="760"/>
        <w:jc w:val="both"/>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17"/>
      <w:bookmarkEnd w:id="1318"/>
      <w:bookmarkEnd w:id="1319"/>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1123"/>
        <w:gridCol w:w="1310"/>
        <w:gridCol w:w="763"/>
        <w:gridCol w:w="1190"/>
        <w:gridCol w:w="590"/>
        <w:gridCol w:w="1186"/>
        <w:gridCol w:w="1190"/>
        <w:gridCol w:w="802"/>
        <w:gridCol w:w="1186"/>
        <w:gridCol w:w="730"/>
        <w:gridCol w:w="111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计提</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计提比</w:t>
            </w:r>
          </w:p>
          <w:p>
            <w:pPr>
              <w:pStyle w:val="Style2"/>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按单项计提坏</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账准备的应收</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326,621,966.48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326,621,966.48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280,003,317.73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276,859,766.57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3,143,551.16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按组合计提坏</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账准备的应收</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3,884,537,365.51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821,252,667.59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21.14</w:t>
            </w:r>
          </w:p>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3,063,284,697.</w:t>
            </w:r>
          </w:p>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3,448,959,061.0</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512,604,586.36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2,936,354,474</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3,882,142,299.20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821,252,667.59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21.15</w:t>
            </w:r>
          </w:p>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3,060,889,631.</w:t>
            </w:r>
          </w:p>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3,447,028,834.1</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512,604,586.36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2,934,424,247</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低风险组合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2,395,066.31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2,395,066.31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1,930,226.91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1,930,226.91</w:t>
            </w:r>
          </w:p>
        </w:tc>
      </w:tr>
    </w:tbl>
    <w:p>
      <w:pPr>
        <w:spacing w:lineRule="exact" w:line="1"/>
        <w:rPr>
          <w:sz w:val="2"/>
          <w:szCs w:val="2"/>
        </w:rPr>
      </w:pPr>
      <w:r>
        <w:br w:type="page"/>
      </w:r>
    </w:p>
    <w:tbl>
      <w:tblPr>
        <w:tblOverlap w:val="never"/>
        <w:jc w:val="center"/>
        <w:tblLayout w:type="fixed"/>
      </w:tblPr>
      <w:tblGrid>
        <w:gridCol w:w="1123"/>
        <w:gridCol w:w="1310"/>
        <w:gridCol w:w="763"/>
        <w:gridCol w:w="1190"/>
        <w:gridCol w:w="590"/>
        <w:gridCol w:w="1186"/>
        <w:gridCol w:w="1190"/>
        <w:gridCol w:w="802"/>
        <w:gridCol w:w="1186"/>
        <w:gridCol w:w="730"/>
        <w:gridCol w:w="111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4,211,159,331.99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1,147,874,634.</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27.26</w:t>
            </w:r>
          </w:p>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3,063,284,697.</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3,728,962,378.8</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789,464,352.93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2,939,498,025</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w:t>
            </w:r>
          </w:p>
        </w:tc>
      </w:tr>
    </w:tbl>
    <w:p>
      <w:pPr>
        <w:pStyle w:val="Style32"/>
        <w:keepNext w:val="0"/>
        <w:keepLines w:val="0"/>
        <w:widowControl w:val="0"/>
        <w:shd w:val="clear" w:color="auto" w:fill="auto"/>
        <w:bidi w:val="0"/>
        <w:spacing w:before="0" w:after="0" w:line="240" w:lineRule="auto"/>
        <w:ind w:left="754" w:right="0" w:firstLine="0"/>
        <w:jc w:val="left"/>
      </w:pPr>
      <w:r>
        <w:rPr>
          <w:color w:val="000000"/>
          <w:spacing w:val="0"/>
          <w:w w:val="100"/>
          <w:position w:val="0"/>
        </w:rPr>
        <w:t>按单项计提坏账准备: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3643"/>
        <w:gridCol w:w="1661"/>
        <w:gridCol w:w="1570"/>
        <w:gridCol w:w="955"/>
        <w:gridCol w:w="175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西安中方电子科技有限公司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广西南宁秉浩信息技术有限公司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深圳蓝剑科技有限公司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广州阿尔特智能科技有限公司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恒业智能信息技术（深圳）有限公司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8,077,699.13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8,077,699.13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广州烁锦信息科技有限公司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18,885,000.00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18,885,000.00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青岛扬中电子有限公司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4,958,300.00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4,958,300.00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广州炜勤信息科技有限公司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4,445,200.00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4,445,200.00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上海华泽丰信息科技有限公司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1,635,180.00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1,635,180.00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广州阿尔特智能科技有限公司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972,800.00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江西远超科技有限公司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965,237.08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965,237.08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广州帛之岚信息科技有限公司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广西南宁秉浩信息技术有限公司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广东坤保电子科技有限公司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广西玛卡隆信息科技有限公司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762,994.00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762,994.00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中山市仁通信息技术有限公司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惠州东华合创科技有限公司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深圳前海明天科技有限公司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广州欣绩电子科技有限公司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中山市骏溢计算机科技有限公司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南宁睿凡智能科技有限责任公司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172,740.00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172,740.00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长沙研华信息科技有限责任公司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重庆新圣德科技有限公司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广州炜勤信息科技有限公司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1,525,500.00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广州烁锦信息科技有限公司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广东泰阳通信设备有限公司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10,042,310.75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10,042,310.75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广东大华智视科技有限公司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广州泽歌通信科技有限公司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中国移动通信集团广西有限公司崇左分公司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2,565,609.33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2,565,609.33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bl>
    <w:p>
      <w:pPr>
        <w:spacing w:lineRule="exact" w:line="1"/>
        <w:rPr>
          <w:sz w:val="2"/>
          <w:szCs w:val="2"/>
        </w:rPr>
      </w:pPr>
      <w:r>
        <w:br w:type="page"/>
      </w:r>
    </w:p>
    <w:tbl>
      <w:tblPr>
        <w:tblOverlap w:val="never"/>
        <w:jc w:val="center"/>
        <w:tblLayout w:type="fixed"/>
      </w:tblPr>
      <w:tblGrid>
        <w:gridCol w:w="3643"/>
        <w:gridCol w:w="1661"/>
        <w:gridCol w:w="1570"/>
        <w:gridCol w:w="955"/>
        <w:gridCol w:w="175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中国移动通信集团广西有限公司贺州分公司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2,095,535.00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2,095,535.00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中国移动通信集团广西有限公司来宾分公司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1,625,958.00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1,625,958.00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中经客商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182,170,540.19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182,170,540.19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广州腾悦信息科技有限公司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广州昊昆信息科技有限公司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5,467,200.00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5,467,200.00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广州兴逸电子科技有限公司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5,355,500.00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5,355,500.00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辽宁领航者电子科技有限公司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3,119,450.00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3,119,450.00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广州冠天信息科技有限公司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北京英睿伟业科技有限公司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1,300,746.00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1,300,746.00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常德生义成信息科技有限公司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广州碧霞信息技术有限公司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1,998,800.00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1,998,800.00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广州帝雄电子科技有限公司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梅州市中恒通通信有限公司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广西南宁聚展电子科技有限公司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武汉市胜富力网络科技有限公司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643,108.00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643,108.00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珠海佳特电子科技有限公司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深圳市弘圣强科技有限公司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398,259.00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398,259.00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326,621,966.48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326,621,966.48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59" w:line="1" w:lineRule="exact"/>
      </w:pPr>
    </w:p>
    <w:p>
      <w:pPr>
        <w:pStyle w:val="Style28"/>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按组合计提坏账准备：账龄组合</w:t>
      </w:r>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1,007,719,539.30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50,385,975.01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1,464,630,682.99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146,463,068.30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844,378,023.48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253,313,407.04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330,542,141.73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165,271,070.87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145,263,826.63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116,211,061.30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89,608,085.07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89,608,085.07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3,882,142,299.20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821,252,667.59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按组合计提坏账准备：低风险组合</w:t>
      </w:r>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16" w:right="326" w:bottom="1446" w:left="386"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机在途款）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2,395,066.31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2,395,066.31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39" w:line="1" w:lineRule="exact"/>
      </w:pPr>
    </w:p>
    <w:p>
      <w:pPr>
        <w:pStyle w:val="Style28"/>
        <w:keepNext w:val="0"/>
        <w:keepLines w:val="0"/>
        <w:widowControl w:val="0"/>
        <w:shd w:val="clear" w:color="auto" w:fill="auto"/>
        <w:bidi w:val="0"/>
        <w:spacing w:before="0" w:line="240" w:lineRule="auto"/>
        <w:ind w:left="0" w:right="0" w:firstLine="760"/>
        <w:jc w:val="left"/>
      </w:pPr>
      <w:r>
        <w:rPr>
          <w:color w:val="000000"/>
          <w:spacing w:val="0"/>
          <w:w w:val="100"/>
          <w:position w:val="0"/>
        </w:rPr>
        <w:t>按组合计提坏账准备：账龄组合</w:t>
      </w:r>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1,037,839,166.74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1,527,410,044.79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974,394,806.52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671,515,313.94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411,002,771.26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156,469,695.40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104,042,847.28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4,211,159,331.99</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760"/>
        <w:jc w:val="left"/>
      </w:pPr>
      <w:bookmarkStart w:id="1320" w:name="bookmark1320"/>
      <w:bookmarkStart w:id="1321" w:name="bookmark1321"/>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20"/>
      <w:bookmarkEnd w:id="1321"/>
      <w:bookmarkEnd w:id="1322"/>
    </w:p>
    <w:p>
      <w:pPr>
        <w:pStyle w:val="Style28"/>
        <w:keepNext w:val="0"/>
        <w:keepLines w:val="0"/>
        <w:widowControl w:val="0"/>
        <w:shd w:val="clear" w:color="auto" w:fill="auto"/>
        <w:bidi w:val="0"/>
        <w:spacing w:before="0" w:line="240" w:lineRule="auto"/>
        <w:ind w:left="0" w:right="0" w:firstLine="76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单项计提预期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信用损失的应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276,859,766.57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49,762,199.91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326,621,966.48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512,604,586.36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308,864,506.88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821,252,667.59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789,464,352.93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358,626,706.79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216,425.65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1,147,874,634.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88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23"/>
      <w:bookmarkEnd w:id="1324"/>
      <w:bookmarkEnd w:id="1326"/>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216,425.65</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88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27"/>
      <w:bookmarkEnd w:id="1328"/>
      <w:bookmarkEnd w:id="1330"/>
      <w:r>
        <w:br w:type="page"/>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97,883,256.45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9,788,325.65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77,576,618.96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7,757,661.90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74,131,523.76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7,413,152.38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67,533,848.90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6,753,384.89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66,633,328.87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6,663,332.89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383,758,576.94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74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color w:val="000000"/>
          <w:spacing w:val="0"/>
          <w:w w:val="100"/>
          <w:position w:val="0"/>
        </w:rPr>
        <w:t>、预付款项</w:t>
      </w:r>
      <w:bookmarkEnd w:id="1331"/>
      <w:bookmarkEnd w:id="1332"/>
      <w:bookmarkEnd w:id="1334"/>
    </w:p>
    <w:p>
      <w:pPr>
        <w:pStyle w:val="Style48"/>
        <w:keepNext/>
        <w:keepLines/>
        <w:widowControl w:val="0"/>
        <w:shd w:val="clear" w:color="auto" w:fill="auto"/>
        <w:bidi w:val="0"/>
        <w:spacing w:before="0" w:after="380" w:line="240" w:lineRule="auto"/>
        <w:ind w:left="0" w:right="0" w:firstLine="74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35"/>
      <w:bookmarkEnd w:id="1336"/>
      <w:bookmarkEnd w:id="1337"/>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281,970,995.44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1,183,118,416.89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866,572,560.62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103,959,136.77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49,577,192.18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3,031,147.35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2,442,251.84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1,200,563,000.08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1,290,699,572.81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2918"/>
        <w:gridCol w:w="2227"/>
        <w:gridCol w:w="1301"/>
        <w:gridCol w:w="3197"/>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218,523,489.18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预付物资采购款</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广州市学志阳信息科技有限公司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45,656,816.49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38,266,939.60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广州市扉驰信息科技有限公司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37,670,973.44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36,870,000.00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29,851,125.42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27,131,759.81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广州乐奇网络科技有限公司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24,131,288.26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20,318,113.62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19,245,564.06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17,879,275.00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bl>
    <w:p>
      <w:pPr>
        <w:widowControl w:val="0"/>
        <w:spacing w:line="1" w:lineRule="exact"/>
      </w:pPr>
      <w:r>
        <w:br w:type="page"/>
      </w:r>
    </w:p>
    <w:tbl>
      <w:tblPr>
        <w:tblOverlap w:val="never"/>
        <w:jc w:val="center"/>
        <w:tblLayout w:type="fixed"/>
      </w:tblPr>
      <w:tblGrid>
        <w:gridCol w:w="2918"/>
        <w:gridCol w:w="2227"/>
        <w:gridCol w:w="1301"/>
        <w:gridCol w:w="3197"/>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15,758,594.10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14,832,084.09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14,666,562.70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560,802,585.77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88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38"/>
      <w:bookmarkEnd w:id="1339"/>
      <w:bookmarkEnd w:id="1340"/>
    </w:p>
    <w:tbl>
      <w:tblPr>
        <w:tblOverlap w:val="never"/>
        <w:jc w:val="center"/>
        <w:tblLayout w:type="fixed"/>
      </w:tblPr>
      <w:tblGrid>
        <w:gridCol w:w="2923"/>
        <w:gridCol w:w="2218"/>
        <w:gridCol w:w="1258"/>
        <w:gridCol w:w="1267"/>
        <w:gridCol w:w="2208"/>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占预付款项总 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未结算原因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218,523,489.18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预付物资采购款</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61,120,100.00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58,997,200.00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广州市学志阳信息科技有限公司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50,386,694.35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广州市扉驰信息科技有限公司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37,670,973.44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426,698,456.97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76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5</w:t>
      </w:r>
      <w:bookmarkEnd w:id="1343"/>
      <w:r>
        <w:rPr>
          <w:color w:val="000000"/>
          <w:spacing w:val="0"/>
          <w:w w:val="100"/>
          <w:position w:val="0"/>
        </w:rPr>
        <w:t>、其他应收款</w:t>
      </w:r>
      <w:bookmarkEnd w:id="1341"/>
      <w:bookmarkEnd w:id="1342"/>
      <w:bookmarkEnd w:id="1344"/>
    </w:p>
    <w:p>
      <w:pPr>
        <w:pStyle w:val="Style28"/>
        <w:keepNext w:val="0"/>
        <w:keepLines w:val="0"/>
        <w:widowControl w:val="0"/>
        <w:shd w:val="clear" w:color="auto" w:fill="auto"/>
        <w:bidi w:val="0"/>
        <w:spacing w:before="0" w:after="6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76,630,545.73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42,079,533.37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76,630,545.73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42,079,533.37</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760"/>
        <w:jc w:val="both"/>
      </w:pPr>
      <w:bookmarkStart w:id="1345" w:name="bookmark1345"/>
      <w:bookmarkStart w:id="1346" w:name="bookmark1346"/>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45"/>
      <w:bookmarkEnd w:id="1346"/>
      <w:bookmarkEnd w:id="1347"/>
    </w:p>
    <w:p>
      <w:pPr>
        <w:pStyle w:val="Style88"/>
        <w:keepNext/>
        <w:keepLines/>
        <w:widowControl w:val="0"/>
        <w:shd w:val="clear" w:color="auto" w:fill="auto"/>
        <w:bidi w:val="0"/>
        <w:spacing w:before="0" w:after="380" w:line="240" w:lineRule="auto"/>
        <w:ind w:left="0" w:right="0" w:firstLine="760"/>
        <w:jc w:val="both"/>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48"/>
      <w:bookmarkEnd w:id="1349"/>
      <w:bookmarkEnd w:id="1350"/>
    </w:p>
    <w:p>
      <w:pPr>
        <w:pStyle w:val="Style28"/>
        <w:keepNext w:val="0"/>
        <w:keepLines w:val="0"/>
        <w:widowControl w:val="0"/>
        <w:shd w:val="clear" w:color="auto" w:fill="auto"/>
        <w:bidi w:val="0"/>
        <w:spacing w:before="0" w:after="6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23,666,766.98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29,453,113.39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3,076,075.35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1,553,066.64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4,704,347.36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2,776,535.39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支付宝账户结余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33,304,758.02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17,546,282.70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35,007,472.46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1,427,538.84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1,282,359.05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422" w:right="181" w:bottom="1460" w:left="205" w:header="0" w:footer="3" w:gutter="0"/>
          <w:cols w:space="720"/>
          <w:noEndnote/>
          <w:titlePg/>
          <w:rtlGutter w:val="0"/>
          <w:docGrid w:linePitch="360"/>
        </w:sectPr>
      </w:pP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111,187,891.35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52,613,069.74</w:t>
            </w:r>
          </w:p>
        </w:tc>
      </w:tr>
    </w:tbl>
    <w:p>
      <w:pPr>
        <w:widowControl w:val="0"/>
        <w:spacing w:after="319" w:line="1" w:lineRule="exact"/>
      </w:pPr>
    </w:p>
    <w:p>
      <w:pPr>
        <w:pStyle w:val="Style88"/>
        <w:keepNext/>
        <w:keepLines/>
        <w:widowControl w:val="0"/>
        <w:shd w:val="clear" w:color="auto" w:fill="auto"/>
        <w:bidi w:val="0"/>
        <w:spacing w:before="0" w:after="400" w:line="240" w:lineRule="auto"/>
        <w:ind w:left="0" w:right="0"/>
        <w:jc w:val="left"/>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351"/>
      <w:bookmarkEnd w:id="1352"/>
      <w:bookmarkEnd w:id="1353"/>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10,533,536.37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10,533,536.37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6,389,593.26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17,883,259.84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24,272,853.10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159,316.14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-89,727.71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-89,727.71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16,674,085.78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17,883,259.84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34,557,345.62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139" w:line="1" w:lineRule="exact"/>
      </w:pPr>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66,625,445.56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21,548,407.69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9,744,417.86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13,269,620.24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6,638,364.06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3,112,727.10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3,518,529.08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111,187,891.35</w:t>
            </w:r>
          </w:p>
        </w:tc>
      </w:tr>
    </w:tbl>
    <w:p>
      <w:pPr>
        <w:widowControl w:val="0"/>
        <w:spacing w:after="319" w:line="1" w:lineRule="exact"/>
      </w:pPr>
    </w:p>
    <w:p>
      <w:pPr>
        <w:pStyle w:val="Style88"/>
        <w:keepNext/>
        <w:keepLines/>
        <w:widowControl w:val="0"/>
        <w:shd w:val="clear" w:color="auto" w:fill="auto"/>
        <w:bidi w:val="0"/>
        <w:spacing w:before="0" w:after="400" w:line="240" w:lineRule="auto"/>
        <w:ind w:left="0" w:right="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color w:val="000000"/>
          <w:spacing w:val="0"/>
          <w:w w:val="100"/>
          <w:position w:val="0"/>
        </w:rPr>
        <w:t>）本期实际核销的其他应收款情况</w:t>
      </w:r>
      <w:bookmarkEnd w:id="1354"/>
      <w:bookmarkEnd w:id="1355"/>
      <w:bookmarkEnd w:id="1357"/>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159,316.14</w:t>
            </w:r>
          </w:p>
        </w:tc>
      </w:tr>
    </w:tbl>
    <w:p>
      <w:pPr>
        <w:widowControl w:val="0"/>
        <w:spacing w:after="679" w:line="1" w:lineRule="exact"/>
      </w:pPr>
    </w:p>
    <w:p>
      <w:pPr>
        <w:pStyle w:val="Style88"/>
        <w:keepNext/>
        <w:keepLines/>
        <w:widowControl w:val="0"/>
        <w:shd w:val="clear" w:color="auto" w:fill="auto"/>
        <w:bidi w:val="0"/>
        <w:spacing w:before="0" w:after="320" w:line="240" w:lineRule="auto"/>
        <w:ind w:left="0" w:right="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color w:val="000000"/>
          <w:spacing w:val="0"/>
          <w:w w:val="100"/>
          <w:position w:val="0"/>
        </w:rPr>
        <w:t>）按欠款方归集的期末余额前五名的其他应收款情况</w:t>
      </w:r>
      <w:bookmarkEnd w:id="1358"/>
      <w:bookmarkEnd w:id="1359"/>
      <w:bookmarkEnd w:id="1361"/>
      <w:r>
        <w:br w:type="page"/>
      </w:r>
    </w:p>
    <w:tbl>
      <w:tblPr>
        <w:tblOverlap w:val="never"/>
        <w:jc w:val="center"/>
        <w:tblLayout w:type="fixed"/>
      </w:tblPr>
      <w:tblGrid>
        <w:gridCol w:w="2280"/>
        <w:gridCol w:w="1867"/>
        <w:gridCol w:w="1267"/>
        <w:gridCol w:w="1022"/>
        <w:gridCol w:w="1747"/>
        <w:gridCol w:w="13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河源腾胜科技有限公司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安徽三铭建筑工程有限公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7,238,028.26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361,901.41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四川铭基伟业劳务有限公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4,820,371.14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241,018.56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广州市资迅科技有限公司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449,420.00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中盈恒富融资租赁（广州）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136,660.00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35,505,799.40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17,408,999.97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76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6</w:t>
      </w:r>
      <w:bookmarkEnd w:id="1364"/>
      <w:r>
        <w:rPr>
          <w:color w:val="000000"/>
          <w:spacing w:val="0"/>
          <w:w w:val="100"/>
          <w:position w:val="0"/>
        </w:rPr>
        <w:t>、存货</w:t>
      </w:r>
      <w:bookmarkEnd w:id="1362"/>
      <w:bookmarkEnd w:id="1363"/>
      <w:bookmarkEnd w:id="1365"/>
    </w:p>
    <w:p>
      <w:pPr>
        <w:pStyle w:val="Style28"/>
        <w:keepNext w:val="0"/>
        <w:keepLines w:val="0"/>
        <w:widowControl w:val="0"/>
        <w:shd w:val="clear" w:color="auto" w:fill="auto"/>
        <w:bidi w:val="0"/>
        <w:spacing w:before="0" w:line="240" w:lineRule="auto"/>
        <w:ind w:left="0" w:right="0" w:firstLine="76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760"/>
        <w:jc w:val="left"/>
      </w:pPr>
      <w:r>
        <w:rPr>
          <w:color w:val="000000"/>
          <w:spacing w:val="0"/>
          <w:w w:val="100"/>
          <w:position w:val="0"/>
        </w:rPr>
        <w:t>否</w:t>
      </w:r>
    </w:p>
    <w:p>
      <w:pPr>
        <w:pStyle w:val="Style48"/>
        <w:keepNext/>
        <w:keepLines/>
        <w:widowControl w:val="0"/>
        <w:shd w:val="clear" w:color="auto" w:fill="auto"/>
        <w:bidi w:val="0"/>
        <w:spacing w:before="0" w:after="380" w:line="240" w:lineRule="auto"/>
        <w:ind w:left="0" w:right="0" w:firstLine="760"/>
        <w:jc w:val="both"/>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66"/>
      <w:bookmarkEnd w:id="1367"/>
      <w:bookmarkEnd w:id="1368"/>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16,172,881.05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16,172,881.05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19,657,747.03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19,657,747.03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4,441,655.02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4,441,655.02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5,535,970.53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5,535,970.53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13,717,750.61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13,717,750.61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17,532,523.91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17,532,523.91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24,791.09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110,835,747.24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108,505,754.23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180,418,897.23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178,088,904.22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145,192,825.01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142,862,832.00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223,154,016.44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220,824,023.43</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880"/>
        <w:jc w:val="left"/>
      </w:pPr>
      <w:bookmarkStart w:id="1369" w:name="bookmark1369"/>
      <w:bookmarkStart w:id="1370" w:name="bookmark1370"/>
      <w:bookmarkStart w:id="1371" w:name="bookmark13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69"/>
      <w:bookmarkEnd w:id="1370"/>
      <w:bookmarkEnd w:id="1371"/>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2,329,993.01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2,329,993.01</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76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7</w:t>
      </w:r>
      <w:bookmarkEnd w:id="1374"/>
      <w:r>
        <w:rPr>
          <w:color w:val="000000"/>
          <w:spacing w:val="0"/>
          <w:w w:val="100"/>
          <w:position w:val="0"/>
        </w:rPr>
        <w:t>、持有待售资产</w:t>
      </w:r>
      <w:bookmarkEnd w:id="1372"/>
      <w:bookmarkEnd w:id="1373"/>
      <w:bookmarkEnd w:id="1375"/>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广东和诚科技 孵化器有限公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其他说明:</w:t>
      </w:r>
    </w:p>
    <w:p>
      <w:pPr>
        <w:pStyle w:val="Style38"/>
        <w:keepNext w:val="0"/>
        <w:keepLines w:val="0"/>
        <w:widowControl w:val="0"/>
        <w:shd w:val="clear" w:color="auto" w:fill="auto"/>
        <w:bidi w:val="0"/>
        <w:spacing w:before="0" w:after="320" w:line="317" w:lineRule="exact"/>
        <w:ind w:left="760" w:right="0" w:firstLine="42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rFonts w:ascii="SimHei" w:eastAsia="SimHei" w:hAnsi="SimHei" w:cs="SimHei"/>
          <w:color w:val="000000"/>
          <w:spacing w:val="0"/>
          <w:w w:val="100"/>
          <w:position w:val="0"/>
          <w:sz w:val="26"/>
          <w:szCs w:val="26"/>
        </w:rPr>
        <w:t>0</w:t>
      </w:r>
      <w:r>
        <w:rPr>
          <w:color w:val="000000"/>
          <w:spacing w:val="0"/>
          <w:w w:val="100"/>
          <w:position w:val="0"/>
        </w:rPr>
        <w:t>股东决议，公司同意将持有的广东和诚科技孵化器有限公司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股权以</w:t>
      </w:r>
      <w:r>
        <w:rPr>
          <w:rFonts w:ascii="Times New Roman" w:eastAsia="Times New Roman" w:hAnsi="Times New Roman" w:cs="Times New Roman"/>
          <w:color w:val="000000"/>
          <w:spacing w:val="0"/>
          <w:w w:val="100"/>
          <w:position w:val="0"/>
        </w:rPr>
        <w:t xml:space="preserve">28,800.00 </w:t>
      </w:r>
      <w:r>
        <w:rPr>
          <w:color w:val="000000"/>
          <w:spacing w:val="0"/>
          <w:w w:val="100"/>
          <w:position w:val="0"/>
        </w:rPr>
        <w:t>万元转让给科学城（广州）投资集团有限公司（以下简称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科学城集团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双方于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日签订了《股 权转让合同》，公司将广东和诚科技孵化器有限公司账面对应的资产及负债划分至持有待售资产和持有待 售负债列报，股权转让于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月完成。</w:t>
      </w:r>
    </w:p>
    <w:p>
      <w:pPr>
        <w:pStyle w:val="Style35"/>
        <w:keepNext/>
        <w:keepLines/>
        <w:widowControl w:val="0"/>
        <w:shd w:val="clear" w:color="auto" w:fill="auto"/>
        <w:bidi w:val="0"/>
        <w:spacing w:before="0" w:line="317" w:lineRule="exact"/>
        <w:ind w:left="0" w:right="0" w:firstLine="76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8</w:t>
      </w:r>
      <w:bookmarkEnd w:id="1378"/>
      <w:r>
        <w:rPr>
          <w:color w:val="000000"/>
          <w:spacing w:val="0"/>
          <w:w w:val="100"/>
          <w:position w:val="0"/>
        </w:rPr>
        <w:t>、一年内到期的非流动资产</w:t>
      </w:r>
      <w:bookmarkEnd w:id="1376"/>
      <w:bookmarkEnd w:id="1377"/>
      <w:bookmarkEnd w:id="1379"/>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1,833,177.93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2,095,374.76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1,833,177.93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2,095,374.76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76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9</w:t>
      </w:r>
      <w:bookmarkEnd w:id="1382"/>
      <w:r>
        <w:rPr>
          <w:color w:val="000000"/>
          <w:spacing w:val="0"/>
          <w:w w:val="100"/>
          <w:position w:val="0"/>
        </w:rPr>
        <w:t>、其他流动资产</w:t>
      </w:r>
      <w:bookmarkEnd w:id="1380"/>
      <w:bookmarkEnd w:id="1381"/>
      <w:bookmarkEnd w:id="1383"/>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以抵销后净额列示的所得税预缴税额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78,178,684.09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81,342,197.45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78,186,004.47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81,358,816.77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76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384"/>
      <w:bookmarkEnd w:id="1385"/>
      <w:bookmarkEnd w:id="1387"/>
    </w:p>
    <w:p>
      <w:pPr>
        <w:pStyle w:val="Style48"/>
        <w:keepNext/>
        <w:keepLines/>
        <w:widowControl w:val="0"/>
        <w:shd w:val="clear" w:color="auto" w:fill="auto"/>
        <w:bidi w:val="0"/>
        <w:spacing w:before="0" w:after="380" w:line="240" w:lineRule="auto"/>
        <w:ind w:left="0" w:right="0" w:firstLine="760"/>
        <w:jc w:val="both"/>
      </w:pPr>
      <w:bookmarkStart w:id="1388" w:name="bookmark1388"/>
      <w:bookmarkStart w:id="1389" w:name="bookmark1389"/>
      <w:bookmarkStart w:id="1390" w:name="bookmark13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88"/>
      <w:bookmarkEnd w:id="1389"/>
      <w:bookmarkEnd w:id="1390"/>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1406"/>
        <w:gridCol w:w="1349"/>
        <w:gridCol w:w="989"/>
        <w:gridCol w:w="1291"/>
        <w:gridCol w:w="1253"/>
        <w:gridCol w:w="1147"/>
        <w:gridCol w:w="1320"/>
        <w:gridCol w:w="8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折现率 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42,617,175.86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42,617,175.86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40,592,106.74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40,592,106.74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其中：未实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6,857,893.26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6,857,893.26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06"/>
        <w:gridCol w:w="1349"/>
        <w:gridCol w:w="989"/>
        <w:gridCol w:w="1291"/>
        <w:gridCol w:w="1253"/>
        <w:gridCol w:w="1147"/>
        <w:gridCol w:w="1320"/>
        <w:gridCol w:w="830"/>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 长期应收款（抵 减以号填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-2,095,374.76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-2,095,374.76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42,617,175.86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42,617,175.86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38,496,731.98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38,496,731.98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8"/>
        <w:keepNext/>
        <w:keepLines/>
        <w:widowControl w:val="0"/>
        <w:shd w:val="clear" w:color="auto" w:fill="auto"/>
        <w:tabs>
          <w:tab w:pos="1253" w:val="left"/>
        </w:tabs>
        <w:bidi w:val="0"/>
        <w:spacing w:before="0" w:after="360" w:line="240" w:lineRule="auto"/>
        <w:ind w:left="0" w:right="0" w:firstLine="76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91"/>
      <w:bookmarkEnd w:id="1392"/>
      <w:bookmarkEnd w:id="1394"/>
    </w:p>
    <w:p>
      <w:pPr>
        <w:pStyle w:val="Style38"/>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无。</w:t>
      </w:r>
    </w:p>
    <w:p>
      <w:pPr>
        <w:pStyle w:val="Style48"/>
        <w:keepNext/>
        <w:keepLines/>
        <w:widowControl w:val="0"/>
        <w:shd w:val="clear" w:color="auto" w:fill="auto"/>
        <w:tabs>
          <w:tab w:pos="1253" w:val="left"/>
        </w:tabs>
        <w:bidi w:val="0"/>
        <w:spacing w:before="0" w:after="360" w:line="240" w:lineRule="auto"/>
        <w:ind w:left="0" w:right="0" w:firstLine="76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95"/>
      <w:bookmarkEnd w:id="1396"/>
      <w:bookmarkEnd w:id="1398"/>
    </w:p>
    <w:p>
      <w:pPr>
        <w:pStyle w:val="Style38"/>
        <w:keepNext w:val="0"/>
        <w:keepLines w:val="0"/>
        <w:widowControl w:val="0"/>
        <w:shd w:val="clear" w:color="auto" w:fill="auto"/>
        <w:bidi w:val="0"/>
        <w:spacing w:before="0" w:after="400" w:line="240" w:lineRule="auto"/>
        <w:ind w:left="118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76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1</w:t>
      </w:r>
      <w:bookmarkEnd w:id="1401"/>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399"/>
      <w:bookmarkEnd w:id="1400"/>
      <w:bookmarkEnd w:id="14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17"/>
        <w:gridCol w:w="1320"/>
        <w:gridCol w:w="667"/>
        <w:gridCol w:w="600"/>
        <w:gridCol w:w="984"/>
        <w:gridCol w:w="816"/>
        <w:gridCol w:w="696"/>
        <w:gridCol w:w="893"/>
        <w:gridCol w:w="677"/>
        <w:gridCol w:w="413"/>
        <w:gridCol w:w="1325"/>
        <w:gridCol w:w="66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减值 准备 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权益</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广东亚太电子商 务研究院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70,804.23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深圳市泰吉能源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337,362.62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337,245.82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上海戎磐网络科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10,001,029.35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10,001,029.35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10,409,196.20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10,409,079.40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10,409,196.20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10,409,079.40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400" w:line="240" w:lineRule="auto"/>
        <w:ind w:left="0" w:right="0" w:firstLine="76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403"/>
      <w:bookmarkEnd w:id="1404"/>
      <w:bookmarkEnd w:id="1406"/>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深圳市云海麒麟计算机系统有限公司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成都精灵云科技有限公司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广州民营投资股份有限公司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国保联盟信息安全技术有限公司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50,500,000.00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76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1</w:t>
      </w:r>
      <w:bookmarkEnd w:id="1409"/>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407"/>
      <w:bookmarkEnd w:id="1408"/>
      <w:bookmarkEnd w:id="1410"/>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16,495,210.00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26,585,470.00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16,495,210.00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26,585,470.00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76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1</w:t>
      </w:r>
      <w:bookmarkEnd w:id="141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411"/>
      <w:bookmarkEnd w:id="1412"/>
      <w:bookmarkEnd w:id="1414"/>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490,689,289.99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767,617,444.95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490,689,289.99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767,617,444.95</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880"/>
        <w:jc w:val="left"/>
      </w:pPr>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15"/>
      <w:bookmarkEnd w:id="1416"/>
      <w:bookmarkEnd w:id="14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378"/>
        <w:gridCol w:w="1430"/>
        <w:gridCol w:w="1574"/>
        <w:gridCol w:w="1368"/>
        <w:gridCol w:w="1363"/>
        <w:gridCol w:w="15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29,710,237.91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43,166,455.88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1,090,417,808.49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44,704,650.13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7,949,304.67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1,215,948,457.08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4,988,997.59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87,479,744.46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214,370.42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93,307,448.75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427,061.49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87,479,744.46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214,370.42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88,745,512.65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4,561,936.10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4,561,936.10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51,973,783.63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11,406,799.76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797,574.71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64,178,158.10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17,416,261.51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11,406,799.76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797,574.71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29,620,635.98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34,557,522.12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34,557,522.12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29,710,237.91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48,155,453.47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1,125,923,769.32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33,922,186.65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7,366,100.38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1,245,077,747.73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3,233,303.94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10,988,324.13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407,171,442.65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21,310,675.13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5,591,225.40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448,294,971.25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651,273.66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4,111,972.92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210,662,355.84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2,597,537.83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807,238.20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218,830,378.45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651,273.66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4,111,972.92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210,662,355.84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2,597,537.83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807,238.20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218,830,378.45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15,114,200.33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5,283,267.43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573,158.64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20,970,626.40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15,114,200.33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5,283,267.43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573,158.64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20,970,626.40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64"/>
        <w:gridCol w:w="1378"/>
        <w:gridCol w:w="1430"/>
        <w:gridCol w:w="1574"/>
        <w:gridCol w:w="1368"/>
        <w:gridCol w:w="1363"/>
        <w:gridCol w:w="15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3,884,577.60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15,100,297.05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602,719,598.16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18,624,945.53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5,825,304.96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646,154,723.30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107,773,739.36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424,704.20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108,198,443.56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107,773,739.36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424,704.20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108,198,443.56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107,773,739.36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424,928.55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108,233,734.44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25,825,660.31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33,055,156.42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415,430,431.80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15,262,174.59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1,115,866.87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490,689,289.99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26,476,933.97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32,178,131.75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683,245,615.84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23,358,908.47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2,357,854.92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767,617,444.95</w:t>
            </w:r>
          </w:p>
        </w:tc>
      </w:tr>
    </w:tbl>
    <w:p>
      <w:pPr>
        <w:widowControl w:val="0"/>
        <w:spacing w:after="339" w:line="1" w:lineRule="exact"/>
      </w:pPr>
    </w:p>
    <w:p>
      <w:pPr>
        <w:pStyle w:val="Style48"/>
        <w:keepNext/>
        <w:keepLines/>
        <w:widowControl w:val="0"/>
        <w:shd w:val="clear" w:color="auto" w:fill="auto"/>
        <w:bidi w:val="0"/>
        <w:spacing w:before="0" w:after="400" w:line="240" w:lineRule="auto"/>
        <w:ind w:left="0" w:right="0" w:firstLine="880"/>
        <w:jc w:val="left"/>
      </w:pPr>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r>
        <w:rPr>
          <w:color w:val="000000"/>
          <w:spacing w:val="0"/>
          <w:w w:val="100"/>
          <w:position w:val="0"/>
        </w:rPr>
        <w:t>）通过融资租赁租入的固定资产情况</w:t>
      </w:r>
      <w:bookmarkEnd w:id="1418"/>
      <w:bookmarkEnd w:id="1419"/>
      <w:bookmarkEnd w:id="1420"/>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470,151,075.03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265,939,693.71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204,211,381.32</w:t>
            </w:r>
          </w:p>
        </w:tc>
      </w:tr>
    </w:tbl>
    <w:p>
      <w:pPr>
        <w:widowControl w:val="0"/>
        <w:spacing w:after="339" w:line="1" w:lineRule="exact"/>
      </w:pPr>
    </w:p>
    <w:p>
      <w:pPr>
        <w:pStyle w:val="Style48"/>
        <w:keepNext/>
        <w:keepLines/>
        <w:widowControl w:val="0"/>
        <w:shd w:val="clear" w:color="auto" w:fill="auto"/>
        <w:bidi w:val="0"/>
        <w:spacing w:before="0" w:after="460" w:line="240" w:lineRule="auto"/>
        <w:ind w:left="0" w:right="0" w:firstLine="88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421"/>
      <w:bookmarkEnd w:id="1422"/>
      <w:bookmarkEnd w:id="1424"/>
    </w:p>
    <w:p>
      <w:pPr>
        <w:pStyle w:val="Style38"/>
        <w:keepNext w:val="0"/>
        <w:keepLines w:val="0"/>
        <w:widowControl w:val="0"/>
        <w:shd w:val="clear" w:color="auto" w:fill="auto"/>
        <w:bidi w:val="0"/>
        <w:spacing w:before="0" w:after="460" w:line="240" w:lineRule="auto"/>
        <w:ind w:left="1180" w:right="0" w:firstLine="0"/>
        <w:jc w:val="left"/>
      </w:pPr>
      <w:r>
        <w:rPr>
          <w:color w:val="000000"/>
          <w:spacing w:val="0"/>
          <w:w w:val="100"/>
          <w:position w:val="0"/>
        </w:rPr>
        <w:t>无。</w:t>
      </w:r>
    </w:p>
    <w:p>
      <w:pPr>
        <w:pStyle w:val="Style38"/>
        <w:keepNext w:val="0"/>
        <w:keepLines w:val="0"/>
        <w:widowControl w:val="0"/>
        <w:shd w:val="clear" w:color="auto" w:fill="auto"/>
        <w:bidi w:val="0"/>
        <w:spacing w:before="0" w:after="80" w:line="240" w:lineRule="auto"/>
        <w:ind w:left="0" w:right="0" w:firstLine="760"/>
        <w:jc w:val="left"/>
      </w:pPr>
      <w:r>
        <w:rPr>
          <w:color w:val="000000"/>
          <w:spacing w:val="0"/>
          <w:w w:val="100"/>
          <w:position w:val="0"/>
        </w:rPr>
        <w:t>其他说明</w:t>
      </w:r>
    </w:p>
    <w:p>
      <w:pPr>
        <w:pStyle w:val="Style38"/>
        <w:keepNext w:val="0"/>
        <w:keepLines w:val="0"/>
        <w:widowControl w:val="0"/>
        <w:shd w:val="clear" w:color="auto" w:fill="auto"/>
        <w:bidi w:val="0"/>
        <w:spacing w:before="0" w:after="720" w:line="240" w:lineRule="auto"/>
        <w:ind w:left="1180" w:right="0" w:firstLine="0"/>
        <w:jc w:val="left"/>
      </w:pPr>
      <w:r>
        <w:rPr>
          <w:color w:val="000000"/>
          <w:spacing w:val="0"/>
          <w:w w:val="100"/>
          <w:position w:val="0"/>
        </w:rPr>
        <w:t>期末用于抵押的固定资产详见附注六、注释</w:t>
      </w:r>
      <w:r>
        <w:rPr>
          <w:rFonts w:ascii="Times New Roman" w:eastAsia="Times New Roman" w:hAnsi="Times New Roman" w:cs="Times New Roman"/>
          <w:color w:val="000000"/>
          <w:spacing w:val="0"/>
          <w:w w:val="100"/>
          <w:position w:val="0"/>
        </w:rPr>
        <w:t>31.</w:t>
      </w:r>
      <w:r>
        <w:rPr>
          <w:color w:val="000000"/>
          <w:spacing w:val="0"/>
          <w:w w:val="100"/>
          <w:position w:val="0"/>
        </w:rPr>
        <w:t>长期借款及注释</w:t>
      </w:r>
      <w:r>
        <w:rPr>
          <w:rFonts w:ascii="Times New Roman" w:eastAsia="Times New Roman" w:hAnsi="Times New Roman" w:cs="Times New Roman"/>
          <w:color w:val="000000"/>
          <w:spacing w:val="0"/>
          <w:w w:val="100"/>
          <w:position w:val="0"/>
        </w:rPr>
        <w:t>33.</w:t>
      </w:r>
      <w:r>
        <w:rPr>
          <w:color w:val="000000"/>
          <w:spacing w:val="0"/>
          <w:w w:val="100"/>
          <w:position w:val="0"/>
        </w:rPr>
        <w:t>长期应付款之说明。</w:t>
      </w:r>
    </w:p>
    <w:p>
      <w:pPr>
        <w:pStyle w:val="Style35"/>
        <w:keepNext/>
        <w:keepLines/>
        <w:widowControl w:val="0"/>
        <w:shd w:val="clear" w:color="auto" w:fill="auto"/>
        <w:bidi w:val="0"/>
        <w:spacing w:before="0" w:after="400" w:line="240" w:lineRule="auto"/>
        <w:ind w:left="0" w:right="0" w:firstLine="76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425"/>
      <w:bookmarkEnd w:id="1426"/>
      <w:bookmarkEnd w:id="1428"/>
    </w:p>
    <w:p>
      <w:pPr>
        <w:pStyle w:val="Style28"/>
        <w:keepNext w:val="0"/>
        <w:keepLines w:val="0"/>
        <w:widowControl w:val="0"/>
        <w:shd w:val="clear" w:color="auto" w:fill="auto"/>
        <w:bidi w:val="0"/>
        <w:spacing w:before="0" w:after="8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1,223,942,024.15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1,303,940,905.12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1,223,942,024.15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1,303,940,905.12</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880"/>
        <w:jc w:val="both"/>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29"/>
      <w:bookmarkEnd w:id="1430"/>
      <w:bookmarkEnd w:id="14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4373"/>
        <w:gridCol w:w="408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002"/>
        <w:gridCol w:w="1522"/>
        <w:gridCol w:w="1349"/>
        <w:gridCol w:w="1502"/>
        <w:gridCol w:w="1550"/>
        <w:gridCol w:w="1037"/>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蓝盾信息安全产业基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萝岗基地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392,498,502.31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317,170,002.31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392,498,502.31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392,498,502.31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蓝盾信息西南总部及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511,060,647.17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511,060,647.17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511,032,095.92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511,032,095.92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蓝盾大安全研发与产 业化基地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394,668,742.72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394,668,742.72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394,805,738.84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394,805,738.84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广州华炜人包安检生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4,561,936.10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4,561,936.10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蓝盾基地、数字化展 厅、展厅地面装修工程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1,042,631.95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1,042,631.95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1,042,631.95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1,299,270,524.15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1,223,942,024.15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1,303,940,905.12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1,303,940,905.12</w:t>
            </w:r>
          </w:p>
        </w:tc>
      </w:tr>
    </w:tbl>
    <w:p>
      <w:pPr>
        <w:widowControl w:val="0"/>
        <w:spacing w:after="319" w:line="1" w:lineRule="exact"/>
      </w:pPr>
    </w:p>
    <w:p>
      <w:pPr>
        <w:pStyle w:val="Style48"/>
        <w:keepNext/>
        <w:keepLines/>
        <w:widowControl w:val="0"/>
        <w:shd w:val="clear" w:color="auto" w:fill="auto"/>
        <w:bidi w:val="0"/>
        <w:spacing w:before="0" w:after="400" w:line="240" w:lineRule="auto"/>
        <w:ind w:left="1040" w:right="0" w:firstLine="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32"/>
      <w:bookmarkEnd w:id="1433"/>
      <w:bookmarkEnd w:id="1434"/>
    </w:p>
    <w:p>
      <w:pPr>
        <w:pStyle w:val="Style2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941"/>
        <w:gridCol w:w="1008"/>
        <w:gridCol w:w="1104"/>
        <w:gridCol w:w="734"/>
        <w:gridCol w:w="998"/>
        <w:gridCol w:w="850"/>
        <w:gridCol w:w="1008"/>
        <w:gridCol w:w="734"/>
        <w:gridCol w:w="734"/>
        <w:gridCol w:w="1186"/>
        <w:gridCol w:w="734"/>
        <w:gridCol w:w="739"/>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本期增</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本期转入固</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定资产金额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本期其他</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4"/>
                <w:szCs w:val="14"/>
              </w:rPr>
            </w:pPr>
            <w:r>
              <w:rPr>
                <w:color w:val="000000"/>
                <w:spacing w:val="0"/>
                <w:w w:val="100"/>
                <w:position w:val="0"/>
                <w:sz w:val="14"/>
                <w:szCs w:val="14"/>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工程进</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利息资本化累</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其中：</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本期利</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息资本</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本期利</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息资本</w:t>
            </w:r>
          </w:p>
          <w:p>
            <w:pPr>
              <w:pStyle w:val="Style2"/>
              <w:keepNext w:val="0"/>
              <w:keepLines w:val="0"/>
              <w:widowControl w:val="0"/>
              <w:shd w:val="clear" w:color="auto" w:fill="auto"/>
              <w:bidi w:val="0"/>
              <w:spacing w:before="0" w:after="140" w:line="240" w:lineRule="auto"/>
              <w:ind w:left="0" w:right="0" w:firstLine="220"/>
              <w:jc w:val="left"/>
              <w:rPr>
                <w:sz w:val="14"/>
                <w:szCs w:val="14"/>
              </w:rPr>
            </w:pPr>
            <w:r>
              <w:rPr>
                <w:color w:val="000000"/>
                <w:spacing w:val="0"/>
                <w:w w:val="100"/>
                <w:position w:val="0"/>
                <w:sz w:val="14"/>
                <w:szCs w:val="14"/>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140" w:firstLine="0"/>
              <w:jc w:val="right"/>
              <w:rPr>
                <w:sz w:val="14"/>
                <w:szCs w:val="14"/>
              </w:rPr>
            </w:pPr>
            <w:r>
              <w:rPr>
                <w:color w:val="000000"/>
                <w:spacing w:val="0"/>
                <w:w w:val="100"/>
                <w:position w:val="0"/>
                <w:sz w:val="14"/>
                <w:szCs w:val="14"/>
              </w:rPr>
              <w:t>资金来</w:t>
            </w:r>
          </w:p>
          <w:p>
            <w:pPr>
              <w:pStyle w:val="Style2"/>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源</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蓝盾信息 安全产业 基地</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萝岗 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409,808,600.</w:t>
            </w:r>
          </w:p>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392,498,502.3</w:t>
            </w:r>
          </w:p>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392,498,502.</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37,635,506.39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蓝盾信息 西南总部 及研发基 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600,000,000.</w:t>
            </w:r>
          </w:p>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511,032,095.9</w:t>
            </w:r>
          </w:p>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28,551.</w:t>
            </w:r>
          </w:p>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511,060,647.</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46,358,894.03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蓝盾大安 全研发与 产业化基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700,785,000.</w:t>
            </w:r>
          </w:p>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394,805,738.8</w:t>
            </w:r>
          </w:p>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136,996.1</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394,668,742.</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2,604,132.10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广州华炜</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人包安检</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生产系统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19,000,000.0</w:t>
            </w:r>
          </w:p>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4,561,936.10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4,561,936.1</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4"/>
                <w:szCs w:val="14"/>
              </w:rPr>
            </w:pPr>
            <w:r>
              <w:rPr>
                <w:color w:val="000000"/>
                <w:spacing w:val="0"/>
                <w:w w:val="100"/>
                <w:position w:val="0"/>
                <w:sz w:val="14"/>
                <w:szCs w:val="14"/>
              </w:rPr>
              <w:t>蓝盾基地、 数字化展 厅、展厅地 面装修工 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1,042,631.95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1,042,631.95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r>
    </w:tbl>
    <w:p>
      <w:pPr>
        <w:widowControl w:val="0"/>
        <w:spacing w:line="1" w:lineRule="exact"/>
      </w:pPr>
      <w:r>
        <w:br w:type="page"/>
      </w:r>
    </w:p>
    <w:tbl>
      <w:tblPr>
        <w:tblOverlap w:val="never"/>
        <w:jc w:val="center"/>
        <w:tblLayout w:type="fixed"/>
      </w:tblPr>
      <w:tblGrid>
        <w:gridCol w:w="941"/>
        <w:gridCol w:w="1008"/>
        <w:gridCol w:w="1104"/>
        <w:gridCol w:w="734"/>
        <w:gridCol w:w="998"/>
        <w:gridCol w:w="850"/>
        <w:gridCol w:w="1008"/>
        <w:gridCol w:w="734"/>
        <w:gridCol w:w="734"/>
        <w:gridCol w:w="1186"/>
        <w:gridCol w:w="734"/>
        <w:gridCol w:w="739"/>
        <w:gridCol w:w="74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1,729,593,60</w:t>
            </w:r>
          </w:p>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1,303,940,905</w:t>
            </w:r>
          </w:p>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28,551.</w:t>
            </w:r>
          </w:p>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4,561,936.1</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136,996.1</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1,299,270,52</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86,598,532.52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319" w:line="1" w:lineRule="exact"/>
      </w:pPr>
    </w:p>
    <w:p>
      <w:pPr>
        <w:pStyle w:val="Style48"/>
        <w:keepNext/>
        <w:keepLines/>
        <w:widowControl w:val="0"/>
        <w:shd w:val="clear" w:color="auto" w:fill="auto"/>
        <w:bidi w:val="0"/>
        <w:spacing w:before="0" w:after="380" w:line="240" w:lineRule="auto"/>
        <w:ind w:left="104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35"/>
      <w:bookmarkEnd w:id="1436"/>
      <w:bookmarkEnd w:id="1438"/>
    </w:p>
    <w:p>
      <w:pPr>
        <w:pStyle w:val="Style2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蓝盾信息安全产业基地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萝岗基地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92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39"/>
      <w:bookmarkEnd w:id="1440"/>
      <w:bookmarkEnd w:id="1442"/>
    </w:p>
    <w:p>
      <w:pPr>
        <w:pStyle w:val="Style48"/>
        <w:keepNext/>
        <w:keepLines/>
        <w:widowControl w:val="0"/>
        <w:shd w:val="clear" w:color="auto" w:fill="auto"/>
        <w:bidi w:val="0"/>
        <w:spacing w:before="0" w:after="380" w:line="240" w:lineRule="auto"/>
        <w:ind w:left="0" w:right="0" w:firstLine="920"/>
        <w:jc w:val="left"/>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43"/>
      <w:bookmarkEnd w:id="1444"/>
      <w:bookmarkEnd w:id="14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43"/>
        <w:gridCol w:w="1392"/>
        <w:gridCol w:w="1349"/>
        <w:gridCol w:w="1282"/>
        <w:gridCol w:w="1733"/>
        <w:gridCol w:w="1200"/>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软件及软件著作权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163,057,279.74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10,233,257.14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653,476,617.09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827,186,353.97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5,523,419.35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5,523,419.35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5,523,419.35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5,523,419.35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163,057,279.74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10,233,257.14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658,998,443.52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832,708,180.40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13,236,866.92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9,223,301.76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315,840,127.60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338,607,062.95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4,429,558.06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200,758.47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62,275,797.16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66,974,397.05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4,429,558.06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200,758.47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62,275,797.16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66,974,397.05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17,666,424.98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9,424,060.23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378,115,681.44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405,581,216.68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99,581,486.13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99,581,486.13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43"/>
        <w:gridCol w:w="1392"/>
        <w:gridCol w:w="1349"/>
        <w:gridCol w:w="1282"/>
        <w:gridCol w:w="1733"/>
        <w:gridCol w:w="1200"/>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99,581,486.13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99,581,486.13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145,390,854.75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181,301,275.95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327,545,477.59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149,820,412.82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1,009,955.38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238,055,003.36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388,997,804.89</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940"/>
        <w:jc w:val="left"/>
      </w:pPr>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46"/>
      <w:bookmarkEnd w:id="1447"/>
      <w:bookmarkEnd w:id="1448"/>
    </w:p>
    <w:p>
      <w:pPr>
        <w:pStyle w:val="Style38"/>
        <w:keepNext w:val="0"/>
        <w:keepLines w:val="0"/>
        <w:widowControl w:val="0"/>
        <w:shd w:val="clear" w:color="auto" w:fill="auto"/>
        <w:bidi w:val="0"/>
        <w:spacing w:before="0" w:after="460" w:line="240" w:lineRule="auto"/>
        <w:ind w:left="0" w:right="0" w:firstLine="820"/>
        <w:jc w:val="left"/>
      </w:pPr>
      <w:r>
        <w:rPr>
          <w:color w:val="000000"/>
          <w:spacing w:val="0"/>
          <w:w w:val="100"/>
          <w:position w:val="0"/>
        </w:rPr>
        <w:t>无</w:t>
      </w:r>
    </w:p>
    <w:p>
      <w:pPr>
        <w:pStyle w:val="Style38"/>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其他说明：</w:t>
      </w:r>
    </w:p>
    <w:p>
      <w:pPr>
        <w:pStyle w:val="Style38"/>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无形资产抵押情况详见附注十四、承诺及或有事项</w:t>
      </w:r>
      <w:r>
        <w:rPr>
          <w:rFonts w:ascii="Times New Roman" w:eastAsia="Times New Roman" w:hAnsi="Times New Roman" w:cs="Times New Roman"/>
          <w:color w:val="000000"/>
          <w:spacing w:val="0"/>
          <w:w w:val="100"/>
          <w:position w:val="0"/>
        </w:rPr>
        <w:t>1</w:t>
      </w:r>
      <w:r>
        <w:rPr>
          <w:color w:val="000000"/>
          <w:spacing w:val="0"/>
          <w:w w:val="100"/>
          <w:position w:val="0"/>
        </w:rPr>
        <w:t>、重要承诺事项（</w:t>
      </w:r>
      <w:r>
        <w:rPr>
          <w:rFonts w:ascii="Times New Roman" w:eastAsia="Times New Roman" w:hAnsi="Times New Roman" w:cs="Times New Roman"/>
          <w:color w:val="000000"/>
          <w:spacing w:val="0"/>
          <w:w w:val="100"/>
          <w:position w:val="0"/>
        </w:rPr>
        <w:t>1</w:t>
      </w:r>
      <w:r>
        <w:rPr>
          <w:color w:val="000000"/>
          <w:spacing w:val="0"/>
          <w:w w:val="100"/>
          <w:position w:val="0"/>
        </w:rPr>
        <w:t>）抵押资产情况。</w:t>
      </w:r>
    </w:p>
    <w:p>
      <w:pPr>
        <w:pStyle w:val="Style35"/>
        <w:keepNext/>
        <w:keepLines/>
        <w:widowControl w:val="0"/>
        <w:shd w:val="clear" w:color="auto" w:fill="auto"/>
        <w:bidi w:val="0"/>
        <w:spacing w:before="0" w:line="240" w:lineRule="auto"/>
        <w:ind w:left="0" w:right="0" w:firstLine="82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49"/>
      <w:bookmarkEnd w:id="1450"/>
      <w:bookmarkEnd w:id="14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1987"/>
        <w:gridCol w:w="1306"/>
        <w:gridCol w:w="1368"/>
        <w:gridCol w:w="1061"/>
        <w:gridCol w:w="1066"/>
        <w:gridCol w:w="1454"/>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蓝盾防毒墙系统的研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-17,321.37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一站式网络云安全即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服务平台的研究项目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9,045,054.72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9,045,054.72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工业互联网安全预警 及态势感知综合管理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8,791,500.70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8,791,500.70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工业企业网络安全综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合防护平台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8,375,189.54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8,375,189.54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蓝盾视频专网准入控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9,291,808.01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9,291,808.01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基于国产化平台及可 信计算的蓝盾防火墙 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8,294,157.81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8,294,157.81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工业软件源代码安全 检测工具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6,576,662.24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6,576,662.24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突发事件链识别监测 与应急响应综合应用 研究项目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627,481.52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627,481.52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right"/>
        <w:tblLayout w:type="fixed"/>
      </w:tblPr>
      <w:tblGrid>
        <w:gridCol w:w="1987"/>
        <w:gridCol w:w="1306"/>
        <w:gridCol w:w="1368"/>
        <w:gridCol w:w="1061"/>
        <w:gridCol w:w="1066"/>
        <w:gridCol w:w="1454"/>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基于大数据的重大危 险源智能监测、预警、 管控及应急救援系统 的研发与应用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1,629,632.80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1,629,632.80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基于大数据技术的新 一代蓝盾安全卫士系 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1,365,141.25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1,365,141.25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青年创新创业综合服 务管理平台软件的研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268,292.15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268,292.15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电子政务综合办公协 调处理系统的研发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895,783.84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895,783.84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虚拟网页防篡改系统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1,449,282.27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312,586.97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1,761,869.24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蓝盾智慧监狱周界入 侵探测报警系统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931,301.39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931,301.39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基于相控阵雷达技术 的门岗监控系统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54,539.98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54,539.98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蓝盾新微智慧航道雷 达监控系统的研发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119,972.72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119,972.72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相控阵雷达于航道船 舶流量观测的应用研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33,130.39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基于海洋船舶卫星通 信的智能网关研发与 运用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984,728.44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984,728.44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基于容器技术的蓝盾 </w:t>
            </w:r>
            <w:r>
              <w:rPr>
                <w:rFonts w:ascii="Times New Roman" w:eastAsia="Times New Roman" w:hAnsi="Times New Roman" w:cs="Times New Roman"/>
                <w:color w:val="000000"/>
                <w:spacing w:val="0"/>
                <w:w w:val="100"/>
                <w:position w:val="0"/>
                <w:sz w:val="18"/>
                <w:szCs w:val="18"/>
              </w:rPr>
              <w:t>APT</w:t>
            </w:r>
            <w:r>
              <w:rPr>
                <w:color w:val="000000"/>
                <w:spacing w:val="0"/>
                <w:w w:val="100"/>
                <w:position w:val="0"/>
              </w:rPr>
              <w:t>高级持续攻击检 测分析平台研发及产 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蓝盾安全隔离与信息 单向导入系统研发及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7,968,188.36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7,968,188.36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蓝盾网络安全教育云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11,246,897.92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11,246,897.92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蓝盾云”管理平台研 发及产业化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119,939.77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119,939.77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87"/>
        <w:gridCol w:w="1306"/>
        <w:gridCol w:w="1368"/>
        <w:gridCol w:w="1061"/>
        <w:gridCol w:w="1066"/>
        <w:gridCol w:w="1454"/>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城镇公共安全立体化 网络构建与应急响应 示范（课题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“一带一 路”典型城镇综合应用 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14,742,313.39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14,742,313.39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基于大数据技术的网 络安全态势感知与协 同防护平台研发及产 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量子密钥分发系统的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10,644,642.02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10,644,642.02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量子密钥管理机的研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1,867,990.94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1,867,990.94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云计算应用模式下的 移动互联网安全防护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9,324,540.82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9,324,540.82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基于区块链技术的网 络安全监管防护平台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4,051,219.55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9,521,669.95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13,572,889.50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基于国产化平台及可 信计算的网络安全监 测审计平台研发及产 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1,564,860.04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1,564,860.04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知识产权智能决策和 专利业务服务平台研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1,049,180.60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1,049,180.60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基于云计算的</w:t>
            </w:r>
            <w:r>
              <w:rPr>
                <w:rFonts w:ascii="Times New Roman" w:eastAsia="Times New Roman" w:hAnsi="Times New Roman" w:cs="Times New Roman"/>
                <w:color w:val="000000"/>
                <w:spacing w:val="0"/>
                <w:w w:val="100"/>
                <w:position w:val="0"/>
                <w:sz w:val="18"/>
                <w:szCs w:val="18"/>
              </w:rPr>
              <w:t>4U</w:t>
            </w:r>
            <w:r>
              <w:rPr>
                <w:color w:val="000000"/>
                <w:spacing w:val="0"/>
                <w:w w:val="100"/>
                <w:position w:val="0"/>
              </w:rPr>
              <w:t>网络 安全监测审计平台研 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3,020,062.64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1,077,798.44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4,097,861.08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工业互联网网络安全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态势感知平台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1,261,405.34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1,261,405.34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广东青少年大数据交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互系统的研发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96,272.96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96,272.96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广东智慧团建系统的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241,014.87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241,014.87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基于大数据技术的网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络安全综合管理平台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研发及产业化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234,901.34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234,901.34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87"/>
        <w:gridCol w:w="1306"/>
        <w:gridCol w:w="1368"/>
        <w:gridCol w:w="1061"/>
        <w:gridCol w:w="1066"/>
        <w:gridCol w:w="1454"/>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虚拟上网行为审计系 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417,401.84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417,401.84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新一代虚拟安全运营 中心（</w:t>
            </w:r>
            <w:r>
              <w:rPr>
                <w:rFonts w:ascii="Times New Roman" w:eastAsia="Times New Roman" w:hAnsi="Times New Roman" w:cs="Times New Roman"/>
                <w:color w:val="000000"/>
                <w:spacing w:val="0"/>
                <w:w w:val="100"/>
                <w:position w:val="0"/>
                <w:sz w:val="18"/>
                <w:szCs w:val="18"/>
              </w:rPr>
              <w:t>vSO C</w:t>
            </w:r>
            <w:r>
              <w:rPr>
                <w:color w:val="000000"/>
                <w:spacing w:val="0"/>
                <w:w w:val="100"/>
                <w:position w:val="0"/>
              </w:rPr>
              <w:t>）</w:t>
            </w: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532,304.64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532,304.64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新一代虚拟漏洞扫描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1,006,598.36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1,006,598.36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青年数据云计算与管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2,797,218.32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2,797,218.32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新一代安全隔离与信 息单向导入系统研发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450,475.49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450,475.49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一站式安全云计算体 系研发项目建设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9,506,222.52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9,506,222.52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网络综合态势预警平 台研发项目建设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7,521,749.95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7,521,749.95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企业移动信息化安全 管理体系研发项目建 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4,856,457.03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4,856,457.03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公共卫生志愿者服务 运营平台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1,244,156.23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1,244,156.23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YF031</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一种新型串联 浪涌保护器的研究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1,219,855.32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1,219,855.32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YF032</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一种多间隙放 电管防雷器脱扣装置 的研究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1,535,109.67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1,535,109.67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YF033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一种新型分线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底座的研究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934,887.00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934,887.00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YF034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一种自动灭弧 可变放电间隙装置的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1,154,757.32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1,154,757.32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YF036* </w:t>
            </w:r>
            <w:r>
              <w:rPr>
                <w:color w:val="000000"/>
                <w:spacing w:val="0"/>
                <w:w w:val="100"/>
                <w:position w:val="0"/>
              </w:rPr>
              <w:t>一种差模限制 电压极低的防雷器的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1,580,908.75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1,580,908.75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YF039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一种自动闸机 摆闸机芯传动结构的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390,855.20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390,855.20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YF040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户外一体化移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1,308,000.64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1,308,000.64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87"/>
        <w:gridCol w:w="1306"/>
        <w:gridCol w:w="1368"/>
        <w:gridCol w:w="1061"/>
        <w:gridCol w:w="1066"/>
        <w:gridCol w:w="1454"/>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动基站的研究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YF041*</w:t>
            </w:r>
            <w:r>
              <w:rPr>
                <w:color w:val="000000"/>
                <w:spacing w:val="0"/>
                <w:w w:val="100"/>
                <w:position w:val="0"/>
              </w:rPr>
              <w:t>储能式接地装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2,122,925.47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2,122,925.47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YF042*</w:t>
            </w:r>
            <w:r>
              <w:rPr>
                <w:color w:val="000000"/>
                <w:spacing w:val="0"/>
                <w:w w:val="100"/>
                <w:position w:val="0"/>
              </w:rPr>
              <w:t>柔性接地体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1,644,171.93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1,644,171.93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YF043*5G</w:t>
            </w:r>
            <w:r>
              <w:rPr>
                <w:color w:val="000000"/>
                <w:spacing w:val="0"/>
                <w:w w:val="100"/>
                <w:position w:val="0"/>
              </w:rPr>
              <w:t>基站电源系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1,464,330.99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1,464,330.99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终端设备供电节能新 技术研究与应用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400,107.53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400,107.53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大功率二、三级金属陶</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瓷气体放电管研发及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1,560,468.72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1,560,468.72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E.202001</w:t>
            </w:r>
            <w:r>
              <w:rPr>
                <w:color w:val="000000"/>
                <w:spacing w:val="0"/>
                <w:w w:val="100"/>
                <w:position w:val="0"/>
                <w:sz w:val="17"/>
                <w:szCs w:val="17"/>
              </w:rPr>
              <w:t xml:space="preserve">具有远程监 测管理的铁路信号智 能电源防雷系统研发 </w:t>
            </w: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783,878.59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783,878.59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E.202002</w:t>
            </w:r>
            <w:r>
              <w:rPr>
                <w:color w:val="000000"/>
                <w:spacing w:val="0"/>
                <w:w w:val="100"/>
                <w:position w:val="0"/>
                <w:sz w:val="17"/>
                <w:szCs w:val="17"/>
              </w:rPr>
              <w:t>续流遮断小 的新型气体放电管研 究开发</w:t>
            </w: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950,864.10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950,864.10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E.202003</w:t>
            </w:r>
            <w:r>
              <w:rPr>
                <w:color w:val="000000"/>
                <w:spacing w:val="0"/>
                <w:w w:val="100"/>
                <w:position w:val="0"/>
                <w:sz w:val="17"/>
                <w:szCs w:val="17"/>
              </w:rPr>
              <w:t>智能配电箱 在线防火分析检测技 术研究</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745,711.12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745,711.12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E.202004</w:t>
            </w:r>
            <w:r>
              <w:rPr>
                <w:color w:val="000000"/>
                <w:spacing w:val="0"/>
                <w:w w:val="100"/>
                <w:position w:val="0"/>
                <w:sz w:val="17"/>
                <w:szCs w:val="17"/>
              </w:rPr>
              <w:t>基于通讯网 络的安全智能开关柜 开发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700,078.05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700,078.05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E.202005</w:t>
            </w:r>
            <w:r>
              <w:rPr>
                <w:color w:val="000000"/>
                <w:spacing w:val="0"/>
                <w:w w:val="100"/>
                <w:position w:val="0"/>
              </w:rPr>
              <w:t>人脸识别效 率高的轨道交通智能 闸机设计开发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817,819.42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817,819.42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E.202006</w:t>
            </w:r>
            <w:r>
              <w:rPr>
                <w:color w:val="000000"/>
                <w:spacing w:val="0"/>
                <w:w w:val="100"/>
                <w:position w:val="0"/>
                <w:sz w:val="17"/>
                <w:szCs w:val="17"/>
              </w:rPr>
              <w:t>实时防护能 力强的自检防雷箱研 究开发</w:t>
            </w: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747,659.23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747,659.23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基于大数据技术的移 动电子商务安全关键 技术的研发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中经电商智能在线加 油管理营销平台的开 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166,889.56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166,889.56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87"/>
        <w:gridCol w:w="1306"/>
        <w:gridCol w:w="1368"/>
        <w:gridCol w:w="1061"/>
        <w:gridCol w:w="1066"/>
        <w:gridCol w:w="1454"/>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中经行运智能货运一 体化综合服务平台的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166,889.56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166,889.56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云计算及大数据安全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协同创新中心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371,911.40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371,911.40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8,520,564.46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177,590,411.92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186,110,976.38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453"/>
      <w:bookmarkEnd w:id="1454"/>
      <w:bookmarkEnd w:id="1455"/>
    </w:p>
    <w:p>
      <w:pPr>
        <w:pStyle w:val="Style48"/>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56"/>
      <w:bookmarkEnd w:id="1457"/>
      <w:bookmarkEnd w:id="145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left"/>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07" w:lineRule="exact"/>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广州华炜科技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189,464,955.35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189,464,955.35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东莞市新铂铢 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174,110.38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174,110.38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中经汇通电子 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463,949,449.39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463,949,449.39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汇通宝支付有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155,712,163.25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155,712,163.25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广州天锐锋信 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672,800.14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672,800.14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深圳市蓝盾满 泰科技发展有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493,586,016.88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493,586,016.88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1,303,559,495.</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1,303,559,495.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59"/>
      <w:bookmarkEnd w:id="1460"/>
      <w:bookmarkEnd w:id="1461"/>
    </w:p>
    <w:p>
      <w:pPr>
        <w:pStyle w:val="Style28"/>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p>
    <w:p>
      <w:pPr>
        <w:widowControl w:val="0"/>
        <w:spacing w:line="1" w:lineRule="exact"/>
      </w:pPr>
      <w:r>
        <mc:AlternateContent>
          <mc:Choice Requires="wps">
            <w:drawing>
              <wp:anchor distT="38100" distB="0" distL="0" distR="0" simplePos="0" relativeHeight="125829392" behindDoc="0" locked="0" layoutInCell="1" allowOverlap="1">
                <wp:simplePos x="0" y="0"/>
                <wp:positionH relativeFrom="page">
                  <wp:posOffset>576580</wp:posOffset>
                </wp:positionH>
                <wp:positionV relativeFrom="paragraph">
                  <wp:posOffset>38100</wp:posOffset>
                </wp:positionV>
                <wp:extent cx="2767330" cy="155575"/>
                <wp:wrapTopAndBottom/>
                <wp:docPr id="86" name="Shape 86"/>
                <a:graphic xmlns:a="http://schemas.openxmlformats.org/drawingml/2006/main">
                  <a:graphicData uri="http://schemas.microsoft.com/office/word/2010/wordprocessingShape">
                    <wps:wsp>
                      <wps:cNvSpPr txBox="1"/>
                      <wps:spPr>
                        <a:xfrm>
                          <a:ext cx="2767330" cy="155575"/>
                        </a:xfrm>
                        <a:prstGeom prst="rect"/>
                        <a:noFill/>
                      </wps:spPr>
                      <wps:txbx>
                        <w:txbxContent>
                          <w:p>
                            <w:pPr>
                              <w:pStyle w:val="Style28"/>
                              <w:keepNext w:val="0"/>
                              <w:keepLines w:val="0"/>
                              <w:widowControl w:val="0"/>
                              <w:pBdr>
                                <w:top w:val="single" w:sz="4" w:space="0" w:color="D3D3D3"/>
                                <w:left w:val="single" w:sz="4" w:space="0" w:color="D3D3D3"/>
                                <w:bottom w:val="single" w:sz="4" w:space="0" w:color="D3D3D3"/>
                                <w:right w:val="single" w:sz="4" w:space="0" w:color="D3D3D3"/>
                              </w:pBdr>
                              <w:shd w:val="clear" w:color="auto" w:fill="D3D3D3"/>
                              <w:tabs>
                                <w:tab w:pos="1546" w:val="left"/>
                                <w:tab w:pos="3590" w:val="left"/>
                              </w:tabs>
                              <w:bidi w:val="0"/>
                              <w:spacing w:before="0" w:after="0" w:line="240" w:lineRule="auto"/>
                              <w:ind w:left="0" w:right="0" w:firstLine="0"/>
                              <w:jc w:val="left"/>
                            </w:pPr>
                            <w:r>
                              <w:rPr>
                                <w:color w:val="000000"/>
                                <w:spacing w:val="0"/>
                                <w:w w:val="100"/>
                                <w:position w:val="0"/>
                              </w:rPr>
                              <w:t>被投资单位名</w:t>
                              <w:tab/>
                              <w:t>期初余额</w:t>
                              <w:tab/>
                              <w:t>本期增加</w:t>
                            </w:r>
                          </w:p>
                        </w:txbxContent>
                      </wps:txbx>
                      <wps:bodyPr wrap="none" lIns="0" tIns="0" rIns="0" bIns="0">
                        <a:noAutoFit/>
                      </wps:bodyPr>
                    </wps:wsp>
                  </a:graphicData>
                </a:graphic>
              </wp:anchor>
            </w:drawing>
          </mc:Choice>
          <mc:Fallback>
            <w:pict>
              <v:shape id="_x0000_s1112" type="#_x0000_t202" style="position:absolute;margin-left:45.399999999999999pt;margin-top:3.pt;width:217.90000000000001pt;height:12.25pt;z-index:-125829361;mso-wrap-distance-left:0;mso-wrap-distance-top:3.pt;mso-wrap-distance-right:0;mso-position-horizontal-relative:page" filled="f" stroked="f">
                <v:textbox inset="0,0,0,0">
                  <w:txbxContent>
                    <w:p>
                      <w:pPr>
                        <w:pStyle w:val="Style28"/>
                        <w:keepNext w:val="0"/>
                        <w:keepLines w:val="0"/>
                        <w:widowControl w:val="0"/>
                        <w:pBdr>
                          <w:top w:val="single" w:sz="4" w:space="0" w:color="D3D3D3"/>
                          <w:left w:val="single" w:sz="4" w:space="0" w:color="D3D3D3"/>
                          <w:bottom w:val="single" w:sz="4" w:space="0" w:color="D3D3D3"/>
                          <w:right w:val="single" w:sz="4" w:space="0" w:color="D3D3D3"/>
                        </w:pBdr>
                        <w:shd w:val="clear" w:color="auto" w:fill="D3D3D3"/>
                        <w:tabs>
                          <w:tab w:pos="1546" w:val="left"/>
                          <w:tab w:pos="3590" w:val="left"/>
                        </w:tabs>
                        <w:bidi w:val="0"/>
                        <w:spacing w:before="0" w:after="0" w:line="240" w:lineRule="auto"/>
                        <w:ind w:left="0" w:right="0" w:firstLine="0"/>
                        <w:jc w:val="left"/>
                      </w:pPr>
                      <w:r>
                        <w:rPr>
                          <w:color w:val="000000"/>
                          <w:spacing w:val="0"/>
                          <w:w w:val="100"/>
                          <w:position w:val="0"/>
                        </w:rPr>
                        <w:t>被投资单位名</w:t>
                        <w:tab/>
                        <w:t>期初余额</w:t>
                        <w:tab/>
                        <w:t>本期增加</w:t>
                      </w:r>
                    </w:p>
                  </w:txbxContent>
                </v:textbox>
                <w10:wrap type="topAndBottom" anchorx="page"/>
              </v:shape>
            </w:pict>
          </mc:Fallback>
        </mc:AlternateContent>
      </w:r>
      <w:r>
        <mc:AlternateContent>
          <mc:Choice Requires="wps">
            <w:drawing>
              <wp:anchor distT="38100" distB="6350" distL="0" distR="0" simplePos="0" relativeHeight="125829394" behindDoc="0" locked="0" layoutInCell="1" allowOverlap="1">
                <wp:simplePos x="0" y="0"/>
                <wp:positionH relativeFrom="page">
                  <wp:posOffset>4599940</wp:posOffset>
                </wp:positionH>
                <wp:positionV relativeFrom="paragraph">
                  <wp:posOffset>38100</wp:posOffset>
                </wp:positionV>
                <wp:extent cx="484505" cy="149225"/>
                <wp:wrapTopAndBottom/>
                <wp:docPr id="88" name="Shape 8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14" type="#_x0000_t202" style="position:absolute;margin-left:362.19999999999999pt;margin-top:3.pt;width:38.149999999999999pt;height:11.75pt;z-index:-125829359;mso-wrap-distance-left:0;mso-wrap-distance-top:3.pt;mso-wrap-distance-right:0;mso-wrap-distance-bottom:0.5pt;mso-position-horizontal-relative:page" filled="f" stroked="f">
                <v:textbox inset="0,0,0,0">
                  <w:txbxContent>
                    <w:p>
                      <w:pPr>
                        <w:pStyle w:val="Style28"/>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6350" distL="0" distR="0" simplePos="0" relativeHeight="125829396" behindDoc="0" locked="0" layoutInCell="1" allowOverlap="1">
                <wp:simplePos x="0" y="0"/>
                <wp:positionH relativeFrom="page">
                  <wp:posOffset>5901690</wp:posOffset>
                </wp:positionH>
                <wp:positionV relativeFrom="paragraph">
                  <wp:posOffset>38100</wp:posOffset>
                </wp:positionV>
                <wp:extent cx="484505" cy="149225"/>
                <wp:wrapTopAndBottom/>
                <wp:docPr id="90" name="Shape 9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116" type="#_x0000_t202" style="position:absolute;margin-left:464.69999999999999pt;margin-top:3.pt;width:38.149999999999999pt;height:11.75pt;z-index:-125829357;mso-wrap-distance-left:0;mso-wrap-distance-top:3.pt;mso-wrap-distance-right:0;mso-wrap-distance-bottom:0.5pt;mso-position-horizontal-relative:page" filled="f" stroked="f">
                <v:textbox inset="0,0,0,0">
                  <w:txbxContent>
                    <w:p>
                      <w:pPr>
                        <w:pStyle w:val="Style28"/>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w:br w:type="page"/>
      </w:r>
    </w:p>
    <w:tbl>
      <w:tblPr>
        <w:tblOverlap w:val="never"/>
        <w:jc w:val="center"/>
        <w:tblLayout w:type="fixed"/>
      </w:tblPr>
      <w:tblGrid>
        <w:gridCol w:w="1373"/>
        <w:gridCol w:w="1368"/>
        <w:gridCol w:w="1363"/>
        <w:gridCol w:w="1368"/>
        <w:gridCol w:w="1368"/>
        <w:gridCol w:w="1368"/>
        <w:gridCol w:w="137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称或形成商誉 的事项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广州华炜科技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189,464,955.35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189,464,955.35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东莞市新铂铢 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174,110.38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174,110.38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中经汇通电子 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463,949,449.39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463,949,449.39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汇通宝支付有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155,712,163.25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155,712,163.25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广州天锐锋信 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672,800.14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672,800.14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深圳市蓝盾满 泰科技发展有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493,586,016.88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493,586,016.88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809,973,478.51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493,586,016.88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1,303,559,495.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bl>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商誉所在资产组或资产组组合的相关信息</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）广州华炜科技有限公司</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资产组的构成：</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年以发行股份及支付现金的方式购买广州华炜科技有限公司（以下简称“华炜科技”） </w:t>
      </w:r>
      <w:r>
        <w:rPr>
          <w:rFonts w:ascii="Times New Roman" w:eastAsia="Times New Roman" w:hAnsi="Times New Roman" w:cs="Times New Roman"/>
          <w:color w:val="000000"/>
          <w:spacing w:val="0"/>
          <w:w w:val="100"/>
          <w:position w:val="0"/>
        </w:rPr>
        <w:t>100.00%</w:t>
      </w:r>
      <w:r>
        <w:rPr>
          <w:color w:val="000000"/>
          <w:spacing w:val="0"/>
          <w:w w:val="100"/>
          <w:position w:val="0"/>
        </w:rPr>
        <w:t>股权时，其中包括对东莞市华炜雷电防护设备有限公司、南京微润科技有限公司、江西华炜电气 技术有限公司</w:t>
      </w:r>
      <w:r>
        <w:rPr>
          <w:rFonts w:ascii="Times New Roman" w:eastAsia="Times New Roman" w:hAnsi="Times New Roman" w:cs="Times New Roman"/>
          <w:color w:val="000000"/>
          <w:spacing w:val="0"/>
          <w:w w:val="100"/>
          <w:position w:val="0"/>
        </w:rPr>
        <w:t>3</w:t>
      </w:r>
      <w:r>
        <w:rPr>
          <w:color w:val="000000"/>
          <w:spacing w:val="0"/>
          <w:w w:val="100"/>
          <w:position w:val="0"/>
        </w:rPr>
        <w:t>家子公司</w:t>
      </w:r>
      <w:r>
        <w:rPr>
          <w:rFonts w:ascii="Times New Roman" w:eastAsia="Times New Roman" w:hAnsi="Times New Roman" w:cs="Times New Roman"/>
          <w:color w:val="000000"/>
          <w:spacing w:val="0"/>
          <w:w w:val="100"/>
          <w:position w:val="0"/>
        </w:rPr>
        <w:t>100%</w:t>
      </w:r>
      <w:r>
        <w:rPr>
          <w:color w:val="000000"/>
          <w:spacing w:val="0"/>
          <w:w w:val="100"/>
          <w:position w:val="0"/>
        </w:rPr>
        <w:t>的股权投资，以及对东莞市新铂铢电子有限公司（以下简称“新铂铢”）</w:t>
      </w:r>
      <w:r>
        <w:rPr>
          <w:rFonts w:ascii="Times New Roman" w:eastAsia="Times New Roman" w:hAnsi="Times New Roman" w:cs="Times New Roman"/>
          <w:color w:val="000000"/>
          <w:spacing w:val="0"/>
          <w:w w:val="100"/>
          <w:position w:val="0"/>
        </w:rPr>
        <w:t xml:space="preserve">68% </w:t>
      </w:r>
      <w:r>
        <w:rPr>
          <w:color w:val="000000"/>
          <w:spacing w:val="0"/>
          <w:w w:val="100"/>
          <w:position w:val="0"/>
        </w:rPr>
        <w:t>的股权投资。因此蓝盾股份并购华炜科技形成的商誉相关的资产组组合应分为两部分，即除新铂铢以外的 华炜科技资产组组合及新铂铢资产组组合。商誉需在不同的资产组组合之间进行分摊。</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根据购买日上述两个资产组组合各自账面公允价值占两个资产组组合总账面公允价值的比例对商誉 进行分摊计算，除新铂铢以外的华炜科技资产组组合对应的商誉为</w:t>
      </w:r>
      <w:r>
        <w:rPr>
          <w:rFonts w:ascii="Times New Roman" w:eastAsia="Times New Roman" w:hAnsi="Times New Roman" w:cs="Times New Roman"/>
          <w:color w:val="000000"/>
          <w:spacing w:val="0"/>
          <w:w w:val="100"/>
          <w:position w:val="0"/>
        </w:rPr>
        <w:t>18,328.69</w:t>
      </w:r>
      <w:r>
        <w:rPr>
          <w:color w:val="000000"/>
          <w:spacing w:val="0"/>
          <w:w w:val="100"/>
          <w:position w:val="0"/>
        </w:rPr>
        <w:t>万元,新铂铢资产组组合的</w:t>
      </w:r>
      <w:r>
        <w:rPr>
          <w:rFonts w:ascii="Times New Roman" w:eastAsia="Times New Roman" w:hAnsi="Times New Roman" w:cs="Times New Roman"/>
          <w:color w:val="000000"/>
          <w:spacing w:val="0"/>
          <w:w w:val="100"/>
          <w:position w:val="0"/>
        </w:rPr>
        <w:t xml:space="preserve">68% </w:t>
      </w:r>
      <w:r>
        <w:rPr>
          <w:color w:val="000000"/>
          <w:spacing w:val="0"/>
          <w:w w:val="100"/>
          <w:position w:val="0"/>
        </w:rPr>
        <w:t>对应的商誉为</w:t>
      </w:r>
      <w:r>
        <w:rPr>
          <w:rFonts w:ascii="Times New Roman" w:eastAsia="Times New Roman" w:hAnsi="Times New Roman" w:cs="Times New Roman"/>
          <w:color w:val="000000"/>
          <w:spacing w:val="0"/>
          <w:w w:val="100"/>
          <w:position w:val="0"/>
        </w:rPr>
        <w:t>617.80</w:t>
      </w:r>
      <w:r>
        <w:rPr>
          <w:color w:val="000000"/>
          <w:spacing w:val="0"/>
          <w:w w:val="100"/>
          <w:position w:val="0"/>
        </w:rPr>
        <w:t>万元，合计商誉为</w:t>
      </w:r>
      <w:r>
        <w:rPr>
          <w:rFonts w:ascii="Times New Roman" w:eastAsia="Times New Roman" w:hAnsi="Times New Roman" w:cs="Times New Roman"/>
          <w:color w:val="000000"/>
          <w:spacing w:val="0"/>
          <w:w w:val="100"/>
          <w:position w:val="0"/>
        </w:rPr>
        <w:t>18,946.50</w:t>
      </w:r>
      <w:r>
        <w:rPr>
          <w:color w:val="000000"/>
          <w:spacing w:val="0"/>
          <w:w w:val="100"/>
          <w:position w:val="0"/>
        </w:rPr>
        <w:t>万元。</w:t>
      </w:r>
    </w:p>
    <w:p>
      <w:pPr>
        <w:pStyle w:val="Style38"/>
        <w:keepNext w:val="0"/>
        <w:keepLines w:val="0"/>
        <w:widowControl w:val="0"/>
        <w:shd w:val="clear" w:color="auto" w:fill="auto"/>
        <w:bidi w:val="0"/>
        <w:spacing w:before="0" w:after="60" w:line="313"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）除新铂铢以外的华炜科技资产组组合</w:t>
      </w:r>
    </w:p>
    <w:p>
      <w:pPr>
        <w:pStyle w:val="Style32"/>
        <w:keepNext w:val="0"/>
        <w:keepLines w:val="0"/>
        <w:widowControl w:val="0"/>
        <w:shd w:val="clear" w:color="auto" w:fill="auto"/>
        <w:bidi w:val="0"/>
        <w:spacing w:before="0" w:after="0" w:line="240" w:lineRule="auto"/>
        <w:ind w:left="7378" w:right="0" w:firstLine="0"/>
        <w:jc w:val="left"/>
      </w:pPr>
      <w:r>
        <w:rPr>
          <w:color w:val="000000"/>
          <w:spacing w:val="0"/>
          <w:w w:val="100"/>
          <w:position w:val="0"/>
        </w:rPr>
        <w:t>单位：万元</w:t>
      </w:r>
    </w:p>
    <w:tbl>
      <w:tblPr>
        <w:tblOverlap w:val="never"/>
        <w:jc w:val="left"/>
        <w:tblLayout w:type="fixed"/>
      </w:tblPr>
      <w:tblGrid>
        <w:gridCol w:w="4949"/>
        <w:gridCol w:w="3106"/>
      </w:tblGrid>
      <w:tr>
        <w:trPr>
          <w:trHeight w:val="6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资产组资产类别</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资产组资产账面价值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5,766.10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1,484.45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7,763.47</w:t>
            </w:r>
          </w:p>
        </w:tc>
      </w:tr>
    </w:tbl>
    <w:p>
      <w:pPr>
        <w:pStyle w:val="Style32"/>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）新铂铢资产组组合</w:t>
      </w:r>
    </w:p>
    <w:p>
      <w:pPr>
        <w:widowControl w:val="0"/>
        <w:spacing w:line="1" w:lineRule="exact"/>
      </w:pPr>
    </w:p>
    <w:tbl>
      <w:tblPr>
        <w:tblOverlap w:val="never"/>
        <w:jc w:val="left"/>
        <w:tblLayout w:type="fixed"/>
      </w:tblPr>
      <w:tblGrid>
        <w:gridCol w:w="4949"/>
        <w:gridCol w:w="3106"/>
      </w:tblGrid>
      <w:tr>
        <w:trPr>
          <w:trHeight w:val="6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840" w:right="0" w:firstLine="0"/>
              <w:jc w:val="left"/>
            </w:pPr>
            <w:r>
              <w:rPr>
                <w:color w:val="000000"/>
                <w:spacing w:val="0"/>
                <w:w w:val="100"/>
                <w:position w:val="0"/>
              </w:rPr>
              <w:t>资产组资产类别</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资产组资产账面价值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358.79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404.52</w:t>
            </w:r>
          </w:p>
        </w:tc>
      </w:tr>
    </w:tbl>
    <w:p>
      <w:pPr>
        <w:widowControl w:val="0"/>
        <w:spacing w:after="79" w:line="1" w:lineRule="exact"/>
      </w:pPr>
    </w:p>
    <w:p>
      <w:pPr>
        <w:pStyle w:val="Style3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)中经汇通电子商务有限公司、汇通宝支付有限责任公司</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资产组的构成：</w:t>
      </w:r>
    </w:p>
    <w:p>
      <w:pPr>
        <w:pStyle w:val="Style3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日，汇通宝支付有限责任公司无下设子公司；中经汇通电子商务有限公司下设</w:t>
      </w:r>
      <w:r>
        <w:rPr>
          <w:rFonts w:ascii="Times New Roman" w:eastAsia="Times New Roman" w:hAnsi="Times New Roman" w:cs="Times New Roman"/>
          <w:color w:val="000000"/>
          <w:spacing w:val="0"/>
          <w:w w:val="100"/>
          <w:position w:val="0"/>
        </w:rPr>
        <w:t>3</w:t>
      </w:r>
      <w:r>
        <w:rPr>
          <w:color w:val="000000"/>
          <w:spacing w:val="0"/>
          <w:w w:val="100"/>
          <w:position w:val="0"/>
        </w:rPr>
        <w:t>家 子公司，分别为福建中经汇通有限责任公司、始兴县都亨加油站有限公司和广州市汇特慧科技有限公司， 这</w:t>
      </w:r>
      <w:r>
        <w:rPr>
          <w:rFonts w:ascii="Times New Roman" w:eastAsia="Times New Roman" w:hAnsi="Times New Roman" w:cs="Times New Roman"/>
          <w:color w:val="000000"/>
          <w:spacing w:val="0"/>
          <w:w w:val="100"/>
          <w:position w:val="0"/>
        </w:rPr>
        <w:t>3</w:t>
      </w:r>
      <w:r>
        <w:rPr>
          <w:color w:val="000000"/>
          <w:spacing w:val="0"/>
          <w:w w:val="100"/>
          <w:position w:val="0"/>
        </w:rPr>
        <w:t>家子公司均为蓝盾股份并购中经电商和汇通宝后新设成立的。经公司管理层确定，福建中经汇通有限 责任公司经营的业务与中经电商业务相似，属于蓝盾股份并购中经电商和汇通宝形成的商誉所涉及的相关 经营业务，具有协同效应，即属于蓝盾股份并购中经电商和汇通宝形成的商誉所涉及的相关资产组组合； 始兴县都亨加油站有限公司于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日成立，目前仅有少量费用支出，尚未开始经营。且其经营范围 为零售：汽油、柴油、煤油。与商誉相关业务有明显差别，因此其不属于商誉所在资产组组合所处企业； 广州市汇特慧科技有限公司是中经汇通于</w:t>
      </w:r>
      <w:r>
        <w:rPr>
          <w:rFonts w:ascii="Times New Roman" w:eastAsia="Times New Roman" w:hAnsi="Times New Roman" w:cs="Times New Roman"/>
          <w:color w:val="000000"/>
          <w:spacing w:val="0"/>
          <w:w w:val="100"/>
          <w:position w:val="0"/>
        </w:rPr>
        <w:t>2019</w:t>
      </w:r>
      <w:r>
        <w:rPr>
          <w:color w:val="000000"/>
          <w:spacing w:val="0"/>
          <w:w w:val="100"/>
          <w:position w:val="0"/>
        </w:rPr>
        <w:t>年全资收购的企业，为中经汇通研发大数据管理平台，目前 平台仍在规划中，尚未完成开发，后续将为中经汇通业务提供数据管理、分析及应用支撑。截止评估基准 日，该公司账面尚无记录有资产负债以及经营损益，尚处于规划中，因此其不属于商誉所在资产组组合所 处企业。</w:t>
      </w:r>
    </w:p>
    <w:p>
      <w:pPr>
        <w:pStyle w:val="Style3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由于中经电商和汇通宝的经营活动的管理相对统一，并且经营决策权相对集中，对于蓝盾股份而言， 上述公司同属一个报告分部。</w:t>
      </w:r>
    </w:p>
    <w:p>
      <w:pPr>
        <w:pStyle w:val="Style3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综上所述，中经电商及其三家下属子公司和汇通宝具有协同效应，故将上述公司相关的经营性长期资 产合并为商誉所在资产组组合。</w:t>
      </w:r>
    </w:p>
    <w:p>
      <w:pPr>
        <w:pStyle w:val="Style38"/>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报告期内的资产组与购买日所确定的资产组一致，具体明细如下：</w:t>
      </w:r>
    </w:p>
    <w:p>
      <w:pPr>
        <w:pStyle w:val="Style32"/>
        <w:keepNext w:val="0"/>
        <w:keepLines w:val="0"/>
        <w:widowControl w:val="0"/>
        <w:shd w:val="clear" w:color="auto" w:fill="auto"/>
        <w:bidi w:val="0"/>
        <w:spacing w:before="0" w:after="0" w:line="240" w:lineRule="auto"/>
        <w:ind w:left="7378" w:right="0" w:firstLine="0"/>
        <w:jc w:val="left"/>
      </w:pPr>
      <w:r>
        <w:rPr>
          <w:color w:val="000000"/>
          <w:spacing w:val="0"/>
          <w:w w:val="100"/>
          <w:position w:val="0"/>
        </w:rPr>
        <w:t>单位：万元</w:t>
      </w:r>
    </w:p>
    <w:tbl>
      <w:tblPr>
        <w:tblOverlap w:val="never"/>
        <w:jc w:val="left"/>
        <w:tblLayout w:type="fixed"/>
      </w:tblPr>
      <w:tblGrid>
        <w:gridCol w:w="4949"/>
        <w:gridCol w:w="3106"/>
      </w:tblGrid>
      <w:tr>
        <w:trPr>
          <w:trHeight w:val="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840" w:right="0" w:firstLine="0"/>
              <w:jc w:val="left"/>
            </w:pPr>
            <w:r>
              <w:rPr>
                <w:color w:val="000000"/>
                <w:spacing w:val="0"/>
                <w:w w:val="100"/>
                <w:position w:val="0"/>
              </w:rPr>
              <w:t>资产组资产类别</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资产组资产账面价值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17,782.52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6,948.59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303.80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14,101.79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39,136.70</w:t>
            </w:r>
          </w:p>
        </w:tc>
      </w:tr>
    </w:tbl>
    <w:p>
      <w:pPr>
        <w:widowControl w:val="0"/>
        <w:spacing w:after="79" w:line="1" w:lineRule="exact"/>
      </w:pPr>
    </w:p>
    <w:p>
      <w:pPr>
        <w:pStyle w:val="Style38"/>
        <w:keepNext w:val="0"/>
        <w:keepLines w:val="0"/>
        <w:widowControl w:val="0"/>
        <w:numPr>
          <w:ilvl w:val="0"/>
          <w:numId w:val="93"/>
        </w:numPr>
        <w:shd w:val="clear" w:color="auto" w:fill="auto"/>
        <w:bidi w:val="0"/>
        <w:spacing w:before="0" w:after="0" w:line="314" w:lineRule="exact"/>
        <w:ind w:left="0" w:right="0" w:firstLine="440"/>
        <w:jc w:val="left"/>
      </w:pPr>
      <w:bookmarkStart w:id="1462" w:name="bookmark1462"/>
      <w:bookmarkEnd w:id="1462"/>
      <w:r>
        <w:rPr>
          <w:color w:val="000000"/>
          <w:spacing w:val="0"/>
          <w:w w:val="100"/>
          <w:position w:val="0"/>
        </w:rPr>
        <w:t>深圳市蓝盾满泰科技发展有限公司</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资产组的构成：</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日，深圳市蓝盾满泰科技发展有限公司下设一家子公司，为广州市满泰信息科技有 限公司，该子公司系蓝盾股份并购深圳满泰后新设成立的，其经营业务均属于蓝盾股份收购深圳满泰形成 的商誉所涉及的相关经营业务；同时，公司对其实施一体化管理。对于蓝盾股份而言，上述公司同属一个 报告分部。因此，本次商誉减值测试以合并口径相关的经营性长期资产纳入商誉相关的资产组组合，对于 其经营收益采用合并口径进行预测。</w:t>
      </w:r>
    </w:p>
    <w:p>
      <w:pPr>
        <w:pStyle w:val="Style38"/>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报告期内的资产组与购买日所确定的资产组一致，具体明细如下：</w:t>
      </w:r>
    </w:p>
    <w:p>
      <w:pPr>
        <w:pStyle w:val="Style28"/>
        <w:keepNext w:val="0"/>
        <w:keepLines w:val="0"/>
        <w:widowControl w:val="0"/>
        <w:shd w:val="clear" w:color="auto" w:fill="auto"/>
        <w:bidi w:val="0"/>
        <w:spacing w:before="0" w:after="80" w:line="240" w:lineRule="auto"/>
        <w:ind w:left="0" w:right="1440" w:firstLine="0"/>
        <w:jc w:val="right"/>
      </w:pPr>
      <w:r>
        <w:rPr>
          <w:color w:val="000000"/>
          <w:spacing w:val="0"/>
          <w:w w:val="100"/>
          <w:position w:val="0"/>
        </w:rPr>
        <w:t>单位：万元</w:t>
      </w:r>
    </w:p>
    <w:tbl>
      <w:tblPr>
        <w:tblOverlap w:val="never"/>
        <w:jc w:val="left"/>
        <w:tblLayout w:type="fixed"/>
      </w:tblPr>
      <w:tblGrid>
        <w:gridCol w:w="5093"/>
        <w:gridCol w:w="3144"/>
      </w:tblGrid>
      <w:tr>
        <w:trPr>
          <w:trHeight w:val="6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资产组资产类别</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资产组资产账面价值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11,362.33</w:t>
            </w:r>
          </w:p>
        </w:tc>
      </w:tr>
    </w:tbl>
    <w:p>
      <w:pPr>
        <w:widowControl w:val="0"/>
        <w:spacing w:after="279" w:line="1" w:lineRule="exact"/>
      </w:pPr>
    </w:p>
    <w:p>
      <w:pPr>
        <w:pStyle w:val="Style28"/>
        <w:keepNext w:val="0"/>
        <w:keepLines w:val="0"/>
        <w:widowControl w:val="0"/>
        <w:shd w:val="clear" w:color="auto" w:fill="auto"/>
        <w:bidi w:val="0"/>
        <w:spacing w:before="0" w:after="6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）广州华炜科技有限公司</w:t>
      </w:r>
    </w:p>
    <w:p>
      <w:pPr>
        <w:pStyle w:val="Style38"/>
        <w:keepNext w:val="0"/>
        <w:keepLines w:val="0"/>
        <w:widowControl w:val="0"/>
        <w:numPr>
          <w:ilvl w:val="0"/>
          <w:numId w:val="95"/>
        </w:numPr>
        <w:shd w:val="clear" w:color="auto" w:fill="auto"/>
        <w:tabs>
          <w:tab w:pos="815" w:val="left"/>
        </w:tabs>
        <w:bidi w:val="0"/>
        <w:spacing w:before="0" w:after="0" w:line="312" w:lineRule="exact"/>
        <w:ind w:left="0" w:right="0" w:firstLine="440"/>
        <w:jc w:val="both"/>
      </w:pPr>
      <w:bookmarkStart w:id="1463" w:name="bookmark1463"/>
      <w:bookmarkEnd w:id="1463"/>
      <w:r>
        <w:rPr>
          <w:color w:val="000000"/>
          <w:spacing w:val="0"/>
          <w:w w:val="100"/>
          <w:position w:val="0"/>
        </w:rPr>
        <w:t>商誉所在资产组组合的未来预期收益及收益实现时点</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预期收益采用资产组组合现金流量口径预测，实现收益的时点按年中折算。根据《企业会计准则第</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w:t>
      </w:r>
      <w:r>
        <w:rPr>
          <w:color w:val="000000"/>
          <w:spacing w:val="0"/>
          <w:w w:val="100"/>
          <w:position w:val="0"/>
        </w:rPr>
        <w:t>一</w:t>
      </w:r>
      <w:r>
        <w:rPr>
          <w:color w:val="000000"/>
          <w:spacing w:val="0"/>
          <w:w w:val="100"/>
          <w:position w:val="0"/>
        </w:rPr>
        <w:t>资产减值》（</w:t>
      </w:r>
      <w:r>
        <w:rPr>
          <w:rFonts w:ascii="Times New Roman" w:eastAsia="Times New Roman" w:hAnsi="Times New Roman" w:cs="Times New Roman"/>
          <w:color w:val="000000"/>
          <w:spacing w:val="0"/>
          <w:w w:val="100"/>
          <w:position w:val="0"/>
        </w:rPr>
        <w:t>2006</w:t>
      </w:r>
      <w:r>
        <w:rPr>
          <w:color w:val="000000"/>
          <w:spacing w:val="0"/>
          <w:w w:val="100"/>
          <w:position w:val="0"/>
        </w:rPr>
        <w:t>）第十二条，商誉所在资产组或资产组组合产生的未来现金流量不考虑筹资活动 的现金流入或流出以及与所得税收付有关的现金流量，则：</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息税前现金净流量</w:t>
      </w:r>
      <w:r>
        <w:rPr>
          <w:rFonts w:ascii="Times New Roman" w:eastAsia="Times New Roman" w:hAnsi="Times New Roman" w:cs="Times New Roman"/>
          <w:color w:val="000000"/>
          <w:spacing w:val="0"/>
          <w:w w:val="100"/>
          <w:position w:val="0"/>
        </w:rPr>
        <w:t>=</w:t>
      </w:r>
      <w:r>
        <w:rPr>
          <w:color w:val="000000"/>
          <w:spacing w:val="0"/>
          <w:w w:val="100"/>
          <w:position w:val="0"/>
        </w:rPr>
        <w:t>息税前利润</w:t>
      </w:r>
      <w:r>
        <w:rPr>
          <w:rFonts w:ascii="Times New Roman" w:eastAsia="Times New Roman" w:hAnsi="Times New Roman" w:cs="Times New Roman"/>
          <w:color w:val="000000"/>
          <w:spacing w:val="0"/>
          <w:w w:val="100"/>
          <w:position w:val="0"/>
        </w:rPr>
        <w:t>+</w:t>
      </w:r>
      <w:r>
        <w:rPr>
          <w:color w:val="000000"/>
          <w:spacing w:val="0"/>
          <w:w w:val="100"/>
          <w:position w:val="0"/>
        </w:rPr>
        <w:t>折旧与摊销一营运资金增加额一资本性支出</w:t>
      </w:r>
    </w:p>
    <w:p>
      <w:pPr>
        <w:pStyle w:val="Style38"/>
        <w:keepNext w:val="0"/>
        <w:keepLines w:val="0"/>
        <w:widowControl w:val="0"/>
        <w:numPr>
          <w:ilvl w:val="0"/>
          <w:numId w:val="95"/>
        </w:numPr>
        <w:shd w:val="clear" w:color="auto" w:fill="auto"/>
        <w:tabs>
          <w:tab w:pos="820" w:val="left"/>
        </w:tabs>
        <w:bidi w:val="0"/>
        <w:spacing w:before="0" w:after="0" w:line="312" w:lineRule="exact"/>
        <w:ind w:left="0" w:right="0" w:firstLine="440"/>
        <w:jc w:val="both"/>
      </w:pPr>
      <w:bookmarkStart w:id="1464" w:name="bookmark1464"/>
      <w:bookmarkEnd w:id="1464"/>
      <w:r>
        <w:rPr>
          <w:color w:val="000000"/>
          <w:spacing w:val="0"/>
          <w:w w:val="100"/>
          <w:position w:val="0"/>
        </w:rPr>
        <w:t>商誉所在资产组组合预期收益的持续时间</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国家有关法律法规未对企业的经营期限有所限制，本次评估设定在正常情况下，资产组组合将一直持 续经营，因此，商誉所在资产组组合预期收益按永续经营计算。其中，第一阶段为</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年，在此 阶段根据被评估对象的经营情况及经营计划，收益状况处于变化中；第二阶段自</w:t>
      </w:r>
      <w:r>
        <w:rPr>
          <w:rFonts w:ascii="Times New Roman" w:eastAsia="Times New Roman" w:hAnsi="Times New Roman" w:cs="Times New Roman"/>
          <w:color w:val="000000"/>
          <w:spacing w:val="0"/>
          <w:w w:val="100"/>
          <w:position w:val="0"/>
        </w:rPr>
        <w:t>2025</w:t>
      </w:r>
      <w:r>
        <w:rPr>
          <w:color w:val="000000"/>
          <w:spacing w:val="0"/>
          <w:w w:val="100"/>
          <w:position w:val="0"/>
        </w:rPr>
        <w:t>年起为永续经营，在 此阶段被评估对象将保持稳定的盈利水平。</w:t>
      </w:r>
    </w:p>
    <w:p>
      <w:pPr>
        <w:pStyle w:val="Style38"/>
        <w:keepNext w:val="0"/>
        <w:keepLines w:val="0"/>
        <w:widowControl w:val="0"/>
        <w:numPr>
          <w:ilvl w:val="0"/>
          <w:numId w:val="95"/>
        </w:numPr>
        <w:shd w:val="clear" w:color="auto" w:fill="auto"/>
        <w:tabs>
          <w:tab w:pos="798" w:val="left"/>
        </w:tabs>
        <w:bidi w:val="0"/>
        <w:spacing w:before="0" w:after="0" w:line="312" w:lineRule="exact"/>
        <w:ind w:left="0" w:right="0" w:firstLine="440"/>
        <w:jc w:val="both"/>
      </w:pPr>
      <w:bookmarkStart w:id="1465" w:name="bookmark1465"/>
      <w:bookmarkEnd w:id="1465"/>
      <w:r>
        <w:rPr>
          <w:color w:val="000000"/>
          <w:spacing w:val="0"/>
          <w:w w:val="100"/>
          <w:position w:val="0"/>
        </w:rPr>
        <w:t>根据企业加权资金成本考虑与资产预计现金流有关的特定风险作适当调整后，确定的除新铂铢以外 的华炜科技资产组组合计算预计未来现金流量现值的税前折现率为</w:t>
      </w:r>
      <w:r>
        <w:rPr>
          <w:rFonts w:ascii="Times New Roman" w:eastAsia="Times New Roman" w:hAnsi="Times New Roman" w:cs="Times New Roman"/>
          <w:color w:val="000000"/>
          <w:spacing w:val="0"/>
          <w:w w:val="100"/>
          <w:position w:val="0"/>
        </w:rPr>
        <w:t>14.63%</w:t>
      </w:r>
      <w:r>
        <w:rPr>
          <w:color w:val="000000"/>
          <w:spacing w:val="0"/>
          <w:w w:val="100"/>
          <w:position w:val="0"/>
        </w:rPr>
        <w:t>,新铂铢资产组组合计算预计未 来现金流量现值的税前折现率为</w:t>
      </w:r>
      <w:r>
        <w:rPr>
          <w:rFonts w:ascii="Times New Roman" w:eastAsia="Times New Roman" w:hAnsi="Times New Roman" w:cs="Times New Roman"/>
          <w:color w:val="000000"/>
          <w:spacing w:val="0"/>
          <w:w w:val="100"/>
          <w:position w:val="0"/>
        </w:rPr>
        <w:t>14.63%</w:t>
      </w:r>
      <w:r>
        <w:rPr>
          <w:color w:val="000000"/>
          <w:spacing w:val="0"/>
          <w:w w:val="100"/>
          <w:position w:val="0"/>
        </w:rPr>
        <w:t>。</w:t>
      </w:r>
    </w:p>
    <w:p>
      <w:pPr>
        <w:pStyle w:val="Style38"/>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减值测试中采用的其他关键数据包括：产品预计售价、销量、采购成本及其他相关费用，公司根据历 史经验及对市场发展的预测确定上述关键数据。公司聘请了具有证券资格的资产评估机构广东中广信资产 评估有限公司对上述包含商誉的资产组进行了评估，并出具了中广信评报字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098</w:t>
      </w:r>
      <w:r>
        <w:rPr>
          <w:color w:val="000000"/>
          <w:spacing w:val="0"/>
          <w:w w:val="100"/>
          <w:position w:val="0"/>
        </w:rPr>
        <w:t>号评估报告。</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商誉减值测试结果如下：</w:t>
      </w:r>
      <w:r>
        <w:rPr>
          <w:color w:val="000000"/>
          <w:spacing w:val="0"/>
          <w:w w:val="100"/>
          <w:position w:val="0"/>
        </w:rPr>
        <w:t>单位：万元</w:t>
      </w:r>
    </w:p>
    <w:tbl>
      <w:tblPr>
        <w:tblOverlap w:val="never"/>
        <w:jc w:val="left"/>
        <w:tblLayout w:type="fixed"/>
      </w:tblPr>
      <w:tblGrid>
        <w:gridCol w:w="4541"/>
        <w:gridCol w:w="1944"/>
        <w:gridCol w:w="1824"/>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华炜科技资产组组合（除 新铂铢以外）</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新铂铢资产组组合</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13,142.11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617.80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290.73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商誉整体价值（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13,142.11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908.53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404.52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20,905.59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资产组预计未来现金流量的现值（可收回金额）（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经测试，广州华炜科技有限公司资产组（不含新铂铢）发生商誉减值</w:t>
      </w:r>
      <w:r>
        <w:rPr>
          <w:rFonts w:ascii="Times New Roman" w:eastAsia="Times New Roman" w:hAnsi="Times New Roman" w:cs="Times New Roman"/>
          <w:color w:val="000000"/>
          <w:spacing w:val="0"/>
          <w:w w:val="100"/>
          <w:position w:val="0"/>
        </w:rPr>
        <w:t>13,145.59</w:t>
      </w:r>
      <w:r>
        <w:rPr>
          <w:color w:val="000000"/>
          <w:spacing w:val="0"/>
          <w:w w:val="100"/>
          <w:position w:val="0"/>
        </w:rPr>
        <w:t>万元。</w:t>
      </w:r>
    </w:p>
    <w:p>
      <w:pPr>
        <w:pStyle w:val="Style38"/>
        <w:keepNext w:val="0"/>
        <w:keepLines w:val="0"/>
        <w:widowControl w:val="0"/>
        <w:shd w:val="clear" w:color="auto" w:fill="auto"/>
        <w:bidi w:val="0"/>
        <w:spacing w:before="0" w:after="0" w:line="317" w:lineRule="exact"/>
        <w:ind w:left="4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）中经汇通电子商务有限公司、汇通宝支付有限责任公司 ①商誉所在资产组组合的未来预期收益及收益实现时点</w:t>
      </w:r>
    </w:p>
    <w:p>
      <w:pPr>
        <w:pStyle w:val="Style38"/>
        <w:keepNext w:val="0"/>
        <w:keepLines w:val="0"/>
        <w:widowControl w:val="0"/>
        <w:shd w:val="clear" w:color="auto" w:fill="auto"/>
        <w:bidi w:val="0"/>
        <w:spacing w:before="0" w:after="60" w:line="317" w:lineRule="exact"/>
        <w:ind w:left="0" w:right="0" w:firstLine="440"/>
        <w:jc w:val="both"/>
      </w:pPr>
      <w:r>
        <w:rPr>
          <w:color w:val="000000"/>
          <w:spacing w:val="0"/>
          <w:w w:val="100"/>
          <w:position w:val="0"/>
        </w:rPr>
        <w:t>预期收益采用资产组组合现金流量口径预测，实现收益的时点按年中折算。根据《企业会计准则第</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w:t>
      </w:r>
      <w:r>
        <w:rPr>
          <w:color w:val="000000"/>
          <w:spacing w:val="0"/>
          <w:w w:val="100"/>
          <w:position w:val="0"/>
        </w:rPr>
        <w:t>一</w:t>
      </w:r>
      <w:r>
        <w:rPr>
          <w:color w:val="000000"/>
          <w:spacing w:val="0"/>
          <w:w w:val="100"/>
          <w:position w:val="0"/>
        </w:rPr>
        <w:t>资产减值》（</w:t>
      </w:r>
      <w:r>
        <w:rPr>
          <w:rFonts w:ascii="Times New Roman" w:eastAsia="Times New Roman" w:hAnsi="Times New Roman" w:cs="Times New Roman"/>
          <w:color w:val="000000"/>
          <w:spacing w:val="0"/>
          <w:w w:val="100"/>
          <w:position w:val="0"/>
        </w:rPr>
        <w:t>2006</w:t>
      </w:r>
      <w:r>
        <w:rPr>
          <w:color w:val="000000"/>
          <w:spacing w:val="0"/>
          <w:w w:val="100"/>
          <w:position w:val="0"/>
        </w:rPr>
        <w:t>）第十二条，商誉所在资产组或资产组组合产生的未来现金流量不考虑筹资活动 的现金流入或流出以及与所得税收付有关的现金流量，则：</w:t>
      </w:r>
    </w:p>
    <w:p>
      <w:pPr>
        <w:pStyle w:val="Style38"/>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息税前现金净流量</w:t>
      </w:r>
      <w:r>
        <w:rPr>
          <w:rFonts w:ascii="Times New Roman" w:eastAsia="Times New Roman" w:hAnsi="Times New Roman" w:cs="Times New Roman"/>
          <w:color w:val="000000"/>
          <w:spacing w:val="0"/>
          <w:w w:val="100"/>
          <w:position w:val="0"/>
        </w:rPr>
        <w:t>=</w:t>
      </w:r>
      <w:r>
        <w:rPr>
          <w:color w:val="000000"/>
          <w:spacing w:val="0"/>
          <w:w w:val="100"/>
          <w:position w:val="0"/>
        </w:rPr>
        <w:t>息税前利润</w:t>
      </w:r>
      <w:r>
        <w:rPr>
          <w:rFonts w:ascii="Times New Roman" w:eastAsia="Times New Roman" w:hAnsi="Times New Roman" w:cs="Times New Roman"/>
          <w:color w:val="000000"/>
          <w:spacing w:val="0"/>
          <w:w w:val="100"/>
          <w:position w:val="0"/>
        </w:rPr>
        <w:t>+</w:t>
      </w:r>
      <w:r>
        <w:rPr>
          <w:color w:val="000000"/>
          <w:spacing w:val="0"/>
          <w:w w:val="100"/>
          <w:position w:val="0"/>
        </w:rPr>
        <w:t>折旧与摊销一营运资金增加额一资本性支出</w:t>
      </w:r>
    </w:p>
    <w:p>
      <w:pPr>
        <w:pStyle w:val="Style38"/>
        <w:keepNext w:val="0"/>
        <w:keepLines w:val="0"/>
        <w:widowControl w:val="0"/>
        <w:numPr>
          <w:ilvl w:val="0"/>
          <w:numId w:val="97"/>
        </w:numPr>
        <w:shd w:val="clear" w:color="auto" w:fill="auto"/>
        <w:tabs>
          <w:tab w:pos="822" w:val="left"/>
        </w:tabs>
        <w:bidi w:val="0"/>
        <w:spacing w:before="0" w:after="0" w:line="310" w:lineRule="exact"/>
        <w:ind w:left="0" w:right="0" w:firstLine="440"/>
        <w:jc w:val="left"/>
      </w:pPr>
      <w:bookmarkStart w:id="1466" w:name="bookmark1466"/>
      <w:bookmarkEnd w:id="1466"/>
      <w:r>
        <w:rPr>
          <w:color w:val="000000"/>
          <w:spacing w:val="0"/>
          <w:w w:val="100"/>
          <w:position w:val="0"/>
        </w:rPr>
        <w:t>商誉所在资产组组合预期收益的持续时间</w:t>
      </w:r>
    </w:p>
    <w:p>
      <w:pPr>
        <w:pStyle w:val="Style3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国家有关法律法规未对企业的经营期限有所限制，本次评估设定在正常情况下，资产组组合将一直持 续经营，因此，商誉所在资产组组合预期收益按永续经营计算。其中，第一阶段为</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年，在此 阶段根据被评估对象的经营情况及经营计划，收益状况处于变化中；第二阶段自</w:t>
      </w:r>
      <w:r>
        <w:rPr>
          <w:rFonts w:ascii="Times New Roman" w:eastAsia="Times New Roman" w:hAnsi="Times New Roman" w:cs="Times New Roman"/>
          <w:color w:val="000000"/>
          <w:spacing w:val="0"/>
          <w:w w:val="100"/>
          <w:position w:val="0"/>
        </w:rPr>
        <w:t>2025</w:t>
      </w:r>
      <w:r>
        <w:rPr>
          <w:color w:val="000000"/>
          <w:spacing w:val="0"/>
          <w:w w:val="100"/>
          <w:position w:val="0"/>
        </w:rPr>
        <w:t>年起为永续经营，在 此阶段被评估对象将保持稳定的盈利水平。</w:t>
      </w:r>
    </w:p>
    <w:p>
      <w:pPr>
        <w:pStyle w:val="Style38"/>
        <w:keepNext w:val="0"/>
        <w:keepLines w:val="0"/>
        <w:widowControl w:val="0"/>
        <w:numPr>
          <w:ilvl w:val="0"/>
          <w:numId w:val="97"/>
        </w:numPr>
        <w:shd w:val="clear" w:color="auto" w:fill="auto"/>
        <w:tabs>
          <w:tab w:pos="800" w:val="left"/>
        </w:tabs>
        <w:bidi w:val="0"/>
        <w:spacing w:before="0" w:after="0" w:line="310" w:lineRule="exact"/>
        <w:ind w:left="0" w:right="0" w:firstLine="440"/>
        <w:jc w:val="both"/>
      </w:pPr>
      <w:bookmarkStart w:id="1467" w:name="bookmark1467"/>
      <w:bookmarkEnd w:id="1467"/>
      <w:r>
        <w:rPr>
          <w:color w:val="000000"/>
          <w:spacing w:val="0"/>
          <w:w w:val="100"/>
          <w:position w:val="0"/>
        </w:rPr>
        <w:t>根据企业加权资金成本考虑与资产预计现金流有关的特定风险作适当调整后确定的计算预计未来 现金流量现值的税前折现率为</w:t>
      </w:r>
      <w:r>
        <w:rPr>
          <w:rFonts w:ascii="Times New Roman" w:eastAsia="Times New Roman" w:hAnsi="Times New Roman" w:cs="Times New Roman"/>
          <w:color w:val="000000"/>
          <w:spacing w:val="0"/>
          <w:w w:val="100"/>
          <w:position w:val="0"/>
        </w:rPr>
        <w:t>14.32%</w:t>
      </w:r>
      <w:r>
        <w:rPr>
          <w:color w:val="000000"/>
          <w:spacing w:val="0"/>
          <w:w w:val="100"/>
          <w:position w:val="0"/>
        </w:rPr>
        <w:t>。</w:t>
      </w:r>
    </w:p>
    <w:p>
      <w:pPr>
        <w:pStyle w:val="Style38"/>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减值测试中采用的其他关键数据包括：产品预计售价、销量、采购成本及其他相关费用，公司根据历 史经验及对市场发展的预测确定上述关键数据。公司聘请了具有证券资格的资产评估机构万隆（上海）资 产评估有限公司对上述包含商誉的资产组进行了评估，并出具了万隆评报字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10207</w:t>
      </w:r>
      <w:r>
        <w:rPr>
          <w:color w:val="000000"/>
          <w:spacing w:val="0"/>
          <w:w w:val="100"/>
          <w:position w:val="0"/>
        </w:rPr>
        <w:t>号评估报告。</w:t>
      </w:r>
    </w:p>
    <w:p>
      <w:pPr>
        <w:pStyle w:val="Style32"/>
        <w:keepNext w:val="0"/>
        <w:keepLines w:val="0"/>
        <w:widowControl w:val="0"/>
        <w:shd w:val="clear" w:color="auto" w:fill="auto"/>
        <w:bidi w:val="0"/>
        <w:spacing w:before="0" w:after="0" w:line="240" w:lineRule="auto"/>
        <w:ind w:left="413" w:right="0" w:firstLine="0"/>
        <w:jc w:val="left"/>
      </w:pPr>
      <w:r>
        <w:rPr>
          <w:color w:val="000000"/>
          <w:spacing w:val="0"/>
          <w:w w:val="100"/>
          <w:position w:val="0"/>
          <w:sz w:val="20"/>
          <w:szCs w:val="20"/>
        </w:rPr>
        <w:t>商誉减值测试结果如下：</w:t>
      </w:r>
      <w:r>
        <w:rPr>
          <w:color w:val="000000"/>
          <w:spacing w:val="0"/>
          <w:w w:val="100"/>
          <w:position w:val="0"/>
        </w:rPr>
        <w:t>单位：万元</w:t>
      </w:r>
    </w:p>
    <w:tbl>
      <w:tblPr>
        <w:tblOverlap w:val="never"/>
        <w:jc w:val="center"/>
        <w:tblLayout w:type="fixed"/>
      </w:tblPr>
      <w:tblGrid>
        <w:gridCol w:w="4954"/>
        <w:gridCol w:w="3288"/>
      </w:tblGrid>
      <w:tr>
        <w:trPr>
          <w:trHeight w:val="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228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61,966.16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商誉整体价值（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61,966.16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39,136.70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101,102.86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资产组预计未来现金流量的现值（可收回金额）（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38,991.64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-62,111.22</w:t>
            </w:r>
          </w:p>
        </w:tc>
      </w:tr>
    </w:tbl>
    <w:p>
      <w:pPr>
        <w:pStyle w:val="Style3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经测算，中经汇通电子商务有限公司、汇通宝支付有限责任公司资产组发生商誉减值</w:t>
      </w:r>
      <w:r>
        <w:rPr>
          <w:rFonts w:ascii="Times New Roman" w:eastAsia="Times New Roman" w:hAnsi="Times New Roman" w:cs="Times New Roman"/>
          <w:color w:val="000000"/>
          <w:spacing w:val="0"/>
          <w:w w:val="100"/>
          <w:position w:val="0"/>
          <w:sz w:val="20"/>
          <w:szCs w:val="20"/>
        </w:rPr>
        <w:t>62,111.22</w:t>
      </w:r>
      <w:r>
        <w:rPr>
          <w:color w:val="000000"/>
          <w:spacing w:val="0"/>
          <w:w w:val="100"/>
          <w:position w:val="0"/>
          <w:sz w:val="20"/>
          <w:szCs w:val="20"/>
        </w:rPr>
        <w:t>万元。</w:t>
      </w:r>
    </w:p>
    <w:p>
      <w:pPr>
        <w:widowControl w:val="0"/>
        <w:spacing w:after="339" w:line="1" w:lineRule="exact"/>
      </w:pPr>
    </w:p>
    <w:p>
      <w:pPr>
        <w:pStyle w:val="Style38"/>
        <w:keepNext w:val="0"/>
        <w:keepLines w:val="0"/>
        <w:widowControl w:val="0"/>
        <w:shd w:val="clear" w:color="auto" w:fill="auto"/>
        <w:bidi w:val="0"/>
        <w:spacing w:before="0" w:after="40" w:line="315" w:lineRule="exact"/>
        <w:ind w:left="0" w:right="0" w:firstLine="320"/>
        <w:jc w:val="left"/>
      </w:pPr>
      <w:bookmarkStart w:id="1468" w:name="bookmark1468"/>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）深圳市蓝盾满泰科技发展有限公司</w:t>
      </w:r>
    </w:p>
    <w:p>
      <w:pPr>
        <w:pStyle w:val="Style38"/>
        <w:keepNext w:val="0"/>
        <w:keepLines w:val="0"/>
        <w:widowControl w:val="0"/>
        <w:numPr>
          <w:ilvl w:val="0"/>
          <w:numId w:val="99"/>
        </w:numPr>
        <w:shd w:val="clear" w:color="auto" w:fill="auto"/>
        <w:tabs>
          <w:tab w:pos="817" w:val="left"/>
        </w:tabs>
        <w:bidi w:val="0"/>
        <w:spacing w:before="0" w:after="0" w:line="315" w:lineRule="exact"/>
        <w:ind w:left="0" w:right="0" w:firstLine="440"/>
        <w:jc w:val="left"/>
      </w:pPr>
      <w:bookmarkStart w:id="1469" w:name="bookmark1469"/>
      <w:bookmarkEnd w:id="1469"/>
      <w:r>
        <w:rPr>
          <w:color w:val="000000"/>
          <w:spacing w:val="0"/>
          <w:w w:val="100"/>
          <w:position w:val="0"/>
        </w:rPr>
        <w:t>商誉所在资产组组合的未来预期收益及收益实现时点</w:t>
      </w:r>
    </w:p>
    <w:p>
      <w:pPr>
        <w:pStyle w:val="Style38"/>
        <w:keepNext w:val="0"/>
        <w:keepLines w:val="0"/>
        <w:widowControl w:val="0"/>
        <w:shd w:val="clear" w:color="auto" w:fill="auto"/>
        <w:bidi w:val="0"/>
        <w:spacing w:before="0" w:after="0" w:line="319" w:lineRule="exact"/>
        <w:ind w:left="0" w:right="0" w:firstLine="440"/>
        <w:jc w:val="left"/>
      </w:pPr>
      <w:r>
        <w:rPr>
          <w:color w:val="000000"/>
          <w:spacing w:val="0"/>
          <w:w w:val="100"/>
          <w:position w:val="0"/>
        </w:rPr>
        <w:t>预期收益采用资产组组合现金流量口径预测，实现收益的时点按年中折算。根据《企业会计准则第</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w:t>
      </w:r>
      <w:r>
        <w:rPr>
          <w:color w:val="000000"/>
          <w:spacing w:val="0"/>
          <w:w w:val="100"/>
          <w:position w:val="0"/>
        </w:rPr>
        <w:t>一</w:t>
      </w:r>
      <w:r>
        <w:rPr>
          <w:color w:val="000000"/>
          <w:spacing w:val="0"/>
          <w:w w:val="100"/>
          <w:position w:val="0"/>
        </w:rPr>
        <w:t>资产减值》（</w:t>
      </w:r>
      <w:r>
        <w:rPr>
          <w:rFonts w:ascii="Times New Roman" w:eastAsia="Times New Roman" w:hAnsi="Times New Roman" w:cs="Times New Roman"/>
          <w:color w:val="000000"/>
          <w:spacing w:val="0"/>
          <w:w w:val="100"/>
          <w:position w:val="0"/>
        </w:rPr>
        <w:t>2006</w:t>
      </w:r>
      <w:r>
        <w:rPr>
          <w:color w:val="000000"/>
          <w:spacing w:val="0"/>
          <w:w w:val="100"/>
          <w:position w:val="0"/>
        </w:rPr>
        <w:t>）第十二条，商誉所在资产组或资产组组合产生的未来现金流量不考虑筹资活动 的现金流入或流出以及与所得税收付有关的现金流量，则：</w:t>
      </w:r>
    </w:p>
    <w:p>
      <w:pPr>
        <w:pStyle w:val="Style38"/>
        <w:keepNext w:val="0"/>
        <w:keepLines w:val="0"/>
        <w:widowControl w:val="0"/>
        <w:shd w:val="clear" w:color="auto" w:fill="auto"/>
        <w:bidi w:val="0"/>
        <w:spacing w:before="0" w:after="0" w:line="319" w:lineRule="exact"/>
        <w:ind w:left="0" w:right="0" w:firstLine="440"/>
        <w:jc w:val="left"/>
      </w:pPr>
      <w:r>
        <w:rPr>
          <w:color w:val="000000"/>
          <w:spacing w:val="0"/>
          <w:w w:val="100"/>
          <w:position w:val="0"/>
        </w:rPr>
        <w:t>息税前现金净流量</w:t>
      </w:r>
      <w:r>
        <w:rPr>
          <w:rFonts w:ascii="Times New Roman" w:eastAsia="Times New Roman" w:hAnsi="Times New Roman" w:cs="Times New Roman"/>
          <w:color w:val="000000"/>
          <w:spacing w:val="0"/>
          <w:w w:val="100"/>
          <w:position w:val="0"/>
        </w:rPr>
        <w:t>=</w:t>
      </w:r>
      <w:r>
        <w:rPr>
          <w:color w:val="000000"/>
          <w:spacing w:val="0"/>
          <w:w w:val="100"/>
          <w:position w:val="0"/>
        </w:rPr>
        <w:t>息税前利润</w:t>
      </w:r>
      <w:r>
        <w:rPr>
          <w:rFonts w:ascii="Times New Roman" w:eastAsia="Times New Roman" w:hAnsi="Times New Roman" w:cs="Times New Roman"/>
          <w:color w:val="000000"/>
          <w:spacing w:val="0"/>
          <w:w w:val="100"/>
          <w:position w:val="0"/>
        </w:rPr>
        <w:t>+</w:t>
      </w:r>
      <w:r>
        <w:rPr>
          <w:color w:val="000000"/>
          <w:spacing w:val="0"/>
          <w:w w:val="100"/>
          <w:position w:val="0"/>
        </w:rPr>
        <w:t>折旧与摊销一营运资金增加额一资本性支出</w:t>
      </w:r>
    </w:p>
    <w:p>
      <w:pPr>
        <w:pStyle w:val="Style38"/>
        <w:keepNext w:val="0"/>
        <w:keepLines w:val="0"/>
        <w:widowControl w:val="0"/>
        <w:numPr>
          <w:ilvl w:val="0"/>
          <w:numId w:val="99"/>
        </w:numPr>
        <w:shd w:val="clear" w:color="auto" w:fill="auto"/>
        <w:tabs>
          <w:tab w:pos="822" w:val="left"/>
        </w:tabs>
        <w:bidi w:val="0"/>
        <w:spacing w:before="0" w:after="40" w:line="315" w:lineRule="exact"/>
        <w:ind w:left="440" w:right="0" w:firstLine="0"/>
        <w:jc w:val="left"/>
      </w:pPr>
      <w:bookmarkStart w:id="1470" w:name="bookmark1470"/>
      <w:bookmarkEnd w:id="1470"/>
      <w:r>
        <w:rPr>
          <w:color w:val="000000"/>
          <w:spacing w:val="0"/>
          <w:w w:val="100"/>
          <w:position w:val="0"/>
        </w:rPr>
        <w:t>商誉所在资产组组合预期收益的持续时间 国家有关法律法规未对企业的经营期限有所限制，本次评估设定在正常情况下，资产组组合将一直持</w:t>
      </w:r>
    </w:p>
    <w:p>
      <w:pPr>
        <w:pStyle w:val="Style38"/>
        <w:keepNext w:val="0"/>
        <w:keepLines w:val="0"/>
        <w:widowControl w:val="0"/>
        <w:shd w:val="clear" w:color="auto" w:fill="auto"/>
        <w:bidi w:val="0"/>
        <w:spacing w:before="0" w:after="0" w:line="315" w:lineRule="exact"/>
        <w:ind w:left="0" w:right="0" w:firstLine="0"/>
        <w:jc w:val="both"/>
      </w:pPr>
      <w:r>
        <w:rPr>
          <w:color w:val="000000"/>
          <w:spacing w:val="0"/>
          <w:w w:val="100"/>
          <w:position w:val="0"/>
        </w:rPr>
        <w:t>续经营，因此，商誉所在资产组组合预期收益按永续经营计算。其中，第一阶段为</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年，在此 阶段根据被评估对象的经营情况及经营计划，收益状况处于变化中；第二阶段自</w:t>
      </w:r>
      <w:r>
        <w:rPr>
          <w:rFonts w:ascii="Times New Roman" w:eastAsia="Times New Roman" w:hAnsi="Times New Roman" w:cs="Times New Roman"/>
          <w:color w:val="000000"/>
          <w:spacing w:val="0"/>
          <w:w w:val="100"/>
          <w:position w:val="0"/>
        </w:rPr>
        <w:t>2026</w:t>
      </w:r>
      <w:r>
        <w:rPr>
          <w:color w:val="000000"/>
          <w:spacing w:val="0"/>
          <w:w w:val="100"/>
          <w:position w:val="0"/>
        </w:rPr>
        <w:t>年起为永续经营，在 此阶段被评估对象将保持稳定的盈利水平。</w:t>
      </w:r>
    </w:p>
    <w:p>
      <w:pPr>
        <w:pStyle w:val="Style38"/>
        <w:keepNext w:val="0"/>
        <w:keepLines w:val="0"/>
        <w:widowControl w:val="0"/>
        <w:numPr>
          <w:ilvl w:val="0"/>
          <w:numId w:val="99"/>
        </w:numPr>
        <w:shd w:val="clear" w:color="auto" w:fill="auto"/>
        <w:tabs>
          <w:tab w:pos="800" w:val="left"/>
        </w:tabs>
        <w:bidi w:val="0"/>
        <w:spacing w:before="0" w:after="0" w:line="315" w:lineRule="exact"/>
        <w:ind w:left="0" w:right="0" w:firstLine="440"/>
        <w:jc w:val="both"/>
      </w:pPr>
      <w:bookmarkStart w:id="1471" w:name="bookmark1471"/>
      <w:bookmarkEnd w:id="1471"/>
      <w:r>
        <w:rPr>
          <w:color w:val="000000"/>
          <w:spacing w:val="0"/>
          <w:w w:val="100"/>
          <w:position w:val="0"/>
        </w:rPr>
        <w:t>根据企业加权资金成本考虑与资产预计现金流有关的特定风险作适当调整后确定的计算预计未来 现金流量现值的税前折现率为</w:t>
      </w:r>
      <w:r>
        <w:rPr>
          <w:rFonts w:ascii="Times New Roman" w:eastAsia="Times New Roman" w:hAnsi="Times New Roman" w:cs="Times New Roman"/>
          <w:color w:val="000000"/>
          <w:spacing w:val="0"/>
          <w:w w:val="100"/>
          <w:position w:val="0"/>
        </w:rPr>
        <w:t>15.04%</w:t>
      </w:r>
      <w:r>
        <w:rPr>
          <w:color w:val="000000"/>
          <w:spacing w:val="0"/>
          <w:w w:val="100"/>
          <w:position w:val="0"/>
        </w:rPr>
        <w:t>。</w:t>
      </w:r>
    </w:p>
    <w:p>
      <w:pPr>
        <w:pStyle w:val="Style38"/>
        <w:keepNext w:val="0"/>
        <w:keepLines w:val="0"/>
        <w:widowControl w:val="0"/>
        <w:shd w:val="clear" w:color="auto" w:fill="auto"/>
        <w:bidi w:val="0"/>
        <w:spacing w:before="0" w:after="40" w:line="315" w:lineRule="exact"/>
        <w:ind w:left="0" w:right="0" w:firstLine="440"/>
        <w:jc w:val="both"/>
      </w:pPr>
      <w:r>
        <w:rPr>
          <w:color w:val="000000"/>
          <w:spacing w:val="0"/>
          <w:w w:val="100"/>
          <w:position w:val="0"/>
        </w:rPr>
        <w:t>减值测试中采用的其他关键数据包括：产品预计售价、销量、采购成本及其他相关费用，公司根据历 史经验及对市场发展的预测确定上述关键数据。公司聘请了具有证券资格的资产评估机构广东中广信资产 评估有限公司对上述包含商誉的资产组进行了评估，并出具了中广信评报字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074</w:t>
      </w:r>
      <w:r>
        <w:rPr>
          <w:color w:val="000000"/>
          <w:spacing w:val="0"/>
          <w:w w:val="100"/>
          <w:position w:val="0"/>
        </w:rPr>
        <w:t>号评估报告。</w:t>
      </w:r>
    </w:p>
    <w:p>
      <w:pPr>
        <w:pStyle w:val="Style32"/>
        <w:keepNext w:val="0"/>
        <w:keepLines w:val="0"/>
        <w:widowControl w:val="0"/>
        <w:shd w:val="clear" w:color="auto" w:fill="auto"/>
        <w:bidi w:val="0"/>
        <w:spacing w:before="0" w:after="0" w:line="240" w:lineRule="auto"/>
        <w:ind w:left="413" w:right="0" w:firstLine="0"/>
        <w:jc w:val="left"/>
      </w:pPr>
      <w:r>
        <w:rPr>
          <w:color w:val="000000"/>
          <w:spacing w:val="0"/>
          <w:w w:val="100"/>
          <w:position w:val="0"/>
          <w:sz w:val="20"/>
          <w:szCs w:val="20"/>
        </w:rPr>
        <w:t>商誉减值测试结果如下：</w:t>
      </w:r>
      <w:r>
        <w:rPr>
          <w:color w:val="000000"/>
          <w:spacing w:val="0"/>
          <w:w w:val="100"/>
          <w:position w:val="0"/>
        </w:rPr>
        <w:t>单位：万元</w:t>
      </w:r>
    </w:p>
    <w:tbl>
      <w:tblPr>
        <w:tblOverlap w:val="never"/>
        <w:jc w:val="left"/>
        <w:tblLayout w:type="fixed"/>
      </w:tblPr>
      <w:tblGrid>
        <w:gridCol w:w="4954"/>
        <w:gridCol w:w="3288"/>
      </w:tblGrid>
      <w:tr>
        <w:trPr>
          <w:trHeight w:val="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228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49,358.60</w:t>
            </w:r>
          </w:p>
        </w:tc>
      </w:tr>
    </w:tbl>
    <w:p>
      <w:pPr>
        <w:widowControl w:val="0"/>
        <w:spacing w:line="1" w:lineRule="exact"/>
      </w:pPr>
      <w:r>
        <w:br w:type="page"/>
      </w:r>
    </w:p>
    <w:tbl>
      <w:tblPr>
        <w:tblOverlap w:val="never"/>
        <w:jc w:val="left"/>
        <w:tblLayout w:type="fixed"/>
      </w:tblPr>
      <w:tblGrid>
        <w:gridCol w:w="4949"/>
        <w:gridCol w:w="329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32,905.74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商誉整体价值（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82,264.34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11,362.33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93,626.67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资产组预计未来现金流量的现值（可收回金额）（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11,120.00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-82,506.67</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经测算，深圳市蓝盾满泰科技发展有限公司资产组发生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三商誉减值</w:t>
            </w:r>
            <w:r>
              <w:rPr>
                <w:rFonts w:ascii="Times New Roman" w:eastAsia="Times New Roman" w:hAnsi="Times New Roman" w:cs="Times New Roman"/>
                <w:color w:val="000000"/>
                <w:spacing w:val="0"/>
                <w:w w:val="100"/>
                <w:position w:val="0"/>
                <w:sz w:val="20"/>
                <w:szCs w:val="20"/>
              </w:rPr>
              <w:t>82,506.67</w:t>
            </w:r>
            <w:r>
              <w:rPr>
                <w:color w:val="000000"/>
                <w:spacing w:val="0"/>
                <w:w w:val="100"/>
                <w:position w:val="0"/>
                <w:sz w:val="20"/>
                <w:szCs w:val="20"/>
              </w:rPr>
              <w:t>万元。</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1</w:t>
      </w:r>
      <w:bookmarkEnd w:id="147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72"/>
      <w:bookmarkEnd w:id="1473"/>
      <w:bookmarkEnd w:id="147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4,961,960.92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3,419,528.84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1,542,432.08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632,279.64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109,882.35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519,604.51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222,557.48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校企合作配套设 施费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1,111,358.78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415,634.38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695,724.40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6,705,599.34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109,882.35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4,354,767.73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2,460,713.96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bookmarkEnd w:id="147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76"/>
      <w:bookmarkEnd w:id="1477"/>
      <w:bookmarkEnd w:id="1479"/>
    </w:p>
    <w:p>
      <w:pPr>
        <w:pStyle w:val="Style48"/>
        <w:keepNext/>
        <w:keepLines/>
        <w:widowControl w:val="0"/>
        <w:shd w:val="clear" w:color="auto" w:fill="auto"/>
        <w:bidi w:val="0"/>
        <w:spacing w:before="0" w:after="40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80"/>
      <w:bookmarkEnd w:id="1481"/>
      <w:bookmarkEnd w:id="148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7,805,165.93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310,732.52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7,402,210.61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294,690.41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225,937,305.36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39,081,618.07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36,814,899.77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5,889,884.09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708,874,262.42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104,979,429.41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795,374,233.15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106,415,857.16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31,311,601.43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4,824,477.09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63,131,051.02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8,539,423.94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31,795,845.54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4,769,376.83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43,594,559.85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4,997,117.21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1,685,239.99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252,786.00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2,020,859.99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252,786.00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349,498.95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295,573.55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110,838,407.51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11,083,840.75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1,339,496.59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133,949.66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99,580,556.82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18,343,451.54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13,050,084.83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1,957,512.73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11,299,275.00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1,099,457,495.10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167,958,656.26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1,161,086,771.73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156,112,624.65</w:t>
            </w:r>
          </w:p>
        </w:tc>
      </w:tr>
    </w:tbl>
    <w:p>
      <w:pPr>
        <w:spacing w:lineRule="exact" w:line="1"/>
        <w:rPr>
          <w:sz w:val="2"/>
          <w:szCs w:val="2"/>
        </w:rPr>
      </w:pPr>
      <w:r>
        <w:br w:type="page"/>
      </w:r>
    </w:p>
    <w:p>
      <w:pPr>
        <w:pStyle w:val="Style48"/>
        <w:keepNext/>
        <w:keepLines/>
        <w:widowControl w:val="0"/>
        <w:shd w:val="clear" w:color="auto" w:fill="auto"/>
        <w:bidi w:val="0"/>
        <w:spacing w:before="0" w:after="400" w:line="240" w:lineRule="auto"/>
        <w:ind w:left="0" w:right="0" w:firstLine="0"/>
        <w:jc w:val="left"/>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83"/>
      <w:bookmarkEnd w:id="1484"/>
      <w:bookmarkEnd w:id="148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18,924,194.60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1,892,419.46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35,656,981.83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3,522,478.18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5,375,000.00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50,971,041.56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12,742,760.39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66,249,961.94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9,937,494.30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所有者投入资产与计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税基础的差异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2,599,722.67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2,599,722.67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389,958.40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72,494,958.83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20,400,138.25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126,006,666.44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19,224,930.88</w:t>
            </w:r>
          </w:p>
        </w:tc>
      </w:tr>
    </w:tbl>
    <w:p>
      <w:pPr>
        <w:widowControl w:val="0"/>
        <w:spacing w:after="319" w:line="1" w:lineRule="exact"/>
      </w:pPr>
    </w:p>
    <w:p>
      <w:pPr>
        <w:pStyle w:val="Style48"/>
        <w:keepNext/>
        <w:keepLines/>
        <w:widowControl w:val="0"/>
        <w:numPr>
          <w:ilvl w:val="0"/>
          <w:numId w:val="101"/>
        </w:numPr>
        <w:shd w:val="clear" w:color="auto" w:fill="auto"/>
        <w:bidi w:val="0"/>
        <w:spacing w:before="0" w:after="40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以抵销后净额列示的递延所得税资产或负债</w:t>
      </w:r>
      <w:bookmarkEnd w:id="1486"/>
      <w:bookmarkEnd w:id="1487"/>
      <w:bookmarkEnd w:id="14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167,958,656.26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156,112,624.66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20,400,138.25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19,224,930.88</w:t>
            </w:r>
          </w:p>
        </w:tc>
      </w:tr>
    </w:tbl>
    <w:p>
      <w:pPr>
        <w:widowControl w:val="0"/>
        <w:spacing w:after="319" w:line="1" w:lineRule="exact"/>
      </w:pPr>
    </w:p>
    <w:p>
      <w:pPr>
        <w:pStyle w:val="Style48"/>
        <w:keepNext/>
        <w:keepLines/>
        <w:widowControl w:val="0"/>
        <w:numPr>
          <w:ilvl w:val="0"/>
          <w:numId w:val="101"/>
        </w:numPr>
        <w:shd w:val="clear" w:color="auto" w:fill="auto"/>
        <w:bidi w:val="0"/>
        <w:spacing w:before="0" w:after="400" w:line="240" w:lineRule="auto"/>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未确认递延所得税资产明细</w:t>
      </w:r>
      <w:bookmarkEnd w:id="1490"/>
      <w:bookmarkEnd w:id="1491"/>
      <w:bookmarkEnd w:id="149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506,820,843.83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117,230,662.76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474,195,564.01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5,739,026.58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37,728,293.15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7,598,946.77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1,745,398.85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905,860.67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98,241,989.54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95,183,649.61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1,213,915,738.99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131,474,496.78</w:t>
            </w:r>
          </w:p>
        </w:tc>
      </w:tr>
    </w:tbl>
    <w:p>
      <w:pPr>
        <w:widowControl w:val="0"/>
        <w:spacing w:after="319" w:line="1" w:lineRule="exact"/>
      </w:pPr>
    </w:p>
    <w:p>
      <w:pPr>
        <w:pStyle w:val="Style48"/>
        <w:keepNext/>
        <w:keepLines/>
        <w:widowControl w:val="0"/>
        <w:numPr>
          <w:ilvl w:val="0"/>
          <w:numId w:val="101"/>
        </w:numPr>
        <w:shd w:val="clear" w:color="auto" w:fill="auto"/>
        <w:bidi w:val="0"/>
        <w:spacing w:before="0" w:after="40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未确认递延所得税资产的可抵扣亏损将于以下年度到期</w:t>
      </w:r>
      <w:bookmarkEnd w:id="1494"/>
      <w:bookmarkEnd w:id="1495"/>
      <w:bookmarkEnd w:id="149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5,720,557.19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11,768,682.40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12,214,938.27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20,558,348.44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25,816,726.25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33,825,224.63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34,294,229.71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33,811,988.48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39,184,211.34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406,856,599.88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506,820,843.83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117,230,662.76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98"/>
      <w:bookmarkEnd w:id="1499"/>
      <w:bookmarkEnd w:id="150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203,494,25</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203,494,25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206,687,70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206,687,70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175,039,90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175,039,90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142,898,90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142,898,90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378,534,16</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378,534,16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349,586,60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349,586,60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2</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02"/>
      <w:bookmarkEnd w:id="1503"/>
      <w:bookmarkEnd w:id="1505"/>
    </w:p>
    <w:p>
      <w:pPr>
        <w:pStyle w:val="Style48"/>
        <w:keepNext/>
        <w:keepLines/>
        <w:widowControl w:val="0"/>
        <w:shd w:val="clear" w:color="auto" w:fill="auto"/>
        <w:bidi w:val="0"/>
        <w:spacing w:before="0" w:after="380" w:line="240" w:lineRule="auto"/>
        <w:ind w:left="0" w:right="0" w:firstLine="0"/>
        <w:jc w:val="both"/>
      </w:pPr>
      <w:bookmarkStart w:id="1506" w:name="bookmark1506"/>
      <w:bookmarkStart w:id="1507" w:name="bookmark1507"/>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06"/>
      <w:bookmarkEnd w:id="1507"/>
      <w:bookmarkEnd w:id="150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1,285,719,299.71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1,387,513,166.64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190,620,877.83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130,335,858.72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349,400,000.00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411,598,400.00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106,691.21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1,865,846,868.75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2,047,447,425.36</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短期借款分类的说明：</w:t>
      </w:r>
    </w:p>
    <w:p>
      <w:pPr>
        <w:pStyle w:val="Style38"/>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）保证借款</w:t>
      </w:r>
    </w:p>
    <w:tbl>
      <w:tblPr>
        <w:tblOverlap w:val="never"/>
        <w:jc w:val="center"/>
        <w:tblLayout w:type="fixed"/>
      </w:tblPr>
      <w:tblGrid>
        <w:gridCol w:w="2554"/>
        <w:gridCol w:w="1286"/>
        <w:gridCol w:w="3826"/>
        <w:gridCol w:w="984"/>
        <w:gridCol w:w="100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东莞银行股份有限公司广州分行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柯宗贵、柯宗庆、柯宗耀、蓝盾信息安全技术股 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2018/9/26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2020/9/23</w:t>
            </w:r>
          </w:p>
        </w:tc>
      </w:tr>
    </w:tbl>
    <w:p>
      <w:pPr>
        <w:widowControl w:val="0"/>
        <w:spacing w:line="1" w:lineRule="exact"/>
      </w:pPr>
      <w:r>
        <w:br w:type="page"/>
      </w:r>
    </w:p>
    <w:tbl>
      <w:tblPr>
        <w:tblOverlap w:val="never"/>
        <w:jc w:val="center"/>
        <w:tblLayout w:type="fixed"/>
      </w:tblPr>
      <w:tblGrid>
        <w:gridCol w:w="2554"/>
        <w:gridCol w:w="1286"/>
        <w:gridCol w:w="3826"/>
        <w:gridCol w:w="984"/>
        <w:gridCol w:w="1008"/>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东莞银行股份有限公司广州分行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柯宗贵、柯宗庆、柯宗耀、蓝盾信息安全技术股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2018/10/18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2020/10/15</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柯宗贵、柯宗庆、柯宗耀、蓝盾信息安全技术股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2018/10/19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2020/10/16</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东莞银行股份有限公司广州分行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2019/4/11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东莞银行股份有限公司广州分行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东莞银行股份有限公司广州分行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2020/11/24</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东莞银行股份有限公司广州分行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2020/11/26</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东莞银行股份有限公司广州分行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2020/11/27</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东莞银行广州分行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7,019,263.71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2020/4/13</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东莞银行广州分行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2,672,868.80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9,954,286.93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广州农村商业银行股份有限公司 东圃支行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蓝盾信息安全技术股份有限公司、柯宗耀、李庆 红、柯瑞达、中经汇通有限责任公司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2019/12/23</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广州农村商业银行股份有限公司 东圃支行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蓝盾信息安全技术股份有限公司、柯宗耀、李庆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红、柯瑞达、中经汇通有限责任公司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广州农村商业银行股份有限公司 东圃支行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蓝盾信息安全技术股份有限公司、柯宗耀、李庆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红、柯瑞达、中经汇通有限责任公司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2019/12/23</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广州银行股份有限公司淘金支行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蓝盾信息安全技术股份有限公司、蓝盾信息安全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技术有限公司、柯宗庆、柯宗贵、柯宗耀、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2020/8/6</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广州银行股份有限公司淘金支行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32,388,500.00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蓝盾信息安全技术股份有限公司、蓝盾信息安全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技术有限公司、柯宗庆、柯宗贵、柯宗耀、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2020/9/6</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广州银行股份有限公司淘金支行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中经汇通电子商务有限公司、蓝盾信息安全技术 股份有限公司、柯宗庆、柯宗贵、柯宗耀、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2020/9/4</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江西银行股份有限公司广州越秀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44,701,536.50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蓝盾信息安全技术股份有限公司、柯宗贵、陈色 琴、柯宗耀、李庆红、柯瑞达、中经汇通有限责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厦门国际银行股份有限公司珠海 前山支行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蓝盾信息安全技术有限公司、柯宗庆、柯宗贵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2019/8/20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2020/8/9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上海浦东发展银行股份有限公司 广州东风支行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29,713,854.31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上海浦东发展银行股份有限公司 广州东风支行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上海浦东发展银行股份有限公司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49,994,236.71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蓝盾信息安全技术股份有限公司、柯宗庆、柯宗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2019/11/16</w:t>
            </w:r>
          </w:p>
        </w:tc>
      </w:tr>
    </w:tbl>
    <w:p>
      <w:pPr>
        <w:widowControl w:val="0"/>
        <w:spacing w:line="1" w:lineRule="exact"/>
      </w:pPr>
      <w:r>
        <w:br w:type="page"/>
      </w:r>
    </w:p>
    <w:tbl>
      <w:tblPr>
        <w:tblOverlap w:val="never"/>
        <w:jc w:val="center"/>
        <w:tblLayout w:type="fixed"/>
      </w:tblPr>
      <w:tblGrid>
        <w:gridCol w:w="2554"/>
        <w:gridCol w:w="1286"/>
        <w:gridCol w:w="3826"/>
        <w:gridCol w:w="989"/>
        <w:gridCol w:w="100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贵、柯宗耀、柯瑞达、中经汇通有限责任公司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上海银行股份有限公司深圳天安 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2021/4/16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上海银行股份有限公司深圳天安 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2021/4/16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上海银行股份有限公司深圳天安 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2021/4/16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蓝盾信息安全技术股份有限公司、柯宗贵、柯宗 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香港上海汇丰银行有限公司广州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4,411,507.50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4,673,625.00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4,999,918.50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4,716,859.00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4,977,355.00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2,438,735.00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兴业银行股份有限公司广州分行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6,395,900.00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蓝盾信息安全技术股份有限公司、柯宗庆、柯宗 贵、柯宗耀、中经汇通有限责任公司、中经汇通 电子商务有限公司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r>
    </w:tbl>
    <w:p>
      <w:pPr>
        <w:widowControl w:val="0"/>
        <w:spacing w:line="1" w:lineRule="exact"/>
      </w:pPr>
      <w:r>
        <w:br w:type="page"/>
      </w:r>
    </w:p>
    <w:tbl>
      <w:tblPr>
        <w:tblOverlap w:val="never"/>
        <w:jc w:val="center"/>
        <w:tblLayout w:type="fixed"/>
      </w:tblPr>
      <w:tblGrid>
        <w:gridCol w:w="2554"/>
        <w:gridCol w:w="1286"/>
        <w:gridCol w:w="3826"/>
        <w:gridCol w:w="989"/>
        <w:gridCol w:w="1003"/>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兴业银行股份有限公司广州分行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8,611,558.98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蓝盾信息安全技术股份有限公司、柯宗庆、柯宗 贵、柯宗耀、中经汇通有限责任公司、中经汇通 电子商务有限公司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蓝盾信息安全技术股份有限公司、柯宗耀、李庆 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兴业银行股份有限公司深圳分行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9,016,655.94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2020/9/4</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柯宗贵、柯宗庆、蓝盾信息安全技术股份有限公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长沙银行股份有限公司广州分行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2020/3/10</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中国建设银行股份有限公司广州 天河工业园支行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45,917,135.56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柯宗庆、柯宗贵、成都蓝盾网信科技有限公司、 西咸新区蓝盾信息安全技术有限公司、蓝盾信息 安全技术股份有限公司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中国民生银行股份有限公司广州 越华支行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柯宗贵、柯宗庆、柯宗耀、蓝盾信息安全技术股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2019/4/8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2020/4/7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中国民生银行股份有限公司广州 越华支行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柯宗贵、柯宗庆、柯宗耀、蓝盾信息安全技术股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中国民生银行股份有限公司广州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2019/6/3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2020/6/2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中国民生银行股份有限公司广州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18,825,000.00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2020/6/8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中国民生银行股份有限公司广州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2020/6/11</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中国民生银行股份有限公司广州 分行营业部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庆、成都蓝盾网信科技有限公司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2020/6/9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中国银行股份有限公司高安市筠 阳支行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广州华炜科技有限公司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2021/3/23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中信银行股份有限公司广州东山 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柯宗贵、柯宗庆、柯宗耀、蓝盾信息安全技术股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份有限公司、蓝盾信息安全技术股份有限公司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中信银行股份有限公司广州国防 大厦支行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29,558,502.27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庆、柯宗耀、中经汇通电子商务有限公司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1,285,719,299.71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79" w:line="1" w:lineRule="exact"/>
      </w:pPr>
    </w:p>
    <w:p>
      <w:pPr>
        <w:pStyle w:val="Style3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）质押</w:t>
      </w:r>
      <w:r>
        <w:rPr>
          <w:rFonts w:ascii="Times New Roman" w:eastAsia="Times New Roman" w:hAnsi="Times New Roman" w:cs="Times New Roman"/>
          <w:b/>
          <w:bCs/>
          <w:color w:val="000000"/>
          <w:spacing w:val="0"/>
          <w:w w:val="100"/>
          <w:position w:val="0"/>
        </w:rPr>
        <w:t>+</w:t>
      </w:r>
      <w:r>
        <w:rPr>
          <w:b/>
          <w:bCs/>
          <w:color w:val="000000"/>
          <w:spacing w:val="0"/>
          <w:w w:val="100"/>
          <w:position w:val="0"/>
        </w:rPr>
        <w:t>保证借款</w:t>
      </w:r>
    </w:p>
    <w:tbl>
      <w:tblPr>
        <w:tblOverlap w:val="never"/>
        <w:jc w:val="center"/>
        <w:tblLayout w:type="fixed"/>
      </w:tblPr>
      <w:tblGrid>
        <w:gridCol w:w="2280"/>
        <w:gridCol w:w="1272"/>
        <w:gridCol w:w="4114"/>
        <w:gridCol w:w="989"/>
        <w:gridCol w:w="100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江西银行股份有限公司广州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担保人：柯宗贵、柯宗庆、陈色琴、谭爱武、柯宗耀、 李庆红、西咸新区蓝盾信息安全技术有限公司、成都 蓝盾网信科技有限公司。质押物：广州华炜科技有限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股权、西咸新区蓝盾信息安全技术有限公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股权质押担保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2020/9/25</w:t>
            </w:r>
          </w:p>
        </w:tc>
      </w:tr>
      <w:tr>
        <w:trPr>
          <w:trHeight w:val="9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江西银行股份有限公司广州 分行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286,000,000.00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2020/9/25</w:t>
            </w:r>
          </w:p>
        </w:tc>
      </w:tr>
    </w:tbl>
    <w:p>
      <w:pPr>
        <w:widowControl w:val="0"/>
        <w:spacing w:line="1" w:lineRule="exact"/>
      </w:pPr>
      <w:r>
        <w:br w:type="page"/>
      </w:r>
    </w:p>
    <w:tbl>
      <w:tblPr>
        <w:tblOverlap w:val="never"/>
        <w:jc w:val="center"/>
        <w:tblLayout w:type="fixed"/>
      </w:tblPr>
      <w:tblGrid>
        <w:gridCol w:w="2280"/>
        <w:gridCol w:w="1267"/>
        <w:gridCol w:w="4118"/>
        <w:gridCol w:w="989"/>
        <w:gridCol w:w="1003"/>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招商银行股份有限公司广州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分行富力中心支行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13,000,000.00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担保人：柯宗贵、柯宗庆、柯宗耀、蓝盾信息安全技 术股份有限公司、蓝盾信息安全技术股份有限公司。 质押物：中经汇通电子商务有限公司应收大地保险广 东分公司的应收账款作质押。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2019/10/2</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招商银行股份有限公司广州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分行富力中心支行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2019/4/15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2019/10/14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招商银行股份有限公司广州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分行富力中心支行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2019/4/28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2019/10/27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79" w:line="1" w:lineRule="exact"/>
      </w:pPr>
    </w:p>
    <w:p>
      <w:pPr>
        <w:pStyle w:val="Style38"/>
        <w:keepNext w:val="0"/>
        <w:keepLines w:val="0"/>
        <w:widowControl w:val="0"/>
        <w:numPr>
          <w:ilvl w:val="0"/>
          <w:numId w:val="103"/>
        </w:numPr>
        <w:shd w:val="clear" w:color="auto" w:fill="auto"/>
        <w:bidi w:val="0"/>
        <w:spacing w:before="0" w:after="0" w:line="240" w:lineRule="auto"/>
        <w:ind w:left="0" w:right="0" w:firstLine="560"/>
        <w:jc w:val="left"/>
      </w:pPr>
      <w:bookmarkStart w:id="1509" w:name="bookmark1509"/>
      <w:bookmarkEnd w:id="1509"/>
      <w:r>
        <w:rPr>
          <w:b/>
          <w:bCs/>
          <w:color w:val="000000"/>
          <w:spacing w:val="0"/>
          <w:w w:val="100"/>
          <w:position w:val="0"/>
        </w:rPr>
        <w:t>抵押</w:t>
      </w:r>
      <w:r>
        <w:rPr>
          <w:rFonts w:ascii="Times New Roman" w:eastAsia="Times New Roman" w:hAnsi="Times New Roman" w:cs="Times New Roman"/>
          <w:b/>
          <w:bCs/>
          <w:color w:val="000000"/>
          <w:spacing w:val="0"/>
          <w:w w:val="100"/>
          <w:position w:val="0"/>
        </w:rPr>
        <w:t>+</w:t>
      </w:r>
      <w:r>
        <w:rPr>
          <w:b/>
          <w:bCs/>
          <w:color w:val="000000"/>
          <w:spacing w:val="0"/>
          <w:w w:val="100"/>
          <w:position w:val="0"/>
        </w:rPr>
        <w:t>保证借款</w:t>
      </w:r>
    </w:p>
    <w:tbl>
      <w:tblPr>
        <w:tblOverlap w:val="never"/>
        <w:jc w:val="center"/>
        <w:tblLayout w:type="fixed"/>
      </w:tblPr>
      <w:tblGrid>
        <w:gridCol w:w="2237"/>
        <w:gridCol w:w="1176"/>
        <w:gridCol w:w="4253"/>
        <w:gridCol w:w="984"/>
        <w:gridCol w:w="100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1,449,813.32</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担保人：蓝盾信息安全技术股份有限公司、柯宗贵、柯 宗庆。</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抵押物:西咸新区蓝盾信息安全技术有限公司土地抵押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2018/11/8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2019/11/7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2018/11/15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2019/11/14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2019/4/24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2020/2/23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2019/5/23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2020/3/10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2019/7/12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2020/3/10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2019/8/28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2020/2/27</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浙商银行股份有限公司广州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79,171,064.51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担保人：柯宗庆、柯宗贵、蓝盾信息安全技术股份有限 公司、蓝盾信息安全技术股份有限公司。</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抵押物：抵押成都地块及在建工程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2020/3/20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2021/3/21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190,620,877.83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79" w:line="1" w:lineRule="exact"/>
      </w:pPr>
    </w:p>
    <w:p>
      <w:pPr>
        <w:pStyle w:val="Style38"/>
        <w:keepNext w:val="0"/>
        <w:keepLines w:val="0"/>
        <w:widowControl w:val="0"/>
        <w:numPr>
          <w:ilvl w:val="0"/>
          <w:numId w:val="103"/>
        </w:numPr>
        <w:shd w:val="clear" w:color="auto" w:fill="auto"/>
        <w:bidi w:val="0"/>
        <w:spacing w:before="0" w:after="0" w:line="240" w:lineRule="auto"/>
        <w:ind w:left="0" w:right="0" w:firstLine="560"/>
        <w:jc w:val="left"/>
      </w:pPr>
      <w:bookmarkStart w:id="1510" w:name="bookmark1510"/>
      <w:bookmarkEnd w:id="1510"/>
      <w:r>
        <w:rPr>
          <w:b/>
          <w:bCs/>
          <w:color w:val="000000"/>
          <w:spacing w:val="0"/>
          <w:w w:val="100"/>
          <w:position w:val="0"/>
        </w:rPr>
        <w:t>质押借款</w:t>
      </w:r>
    </w:p>
    <w:tbl>
      <w:tblPr>
        <w:tblOverlap w:val="never"/>
        <w:jc w:val="center"/>
        <w:tblLayout w:type="fixed"/>
      </w:tblPr>
      <w:tblGrid>
        <w:gridCol w:w="2419"/>
        <w:gridCol w:w="1133"/>
        <w:gridCol w:w="4114"/>
        <w:gridCol w:w="984"/>
        <w:gridCol w:w="100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深圳市瑞程达商贸有限公司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质押物：中经汇通电子商务有限公司应收账款保理。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2019/9/28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39" w:line="1" w:lineRule="exact"/>
      </w:pPr>
    </w:p>
    <w:p>
      <w:pPr>
        <w:pStyle w:val="Style48"/>
        <w:keepNext/>
        <w:keepLines/>
        <w:widowControl w:val="0"/>
        <w:shd w:val="clear" w:color="auto" w:fill="auto"/>
        <w:bidi w:val="0"/>
        <w:spacing w:before="0" w:after="360" w:line="240" w:lineRule="auto"/>
        <w:ind w:left="0" w:right="0" w:firstLine="0"/>
        <w:jc w:val="left"/>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11"/>
      <w:bookmarkEnd w:id="1512"/>
      <w:bookmarkEnd w:id="1513"/>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1,627,175,444.02</w:t>
      </w:r>
      <w:r>
        <w:rPr>
          <w:color w:val="000000"/>
          <w:spacing w:val="0"/>
          <w:w w:val="100"/>
          <w:position w:val="0"/>
        </w:rPr>
        <w:t>元，其中重要的已逾期未偿还的短期借款情况如下：</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广州农村商业银行东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广州农村商业银行东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圃支行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广州农村商业银行东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招商银行广州分行富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招商银行广州分行富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招商银行广州分行富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民生银行广州越华支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民生银行广州越华支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广州银行淘金支行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广州银行淘金支行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32,388,500.00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中信银行广州国防大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49,994,236.71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中信银行广州国防大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29,558,502.27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厦门国际银行股份有 限公司珠海前山支行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6,395,900.00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广州银行淘金支行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中国民生银行股份有 限公司广州分行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9.79%</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中国民生银行股份有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中国民生银行股份有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广发银行股份有限公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广发银行股份有限公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9,954,286.93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 限公司广州天河工业 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45,917,135.56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东莞银行股份有限公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东莞银行股份有限公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东莞银行股份有限公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东莞银行股份有限公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东莞银行股份有限公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上海浦东发展银行股 份有限公司广州东风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上海浦东发展银行股 份有限公司广州东风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29,713,854.31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1,449,813.32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长沙银行股份有限公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9.14%</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司广州分行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兴业银行股份有限公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8,611,558.98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4,411,507.50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4,673,625.00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4,999,918.50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4,716,859.00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4,977,355.00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2,438,735.00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长沙银行股份有限公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司广州分行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9.14%</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9,016,655.94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中国民生银行股份有 限公司广州分行营业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深圳市瑞程达商贸有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1,627,175,444.02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both"/>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bookmarkEnd w:id="1516"/>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514"/>
      <w:bookmarkEnd w:id="1515"/>
      <w:bookmarkEnd w:id="1517"/>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61,598,600.00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61,598,600.00</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bookmarkEnd w:id="1520"/>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518"/>
      <w:bookmarkEnd w:id="1519"/>
      <w:bookmarkEnd w:id="1521"/>
    </w:p>
    <w:p>
      <w:pPr>
        <w:pStyle w:val="Style48"/>
        <w:keepNext/>
        <w:keepLines/>
        <w:widowControl w:val="0"/>
        <w:shd w:val="clear" w:color="auto" w:fill="auto"/>
        <w:bidi w:val="0"/>
        <w:spacing w:before="0" w:after="400" w:line="240" w:lineRule="auto"/>
        <w:ind w:left="0" w:right="0" w:firstLine="0"/>
        <w:jc w:val="left"/>
      </w:pPr>
      <w:bookmarkStart w:id="1522" w:name="bookmark1522"/>
      <w:bookmarkStart w:id="1523" w:name="bookmark1523"/>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22"/>
      <w:bookmarkEnd w:id="1523"/>
      <w:bookmarkEnd w:id="1524"/>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341,245,330.66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372,360,215.11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7,415,974.37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931,157.84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8,846,124.66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2,272,193.45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应付消费款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63,093,718.54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70,821,350.40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420,601,148.23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446,384,916.80</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14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25"/>
      <w:bookmarkEnd w:id="1526"/>
      <w:bookmarkEnd w:id="1527"/>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和宇健康科技股份有限公司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60,815,844.69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天翼电子商务有限公司上海分公司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16,991,869.21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创业慧康科技股份有限公司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11,518,993.55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11,423,766.98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广州市康软信息科技有限公司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9,597,463.50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广州市雅格布通信技术有限公司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7,447,989.42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117,795,927.35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2</w:t>
      </w:r>
      <w:bookmarkEnd w:id="1530"/>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528"/>
      <w:bookmarkEnd w:id="1529"/>
      <w:bookmarkEnd w:id="15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237,785,432.03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328,031,464.39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237,785,432.03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328,031,464.39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bookmarkEnd w:id="1534"/>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532"/>
      <w:bookmarkEnd w:id="1533"/>
      <w:bookmarkEnd w:id="1535"/>
    </w:p>
    <w:p>
      <w:pPr>
        <w:pStyle w:val="Style48"/>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36"/>
      <w:bookmarkEnd w:id="1537"/>
      <w:bookmarkEnd w:id="153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37,237,131.15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101,026,507.87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83,535,331.68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54,728,307.34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461,150.16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3,191,989.48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2,807,951.97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845,187.67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37,698,281.31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104,218,497.35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86,343,283.65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55,573,495.01</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both"/>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39"/>
      <w:bookmarkEnd w:id="1540"/>
      <w:bookmarkEnd w:id="154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36,746,499.88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90,136,199.78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76,724,478.75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50,158,220.91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1,771,022.11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1,771,022.11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216,430.46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4,452,222.71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3,801,592.58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867,060.59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164,613.26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3,665,236.17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3,150,616.23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679,233.20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22,779.05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24,478.75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411,974.52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86,555.53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补充医疗保险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23,053.04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230,580.75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193,095.64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60,538.15</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职工重大疾病医疗补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53,653.75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3,638,924.78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1,066,901.11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2,625,677.42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220,547.06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1,028,138.49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1,077,348.42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37,237,131.15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101,026,507.87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83,535,331.68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54,728,307.34</w:t>
            </w:r>
          </w:p>
        </w:tc>
      </w:tr>
    </w:tbl>
    <w:p>
      <w:pPr>
        <w:widowControl w:val="0"/>
        <w:spacing w:after="319" w:line="1" w:lineRule="exact"/>
      </w:pPr>
    </w:p>
    <w:p>
      <w:pPr>
        <w:pStyle w:val="Style48"/>
        <w:keepNext/>
        <w:keepLines/>
        <w:widowControl w:val="0"/>
        <w:numPr>
          <w:ilvl w:val="0"/>
          <w:numId w:val="105"/>
        </w:numPr>
        <w:shd w:val="clear" w:color="auto" w:fill="auto"/>
        <w:bidi w:val="0"/>
        <w:spacing w:before="0" w:after="400" w:line="240" w:lineRule="auto"/>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设定提存计划列示</w:t>
      </w:r>
      <w:bookmarkEnd w:id="1542"/>
      <w:bookmarkEnd w:id="1543"/>
      <w:bookmarkEnd w:id="154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449,401.90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3,126,162.30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2,750,367.04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825,197.16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11,748.26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19,990.51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461,150.16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3,191,989.48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2,807,951.97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845,187.67</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546"/>
      <w:bookmarkEnd w:id="1547"/>
      <w:bookmarkEnd w:id="154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136,688,995.17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58,934,291.06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84,219,971.31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56,583,243.30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602,352.97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209,523.27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613,013.89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358,176.97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367,585.59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266,355.35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112,889.96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143,154.90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704,565.51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644,585.49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223,384,458.82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117,218,775.65</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550"/>
      <w:bookmarkEnd w:id="1551"/>
      <w:bookmarkEnd w:id="155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181,269,489.46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8,159,382.67</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296,814,861.35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271,409,246.46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478,084,350.81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279,568,629.13</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54"/>
      <w:bookmarkEnd w:id="1555"/>
      <w:bookmarkEnd w:id="155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33,814,123.06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812,464.12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375,306.53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232,918.87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132,126,635.45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6,909,310.44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融资租赁展期利息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2,414,091.06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204,689.24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12,539,333.36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181,269,489.46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8,159,382.67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1,115,586.19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22,007,805.56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厦门国际银行股份有限公司珠海前山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1,036,388.88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中国工商银行股份有限公司广州白云 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4,680,166.66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中国工商银行股份有限公司广州白云 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12,430,581.42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4,169,839.45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广州银行淘金支行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4,623,437.20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招商银行广州富力中心支行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4,409,406.50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农村商业银行东圃支行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24,401,017.62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2,432,759.98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民生银行广州越华支行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3,279,098.31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3,254,116.27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4,078,279.31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中信银行广州国防大厦支行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3,141,150.30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7,961,753.06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339,473.93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兴业银行股份有限公司深圳分行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233,373.59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217,500.50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1,566,237.24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中国民生银行股份有限公司广州分行 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1,336,912.96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391,620.34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上海银行股份有限公司深圳天安支行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733,133.34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上海银行股份有限公司深圳天安支行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1,496,978.34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上海银行股份有限公司深圳天安支行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1,423,955.00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广州银行股份有限公司淘金支行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2,491,066.65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8,230,354.56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中国民生银行股份有限公司广州分行 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5,955,254.84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广发银行股份有限公司广州天河支行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2,166,446.74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6,788,520.56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上海浦东发展银行股份有限公司广州 东风支行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3,616,142.97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中国建设银行股份有限公司广州天河 工业园支行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1,253,920.46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中信银行东山支行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3,836,315.07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香港上海汇丰银行有限公司广州分行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2,584,633.28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2,749,593.06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浙商银行股份有限公司广州分行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16,703,374.98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公开发行可转换公司债券利息余额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375,306.53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远东国际租赁有限公司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广发融资租赁（广东）有限公司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431,634.08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广发融资租赁（广东）有限公司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418,884.98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远东国际租赁有限公司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科学城（广州）融资租赁有限公司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1,063,572.00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公司资金紧张，流动性不足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169,984,030.78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557"/>
      <w:bookmarkEnd w:id="1558"/>
      <w:bookmarkEnd w:id="1559"/>
    </w:p>
    <w:p>
      <w:pPr>
        <w:pStyle w:val="Style88"/>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60"/>
      <w:bookmarkEnd w:id="1561"/>
      <w:bookmarkEnd w:id="1562"/>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99,978,510.33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82,930,737.93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111,676,831.79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63,681,297.40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3,930,643.77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5,662,134.82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42,048,673.23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14,205,151.41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15,858,900.00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15,858,900.00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23,321,302.23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89,071,024.90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296,814,861.35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271,409,246.46</w:t>
            </w:r>
          </w:p>
        </w:tc>
      </w:tr>
    </w:tbl>
    <w:p>
      <w:pPr>
        <w:widowControl w:val="0"/>
        <w:spacing w:after="319" w:line="1" w:lineRule="exact"/>
      </w:pPr>
    </w:p>
    <w:p>
      <w:pPr>
        <w:pStyle w:val="Style88"/>
        <w:keepNext/>
        <w:keepLines/>
        <w:widowControl w:val="0"/>
        <w:shd w:val="clear" w:color="auto" w:fill="auto"/>
        <w:bidi w:val="0"/>
        <w:spacing w:before="0" w:after="400" w:line="240" w:lineRule="auto"/>
        <w:ind w:left="0" w:right="0" w:firstLine="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63"/>
      <w:bookmarkEnd w:id="1564"/>
      <w:bookmarkEnd w:id="156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深圳市尚品顿实业有限公司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深圳市春惠洋贸易有限公司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河源德元贸易有限公司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76,820,000.00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南京永致商务信息服务有限公司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136,820,000.00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bookmarkEnd w:id="1568"/>
      <w:r>
        <w:rPr>
          <w:rFonts w:ascii="Times New Roman" w:eastAsia="Times New Roman" w:hAnsi="Times New Roman" w:cs="Times New Roman"/>
          <w:color w:val="000000"/>
          <w:spacing w:val="0"/>
          <w:w w:val="100"/>
          <w:position w:val="0"/>
        </w:rPr>
        <w:t>9</w:t>
      </w:r>
      <w:r>
        <w:rPr>
          <w:color w:val="000000"/>
          <w:spacing w:val="0"/>
          <w:w w:val="100"/>
          <w:position w:val="0"/>
        </w:rPr>
        <w:t>、持有待售负债</w:t>
      </w:r>
      <w:bookmarkEnd w:id="1566"/>
      <w:bookmarkEnd w:id="1567"/>
      <w:bookmarkEnd w:id="156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广东和诚科技孵化器有限公司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10,062,791.91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10,062,791.91</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570"/>
      <w:bookmarkEnd w:id="1571"/>
      <w:bookmarkEnd w:id="157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603,000,000.00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307,507,381.08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276,936,869.14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228,892,309.57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879,936,869.14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536,399,690.65</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74"/>
      <w:bookmarkEnd w:id="1575"/>
      <w:bookmarkEnd w:id="157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422" w:right="181" w:bottom="1460" w:left="205" w:header="0" w:footer="3" w:gutter="0"/>
          <w:cols w:space="720"/>
          <w:noEndnote/>
          <w:titlePg/>
          <w:rtlGutter w:val="0"/>
          <w:docGrid w:linePitch="360"/>
        </w:sectPr>
      </w:pPr>
    </w:p>
    <w:p>
      <w:pPr>
        <w:widowControl w:val="0"/>
        <w:spacing w:after="99"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22,234,083.93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48,687,888.60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22,234,083.93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48,687,888.60</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840"/>
        <w:jc w:val="both"/>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78"/>
      <w:bookmarkEnd w:id="1579"/>
      <w:bookmarkEnd w:id="1581"/>
    </w:p>
    <w:p>
      <w:pPr>
        <w:pStyle w:val="Style48"/>
        <w:keepNext/>
        <w:keepLines/>
        <w:widowControl w:val="0"/>
        <w:shd w:val="clear" w:color="auto" w:fill="auto"/>
        <w:bidi w:val="0"/>
        <w:spacing w:before="0" w:after="380" w:line="240" w:lineRule="auto"/>
        <w:ind w:left="0" w:right="0" w:firstLine="840"/>
        <w:jc w:val="both"/>
      </w:pPr>
      <w:bookmarkStart w:id="1582" w:name="bookmark1582"/>
      <w:bookmarkStart w:id="1583" w:name="bookmark1583"/>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2"/>
      <w:bookmarkEnd w:id="1583"/>
      <w:bookmarkEnd w:id="1584"/>
    </w:p>
    <w:p>
      <w:pPr>
        <w:pStyle w:val="Style28"/>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117,038,381.61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一年内到期的长期借款(抵减以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-307,507,381.08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412,531,000.53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199" w:line="1" w:lineRule="exact"/>
      </w:pPr>
    </w:p>
    <w:p>
      <w:pPr>
        <w:pStyle w:val="Style38"/>
        <w:keepNext w:val="0"/>
        <w:keepLines w:val="0"/>
        <w:widowControl w:val="0"/>
        <w:shd w:val="clear" w:color="auto" w:fill="auto"/>
        <w:bidi w:val="0"/>
        <w:spacing w:before="0" w:after="80" w:line="240" w:lineRule="auto"/>
        <w:ind w:left="13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)抵押</w:t>
      </w:r>
      <w:r>
        <w:rPr>
          <w:rFonts w:ascii="Times New Roman" w:eastAsia="Times New Roman" w:hAnsi="Times New Roman" w:cs="Times New Roman"/>
          <w:color w:val="000000"/>
          <w:spacing w:val="0"/>
          <w:w w:val="100"/>
          <w:position w:val="0"/>
        </w:rPr>
        <w:t>+</w:t>
      </w:r>
      <w:r>
        <w:rPr>
          <w:color w:val="000000"/>
          <w:spacing w:val="0"/>
          <w:w w:val="100"/>
          <w:position w:val="0"/>
        </w:rPr>
        <w:t>质押</w:t>
      </w:r>
      <w:r>
        <w:rPr>
          <w:rFonts w:ascii="Times New Roman" w:eastAsia="Times New Roman" w:hAnsi="Times New Roman" w:cs="Times New Roman"/>
          <w:color w:val="000000"/>
          <w:spacing w:val="0"/>
          <w:w w:val="100"/>
          <w:position w:val="0"/>
        </w:rPr>
        <w:t>+</w:t>
      </w:r>
      <w:r>
        <w:rPr>
          <w:color w:val="000000"/>
          <w:spacing w:val="0"/>
          <w:w w:val="100"/>
          <w:position w:val="0"/>
        </w:rPr>
        <w:t>保证借款</w:t>
      </w:r>
    </w:p>
    <w:tbl>
      <w:tblPr>
        <w:tblOverlap w:val="never"/>
        <w:jc w:val="center"/>
        <w:tblLayout w:type="fixed"/>
      </w:tblPr>
      <w:tblGrid>
        <w:gridCol w:w="1771"/>
        <w:gridCol w:w="1358"/>
        <w:gridCol w:w="4675"/>
        <w:gridCol w:w="850"/>
        <w:gridCol w:w="100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6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浙商银行股份有限公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司广州分行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抵押物：成都高新区中和街道观东社区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组(成高国用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31151</w:t>
            </w:r>
            <w:r>
              <w:rPr>
                <w:color w:val="000000"/>
                <w:spacing w:val="0"/>
                <w:w w:val="100"/>
                <w:position w:val="0"/>
              </w:rPr>
              <w:t>号及在建工程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2017-6-13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2021-12-21</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质押物：成都蓝盾网信科技有限公司股权</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保证人：蓝盾信息安全技术股份有限公司、柯宗庆、柯宗贵</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8"/>
        <w:keepNext w:val="0"/>
        <w:keepLines w:val="0"/>
        <w:widowControl w:val="0"/>
        <w:shd w:val="clear" w:color="auto" w:fill="auto"/>
        <w:bidi w:val="0"/>
        <w:spacing w:before="0" w:after="200" w:line="240" w:lineRule="auto"/>
        <w:ind w:left="1260" w:right="0" w:firstLine="0"/>
        <w:jc w:val="left"/>
      </w:pPr>
      <w:r>
        <w:rPr>
          <w:color w:val="000000"/>
          <w:spacing w:val="0"/>
          <w:w w:val="100"/>
          <w:position w:val="0"/>
        </w:rPr>
        <w:t>注：浙商银行股份有限公司广州分行借款期限为</w:t>
      </w:r>
      <w:r>
        <w:rPr>
          <w:rFonts w:ascii="Times New Roman" w:eastAsia="Times New Roman" w:hAnsi="Times New Roman" w:cs="Times New Roman"/>
          <w:color w:val="000000"/>
          <w:spacing w:val="0"/>
          <w:w w:val="100"/>
          <w:position w:val="0"/>
        </w:rPr>
        <w:t>2017-6-13</w:t>
      </w:r>
      <w:r>
        <w:rPr>
          <w:color w:val="000000"/>
          <w:spacing w:val="0"/>
          <w:w w:val="100"/>
          <w:position w:val="0"/>
        </w:rPr>
        <w:t>至</w:t>
      </w:r>
      <w:r>
        <w:rPr>
          <w:rFonts w:ascii="Times New Roman" w:eastAsia="Times New Roman" w:hAnsi="Times New Roman" w:cs="Times New Roman"/>
          <w:color w:val="000000"/>
          <w:spacing w:val="0"/>
          <w:w w:val="100"/>
          <w:position w:val="0"/>
        </w:rPr>
        <w:t>2021-12-21</w:t>
      </w:r>
      <w:r>
        <w:rPr>
          <w:color w:val="000000"/>
          <w:spacing w:val="0"/>
          <w:w w:val="100"/>
          <w:position w:val="0"/>
        </w:rPr>
        <w:t>的借款将于一年内到期的金额</w:t>
      </w:r>
    </w:p>
    <w:p>
      <w:pPr>
        <w:pStyle w:val="Style77"/>
        <w:keepNext w:val="0"/>
        <w:keepLines w:val="0"/>
        <w:widowControl w:val="0"/>
        <w:shd w:val="clear" w:color="auto" w:fill="auto"/>
        <w:bidi w:val="0"/>
        <w:spacing w:before="0" w:after="300" w:line="240" w:lineRule="auto"/>
        <w:ind w:left="0" w:right="0" w:firstLine="840"/>
        <w:jc w:val="both"/>
      </w:pPr>
      <w:r>
        <w:rPr>
          <w:rFonts w:ascii="SimSun" w:eastAsia="SimSun" w:hAnsi="SimSun" w:cs="SimSun"/>
          <w:color w:val="000000"/>
          <w:spacing w:val="0"/>
          <w:w w:val="100"/>
          <w:position w:val="0"/>
        </w:rPr>
        <w:t>为</w:t>
      </w:r>
      <w:r>
        <w:rPr>
          <w:color w:val="000000"/>
          <w:spacing w:val="0"/>
          <w:w w:val="100"/>
          <w:position w:val="0"/>
        </w:rPr>
        <w:t>270,000,000.00</w:t>
      </w:r>
      <w:r>
        <w:rPr>
          <w:rFonts w:ascii="SimSun" w:eastAsia="SimSun" w:hAnsi="SimSun" w:cs="SimSun"/>
          <w:color w:val="000000"/>
          <w:spacing w:val="0"/>
          <w:w w:val="100"/>
          <w:position w:val="0"/>
        </w:rPr>
        <w:t>元。</w:t>
      </w:r>
    </w:p>
    <w:p>
      <w:pPr>
        <w:pStyle w:val="Style3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)质押</w:t>
      </w:r>
      <w:r>
        <w:rPr>
          <w:rFonts w:ascii="Times New Roman" w:eastAsia="Times New Roman" w:hAnsi="Times New Roman" w:cs="Times New Roman"/>
          <w:color w:val="000000"/>
          <w:spacing w:val="0"/>
          <w:w w:val="100"/>
          <w:position w:val="0"/>
        </w:rPr>
        <w:t>+</w:t>
      </w:r>
      <w:r>
        <w:rPr>
          <w:color w:val="000000"/>
          <w:spacing w:val="0"/>
          <w:w w:val="100"/>
          <w:position w:val="0"/>
        </w:rPr>
        <w:t>保证借款</w:t>
      </w:r>
    </w:p>
    <w:tbl>
      <w:tblPr>
        <w:tblOverlap w:val="never"/>
        <w:jc w:val="center"/>
        <w:tblLayout w:type="fixed"/>
      </w:tblPr>
      <w:tblGrid>
        <w:gridCol w:w="2136"/>
        <w:gridCol w:w="1277"/>
        <w:gridCol w:w="4253"/>
        <w:gridCol w:w="989"/>
        <w:gridCol w:w="100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 司广州陵园西路支行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质押物：深圳市蓝盾满泰科技发展有限公司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 保证人：柯宗庆、柯宗贵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2021-12-16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 司广州陵园西路支行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保证人：柯宗贵、柯宗庆；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抵押物：深圳市蓝盾满泰科技发展有限公司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2021/12/16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240" w:line="470" w:lineRule="exact"/>
        <w:ind w:left="840" w:right="0" w:firstLine="420"/>
        <w:jc w:val="both"/>
      </w:pPr>
      <w:r>
        <w:rPr>
          <w:color w:val="000000"/>
          <w:spacing w:val="0"/>
          <w:w w:val="100"/>
          <w:position w:val="0"/>
        </w:rPr>
        <w:t>注：中国工商银行股份有限公司广州陵园西路支行借款期限为</w:t>
      </w:r>
      <w:r>
        <w:rPr>
          <w:rFonts w:ascii="Times New Roman" w:eastAsia="Times New Roman" w:hAnsi="Times New Roman" w:cs="Times New Roman"/>
          <w:color w:val="000000"/>
          <w:spacing w:val="0"/>
          <w:w w:val="100"/>
          <w:position w:val="0"/>
        </w:rPr>
        <w:t>2016-12-16</w:t>
      </w:r>
      <w:r>
        <w:rPr>
          <w:color w:val="000000"/>
          <w:spacing w:val="0"/>
          <w:w w:val="100"/>
          <w:position w:val="0"/>
        </w:rPr>
        <w:t>至</w:t>
      </w:r>
      <w:r>
        <w:rPr>
          <w:rFonts w:ascii="Times New Roman" w:eastAsia="Times New Roman" w:hAnsi="Times New Roman" w:cs="Times New Roman"/>
          <w:color w:val="000000"/>
          <w:spacing w:val="0"/>
          <w:w w:val="100"/>
          <w:position w:val="0"/>
        </w:rPr>
        <w:t>2021-12-16</w:t>
      </w:r>
      <w:r>
        <w:rPr>
          <w:color w:val="000000"/>
          <w:spacing w:val="0"/>
          <w:w w:val="100"/>
          <w:position w:val="0"/>
        </w:rPr>
        <w:t>的借款将于一年 内到期的金额为</w:t>
      </w:r>
      <w:r>
        <w:rPr>
          <w:rFonts w:ascii="Times New Roman" w:eastAsia="Times New Roman" w:hAnsi="Times New Roman" w:cs="Times New Roman"/>
          <w:color w:val="000000"/>
          <w:spacing w:val="0"/>
          <w:w w:val="100"/>
          <w:position w:val="0"/>
        </w:rPr>
        <w:t>333,000,000.00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84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3</w:t>
      </w:r>
      <w:bookmarkEnd w:id="1587"/>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585"/>
      <w:bookmarkEnd w:id="1586"/>
      <w:bookmarkEnd w:id="1588"/>
    </w:p>
    <w:p>
      <w:pPr>
        <w:pStyle w:val="Style48"/>
        <w:keepNext/>
        <w:keepLines/>
        <w:widowControl w:val="0"/>
        <w:shd w:val="clear" w:color="auto" w:fill="auto"/>
        <w:bidi w:val="0"/>
        <w:spacing w:before="0" w:after="380" w:line="240" w:lineRule="auto"/>
        <w:ind w:left="0" w:right="0" w:firstLine="840"/>
        <w:jc w:val="both"/>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89"/>
      <w:bookmarkEnd w:id="1590"/>
      <w:bookmarkEnd w:id="1591"/>
    </w:p>
    <w:p>
      <w:pPr>
        <w:pStyle w:val="Style28"/>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91,499,949.54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87,097,076.87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91,499,949.54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87,097,076.87</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960"/>
        <w:jc w:val="both"/>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92"/>
      <w:bookmarkEnd w:id="1593"/>
      <w:bookmarkEnd w:id="159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77"/>
        <w:gridCol w:w="850"/>
        <w:gridCol w:w="422"/>
        <w:gridCol w:w="1277"/>
        <w:gridCol w:w="1133"/>
        <w:gridCol w:w="427"/>
        <w:gridCol w:w="710"/>
        <w:gridCol w:w="1133"/>
        <w:gridCol w:w="427"/>
        <w:gridCol w:w="989"/>
        <w:gridCol w:w="11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 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按面值 计提利 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溢折价摊销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 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本期转股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蓝盾信息安全技术 股份有限公司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年公开发行可转换 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87,097,076.87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4,623,172.67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91,499,949.54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87,097,076.87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4,623,172.67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91,499,949.54</w:t>
            </w:r>
          </w:p>
        </w:tc>
      </w:tr>
    </w:tbl>
    <w:p>
      <w:pPr>
        <w:widowControl w:val="0"/>
        <w:spacing w:after="79" w:line="1" w:lineRule="exact"/>
      </w:pPr>
    </w:p>
    <w:p>
      <w:pPr>
        <w:pStyle w:val="Style48"/>
        <w:keepNext/>
        <w:keepLines/>
        <w:widowControl w:val="0"/>
        <w:shd w:val="clear" w:color="auto" w:fill="auto"/>
        <w:bidi w:val="0"/>
        <w:spacing w:before="0" w:after="220" w:line="466" w:lineRule="exact"/>
        <w:ind w:left="0" w:right="0" w:firstLine="840"/>
        <w:jc w:val="both"/>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595"/>
      <w:bookmarkEnd w:id="1596"/>
      <w:bookmarkEnd w:id="1598"/>
    </w:p>
    <w:p>
      <w:pPr>
        <w:pStyle w:val="Style38"/>
        <w:keepNext w:val="0"/>
        <w:keepLines w:val="0"/>
        <w:widowControl w:val="0"/>
        <w:shd w:val="clear" w:color="auto" w:fill="auto"/>
        <w:bidi w:val="0"/>
        <w:spacing w:before="0" w:after="0" w:line="466" w:lineRule="exact"/>
        <w:ind w:left="840" w:right="0" w:firstLine="420"/>
        <w:jc w:val="both"/>
      </w:pPr>
      <w:r>
        <w:rPr>
          <w:color w:val="000000"/>
          <w:spacing w:val="0"/>
          <w:w w:val="100"/>
          <w:position w:val="0"/>
        </w:rPr>
        <w:t>转股条件：可转债持有人在转股期内申请转股时，转股数量</w:t>
      </w:r>
      <w:r>
        <w:rPr>
          <w:rFonts w:ascii="Times New Roman" w:eastAsia="Times New Roman" w:hAnsi="Times New Roman" w:cs="Times New Roman"/>
          <w:color w:val="000000"/>
          <w:spacing w:val="0"/>
          <w:w w:val="100"/>
          <w:position w:val="0"/>
        </w:rPr>
        <w:t>=</w:t>
      </w:r>
      <w:r>
        <w:rPr>
          <w:color w:val="000000"/>
          <w:spacing w:val="0"/>
          <w:w w:val="100"/>
          <w:position w:val="0"/>
        </w:rPr>
        <w:t>申请转股的可转债票面总金额</w:t>
      </w:r>
      <w:r>
        <w:rPr>
          <w:rFonts w:ascii="Times New Roman" w:eastAsia="Times New Roman" w:hAnsi="Times New Roman" w:cs="Times New Roman"/>
          <w:color w:val="000000"/>
          <w:spacing w:val="0"/>
          <w:w w:val="100"/>
          <w:position w:val="0"/>
        </w:rPr>
        <w:t>/</w:t>
      </w:r>
      <w:r>
        <w:rPr>
          <w:color w:val="000000"/>
          <w:spacing w:val="0"/>
          <w:w w:val="100"/>
          <w:position w:val="0"/>
        </w:rPr>
        <w:t>申请转股 当日有效的转股价格，并以尾数取</w:t>
      </w:r>
      <w:r>
        <w:rPr>
          <w:rFonts w:ascii="Times New Roman" w:eastAsia="Times New Roman" w:hAnsi="Times New Roman" w:cs="Times New Roman"/>
          <w:color w:val="000000"/>
          <w:spacing w:val="0"/>
          <w:w w:val="100"/>
          <w:position w:val="0"/>
        </w:rPr>
        <w:t>1</w:t>
      </w:r>
      <w:r>
        <w:rPr>
          <w:color w:val="000000"/>
          <w:spacing w:val="0"/>
          <w:w w:val="100"/>
          <w:position w:val="0"/>
        </w:rPr>
        <w:t>股的整数倍。可转债持有人申请转换成的股份需为整数股，转股时不 足转股为</w:t>
      </w:r>
      <w:r>
        <w:rPr>
          <w:rFonts w:ascii="Times New Roman" w:eastAsia="Times New Roman" w:hAnsi="Times New Roman" w:cs="Times New Roman"/>
          <w:color w:val="000000"/>
          <w:spacing w:val="0"/>
          <w:w w:val="100"/>
          <w:position w:val="0"/>
        </w:rPr>
        <w:t>1</w:t>
      </w:r>
      <w:r>
        <w:rPr>
          <w:color w:val="000000"/>
          <w:spacing w:val="0"/>
          <w:w w:val="100"/>
          <w:position w:val="0"/>
        </w:rPr>
        <w:t>股股票的可转债余额，公司将按照深交所、证券登记机构等部门的有关规定，在本次可转债持 有人转股当日后的</w:t>
      </w:r>
      <w:r>
        <w:rPr>
          <w:rFonts w:ascii="Times New Roman" w:eastAsia="Times New Roman" w:hAnsi="Times New Roman" w:cs="Times New Roman"/>
          <w:color w:val="000000"/>
          <w:spacing w:val="0"/>
          <w:w w:val="100"/>
          <w:position w:val="0"/>
        </w:rPr>
        <w:t>5</w:t>
      </w:r>
      <w:r>
        <w:rPr>
          <w:color w:val="000000"/>
          <w:spacing w:val="0"/>
          <w:w w:val="100"/>
          <w:position w:val="0"/>
        </w:rPr>
        <w:t>个交易日内以现金兑付该不足转换为</w:t>
      </w:r>
      <w:r>
        <w:rPr>
          <w:rFonts w:ascii="Times New Roman" w:eastAsia="Times New Roman" w:hAnsi="Times New Roman" w:cs="Times New Roman"/>
          <w:color w:val="000000"/>
          <w:spacing w:val="0"/>
          <w:w w:val="100"/>
          <w:position w:val="0"/>
        </w:rPr>
        <w:t>1</w:t>
      </w:r>
      <w:r>
        <w:rPr>
          <w:color w:val="000000"/>
          <w:spacing w:val="0"/>
          <w:w w:val="100"/>
          <w:position w:val="0"/>
        </w:rPr>
        <w:t>股股票的本次可转债余额及该余额所对应的当 期应计利息。</w:t>
      </w:r>
    </w:p>
    <w:p>
      <w:pPr>
        <w:pStyle w:val="Style38"/>
        <w:keepNext w:val="0"/>
        <w:keepLines w:val="0"/>
        <w:widowControl w:val="0"/>
        <w:shd w:val="clear" w:color="auto" w:fill="auto"/>
        <w:bidi w:val="0"/>
        <w:spacing w:before="0" w:after="220" w:line="466" w:lineRule="exact"/>
        <w:ind w:left="840" w:right="0" w:firstLine="420"/>
        <w:jc w:val="both"/>
      </w:pPr>
      <w:r>
        <w:rPr>
          <w:color w:val="000000"/>
          <w:spacing w:val="0"/>
          <w:w w:val="100"/>
          <w:position w:val="0"/>
        </w:rPr>
        <w:t>转股期限：本次发行的可转债转股期限为自发行结束之日（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日）起满六个月后的第一个 交易日（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日）起至可转债到期日（</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日）止。</w:t>
      </w:r>
    </w:p>
    <w:p>
      <w:pPr>
        <w:pStyle w:val="Style35"/>
        <w:keepNext/>
        <w:keepLines/>
        <w:widowControl w:val="0"/>
        <w:shd w:val="clear" w:color="auto" w:fill="auto"/>
        <w:bidi w:val="0"/>
        <w:spacing w:before="0" w:line="466" w:lineRule="exact"/>
        <w:ind w:left="0" w:right="0" w:firstLine="84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3</w:t>
      </w:r>
      <w:bookmarkEnd w:id="1601"/>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599"/>
      <w:bookmarkEnd w:id="1600"/>
      <w:bookmarkEnd w:id="1602"/>
    </w:p>
    <w:p>
      <w:pPr>
        <w:pStyle w:val="Style28"/>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73,182,520.90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106,771,186.78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73,182,520.90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106,771,186.78</w:t>
            </w:r>
          </w:p>
        </w:tc>
      </w:tr>
    </w:tbl>
    <w:p>
      <w:pPr>
        <w:pStyle w:val="Style48"/>
        <w:keepNext/>
        <w:keepLines/>
        <w:widowControl w:val="0"/>
        <w:shd w:val="clear" w:color="auto" w:fill="auto"/>
        <w:bidi w:val="0"/>
        <w:spacing w:before="0" w:after="360" w:line="240" w:lineRule="auto"/>
        <w:ind w:left="0" w:right="0" w:firstLine="960"/>
        <w:jc w:val="both"/>
      </w:pPr>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03"/>
      <w:bookmarkEnd w:id="1604"/>
      <w:bookmarkEnd w:id="16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350,119,390.04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335,663,496.35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276,936,869.14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228,892,309.57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48"/>
        <w:keepNext/>
        <w:keepLines/>
        <w:widowControl w:val="0"/>
        <w:shd w:val="clear" w:color="auto" w:fill="auto"/>
        <w:tabs>
          <w:tab w:pos="1582" w:val="left"/>
        </w:tabs>
        <w:bidi w:val="0"/>
        <w:spacing w:before="0" w:after="0" w:line="411" w:lineRule="exact"/>
        <w:ind w:left="1260" w:right="0" w:firstLine="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b w:val="0"/>
          <w:bCs w:val="0"/>
          <w:color w:val="000000"/>
          <w:spacing w:val="0"/>
          <w:w w:val="100"/>
          <w:position w:val="0"/>
        </w:rPr>
        <w:t>1</w:t>
      </w:r>
      <w:bookmarkEnd w:id="1608"/>
      <w:r>
        <w:rPr>
          <w:b w:val="0"/>
          <w:bCs w:val="0"/>
          <w:color w:val="000000"/>
          <w:spacing w:val="0"/>
          <w:w w:val="100"/>
          <w:position w:val="0"/>
        </w:rPr>
        <w:t>）</w:t>
        <w:tab/>
        <w:t>平安国际融资租赁有限公司</w:t>
      </w:r>
      <w:bookmarkEnd w:id="1606"/>
      <w:bookmarkEnd w:id="1607"/>
      <w:bookmarkEnd w:id="1609"/>
    </w:p>
    <w:p>
      <w:pPr>
        <w:pStyle w:val="Style38"/>
        <w:keepNext w:val="0"/>
        <w:keepLines w:val="0"/>
        <w:widowControl w:val="0"/>
        <w:numPr>
          <w:ilvl w:val="0"/>
          <w:numId w:val="107"/>
        </w:numPr>
        <w:shd w:val="clear" w:color="auto" w:fill="auto"/>
        <w:tabs>
          <w:tab w:pos="1469" w:val="left"/>
        </w:tabs>
        <w:bidi w:val="0"/>
        <w:spacing w:before="0" w:after="0" w:line="411" w:lineRule="exact"/>
        <w:ind w:left="820" w:right="0" w:firstLine="440"/>
        <w:jc w:val="both"/>
      </w:pPr>
      <w:bookmarkStart w:id="1610" w:name="bookmark1610"/>
      <w:bookmarkEnd w:id="1610"/>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日，公司全资子公司蓝盾信息安全技术有限公司与平安国际融资租赁有限公司签订 《售后回租赁合同》，融资租赁借款</w:t>
      </w:r>
      <w:r>
        <w:rPr>
          <w:rFonts w:ascii="Times New Roman" w:eastAsia="Times New Roman" w:hAnsi="Times New Roman" w:cs="Times New Roman"/>
          <w:color w:val="000000"/>
          <w:spacing w:val="0"/>
          <w:w w:val="100"/>
          <w:position w:val="0"/>
        </w:rPr>
        <w:t>11,000,000.00</w:t>
      </w:r>
      <w:r>
        <w:rPr>
          <w:color w:val="000000"/>
          <w:spacing w:val="0"/>
          <w:w w:val="100"/>
          <w:position w:val="0"/>
        </w:rPr>
        <w:t>元，租赁期限为</w:t>
      </w:r>
      <w:r>
        <w:rPr>
          <w:rFonts w:ascii="Times New Roman" w:eastAsia="Times New Roman" w:hAnsi="Times New Roman" w:cs="Times New Roman"/>
          <w:color w:val="000000"/>
          <w:spacing w:val="0"/>
          <w:w w:val="100"/>
          <w:position w:val="0"/>
        </w:rPr>
        <w:t>24</w:t>
      </w:r>
      <w:r>
        <w:rPr>
          <w:color w:val="000000"/>
          <w:spacing w:val="0"/>
          <w:w w:val="100"/>
          <w:position w:val="0"/>
        </w:rPr>
        <w:t>个月，分</w:t>
      </w:r>
      <w:r>
        <w:rPr>
          <w:rFonts w:ascii="Times New Roman" w:eastAsia="Times New Roman" w:hAnsi="Times New Roman" w:cs="Times New Roman"/>
          <w:color w:val="000000"/>
          <w:spacing w:val="0"/>
          <w:w w:val="100"/>
          <w:position w:val="0"/>
        </w:rPr>
        <w:t>24</w:t>
      </w:r>
      <w:r>
        <w:rPr>
          <w:color w:val="000000"/>
          <w:spacing w:val="0"/>
          <w:w w:val="100"/>
          <w:position w:val="0"/>
        </w:rPr>
        <w:t>期还款，每期租金</w:t>
      </w:r>
    </w:p>
    <w:p>
      <w:pPr>
        <w:pStyle w:val="Style38"/>
        <w:keepNext w:val="0"/>
        <w:keepLines w:val="0"/>
        <w:widowControl w:val="0"/>
        <w:shd w:val="clear" w:color="auto" w:fill="auto"/>
        <w:bidi w:val="0"/>
        <w:spacing w:before="0" w:after="100" w:line="411" w:lineRule="exact"/>
        <w:ind w:left="820" w:right="0" w:firstLine="20"/>
        <w:jc w:val="both"/>
      </w:pPr>
      <w:r>
        <w:rPr>
          <w:rFonts w:ascii="Times New Roman" w:eastAsia="Times New Roman" w:hAnsi="Times New Roman" w:cs="Times New Roman"/>
          <w:color w:val="000000"/>
          <w:spacing w:val="0"/>
          <w:w w:val="100"/>
          <w:position w:val="0"/>
        </w:rPr>
        <w:t>1,453,464.50</w:t>
      </w:r>
      <w:r>
        <w:rPr>
          <w:color w:val="000000"/>
          <w:spacing w:val="0"/>
          <w:w w:val="100"/>
          <w:position w:val="0"/>
        </w:rPr>
        <w:t>元，期满后回购价为</w:t>
      </w:r>
      <w:r>
        <w:rPr>
          <w:rFonts w:ascii="Times New Roman" w:eastAsia="Times New Roman" w:hAnsi="Times New Roman" w:cs="Times New Roman"/>
          <w:color w:val="000000"/>
          <w:spacing w:val="0"/>
          <w:w w:val="100"/>
          <w:position w:val="0"/>
        </w:rPr>
        <w:t>100.00</w:t>
      </w:r>
      <w:r>
        <w:rPr>
          <w:color w:val="000000"/>
          <w:spacing w:val="0"/>
          <w:w w:val="100"/>
          <w:position w:val="0"/>
        </w:rPr>
        <w:t>元。蓝盾信息安全技术有限公司支付保证金</w:t>
      </w:r>
      <w:r>
        <w:rPr>
          <w:rFonts w:ascii="Times New Roman" w:eastAsia="Times New Roman" w:hAnsi="Times New Roman" w:cs="Times New Roman"/>
          <w:color w:val="000000"/>
          <w:spacing w:val="0"/>
          <w:w w:val="100"/>
          <w:position w:val="0"/>
        </w:rPr>
        <w:t>1,100,000.00</w:t>
      </w:r>
      <w:r>
        <w:rPr>
          <w:color w:val="000000"/>
          <w:spacing w:val="0"/>
          <w:w w:val="100"/>
          <w:position w:val="0"/>
        </w:rPr>
        <w:t>元，并 由蓝盾信息安全技术股份有限公司提供连带责任保证。因蓝盾信息安全技术有限公司逾期支付租金及未履 行法院判决书确定的还款义务，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日，蓝盾信息安全技术有限公司与平安国际融资租赁有限 公司签订《执行和解协议》，约定从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至至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日共支付平安国际融资租赁有 限公司租金</w:t>
      </w:r>
      <w:r>
        <w:rPr>
          <w:rFonts w:ascii="Times New Roman" w:eastAsia="Times New Roman" w:hAnsi="Times New Roman" w:cs="Times New Roman"/>
          <w:color w:val="000000"/>
          <w:spacing w:val="0"/>
          <w:w w:val="100"/>
          <w:position w:val="0"/>
        </w:rPr>
        <w:t>4,977,315.19</w:t>
      </w:r>
      <w:r>
        <w:rPr>
          <w:color w:val="000000"/>
          <w:spacing w:val="0"/>
          <w:w w:val="100"/>
          <w:position w:val="0"/>
        </w:rPr>
        <w:t>元，分</w:t>
      </w:r>
      <w:r>
        <w:rPr>
          <w:rFonts w:ascii="Times New Roman" w:eastAsia="Times New Roman" w:hAnsi="Times New Roman" w:cs="Times New Roman"/>
          <w:color w:val="000000"/>
          <w:spacing w:val="0"/>
          <w:w w:val="100"/>
          <w:position w:val="0"/>
        </w:rPr>
        <w:t>12</w:t>
      </w:r>
      <w:r>
        <w:rPr>
          <w:color w:val="000000"/>
          <w:spacing w:val="0"/>
          <w:w w:val="100"/>
          <w:position w:val="0"/>
        </w:rPr>
        <w:t>月还款，每期租金不等，蓝盾信息安全技术股份有限公司提供连带责任 保证。</w:t>
      </w:r>
    </w:p>
    <w:p>
      <w:pPr>
        <w:pStyle w:val="Style38"/>
        <w:keepNext w:val="0"/>
        <w:keepLines w:val="0"/>
        <w:widowControl w:val="0"/>
        <w:numPr>
          <w:ilvl w:val="0"/>
          <w:numId w:val="107"/>
        </w:numPr>
        <w:shd w:val="clear" w:color="auto" w:fill="auto"/>
        <w:tabs>
          <w:tab w:pos="1469" w:val="left"/>
        </w:tabs>
        <w:bidi w:val="0"/>
        <w:spacing w:before="0" w:after="0" w:line="412" w:lineRule="exact"/>
        <w:ind w:left="820" w:right="0" w:firstLine="440"/>
        <w:jc w:val="both"/>
      </w:pPr>
      <w:bookmarkStart w:id="1611" w:name="bookmark1611"/>
      <w:bookmarkEnd w:id="1611"/>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日，公司全资子公司蓝盾信息安全技术有限公司与平安国际融资租赁有限公司签订 《售后回租赁合同》，融资租赁借款</w:t>
      </w:r>
      <w:r>
        <w:rPr>
          <w:rFonts w:ascii="Times New Roman" w:eastAsia="Times New Roman" w:hAnsi="Times New Roman" w:cs="Times New Roman"/>
          <w:color w:val="000000"/>
          <w:spacing w:val="0"/>
          <w:w w:val="100"/>
          <w:position w:val="0"/>
        </w:rPr>
        <w:t>11,000,000.00</w:t>
      </w:r>
      <w:r>
        <w:rPr>
          <w:color w:val="000000"/>
          <w:spacing w:val="0"/>
          <w:w w:val="100"/>
          <w:position w:val="0"/>
        </w:rPr>
        <w:t>元，租赁期限为</w:t>
      </w:r>
      <w:r>
        <w:rPr>
          <w:rFonts w:ascii="Times New Roman" w:eastAsia="Times New Roman" w:hAnsi="Times New Roman" w:cs="Times New Roman"/>
          <w:color w:val="000000"/>
          <w:spacing w:val="0"/>
          <w:w w:val="100"/>
          <w:position w:val="0"/>
        </w:rPr>
        <w:t>24</w:t>
      </w:r>
      <w:r>
        <w:rPr>
          <w:color w:val="000000"/>
          <w:spacing w:val="0"/>
          <w:w w:val="100"/>
          <w:position w:val="0"/>
        </w:rPr>
        <w:t>个月，分</w:t>
      </w:r>
      <w:r>
        <w:rPr>
          <w:rFonts w:ascii="Times New Roman" w:eastAsia="Times New Roman" w:hAnsi="Times New Roman" w:cs="Times New Roman"/>
          <w:color w:val="000000"/>
          <w:spacing w:val="0"/>
          <w:w w:val="100"/>
          <w:position w:val="0"/>
        </w:rPr>
        <w:t>24</w:t>
      </w:r>
      <w:r>
        <w:rPr>
          <w:color w:val="000000"/>
          <w:spacing w:val="0"/>
          <w:w w:val="100"/>
          <w:position w:val="0"/>
        </w:rPr>
        <w:t>期还款，每期租金</w:t>
      </w:r>
    </w:p>
    <w:p>
      <w:pPr>
        <w:pStyle w:val="Style38"/>
        <w:keepNext w:val="0"/>
        <w:keepLines w:val="0"/>
        <w:widowControl w:val="0"/>
        <w:shd w:val="clear" w:color="auto" w:fill="auto"/>
        <w:bidi w:val="0"/>
        <w:spacing w:before="0" w:after="100" w:line="412" w:lineRule="exact"/>
        <w:ind w:left="820" w:right="0" w:firstLine="20"/>
        <w:jc w:val="both"/>
      </w:pPr>
      <w:r>
        <w:rPr>
          <w:rFonts w:ascii="Times New Roman" w:eastAsia="Times New Roman" w:hAnsi="Times New Roman" w:cs="Times New Roman"/>
          <w:color w:val="000000"/>
          <w:spacing w:val="0"/>
          <w:w w:val="100"/>
          <w:position w:val="0"/>
        </w:rPr>
        <w:t>1,453,464.50</w:t>
      </w:r>
      <w:r>
        <w:rPr>
          <w:color w:val="000000"/>
          <w:spacing w:val="0"/>
          <w:w w:val="100"/>
          <w:position w:val="0"/>
        </w:rPr>
        <w:t>元，期满后回购价为</w:t>
      </w:r>
      <w:r>
        <w:rPr>
          <w:rFonts w:ascii="Times New Roman" w:eastAsia="Times New Roman" w:hAnsi="Times New Roman" w:cs="Times New Roman"/>
          <w:color w:val="000000"/>
          <w:spacing w:val="0"/>
          <w:w w:val="100"/>
          <w:position w:val="0"/>
        </w:rPr>
        <w:t>100.00</w:t>
      </w:r>
      <w:r>
        <w:rPr>
          <w:color w:val="000000"/>
          <w:spacing w:val="0"/>
          <w:w w:val="100"/>
          <w:position w:val="0"/>
        </w:rPr>
        <w:t>元。蓝盾信息安全技术有限公司支付保证金</w:t>
      </w:r>
      <w:r>
        <w:rPr>
          <w:rFonts w:ascii="Times New Roman" w:eastAsia="Times New Roman" w:hAnsi="Times New Roman" w:cs="Times New Roman"/>
          <w:color w:val="000000"/>
          <w:spacing w:val="0"/>
          <w:w w:val="100"/>
          <w:position w:val="0"/>
        </w:rPr>
        <w:t>1,100,000.00</w:t>
      </w:r>
      <w:r>
        <w:rPr>
          <w:color w:val="000000"/>
          <w:spacing w:val="0"/>
          <w:w w:val="100"/>
          <w:position w:val="0"/>
        </w:rPr>
        <w:t>元，并 由蓝盾信息安全技术股份有限公司提供连带责任保证。因蓝盾信息安全技术有限公司逾期支付租金及未履 行法院判决书确定的还款义务，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日，蓝盾信息安全技术有限公司与平安国际融资租赁有 限公司签订《执行和解协议》，约定从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至至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日共支付平安国际融资租赁 有限公司租金</w:t>
      </w:r>
      <w:r>
        <w:rPr>
          <w:rFonts w:ascii="Times New Roman" w:eastAsia="Times New Roman" w:hAnsi="Times New Roman" w:cs="Times New Roman"/>
          <w:color w:val="000000"/>
          <w:spacing w:val="0"/>
          <w:w w:val="100"/>
          <w:position w:val="0"/>
        </w:rPr>
        <w:t>4,577,500.00</w:t>
      </w:r>
      <w:r>
        <w:rPr>
          <w:color w:val="000000"/>
          <w:spacing w:val="0"/>
          <w:w w:val="100"/>
          <w:position w:val="0"/>
        </w:rPr>
        <w:t>元，分</w:t>
      </w:r>
      <w:r>
        <w:rPr>
          <w:rFonts w:ascii="Times New Roman" w:eastAsia="Times New Roman" w:hAnsi="Times New Roman" w:cs="Times New Roman"/>
          <w:color w:val="000000"/>
          <w:spacing w:val="0"/>
          <w:w w:val="100"/>
          <w:position w:val="0"/>
        </w:rPr>
        <w:t>12</w:t>
      </w:r>
      <w:r>
        <w:rPr>
          <w:color w:val="000000"/>
          <w:spacing w:val="0"/>
          <w:w w:val="100"/>
          <w:position w:val="0"/>
        </w:rPr>
        <w:t>月还款，每期租金不等，蓝盾信息安全技术股份有限公司提供连带责 任保证。</w:t>
      </w:r>
    </w:p>
    <w:p>
      <w:pPr>
        <w:pStyle w:val="Style38"/>
        <w:keepNext w:val="0"/>
        <w:keepLines w:val="0"/>
        <w:widowControl w:val="0"/>
        <w:shd w:val="clear" w:color="auto" w:fill="auto"/>
        <w:tabs>
          <w:tab w:pos="1592" w:val="left"/>
        </w:tabs>
        <w:bidi w:val="0"/>
        <w:spacing w:before="0" w:after="100" w:line="412" w:lineRule="exact"/>
        <w:ind w:left="1260" w:right="0" w:firstLine="0"/>
        <w:jc w:val="both"/>
      </w:pPr>
      <w:bookmarkStart w:id="1612" w:name="bookmark1612"/>
      <w:r>
        <w:rPr>
          <w:rFonts w:ascii="Times New Roman" w:eastAsia="Times New Roman" w:hAnsi="Times New Roman" w:cs="Times New Roman"/>
          <w:color w:val="000000"/>
          <w:spacing w:val="0"/>
          <w:w w:val="100"/>
          <w:position w:val="0"/>
        </w:rPr>
        <w:t>2</w:t>
      </w:r>
      <w:bookmarkEnd w:id="1612"/>
      <w:r>
        <w:rPr>
          <w:color w:val="000000"/>
          <w:spacing w:val="0"/>
          <w:w w:val="100"/>
          <w:position w:val="0"/>
        </w:rPr>
        <w:t>）</w:t>
        <w:tab/>
        <w:t>广发融资租赁</w:t>
      </w:r>
    </w:p>
    <w:p>
      <w:pPr>
        <w:pStyle w:val="Style38"/>
        <w:keepNext w:val="0"/>
        <w:keepLines w:val="0"/>
        <w:widowControl w:val="0"/>
        <w:numPr>
          <w:ilvl w:val="0"/>
          <w:numId w:val="109"/>
        </w:numPr>
        <w:shd w:val="clear" w:color="auto" w:fill="auto"/>
        <w:bidi w:val="0"/>
        <w:spacing w:before="0" w:after="100" w:line="412" w:lineRule="exact"/>
        <w:ind w:left="820" w:right="0" w:firstLine="440"/>
        <w:jc w:val="both"/>
      </w:pPr>
      <w:bookmarkStart w:id="1613" w:name="bookmark1613"/>
      <w:bookmarkEnd w:id="1613"/>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日，公司与广发融资租赁（广东）有限公司签订《售后回租赁合同》和《所有权转 让协议》，融资租赁借款</w:t>
      </w:r>
      <w:r>
        <w:rPr>
          <w:rFonts w:ascii="Times New Roman" w:eastAsia="Times New Roman" w:hAnsi="Times New Roman" w:cs="Times New Roman"/>
          <w:color w:val="000000"/>
          <w:spacing w:val="0"/>
          <w:w w:val="100"/>
          <w:position w:val="0"/>
        </w:rPr>
        <w:t>40,000,000</w:t>
      </w:r>
      <w:r>
        <w:rPr>
          <w:color w:val="000000"/>
          <w:spacing w:val="0"/>
          <w:w w:val="100"/>
          <w:position w:val="0"/>
        </w:rPr>
        <w:t>元，租赁期限为</w:t>
      </w:r>
      <w:r>
        <w:rPr>
          <w:rFonts w:ascii="Times New Roman" w:eastAsia="Times New Roman" w:hAnsi="Times New Roman" w:cs="Times New Roman"/>
          <w:color w:val="000000"/>
          <w:spacing w:val="0"/>
          <w:w w:val="100"/>
          <w:position w:val="0"/>
        </w:rPr>
        <w:t>36</w:t>
      </w:r>
      <w:r>
        <w:rPr>
          <w:color w:val="000000"/>
          <w:spacing w:val="0"/>
          <w:w w:val="100"/>
          <w:position w:val="0"/>
        </w:rPr>
        <w:t>个月，分</w:t>
      </w:r>
      <w:r>
        <w:rPr>
          <w:rFonts w:ascii="Times New Roman" w:eastAsia="Times New Roman" w:hAnsi="Times New Roman" w:cs="Times New Roman"/>
          <w:color w:val="000000"/>
          <w:spacing w:val="0"/>
          <w:w w:val="100"/>
          <w:position w:val="0"/>
        </w:rPr>
        <w:t>12</w:t>
      </w:r>
      <w:r>
        <w:rPr>
          <w:color w:val="000000"/>
          <w:spacing w:val="0"/>
          <w:w w:val="100"/>
          <w:position w:val="0"/>
        </w:rPr>
        <w:t>期还款，第</w:t>
      </w:r>
      <w:r>
        <w:rPr>
          <w:rFonts w:ascii="Times New Roman" w:eastAsia="Times New Roman" w:hAnsi="Times New Roman" w:cs="Times New Roman"/>
          <w:color w:val="000000"/>
          <w:spacing w:val="0"/>
          <w:w w:val="100"/>
          <w:position w:val="0"/>
        </w:rPr>
        <w:t>1-4</w:t>
      </w:r>
      <w:r>
        <w:rPr>
          <w:color w:val="000000"/>
          <w:spacing w:val="0"/>
          <w:w w:val="100"/>
          <w:position w:val="0"/>
        </w:rPr>
        <w:t>期租金为</w:t>
      </w:r>
      <w:r>
        <w:rPr>
          <w:rFonts w:ascii="Times New Roman" w:eastAsia="Times New Roman" w:hAnsi="Times New Roman" w:cs="Times New Roman"/>
          <w:color w:val="000000"/>
          <w:spacing w:val="0"/>
          <w:w w:val="100"/>
          <w:position w:val="0"/>
        </w:rPr>
        <w:t>5,101,500</w:t>
      </w:r>
      <w:r>
        <w:rPr>
          <w:color w:val="000000"/>
          <w:spacing w:val="0"/>
          <w:w w:val="100"/>
          <w:position w:val="0"/>
        </w:rPr>
        <w:t>元， 第</w:t>
      </w:r>
      <w:r>
        <w:rPr>
          <w:rFonts w:ascii="Times New Roman" w:eastAsia="Times New Roman" w:hAnsi="Times New Roman" w:cs="Times New Roman"/>
          <w:color w:val="000000"/>
          <w:spacing w:val="0"/>
          <w:w w:val="100"/>
          <w:position w:val="0"/>
        </w:rPr>
        <w:t>5-8</w:t>
      </w:r>
      <w:r>
        <w:rPr>
          <w:color w:val="000000"/>
          <w:spacing w:val="0"/>
          <w:w w:val="100"/>
          <w:position w:val="0"/>
        </w:rPr>
        <w:t>期租金为</w:t>
      </w:r>
      <w:r>
        <w:rPr>
          <w:rFonts w:ascii="Times New Roman" w:eastAsia="Times New Roman" w:hAnsi="Times New Roman" w:cs="Times New Roman"/>
          <w:color w:val="000000"/>
          <w:spacing w:val="0"/>
          <w:w w:val="100"/>
          <w:position w:val="0"/>
        </w:rPr>
        <w:t>3,120,900</w:t>
      </w:r>
      <w:r>
        <w:rPr>
          <w:color w:val="000000"/>
          <w:spacing w:val="0"/>
          <w:w w:val="100"/>
          <w:position w:val="0"/>
        </w:rPr>
        <w:t>元，第</w:t>
      </w:r>
      <w:r>
        <w:rPr>
          <w:rFonts w:ascii="Times New Roman" w:eastAsia="Times New Roman" w:hAnsi="Times New Roman" w:cs="Times New Roman"/>
          <w:color w:val="000000"/>
          <w:spacing w:val="0"/>
          <w:w w:val="100"/>
          <w:position w:val="0"/>
        </w:rPr>
        <w:t>9-12</w:t>
      </w:r>
      <w:r>
        <w:rPr>
          <w:color w:val="000000"/>
          <w:spacing w:val="0"/>
          <w:w w:val="100"/>
          <w:position w:val="0"/>
        </w:rPr>
        <w:t>期租金为</w:t>
      </w:r>
      <w:r>
        <w:rPr>
          <w:rFonts w:ascii="Times New Roman" w:eastAsia="Times New Roman" w:hAnsi="Times New Roman" w:cs="Times New Roman"/>
          <w:color w:val="000000"/>
          <w:spacing w:val="0"/>
          <w:w w:val="100"/>
          <w:position w:val="0"/>
        </w:rPr>
        <w:t>2,593,500</w:t>
      </w:r>
      <w:r>
        <w:rPr>
          <w:color w:val="000000"/>
          <w:spacing w:val="0"/>
          <w:w w:val="100"/>
          <w:position w:val="0"/>
        </w:rPr>
        <w:t>元，期满后回购价为</w:t>
      </w:r>
      <w:r>
        <w:rPr>
          <w:rFonts w:ascii="Times New Roman" w:eastAsia="Times New Roman" w:hAnsi="Times New Roman" w:cs="Times New Roman"/>
          <w:color w:val="000000"/>
          <w:spacing w:val="0"/>
          <w:w w:val="100"/>
          <w:position w:val="0"/>
        </w:rPr>
        <w:t>100</w:t>
      </w:r>
      <w:r>
        <w:rPr>
          <w:color w:val="000000"/>
          <w:spacing w:val="0"/>
          <w:w w:val="100"/>
          <w:position w:val="0"/>
        </w:rPr>
        <w:t>元。该借款以公司的《计 算机软件著作权》作为质押。公司于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日对该笔融资租赁进行展期，将原定于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日偿还的第</w:t>
      </w:r>
      <w:r>
        <w:rPr>
          <w:rFonts w:ascii="Times New Roman" w:eastAsia="Times New Roman" w:hAnsi="Times New Roman" w:cs="Times New Roman"/>
          <w:color w:val="000000"/>
          <w:spacing w:val="0"/>
          <w:w w:val="100"/>
          <w:position w:val="0"/>
        </w:rPr>
        <w:t>4</w:t>
      </w:r>
      <w:r>
        <w:rPr>
          <w:color w:val="000000"/>
          <w:spacing w:val="0"/>
          <w:w w:val="100"/>
          <w:position w:val="0"/>
        </w:rPr>
        <w:t>期租金</w:t>
      </w:r>
      <w:r>
        <w:rPr>
          <w:rFonts w:ascii="Times New Roman" w:eastAsia="Times New Roman" w:hAnsi="Times New Roman" w:cs="Times New Roman"/>
          <w:color w:val="000000"/>
          <w:spacing w:val="0"/>
          <w:w w:val="100"/>
          <w:position w:val="0"/>
        </w:rPr>
        <w:t>5,101,500</w:t>
      </w:r>
      <w:r>
        <w:rPr>
          <w:color w:val="000000"/>
          <w:spacing w:val="0"/>
          <w:w w:val="100"/>
          <w:position w:val="0"/>
        </w:rPr>
        <w:t>元展期到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日偿还，需支付</w:t>
      </w:r>
      <w:r>
        <w:rPr>
          <w:rFonts w:ascii="Times New Roman" w:eastAsia="Times New Roman" w:hAnsi="Times New Roman" w:cs="Times New Roman"/>
          <w:color w:val="000000"/>
          <w:spacing w:val="0"/>
          <w:w w:val="100"/>
          <w:position w:val="0"/>
        </w:rPr>
        <w:t>451,634.08</w:t>
      </w:r>
      <w:r>
        <w:rPr>
          <w:color w:val="000000"/>
          <w:spacing w:val="0"/>
          <w:w w:val="100"/>
          <w:position w:val="0"/>
        </w:rPr>
        <w:t>元的展期利息， 剩余期间租金按原定期间偿还。</w:t>
      </w:r>
    </w:p>
    <w:p>
      <w:pPr>
        <w:pStyle w:val="Style38"/>
        <w:keepNext w:val="0"/>
        <w:keepLines w:val="0"/>
        <w:widowControl w:val="0"/>
        <w:shd w:val="clear" w:color="auto" w:fill="auto"/>
        <w:tabs>
          <w:tab w:pos="1592" w:val="left"/>
        </w:tabs>
        <w:bidi w:val="0"/>
        <w:spacing w:before="0" w:after="100" w:line="412" w:lineRule="exact"/>
        <w:ind w:left="1260" w:right="0" w:firstLine="0"/>
        <w:jc w:val="both"/>
      </w:pPr>
      <w:bookmarkStart w:id="1614" w:name="bookmark1614"/>
      <w:r>
        <w:rPr>
          <w:rFonts w:ascii="Times New Roman" w:eastAsia="Times New Roman" w:hAnsi="Times New Roman" w:cs="Times New Roman"/>
          <w:color w:val="000000"/>
          <w:spacing w:val="0"/>
          <w:w w:val="100"/>
          <w:position w:val="0"/>
        </w:rPr>
        <w:t>3</w:t>
      </w:r>
      <w:bookmarkEnd w:id="1614"/>
      <w:r>
        <w:rPr>
          <w:color w:val="000000"/>
          <w:spacing w:val="0"/>
          <w:w w:val="100"/>
          <w:position w:val="0"/>
        </w:rPr>
        <w:t>）</w:t>
        <w:tab/>
        <w:t>中航国际租赁有限公司</w:t>
      </w:r>
    </w:p>
    <w:p>
      <w:pPr>
        <w:pStyle w:val="Style38"/>
        <w:keepNext w:val="0"/>
        <w:keepLines w:val="0"/>
        <w:widowControl w:val="0"/>
        <w:shd w:val="clear" w:color="auto" w:fill="auto"/>
        <w:bidi w:val="0"/>
        <w:spacing w:before="0" w:after="100" w:line="410" w:lineRule="exact"/>
        <w:ind w:left="840" w:right="0" w:firstLine="420"/>
        <w:jc w:val="both"/>
      </w:pPr>
      <w:r>
        <w:rPr>
          <w:color w:val="000000"/>
          <w:spacing w:val="0"/>
          <w:w w:val="100"/>
          <w:position w:val="0"/>
        </w:rPr>
        <w:t>①</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日，公司控股子公司深圳市蓝盾满泰科技发展有限公司与中航国际租赁有限公司签 订了《售后回租赁合同》，融资租赁借款</w:t>
      </w:r>
      <w:r>
        <w:rPr>
          <w:rFonts w:ascii="Times New Roman" w:eastAsia="Times New Roman" w:hAnsi="Times New Roman" w:cs="Times New Roman"/>
          <w:color w:val="000000"/>
          <w:spacing w:val="0"/>
          <w:w w:val="100"/>
          <w:position w:val="0"/>
        </w:rPr>
        <w:t>45,000,000</w:t>
      </w:r>
      <w:r>
        <w:rPr>
          <w:color w:val="000000"/>
          <w:spacing w:val="0"/>
          <w:w w:val="100"/>
          <w:position w:val="0"/>
        </w:rPr>
        <w:t>元，租赁期限为</w:t>
      </w:r>
      <w:r>
        <w:rPr>
          <w:rFonts w:ascii="Times New Roman" w:eastAsia="Times New Roman" w:hAnsi="Times New Roman" w:cs="Times New Roman"/>
          <w:color w:val="000000"/>
          <w:spacing w:val="0"/>
          <w:w w:val="100"/>
          <w:position w:val="0"/>
        </w:rPr>
        <w:t>36</w:t>
      </w:r>
      <w:r>
        <w:rPr>
          <w:color w:val="000000"/>
          <w:spacing w:val="0"/>
          <w:w w:val="100"/>
          <w:position w:val="0"/>
        </w:rPr>
        <w:t>个月，分</w:t>
      </w:r>
      <w:r>
        <w:rPr>
          <w:rFonts w:ascii="Times New Roman" w:eastAsia="Times New Roman" w:hAnsi="Times New Roman" w:cs="Times New Roman"/>
          <w:color w:val="000000"/>
          <w:spacing w:val="0"/>
          <w:w w:val="100"/>
          <w:position w:val="0"/>
        </w:rPr>
        <w:t>12</w:t>
      </w:r>
      <w:r>
        <w:rPr>
          <w:color w:val="000000"/>
          <w:spacing w:val="0"/>
          <w:w w:val="100"/>
          <w:position w:val="0"/>
        </w:rPr>
        <w:t>期还款，每期租金不 等，期满后回购价为</w:t>
      </w:r>
      <w:r>
        <w:rPr>
          <w:rFonts w:ascii="Times New Roman" w:eastAsia="Times New Roman" w:hAnsi="Times New Roman" w:cs="Times New Roman"/>
          <w:color w:val="000000"/>
          <w:spacing w:val="0"/>
          <w:w w:val="100"/>
          <w:position w:val="0"/>
        </w:rPr>
        <w:t>100</w:t>
      </w:r>
      <w:r>
        <w:rPr>
          <w:color w:val="000000"/>
          <w:spacing w:val="0"/>
          <w:w w:val="100"/>
          <w:position w:val="0"/>
        </w:rPr>
        <w:t>元。该借款由蓝盾股份提供连带责任保证，柯宗贵、柯宗庆提供连带责任保证。</w:t>
      </w:r>
    </w:p>
    <w:p>
      <w:pPr>
        <w:pStyle w:val="Style38"/>
        <w:keepNext w:val="0"/>
        <w:keepLines w:val="0"/>
        <w:widowControl w:val="0"/>
        <w:shd w:val="clear" w:color="auto" w:fill="auto"/>
        <w:tabs>
          <w:tab w:pos="1592" w:val="left"/>
        </w:tabs>
        <w:bidi w:val="0"/>
        <w:spacing w:before="0" w:after="100" w:line="411" w:lineRule="exact"/>
        <w:ind w:left="1260" w:right="0" w:firstLine="0"/>
        <w:jc w:val="both"/>
      </w:pPr>
      <w:bookmarkStart w:id="1615" w:name="bookmark1615"/>
      <w:r>
        <w:rPr>
          <w:rFonts w:ascii="Times New Roman" w:eastAsia="Times New Roman" w:hAnsi="Times New Roman" w:cs="Times New Roman"/>
          <w:color w:val="000000"/>
          <w:spacing w:val="0"/>
          <w:w w:val="100"/>
          <w:position w:val="0"/>
        </w:rPr>
        <w:t>4</w:t>
      </w:r>
      <w:bookmarkEnd w:id="1615"/>
      <w:r>
        <w:rPr>
          <w:color w:val="000000"/>
          <w:spacing w:val="0"/>
          <w:w w:val="100"/>
          <w:position w:val="0"/>
        </w:rPr>
        <w:t>）</w:t>
        <w:tab/>
        <w:t>广东恒孚融资租赁有限公司</w:t>
      </w:r>
    </w:p>
    <w:p>
      <w:pPr>
        <w:pStyle w:val="Style38"/>
        <w:keepNext w:val="0"/>
        <w:keepLines w:val="0"/>
        <w:widowControl w:val="0"/>
        <w:shd w:val="clear" w:color="auto" w:fill="auto"/>
        <w:bidi w:val="0"/>
        <w:spacing w:before="0" w:after="100" w:line="414" w:lineRule="exact"/>
        <w:ind w:left="840" w:right="0" w:firstLine="420"/>
        <w:jc w:val="both"/>
      </w:pPr>
      <w:r>
        <w:rPr>
          <w:color w:val="000000"/>
          <w:spacing w:val="0"/>
          <w:w w:val="100"/>
          <w:position w:val="0"/>
        </w:rPr>
        <w:t>①</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日，公司全资子公司蓝盾信息安全技术有限公司与广东恒孚融资租赁有限公司签订 《售后回租赁合同》和《所有权转让协议》，融资租赁借款</w:t>
      </w:r>
      <w:r>
        <w:rPr>
          <w:rFonts w:ascii="Times New Roman" w:eastAsia="Times New Roman" w:hAnsi="Times New Roman" w:cs="Times New Roman"/>
          <w:color w:val="000000"/>
          <w:spacing w:val="0"/>
          <w:w w:val="100"/>
          <w:position w:val="0"/>
        </w:rPr>
        <w:t>30,000,000</w:t>
      </w:r>
      <w:r>
        <w:rPr>
          <w:color w:val="000000"/>
          <w:spacing w:val="0"/>
          <w:w w:val="100"/>
          <w:position w:val="0"/>
        </w:rPr>
        <w:t>元，租赁期限为</w:t>
      </w:r>
      <w:r>
        <w:rPr>
          <w:rFonts w:ascii="Times New Roman" w:eastAsia="Times New Roman" w:hAnsi="Times New Roman" w:cs="Times New Roman"/>
          <w:color w:val="000000"/>
          <w:spacing w:val="0"/>
          <w:w w:val="100"/>
          <w:position w:val="0"/>
        </w:rPr>
        <w:t>36</w:t>
      </w:r>
      <w:r>
        <w:rPr>
          <w:color w:val="000000"/>
          <w:spacing w:val="0"/>
          <w:w w:val="100"/>
          <w:position w:val="0"/>
        </w:rPr>
        <w:t>个月，分</w:t>
      </w:r>
      <w:r>
        <w:rPr>
          <w:rFonts w:ascii="Times New Roman" w:eastAsia="Times New Roman" w:hAnsi="Times New Roman" w:cs="Times New Roman"/>
          <w:color w:val="000000"/>
          <w:spacing w:val="0"/>
          <w:w w:val="100"/>
          <w:position w:val="0"/>
        </w:rPr>
        <w:t>8</w:t>
      </w:r>
      <w:r>
        <w:rPr>
          <w:color w:val="000000"/>
          <w:spacing w:val="0"/>
          <w:w w:val="100"/>
          <w:position w:val="0"/>
        </w:rPr>
        <w:t>期还 款，每期租金不等，期满后回购价为</w:t>
      </w:r>
      <w:r>
        <w:rPr>
          <w:rFonts w:ascii="Times New Roman" w:eastAsia="Times New Roman" w:hAnsi="Times New Roman" w:cs="Times New Roman"/>
          <w:color w:val="000000"/>
          <w:spacing w:val="0"/>
          <w:w w:val="100"/>
          <w:position w:val="0"/>
        </w:rPr>
        <w:t>1</w:t>
      </w:r>
      <w:r>
        <w:rPr>
          <w:color w:val="000000"/>
          <w:spacing w:val="0"/>
          <w:w w:val="100"/>
          <w:position w:val="0"/>
        </w:rPr>
        <w:t>元。该借款由蓝盾股份提供连带责任保证，柯宗贵、柯宗庆提供连 带责任保证。</w:t>
      </w:r>
    </w:p>
    <w:p>
      <w:pPr>
        <w:pStyle w:val="Style38"/>
        <w:keepNext w:val="0"/>
        <w:keepLines w:val="0"/>
        <w:widowControl w:val="0"/>
        <w:shd w:val="clear" w:color="auto" w:fill="auto"/>
        <w:tabs>
          <w:tab w:pos="1592" w:val="left"/>
        </w:tabs>
        <w:bidi w:val="0"/>
        <w:spacing w:before="0" w:after="100" w:line="411" w:lineRule="exact"/>
        <w:ind w:left="1260" w:right="0" w:firstLine="0"/>
        <w:jc w:val="both"/>
      </w:pPr>
      <w:bookmarkStart w:id="1616" w:name="bookmark1616"/>
      <w:r>
        <w:rPr>
          <w:rFonts w:ascii="Times New Roman" w:eastAsia="Times New Roman" w:hAnsi="Times New Roman" w:cs="Times New Roman"/>
          <w:color w:val="000000"/>
          <w:spacing w:val="0"/>
          <w:w w:val="100"/>
          <w:position w:val="0"/>
        </w:rPr>
        <w:t>5</w:t>
      </w:r>
      <w:bookmarkEnd w:id="1616"/>
      <w:r>
        <w:rPr>
          <w:color w:val="000000"/>
          <w:spacing w:val="0"/>
          <w:w w:val="100"/>
          <w:position w:val="0"/>
        </w:rPr>
        <w:t>）</w:t>
        <w:tab/>
        <w:t>科学城</w:t>
      </w:r>
      <w:r>
        <w:rPr>
          <w:rFonts w:ascii="Times New Roman" w:eastAsia="Times New Roman" w:hAnsi="Times New Roman" w:cs="Times New Roman"/>
          <w:color w:val="000000"/>
          <w:spacing w:val="0"/>
          <w:w w:val="100"/>
          <w:position w:val="0"/>
        </w:rPr>
        <w:t>（</w:t>
      </w:r>
      <w:r>
        <w:rPr>
          <w:color w:val="000000"/>
          <w:spacing w:val="0"/>
          <w:w w:val="100"/>
          <w:position w:val="0"/>
        </w:rPr>
        <w:t>广州</w:t>
      </w:r>
      <w:r>
        <w:rPr>
          <w:rFonts w:ascii="Times New Roman" w:eastAsia="Times New Roman" w:hAnsi="Times New Roman" w:cs="Times New Roman"/>
          <w:color w:val="000000"/>
          <w:spacing w:val="0"/>
          <w:w w:val="100"/>
          <w:position w:val="0"/>
        </w:rPr>
        <w:t>）</w:t>
      </w:r>
      <w:r>
        <w:rPr>
          <w:color w:val="000000"/>
          <w:spacing w:val="0"/>
          <w:w w:val="100"/>
          <w:position w:val="0"/>
        </w:rPr>
        <w:t>融资租赁有限公司</w:t>
      </w:r>
    </w:p>
    <w:p>
      <w:pPr>
        <w:pStyle w:val="Style38"/>
        <w:keepNext w:val="0"/>
        <w:keepLines w:val="0"/>
        <w:widowControl w:val="0"/>
        <w:numPr>
          <w:ilvl w:val="0"/>
          <w:numId w:val="111"/>
        </w:numPr>
        <w:shd w:val="clear" w:color="auto" w:fill="auto"/>
        <w:tabs>
          <w:tab w:pos="1594" w:val="left"/>
        </w:tabs>
        <w:bidi w:val="0"/>
        <w:spacing w:before="0" w:after="100" w:line="411" w:lineRule="exact"/>
        <w:ind w:left="840" w:right="0" w:firstLine="420"/>
        <w:jc w:val="both"/>
      </w:pPr>
      <w:bookmarkStart w:id="1617" w:name="bookmark1617"/>
      <w:bookmarkEnd w:id="1617"/>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日，公司全资子公司西咸新区蓝盾信息技术安全有限公司与科学城</w:t>
      </w:r>
      <w:r>
        <w:rPr>
          <w:rFonts w:ascii="Times New Roman" w:eastAsia="Times New Roman" w:hAnsi="Times New Roman" w:cs="Times New Roman"/>
          <w:color w:val="000000"/>
          <w:spacing w:val="0"/>
          <w:w w:val="100"/>
          <w:position w:val="0"/>
        </w:rPr>
        <w:t>（</w:t>
      </w:r>
      <w:r>
        <w:rPr>
          <w:color w:val="000000"/>
          <w:spacing w:val="0"/>
          <w:w w:val="100"/>
          <w:position w:val="0"/>
        </w:rPr>
        <w:t>广州</w:t>
      </w:r>
      <w:r>
        <w:rPr>
          <w:rFonts w:ascii="Times New Roman" w:eastAsia="Times New Roman" w:hAnsi="Times New Roman" w:cs="Times New Roman"/>
          <w:color w:val="000000"/>
          <w:spacing w:val="0"/>
          <w:w w:val="100"/>
          <w:position w:val="0"/>
        </w:rPr>
        <w:t>）</w:t>
      </w:r>
      <w:r>
        <w:rPr>
          <w:color w:val="000000"/>
          <w:spacing w:val="0"/>
          <w:w w:val="100"/>
          <w:position w:val="0"/>
        </w:rPr>
        <w:t>融资租赁有 限公司签订《融资租赁合同》，融资租赁借款</w:t>
      </w:r>
      <w:r>
        <w:rPr>
          <w:rFonts w:ascii="Times New Roman" w:eastAsia="Times New Roman" w:hAnsi="Times New Roman" w:cs="Times New Roman"/>
          <w:color w:val="000000"/>
          <w:spacing w:val="0"/>
          <w:w w:val="100"/>
          <w:position w:val="0"/>
        </w:rPr>
        <w:t>28,220,000</w:t>
      </w:r>
      <w:r>
        <w:rPr>
          <w:color w:val="000000"/>
          <w:spacing w:val="0"/>
          <w:w w:val="100"/>
          <w:position w:val="0"/>
        </w:rPr>
        <w:t>元，租赁期限为</w:t>
      </w:r>
      <w:r>
        <w:rPr>
          <w:rFonts w:ascii="Times New Roman" w:eastAsia="Times New Roman" w:hAnsi="Times New Roman" w:cs="Times New Roman"/>
          <w:color w:val="000000"/>
          <w:spacing w:val="0"/>
          <w:w w:val="100"/>
          <w:position w:val="0"/>
        </w:rPr>
        <w:t>20</w:t>
      </w:r>
      <w:r>
        <w:rPr>
          <w:color w:val="000000"/>
          <w:spacing w:val="0"/>
          <w:w w:val="100"/>
          <w:position w:val="0"/>
        </w:rPr>
        <w:t>个月，分</w:t>
      </w:r>
      <w:r>
        <w:rPr>
          <w:rFonts w:ascii="Times New Roman" w:eastAsia="Times New Roman" w:hAnsi="Times New Roman" w:cs="Times New Roman"/>
          <w:color w:val="000000"/>
          <w:spacing w:val="0"/>
          <w:w w:val="100"/>
          <w:position w:val="0"/>
        </w:rPr>
        <w:t>20</w:t>
      </w:r>
      <w:r>
        <w:rPr>
          <w:color w:val="000000"/>
          <w:spacing w:val="0"/>
          <w:w w:val="100"/>
          <w:position w:val="0"/>
        </w:rPr>
        <w:t>期还款，每期租 金不等，期满后回购价为</w:t>
      </w:r>
      <w:r>
        <w:rPr>
          <w:rFonts w:ascii="Times New Roman" w:eastAsia="Times New Roman" w:hAnsi="Times New Roman" w:cs="Times New Roman"/>
          <w:color w:val="000000"/>
          <w:spacing w:val="0"/>
          <w:w w:val="100"/>
          <w:position w:val="0"/>
        </w:rPr>
        <w:t>1,000</w:t>
      </w:r>
      <w:r>
        <w:rPr>
          <w:color w:val="000000"/>
          <w:spacing w:val="0"/>
          <w:w w:val="100"/>
          <w:position w:val="0"/>
        </w:rPr>
        <w:t>元。该借款由蓝盾股份提供连带责任保证，柯宗贵提供连带责任保证，以 子公司西咸新区蓝盾信息技术安全有限公司的电子设备作为抵押。</w:t>
      </w:r>
    </w:p>
    <w:p>
      <w:pPr>
        <w:pStyle w:val="Style38"/>
        <w:keepNext w:val="0"/>
        <w:keepLines w:val="0"/>
        <w:widowControl w:val="0"/>
        <w:numPr>
          <w:ilvl w:val="0"/>
          <w:numId w:val="111"/>
        </w:numPr>
        <w:shd w:val="clear" w:color="auto" w:fill="auto"/>
        <w:tabs>
          <w:tab w:pos="1594" w:val="left"/>
        </w:tabs>
        <w:bidi w:val="0"/>
        <w:spacing w:before="0" w:after="100" w:line="414" w:lineRule="exact"/>
        <w:ind w:left="840" w:right="0" w:firstLine="420"/>
        <w:jc w:val="both"/>
      </w:pPr>
      <w:bookmarkStart w:id="1618" w:name="bookmark1618"/>
      <w:bookmarkEnd w:id="1618"/>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日，公司全资子公司中经汇通电子商务有限公司与科学城</w:t>
      </w:r>
      <w:r>
        <w:rPr>
          <w:rFonts w:ascii="Times New Roman" w:eastAsia="Times New Roman" w:hAnsi="Times New Roman" w:cs="Times New Roman"/>
          <w:color w:val="000000"/>
          <w:spacing w:val="0"/>
          <w:w w:val="100"/>
          <w:position w:val="0"/>
        </w:rPr>
        <w:t>（</w:t>
      </w:r>
      <w:r>
        <w:rPr>
          <w:color w:val="000000"/>
          <w:spacing w:val="0"/>
          <w:w w:val="100"/>
          <w:position w:val="0"/>
        </w:rPr>
        <w:t>广州</w:t>
      </w:r>
      <w:r>
        <w:rPr>
          <w:rFonts w:ascii="Times New Roman" w:eastAsia="Times New Roman" w:hAnsi="Times New Roman" w:cs="Times New Roman"/>
          <w:color w:val="000000"/>
          <w:spacing w:val="0"/>
          <w:w w:val="100"/>
          <w:position w:val="0"/>
        </w:rPr>
        <w:t>）</w:t>
      </w:r>
      <w:r>
        <w:rPr>
          <w:color w:val="000000"/>
          <w:spacing w:val="0"/>
          <w:w w:val="100"/>
          <w:position w:val="0"/>
        </w:rPr>
        <w:t>融资租赁有限公司 签订《售后回租赁合同》，融资租赁借款</w:t>
      </w:r>
      <w:r>
        <w:rPr>
          <w:rFonts w:ascii="Times New Roman" w:eastAsia="Times New Roman" w:hAnsi="Times New Roman" w:cs="Times New Roman"/>
          <w:color w:val="000000"/>
          <w:spacing w:val="0"/>
          <w:w w:val="100"/>
          <w:position w:val="0"/>
        </w:rPr>
        <w:t>59,500,000</w:t>
      </w:r>
      <w:r>
        <w:rPr>
          <w:color w:val="000000"/>
          <w:spacing w:val="0"/>
          <w:w w:val="100"/>
          <w:position w:val="0"/>
        </w:rPr>
        <w:t>元，租赁期限为</w:t>
      </w:r>
      <w:r>
        <w:rPr>
          <w:rFonts w:ascii="Times New Roman" w:eastAsia="Times New Roman" w:hAnsi="Times New Roman" w:cs="Times New Roman"/>
          <w:color w:val="000000"/>
          <w:spacing w:val="0"/>
          <w:w w:val="100"/>
          <w:position w:val="0"/>
        </w:rPr>
        <w:t>24</w:t>
      </w:r>
      <w:r>
        <w:rPr>
          <w:color w:val="000000"/>
          <w:spacing w:val="0"/>
          <w:w w:val="100"/>
          <w:position w:val="0"/>
        </w:rPr>
        <w:t>个月，分</w:t>
      </w:r>
      <w:r>
        <w:rPr>
          <w:rFonts w:ascii="Times New Roman" w:eastAsia="Times New Roman" w:hAnsi="Times New Roman" w:cs="Times New Roman"/>
          <w:color w:val="000000"/>
          <w:spacing w:val="0"/>
          <w:w w:val="100"/>
          <w:position w:val="0"/>
        </w:rPr>
        <w:t>24</w:t>
      </w:r>
      <w:r>
        <w:rPr>
          <w:color w:val="000000"/>
          <w:spacing w:val="0"/>
          <w:w w:val="100"/>
          <w:position w:val="0"/>
        </w:rPr>
        <w:t>期还款，每期租金不 等，期满后回购价为</w:t>
      </w:r>
      <w:r>
        <w:rPr>
          <w:rFonts w:ascii="Times New Roman" w:eastAsia="Times New Roman" w:hAnsi="Times New Roman" w:cs="Times New Roman"/>
          <w:color w:val="000000"/>
          <w:spacing w:val="0"/>
          <w:w w:val="100"/>
          <w:position w:val="0"/>
        </w:rPr>
        <w:t>1,000</w:t>
      </w:r>
      <w:r>
        <w:rPr>
          <w:color w:val="000000"/>
          <w:spacing w:val="0"/>
          <w:w w:val="100"/>
          <w:position w:val="0"/>
        </w:rPr>
        <w:t>元。该借款由蓝盾股份提供连带责任保证，柯宗贵、柯宗耀提供连带责任保证， 并以中经汇通电子商务有限公司的电子设备作为抵押。</w:t>
      </w:r>
    </w:p>
    <w:p>
      <w:pPr>
        <w:pStyle w:val="Style38"/>
        <w:keepNext w:val="0"/>
        <w:keepLines w:val="0"/>
        <w:widowControl w:val="0"/>
        <w:numPr>
          <w:ilvl w:val="0"/>
          <w:numId w:val="111"/>
        </w:numPr>
        <w:shd w:val="clear" w:color="auto" w:fill="auto"/>
        <w:tabs>
          <w:tab w:pos="1599" w:val="left"/>
        </w:tabs>
        <w:bidi w:val="0"/>
        <w:spacing w:before="0" w:after="100" w:line="412" w:lineRule="exact"/>
        <w:ind w:left="840" w:right="0" w:firstLine="420"/>
        <w:jc w:val="both"/>
      </w:pPr>
      <w:bookmarkStart w:id="1619" w:name="bookmark1619"/>
      <w:bookmarkEnd w:id="1619"/>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日，公司全资子公司蓝盾信息安全技术有限公司与科学城</w:t>
      </w:r>
      <w:r>
        <w:rPr>
          <w:rFonts w:ascii="Times New Roman" w:eastAsia="Times New Roman" w:hAnsi="Times New Roman" w:cs="Times New Roman"/>
          <w:color w:val="000000"/>
          <w:spacing w:val="0"/>
          <w:w w:val="100"/>
          <w:position w:val="0"/>
        </w:rPr>
        <w:t>（</w:t>
      </w:r>
      <w:r>
        <w:rPr>
          <w:color w:val="000000"/>
          <w:spacing w:val="0"/>
          <w:w w:val="100"/>
          <w:position w:val="0"/>
        </w:rPr>
        <w:t>广州</w:t>
      </w:r>
      <w:r>
        <w:rPr>
          <w:rFonts w:ascii="Times New Roman" w:eastAsia="Times New Roman" w:hAnsi="Times New Roman" w:cs="Times New Roman"/>
          <w:color w:val="000000"/>
          <w:spacing w:val="0"/>
          <w:w w:val="100"/>
          <w:position w:val="0"/>
        </w:rPr>
        <w:t>）</w:t>
      </w:r>
      <w:r>
        <w:rPr>
          <w:color w:val="000000"/>
          <w:spacing w:val="0"/>
          <w:w w:val="100"/>
          <w:position w:val="0"/>
        </w:rPr>
        <w:t>融资租赁有限公司 签订《售后回租赁合同》，融资租赁借款</w:t>
      </w:r>
      <w:r>
        <w:rPr>
          <w:rFonts w:ascii="Times New Roman" w:eastAsia="Times New Roman" w:hAnsi="Times New Roman" w:cs="Times New Roman"/>
          <w:color w:val="000000"/>
          <w:spacing w:val="0"/>
          <w:w w:val="100"/>
          <w:position w:val="0"/>
        </w:rPr>
        <w:t>15,000,000.00</w:t>
      </w:r>
      <w:r>
        <w:rPr>
          <w:color w:val="000000"/>
          <w:spacing w:val="0"/>
          <w:w w:val="100"/>
          <w:position w:val="0"/>
        </w:rPr>
        <w:t>元，租赁期限为</w:t>
      </w:r>
      <w:r>
        <w:rPr>
          <w:rFonts w:ascii="Times New Roman" w:eastAsia="Times New Roman" w:hAnsi="Times New Roman" w:cs="Times New Roman"/>
          <w:color w:val="000000"/>
          <w:spacing w:val="0"/>
          <w:w w:val="100"/>
          <w:position w:val="0"/>
        </w:rPr>
        <w:t>12</w:t>
      </w:r>
      <w:r>
        <w:rPr>
          <w:color w:val="000000"/>
          <w:spacing w:val="0"/>
          <w:w w:val="100"/>
          <w:position w:val="0"/>
        </w:rPr>
        <w:t>个月，分</w:t>
      </w:r>
      <w:r>
        <w:rPr>
          <w:rFonts w:ascii="Times New Roman" w:eastAsia="Times New Roman" w:hAnsi="Times New Roman" w:cs="Times New Roman"/>
          <w:color w:val="000000"/>
          <w:spacing w:val="0"/>
          <w:w w:val="100"/>
          <w:position w:val="0"/>
        </w:rPr>
        <w:t>12</w:t>
      </w:r>
      <w:r>
        <w:rPr>
          <w:color w:val="000000"/>
          <w:spacing w:val="0"/>
          <w:w w:val="100"/>
          <w:position w:val="0"/>
        </w:rPr>
        <w:t>期还款，第</w:t>
      </w:r>
      <w:r>
        <w:rPr>
          <w:rFonts w:ascii="Times New Roman" w:eastAsia="Times New Roman" w:hAnsi="Times New Roman" w:cs="Times New Roman"/>
          <w:color w:val="000000"/>
          <w:spacing w:val="0"/>
          <w:w w:val="100"/>
          <w:position w:val="0"/>
        </w:rPr>
        <w:t>1</w:t>
      </w:r>
      <w:r>
        <w:rPr>
          <w:color w:val="000000"/>
          <w:spacing w:val="0"/>
          <w:w w:val="100"/>
          <w:position w:val="0"/>
        </w:rPr>
        <w:t>期租 金为</w:t>
      </w:r>
      <w:r>
        <w:rPr>
          <w:rFonts w:ascii="Times New Roman" w:eastAsia="Times New Roman" w:hAnsi="Times New Roman" w:cs="Times New Roman"/>
          <w:color w:val="000000"/>
          <w:spacing w:val="0"/>
          <w:w w:val="100"/>
          <w:position w:val="0"/>
        </w:rPr>
        <w:t>1,274,830.42</w:t>
      </w:r>
      <w:r>
        <w:rPr>
          <w:color w:val="000000"/>
          <w:spacing w:val="0"/>
          <w:w w:val="100"/>
          <w:position w:val="0"/>
        </w:rPr>
        <w:t>元，第</w:t>
      </w:r>
      <w:r>
        <w:rPr>
          <w:rFonts w:ascii="Times New Roman" w:eastAsia="Times New Roman" w:hAnsi="Times New Roman" w:cs="Times New Roman"/>
          <w:color w:val="000000"/>
          <w:spacing w:val="0"/>
          <w:w w:val="100"/>
          <w:position w:val="0"/>
        </w:rPr>
        <w:t>2-12</w:t>
      </w:r>
      <w:r>
        <w:rPr>
          <w:color w:val="000000"/>
          <w:spacing w:val="0"/>
          <w:w w:val="100"/>
          <w:position w:val="0"/>
        </w:rPr>
        <w:t>期租金为</w:t>
      </w:r>
      <w:r>
        <w:rPr>
          <w:rFonts w:ascii="Times New Roman" w:eastAsia="Times New Roman" w:hAnsi="Times New Roman" w:cs="Times New Roman"/>
          <w:color w:val="000000"/>
          <w:spacing w:val="0"/>
          <w:w w:val="100"/>
          <w:position w:val="0"/>
        </w:rPr>
        <w:t>1,313,163.75</w:t>
      </w:r>
      <w:r>
        <w:rPr>
          <w:color w:val="000000"/>
          <w:spacing w:val="0"/>
          <w:w w:val="100"/>
          <w:position w:val="0"/>
        </w:rPr>
        <w:t>元，，期满后回购价为</w:t>
      </w:r>
      <w:r>
        <w:rPr>
          <w:rFonts w:ascii="Times New Roman" w:eastAsia="Times New Roman" w:hAnsi="Times New Roman" w:cs="Times New Roman"/>
          <w:color w:val="000000"/>
          <w:spacing w:val="0"/>
          <w:w w:val="100"/>
          <w:position w:val="0"/>
        </w:rPr>
        <w:t>1,000</w:t>
      </w:r>
      <w:r>
        <w:rPr>
          <w:color w:val="000000"/>
          <w:spacing w:val="0"/>
          <w:w w:val="100"/>
          <w:position w:val="0"/>
        </w:rPr>
        <w:t xml:space="preserve">元。该借款由柯宗贵、张 越、蓝盾信息安全技术股份有限公司提供连带责任保证，蓝盾信息安全技术有限公司以评估价值 </w:t>
      </w:r>
      <w:r>
        <w:rPr>
          <w:rFonts w:ascii="Times New Roman" w:eastAsia="Times New Roman" w:hAnsi="Times New Roman" w:cs="Times New Roman"/>
          <w:color w:val="000000"/>
          <w:spacing w:val="0"/>
          <w:w w:val="100"/>
          <w:position w:val="0"/>
        </w:rPr>
        <w:t>21,000,000.00</w:t>
      </w:r>
      <w:r>
        <w:rPr>
          <w:color w:val="000000"/>
          <w:spacing w:val="0"/>
          <w:w w:val="100"/>
          <w:position w:val="0"/>
        </w:rPr>
        <w:t>元的著作权为质押，并以中经汇通有限责任公司土地使用权（穗府国用</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01000007</w:t>
      </w:r>
      <w:r>
        <w:rPr>
          <w:color w:val="000000"/>
          <w:spacing w:val="0"/>
          <w:w w:val="100"/>
          <w:position w:val="0"/>
        </w:rPr>
        <w:t>号） 为抵押。</w:t>
      </w:r>
    </w:p>
    <w:p>
      <w:pPr>
        <w:pStyle w:val="Style38"/>
        <w:keepNext w:val="0"/>
        <w:keepLines w:val="0"/>
        <w:widowControl w:val="0"/>
        <w:numPr>
          <w:ilvl w:val="0"/>
          <w:numId w:val="111"/>
        </w:numPr>
        <w:shd w:val="clear" w:color="auto" w:fill="auto"/>
        <w:tabs>
          <w:tab w:pos="1594" w:val="left"/>
        </w:tabs>
        <w:bidi w:val="0"/>
        <w:spacing w:before="0" w:after="100" w:line="410" w:lineRule="exact"/>
        <w:ind w:left="840" w:right="0" w:firstLine="420"/>
        <w:jc w:val="both"/>
      </w:pPr>
      <w:bookmarkStart w:id="1620" w:name="bookmark1620"/>
      <w:bookmarkEnd w:id="1620"/>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日，公司全资子公司蓝盾信息安全技术有限公司与科学城</w:t>
      </w:r>
      <w:r>
        <w:rPr>
          <w:rFonts w:ascii="Times New Roman" w:eastAsia="Times New Roman" w:hAnsi="Times New Roman" w:cs="Times New Roman"/>
          <w:color w:val="000000"/>
          <w:spacing w:val="0"/>
          <w:w w:val="100"/>
          <w:position w:val="0"/>
        </w:rPr>
        <w:t>（</w:t>
      </w:r>
      <w:r>
        <w:rPr>
          <w:color w:val="000000"/>
          <w:spacing w:val="0"/>
          <w:w w:val="100"/>
          <w:position w:val="0"/>
        </w:rPr>
        <w:t>广州</w:t>
      </w:r>
      <w:r>
        <w:rPr>
          <w:rFonts w:ascii="Times New Roman" w:eastAsia="Times New Roman" w:hAnsi="Times New Roman" w:cs="Times New Roman"/>
          <w:color w:val="000000"/>
          <w:spacing w:val="0"/>
          <w:w w:val="100"/>
          <w:position w:val="0"/>
        </w:rPr>
        <w:t>）</w:t>
      </w:r>
      <w:r>
        <w:rPr>
          <w:color w:val="000000"/>
          <w:spacing w:val="0"/>
          <w:w w:val="100"/>
          <w:position w:val="0"/>
        </w:rPr>
        <w:t>融资租赁有限公司 签订《售后回租赁合同》，融资租赁借款</w:t>
      </w:r>
      <w:r>
        <w:rPr>
          <w:rFonts w:ascii="Times New Roman" w:eastAsia="Times New Roman" w:hAnsi="Times New Roman" w:cs="Times New Roman"/>
          <w:color w:val="000000"/>
          <w:spacing w:val="0"/>
          <w:w w:val="100"/>
          <w:position w:val="0"/>
        </w:rPr>
        <w:t>21,000,000.00</w:t>
      </w:r>
      <w:r>
        <w:rPr>
          <w:color w:val="000000"/>
          <w:spacing w:val="0"/>
          <w:w w:val="100"/>
          <w:position w:val="0"/>
        </w:rPr>
        <w:t>元，租赁期限为</w:t>
      </w:r>
      <w:r>
        <w:rPr>
          <w:rFonts w:ascii="Times New Roman" w:eastAsia="Times New Roman" w:hAnsi="Times New Roman" w:cs="Times New Roman"/>
          <w:color w:val="000000"/>
          <w:spacing w:val="0"/>
          <w:w w:val="100"/>
          <w:position w:val="0"/>
        </w:rPr>
        <w:t>12</w:t>
      </w:r>
      <w:r>
        <w:rPr>
          <w:color w:val="000000"/>
          <w:spacing w:val="0"/>
          <w:w w:val="100"/>
          <w:position w:val="0"/>
        </w:rPr>
        <w:t>个月，分</w:t>
      </w:r>
      <w:r>
        <w:rPr>
          <w:rFonts w:ascii="Times New Roman" w:eastAsia="Times New Roman" w:hAnsi="Times New Roman" w:cs="Times New Roman"/>
          <w:color w:val="000000"/>
          <w:spacing w:val="0"/>
          <w:w w:val="100"/>
          <w:position w:val="0"/>
        </w:rPr>
        <w:t>12</w:t>
      </w:r>
      <w:r>
        <w:rPr>
          <w:color w:val="000000"/>
          <w:spacing w:val="0"/>
          <w:w w:val="100"/>
          <w:position w:val="0"/>
        </w:rPr>
        <w:t>期还款，每期租金 不等，期满后回购价为</w:t>
      </w:r>
      <w:r>
        <w:rPr>
          <w:rFonts w:ascii="Times New Roman" w:eastAsia="Times New Roman" w:hAnsi="Times New Roman" w:cs="Times New Roman"/>
          <w:color w:val="000000"/>
          <w:spacing w:val="0"/>
          <w:w w:val="100"/>
          <w:position w:val="0"/>
        </w:rPr>
        <w:t>1,000</w:t>
      </w:r>
      <w:r>
        <w:rPr>
          <w:color w:val="000000"/>
          <w:spacing w:val="0"/>
          <w:w w:val="100"/>
          <w:position w:val="0"/>
        </w:rPr>
        <w:t>元。该借款由柯宗贵、张越、蓝盾信息安全技术股份有限公司提供连带责任 保证，蓝盾信息安全技术有限公司以评估价值</w:t>
      </w:r>
      <w:r>
        <w:rPr>
          <w:rFonts w:ascii="Times New Roman" w:eastAsia="Times New Roman" w:hAnsi="Times New Roman" w:cs="Times New Roman"/>
          <w:color w:val="000000"/>
          <w:spacing w:val="0"/>
          <w:w w:val="100"/>
          <w:position w:val="0"/>
        </w:rPr>
        <w:t>26,000,000.00</w:t>
      </w:r>
      <w:r>
        <w:rPr>
          <w:color w:val="000000"/>
          <w:spacing w:val="0"/>
          <w:w w:val="100"/>
          <w:position w:val="0"/>
        </w:rPr>
        <w:t>元的著作权为质押，并以中经汇通有限责任公 司土地使用权（穗府国用</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01000007</w:t>
      </w:r>
      <w:r>
        <w:rPr>
          <w:color w:val="000000"/>
          <w:spacing w:val="0"/>
          <w:w w:val="100"/>
          <w:position w:val="0"/>
        </w:rPr>
        <w:t>号）为抵押。</w:t>
      </w:r>
    </w:p>
    <w:p>
      <w:pPr>
        <w:pStyle w:val="Style38"/>
        <w:keepNext w:val="0"/>
        <w:keepLines w:val="0"/>
        <w:widowControl w:val="0"/>
        <w:shd w:val="clear" w:color="auto" w:fill="auto"/>
        <w:bidi w:val="0"/>
        <w:spacing w:before="0" w:after="100" w:line="408" w:lineRule="exact"/>
        <w:ind w:left="840" w:right="0" w:firstLine="420"/>
        <w:jc w:val="both"/>
      </w:pPr>
      <w:r>
        <w:rPr>
          <w:color w:val="000000"/>
          <w:spacing w:val="0"/>
          <w:w w:val="100"/>
          <w:position w:val="0"/>
        </w:rPr>
        <w:t>上述融资租赁涉及的固定资产出售及租赁交易相互关联、且能确定将在租赁期满后回购，把这一系列 交易作为一个整体更能反映其总体经济影响，上述售后租回形成融资租赁的交易实质上是以</w:t>
      </w:r>
      <w:r>
        <w:rPr>
          <w:rFonts w:ascii="Times New Roman" w:eastAsia="Times New Roman" w:hAnsi="Times New Roman" w:cs="Times New Roman"/>
          <w:color w:val="000000"/>
          <w:spacing w:val="0"/>
          <w:w w:val="100"/>
          <w:position w:val="0"/>
        </w:rPr>
        <w:t>“</w:t>
      </w:r>
      <w:r>
        <w:rPr>
          <w:color w:val="000000"/>
          <w:spacing w:val="0"/>
          <w:w w:val="100"/>
          <w:position w:val="0"/>
        </w:rPr>
        <w:t>固定资产''的 所有权为抵押进行的融资，故本公司按照抵押借款进行会计处理，收到的融资款作为抵押借款在</w:t>
      </w:r>
      <w:r>
        <w:rPr>
          <w:rFonts w:ascii="Times New Roman" w:eastAsia="Times New Roman" w:hAnsi="Times New Roman" w:cs="Times New Roman"/>
          <w:color w:val="000000"/>
          <w:spacing w:val="0"/>
          <w:w w:val="100"/>
          <w:position w:val="0"/>
        </w:rPr>
        <w:t>“</w:t>
      </w:r>
      <w:r>
        <w:rPr>
          <w:color w:val="000000"/>
          <w:spacing w:val="0"/>
          <w:w w:val="100"/>
          <w:position w:val="0"/>
        </w:rPr>
        <w:t>长期应 付款''列示，并采用实际利率法按照摊余成本计量。</w:t>
      </w:r>
      <w:r>
        <w:br w:type="page"/>
      </w:r>
    </w:p>
    <w:p>
      <w:pPr>
        <w:pStyle w:val="Style35"/>
        <w:keepNext/>
        <w:keepLines/>
        <w:widowControl w:val="0"/>
        <w:shd w:val="clear" w:color="auto" w:fill="auto"/>
        <w:bidi w:val="0"/>
        <w:spacing w:before="0" w:after="400" w:line="240" w:lineRule="auto"/>
        <w:ind w:left="0" w:right="0" w:firstLine="82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3</w:t>
      </w:r>
      <w:bookmarkEnd w:id="1623"/>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621"/>
      <w:bookmarkEnd w:id="1622"/>
      <w:bookmarkEnd w:id="1624"/>
    </w:p>
    <w:p>
      <w:pPr>
        <w:pStyle w:val="Style28"/>
        <w:keepNext w:val="0"/>
        <w:keepLines w:val="0"/>
        <w:widowControl w:val="0"/>
        <w:shd w:val="clear" w:color="auto" w:fill="auto"/>
        <w:bidi w:val="0"/>
        <w:spacing w:before="0" w:after="100" w:line="240" w:lineRule="auto"/>
        <w:ind w:left="976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95,654,300.94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11,994,798.81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21,230,606.84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86,418,492.91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奖励积分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1,282,211.26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1,281,103.99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96,936,512.20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11,994,798.81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21,231,714.11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87,699,596.90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2"/>
        <w:keepNext w:val="0"/>
        <w:keepLines w:val="0"/>
        <w:widowControl w:val="0"/>
        <w:shd w:val="clear" w:color="auto" w:fill="auto"/>
        <w:bidi w:val="0"/>
        <w:spacing w:before="0" w:after="0" w:line="240" w:lineRule="auto"/>
        <w:ind w:left="9163" w:right="0" w:firstLine="0"/>
        <w:jc w:val="left"/>
      </w:pPr>
      <w:r>
        <w:rPr>
          <w:color w:val="000000"/>
          <w:spacing w:val="0"/>
          <w:w w:val="100"/>
          <w:position w:val="0"/>
        </w:rPr>
        <w:t>单位：元</w:t>
      </w:r>
    </w:p>
    <w:tbl>
      <w:tblPr>
        <w:tblOverlap w:val="never"/>
        <w:jc w:val="center"/>
        <w:tblLayout w:type="fixed"/>
      </w:tblPr>
      <w:tblGrid>
        <w:gridCol w:w="1992"/>
        <w:gridCol w:w="1133"/>
        <w:gridCol w:w="1133"/>
        <w:gridCol w:w="850"/>
        <w:gridCol w:w="1138"/>
        <w:gridCol w:w="989"/>
        <w:gridCol w:w="850"/>
        <w:gridCol w:w="1046"/>
        <w:gridCol w:w="10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年科技三项费用科技 创新资金：创新性科技企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年南沙区科技项目 （汽车后市消费行为大 数据处理平台）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13,846.14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年创新平台专项拟 入库项目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企业研究院试 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149,478.20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149,478.20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年南沙区科技项目 （汇通宝</w:t>
            </w:r>
            <w:r>
              <w:rPr>
                <w:rFonts w:ascii="Times New Roman" w:eastAsia="Times New Roman" w:hAnsi="Times New Roman" w:cs="Times New Roman"/>
                <w:color w:val="000000"/>
                <w:spacing w:val="0"/>
                <w:w w:val="100"/>
                <w:position w:val="0"/>
                <w:sz w:val="18"/>
                <w:szCs w:val="18"/>
              </w:rPr>
              <w:t>MPAY</w:t>
            </w:r>
            <w:r>
              <w:rPr>
                <w:color w:val="000000"/>
                <w:spacing w:val="0"/>
                <w:w w:val="100"/>
                <w:position w:val="0"/>
              </w:rPr>
              <w:t>支付平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68,292.72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年度园区产业扶持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148,390.25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148,390.25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年广州市商务发展 专项资金（商贸流通领 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leader="hyphen" w:pos="365"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先进制造业创新发 展资金（大数据方向） </w:t>
              <w:tab/>
              <w:t>基于云计算平台的 汽车后市场消费行为大 数据分析与应用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YF007</w:t>
            </w:r>
            <w:r>
              <w:rPr>
                <w:color w:val="000000"/>
                <w:spacing w:val="0"/>
                <w:w w:val="100"/>
                <w:position w:val="0"/>
              </w:rPr>
              <w:t>具有自断弧装置 的电源浪涌保护器的研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YF008</w:t>
            </w:r>
            <w:r>
              <w:rPr>
                <w:color w:val="000000"/>
                <w:spacing w:val="0"/>
                <w:w w:val="100"/>
                <w:position w:val="0"/>
              </w:rPr>
              <w:t>安全型防雷过压 保护关键器件的研制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992"/>
        <w:gridCol w:w="1133"/>
        <w:gridCol w:w="1133"/>
        <w:gridCol w:w="850"/>
        <w:gridCol w:w="1138"/>
        <w:gridCol w:w="989"/>
        <w:gridCol w:w="850"/>
        <w:gridCol w:w="1046"/>
        <w:gridCol w:w="1022"/>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城镇公共安全立体化网 络构建与应急响应示范</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（课题</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：跨部门跨层级 应急响应与辅助指挥信 息交互技术）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城镇公共安全立体化网 络构建与应急响应示范</w:t>
            </w:r>
          </w:p>
          <w:p>
            <w:pPr>
              <w:pStyle w:val="Style2"/>
              <w:keepNext w:val="0"/>
              <w:keepLines w:val="0"/>
              <w:widowControl w:val="0"/>
              <w:shd w:val="clear" w:color="auto" w:fill="auto"/>
              <w:tabs>
                <w:tab w:pos="749" w:val="left"/>
              </w:tabs>
              <w:bidi w:val="0"/>
              <w:spacing w:before="0" w:after="0" w:line="312" w:lineRule="exact"/>
              <w:ind w:left="0" w:right="0" w:firstLine="0"/>
              <w:jc w:val="both"/>
            </w:pPr>
            <w:r>
              <w:rPr>
                <w:color w:val="000000"/>
                <w:spacing w:val="0"/>
                <w:w w:val="100"/>
                <w:position w:val="0"/>
              </w:rPr>
              <w:t>（课题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型城镇综合应用示范）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1,446,301.19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268,398.81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1,714,700.00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大数据安全管理及检测 关键技术研发及产业化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大数据安全综合管理平 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2,345,454.58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1,445,454.58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低压机组计算机监控软 件在排污水泵站运营中 的应用示范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电网运行</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模拟检测控 制系统研发项目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工业软件源代码安全检 测工具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广东省大数据安全与测 试（蓝盾）工程技术研究 中心建设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1,050,315.25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542,530.60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507,784.65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广州市工业和信息化委 员会面向传统零售企业 的汇通宝</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电子平台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广州市天河区创新领军 人才创新工作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云安全技 术公共服务平台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广州市战略性主导产业 发展资金新业态项目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22,222.23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技术的云安全 与审计平台的建设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基于大数据的重大危险 源智能监测、预警、管控 及应急救援系统的</w:t>
            </w:r>
            <w:r>
              <w:rPr>
                <w:rFonts w:ascii="Times New Roman" w:eastAsia="Times New Roman" w:hAnsi="Times New Roman" w:cs="Times New Roman"/>
                <w:color w:val="000000"/>
                <w:spacing w:val="0"/>
                <w:w w:val="100"/>
                <w:position w:val="0"/>
                <w:sz w:val="18"/>
                <w:szCs w:val="18"/>
              </w:rPr>
              <w:t>0A</w:t>
            </w:r>
            <w:r>
              <w:rPr>
                <w:color w:val="000000"/>
                <w:spacing w:val="0"/>
                <w:w w:val="100"/>
                <w:position w:val="0"/>
              </w:rPr>
              <w:t>研 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基于大数据技术的网络 安全态势感知与协同防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1,146,666.69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573,333.32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573,333.37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992"/>
        <w:gridCol w:w="1133"/>
        <w:gridCol w:w="1133"/>
        <w:gridCol w:w="850"/>
        <w:gridCol w:w="1138"/>
        <w:gridCol w:w="989"/>
        <w:gridCol w:w="850"/>
        <w:gridCol w:w="1046"/>
        <w:gridCol w:w="10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护平台研发及产业化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基于海洋船舶卫星通信 的智能网关研发与运用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基于汽车后市场消费行 为协同服务链云平台的 关键技术研发及应用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284,688.03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284,688.03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基于网络</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的汇通</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电子商务服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基于自主国密芯片的云 安全身份认证系统研发 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1,260,000.16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1,090,000.24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江西华炜土地返还款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3,911,509.75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110,442.60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3,801,067.15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蓝盾大数据安全产业园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蓝盾网络安全态势感知 与情报监管平台研发及 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2,777,250.00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蓝盾信息安全技术研发 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面向大数据安全产业链 的协同创新项目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面向工业企业、工业互联 网平台企业等的网络安 全解决方案供应商 </w:t>
            </w:r>
            <w:r>
              <w:rPr>
                <w:rFonts w:ascii="Times New Roman" w:eastAsia="Times New Roman" w:hAnsi="Times New Roman" w:cs="Times New Roman"/>
                <w:color w:val="000000"/>
                <w:spacing w:val="0"/>
                <w:w w:val="100"/>
                <w:position w:val="0"/>
                <w:sz w:val="18"/>
                <w:szCs w:val="18"/>
              </w:rPr>
              <w:t>(XM-10019A100000000P EXBT)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面向下一代互联网的异 构协同式安全管理平台 研究及产业化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632,000.03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632,000.03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面向云计算及下一代互 联网异构协同式安全管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142,040.78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142,040.78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面向中小企业信息安全 技术公共服务平台项目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1,467,391.23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652,173.96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815,217.27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网络安全云服务平台技 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999,734.92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999,734.92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翔安区装修补贴款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492,857.10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492,857.10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492,857.10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新型研发机构新购科研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仪器设备补助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993,641.10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602,119.64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391,521.46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新一代安全运营中心平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36,363.67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992"/>
        <w:gridCol w:w="1133"/>
        <w:gridCol w:w="1133"/>
        <w:gridCol w:w="850"/>
        <w:gridCol w:w="1138"/>
        <w:gridCol w:w="989"/>
        <w:gridCol w:w="850"/>
        <w:gridCol w:w="1046"/>
        <w:gridCol w:w="102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台关键技术研发及产业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信息编码算法应用公共 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中经电商车队管理应用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37,880.67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中经油马创新电子商务 车主移动服务平台科技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312,896.33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225,792.77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中小学生安全应急宣教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285,860.67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142,930.35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新兴产业培育资金项目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448,461.45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4,851,538.55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240"/>
        <w:jc w:val="both"/>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3</w:t>
      </w:r>
      <w:bookmarkEnd w:id="1627"/>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625"/>
      <w:bookmarkEnd w:id="1626"/>
      <w:bookmarkEnd w:id="1628"/>
    </w:p>
    <w:p>
      <w:pPr>
        <w:pStyle w:val="Style28"/>
        <w:keepNext w:val="0"/>
        <w:keepLines w:val="0"/>
        <w:widowControl w:val="0"/>
        <w:shd w:val="clear" w:color="auto" w:fill="auto"/>
        <w:bidi w:val="0"/>
        <w:spacing w:before="0" w:after="80" w:line="240" w:lineRule="auto"/>
        <w:ind w:left="91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2,126,871.79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361,568.21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240"/>
        <w:jc w:val="both"/>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37</w:t>
      </w:r>
      <w:r>
        <w:rPr>
          <w:color w:val="000000"/>
          <w:spacing w:val="0"/>
          <w:w w:val="100"/>
          <w:position w:val="0"/>
        </w:rPr>
        <w:t>、股本</w:t>
      </w:r>
      <w:bookmarkEnd w:id="1629"/>
      <w:bookmarkEnd w:id="1630"/>
      <w:bookmarkEnd w:id="1631"/>
    </w:p>
    <w:p>
      <w:pPr>
        <w:pStyle w:val="Style28"/>
        <w:keepNext w:val="0"/>
        <w:keepLines w:val="0"/>
        <w:widowControl w:val="0"/>
        <w:shd w:val="clear" w:color="auto" w:fill="auto"/>
        <w:bidi w:val="0"/>
        <w:spacing w:before="0" w:after="80" w:line="240" w:lineRule="auto"/>
        <w:ind w:left="9160" w:right="0" w:firstLine="0"/>
        <w:jc w:val="left"/>
      </w:pPr>
      <w:r>
        <w:rPr>
          <w:color w:val="000000"/>
          <w:spacing w:val="0"/>
          <w:w w:val="100"/>
          <w:position w:val="0"/>
        </w:rPr>
        <w:t>单位：元</w:t>
      </w:r>
    </w:p>
    <w:tbl>
      <w:tblPr>
        <w:tblOverlap w:val="never"/>
        <w:jc w:val="center"/>
        <w:tblLayout w:type="fixed"/>
      </w:tblPr>
      <w:tblGrid>
        <w:gridCol w:w="1200"/>
        <w:gridCol w:w="1358"/>
        <w:gridCol w:w="1037"/>
        <w:gridCol w:w="1195"/>
        <w:gridCol w:w="1195"/>
        <w:gridCol w:w="1109"/>
        <w:gridCol w:w="1133"/>
        <w:gridCol w:w="135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1,249,796,194.00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1,249,834,221.00</w:t>
            </w:r>
          </w:p>
        </w:tc>
      </w:tr>
    </w:tbl>
    <w:p>
      <w:pPr>
        <w:widowControl w:val="0"/>
        <w:spacing w:after="779" w:line="1" w:lineRule="exact"/>
      </w:pPr>
    </w:p>
    <w:p>
      <w:pPr>
        <w:pStyle w:val="Style35"/>
        <w:keepNext/>
        <w:keepLines/>
        <w:widowControl w:val="0"/>
        <w:shd w:val="clear" w:color="auto" w:fill="auto"/>
        <w:bidi w:val="0"/>
        <w:spacing w:before="0" w:after="400" w:line="240" w:lineRule="auto"/>
        <w:ind w:left="0" w:right="0" w:firstLine="24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3</w:t>
      </w:r>
      <w:bookmarkEnd w:id="1634"/>
      <w:r>
        <w:rPr>
          <w:rFonts w:ascii="Times New Roman" w:eastAsia="Times New Roman" w:hAnsi="Times New Roman" w:cs="Times New Roman"/>
          <w:color w:val="000000"/>
          <w:spacing w:val="0"/>
          <w:w w:val="100"/>
          <w:position w:val="0"/>
        </w:rPr>
        <w:t>8</w:t>
      </w:r>
      <w:r>
        <w:rPr>
          <w:color w:val="000000"/>
          <w:spacing w:val="0"/>
          <w:w w:val="100"/>
          <w:position w:val="0"/>
        </w:rPr>
        <w:t>、其他权益工具</w:t>
      </w:r>
      <w:bookmarkEnd w:id="1632"/>
      <w:bookmarkEnd w:id="1633"/>
      <w:bookmarkEnd w:id="1635"/>
    </w:p>
    <w:p>
      <w:pPr>
        <w:pStyle w:val="Style48"/>
        <w:keepNext/>
        <w:keepLines/>
        <w:widowControl w:val="0"/>
        <w:shd w:val="clear" w:color="auto" w:fill="auto"/>
        <w:bidi w:val="0"/>
        <w:spacing w:before="0" w:after="320" w:line="240" w:lineRule="auto"/>
        <w:ind w:left="0" w:right="0" w:firstLine="360"/>
        <w:jc w:val="left"/>
      </w:pPr>
      <w:bookmarkStart w:id="1636" w:name="bookmark1636"/>
      <w:bookmarkStart w:id="1637" w:name="bookmark1637"/>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636"/>
      <w:bookmarkEnd w:id="1637"/>
      <w:bookmarkEnd w:id="1638"/>
    </w:p>
    <w:tbl>
      <w:tblPr>
        <w:tblOverlap w:val="never"/>
        <w:jc w:val="center"/>
        <w:tblLayout w:type="fixed"/>
      </w:tblPr>
      <w:tblGrid>
        <w:gridCol w:w="2069"/>
        <w:gridCol w:w="1704"/>
        <w:gridCol w:w="1982"/>
        <w:gridCol w:w="922"/>
        <w:gridCol w:w="2981"/>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发行在外的金融工具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复合金融工具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w:t>
            </w:r>
          </w:p>
        </w:tc>
      </w:tr>
    </w:tbl>
    <w:p>
      <w:pPr>
        <w:widowControl w:val="0"/>
        <w:spacing w:after="159" w:line="1" w:lineRule="exact"/>
      </w:pPr>
    </w:p>
    <w:p>
      <w:pPr>
        <w:pStyle w:val="Style38"/>
        <w:keepNext w:val="0"/>
        <w:keepLines w:val="0"/>
        <w:widowControl w:val="0"/>
        <w:shd w:val="clear" w:color="auto" w:fill="auto"/>
        <w:bidi w:val="0"/>
        <w:spacing w:before="0" w:after="0" w:line="240" w:lineRule="auto"/>
        <w:ind w:left="0" w:right="0" w:firstLine="660"/>
        <w:jc w:val="both"/>
      </w:pPr>
      <w:r>
        <w:rPr>
          <w:color w:val="000000"/>
          <w:spacing w:val="0"/>
          <w:w w:val="100"/>
          <w:position w:val="0"/>
        </w:rPr>
        <w:t>续表:</w:t>
      </w:r>
    </w:p>
    <w:tbl>
      <w:tblPr>
        <w:tblOverlap w:val="never"/>
        <w:jc w:val="center"/>
        <w:tblLayout w:type="fixed"/>
      </w:tblPr>
      <w:tblGrid>
        <w:gridCol w:w="2102"/>
        <w:gridCol w:w="1133"/>
        <w:gridCol w:w="1138"/>
        <w:gridCol w:w="1699"/>
        <w:gridCol w:w="1133"/>
        <w:gridCol w:w="2453"/>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发行在外的金融工具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转股条件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转股情况</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538</w:t>
            </w:r>
            <w:r>
              <w:rPr>
                <w:color w:val="000000"/>
                <w:spacing w:val="0"/>
                <w:w w:val="100"/>
                <w:position w:val="0"/>
              </w:rPr>
              <w:t>万张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5.38</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自愿转股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详见注释</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股本变动情况说明</w:t>
            </w:r>
          </w:p>
        </w:tc>
      </w:tr>
    </w:tbl>
    <w:p>
      <w:pPr>
        <w:spacing w:lineRule="exact" w:line="1"/>
        <w:rPr>
          <w:sz w:val="2"/>
          <w:szCs w:val="2"/>
        </w:rPr>
      </w:pPr>
      <w:r>
        <w:br w:type="page"/>
      </w:r>
    </w:p>
    <w:p>
      <w:pPr>
        <w:pStyle w:val="Style38"/>
        <w:keepNext w:val="0"/>
        <w:keepLines w:val="0"/>
        <w:widowControl w:val="0"/>
        <w:shd w:val="clear" w:color="auto" w:fill="auto"/>
        <w:bidi w:val="0"/>
        <w:spacing w:before="0" w:after="200" w:line="466" w:lineRule="exact"/>
        <w:ind w:left="54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：第一年为</w:t>
      </w:r>
      <w:r>
        <w:rPr>
          <w:rFonts w:ascii="Times New Roman" w:eastAsia="Times New Roman" w:hAnsi="Times New Roman" w:cs="Times New Roman"/>
          <w:color w:val="000000"/>
          <w:spacing w:val="0"/>
          <w:w w:val="100"/>
          <w:position w:val="0"/>
        </w:rPr>
        <w:t>0.4%</w:t>
      </w:r>
      <w:r>
        <w:rPr>
          <w:color w:val="000000"/>
          <w:spacing w:val="0"/>
          <w:w w:val="100"/>
          <w:position w:val="0"/>
        </w:rPr>
        <w:t>,第二年为</w:t>
      </w:r>
      <w:r>
        <w:rPr>
          <w:rFonts w:ascii="Times New Roman" w:eastAsia="Times New Roman" w:hAnsi="Times New Roman" w:cs="Times New Roman"/>
          <w:color w:val="000000"/>
          <w:spacing w:val="0"/>
          <w:w w:val="100"/>
          <w:position w:val="0"/>
        </w:rPr>
        <w:t>0.6%</w:t>
      </w:r>
      <w:r>
        <w:rPr>
          <w:color w:val="000000"/>
          <w:spacing w:val="0"/>
          <w:w w:val="100"/>
          <w:position w:val="0"/>
        </w:rPr>
        <w:t>,第三年为</w:t>
      </w:r>
      <w:r>
        <w:rPr>
          <w:rFonts w:ascii="Times New Roman" w:eastAsia="Times New Roman" w:hAnsi="Times New Roman" w:cs="Times New Roman"/>
          <w:color w:val="000000"/>
          <w:spacing w:val="0"/>
          <w:w w:val="100"/>
          <w:position w:val="0"/>
        </w:rPr>
        <w:t>1.0%</w:t>
      </w:r>
      <w:r>
        <w:rPr>
          <w:color w:val="000000"/>
          <w:spacing w:val="0"/>
          <w:w w:val="100"/>
          <w:position w:val="0"/>
        </w:rPr>
        <w:t>,第四年为</w:t>
      </w:r>
      <w:r>
        <w:rPr>
          <w:rFonts w:ascii="Times New Roman" w:eastAsia="Times New Roman" w:hAnsi="Times New Roman" w:cs="Times New Roman"/>
          <w:color w:val="000000"/>
          <w:spacing w:val="0"/>
          <w:w w:val="100"/>
          <w:position w:val="0"/>
        </w:rPr>
        <w:t>1.5%</w:t>
      </w:r>
      <w:r>
        <w:rPr>
          <w:color w:val="000000"/>
          <w:spacing w:val="0"/>
          <w:w w:val="100"/>
          <w:position w:val="0"/>
        </w:rPr>
        <w:t>,第五年为</w:t>
      </w:r>
      <w:r>
        <w:rPr>
          <w:rFonts w:ascii="Times New Roman" w:eastAsia="Times New Roman" w:hAnsi="Times New Roman" w:cs="Times New Roman"/>
          <w:color w:val="000000"/>
          <w:spacing w:val="0"/>
          <w:w w:val="100"/>
          <w:position w:val="0"/>
        </w:rPr>
        <w:t>1.8%</w:t>
      </w:r>
      <w:r>
        <w:rPr>
          <w:color w:val="000000"/>
          <w:spacing w:val="0"/>
          <w:w w:val="100"/>
          <w:position w:val="0"/>
        </w:rPr>
        <w:t>,第六年为</w:t>
      </w:r>
      <w:r>
        <w:rPr>
          <w:rFonts w:ascii="Times New Roman" w:eastAsia="Times New Roman" w:hAnsi="Times New Roman" w:cs="Times New Roman"/>
          <w:color w:val="000000"/>
          <w:spacing w:val="0"/>
          <w:w w:val="100"/>
          <w:position w:val="0"/>
        </w:rPr>
        <w:t>8%</w:t>
      </w:r>
      <w:r>
        <w:rPr>
          <w:color w:val="000000"/>
          <w:spacing w:val="0"/>
          <w:w w:val="100"/>
          <w:position w:val="0"/>
        </w:rPr>
        <w:t>（其 中第六年利率</w:t>
      </w:r>
      <w:r>
        <w:rPr>
          <w:rFonts w:ascii="Times New Roman" w:eastAsia="Times New Roman" w:hAnsi="Times New Roman" w:cs="Times New Roman"/>
          <w:color w:val="000000"/>
          <w:spacing w:val="0"/>
          <w:w w:val="100"/>
          <w:position w:val="0"/>
        </w:rPr>
        <w:t>2%,</w:t>
      </w:r>
      <w:r>
        <w:rPr>
          <w:color w:val="000000"/>
          <w:spacing w:val="0"/>
          <w:w w:val="100"/>
          <w:position w:val="0"/>
        </w:rPr>
        <w:t>补偿到期赎回利率</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48"/>
        <w:keepNext/>
        <w:keepLines/>
        <w:widowControl w:val="0"/>
        <w:shd w:val="clear" w:color="auto" w:fill="auto"/>
        <w:bidi w:val="0"/>
        <w:spacing w:before="0" w:after="380" w:line="466" w:lineRule="exact"/>
        <w:ind w:left="0" w:right="0" w:firstLine="54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639"/>
      <w:bookmarkEnd w:id="1640"/>
      <w:bookmarkEnd w:id="1641"/>
    </w:p>
    <w:p>
      <w:pPr>
        <w:pStyle w:val="Style2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070"/>
        <w:gridCol w:w="1066"/>
        <w:gridCol w:w="1128"/>
        <w:gridCol w:w="998"/>
        <w:gridCol w:w="1066"/>
        <w:gridCol w:w="1061"/>
        <w:gridCol w:w="1061"/>
        <w:gridCol w:w="922"/>
        <w:gridCol w:w="12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可转换公司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17,181,044.22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1,004,910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1,002,707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17,181,044.22</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其他权益工具本期增减变动情况、变动原因说明，以及相关会计处理的依据:</w:t>
      </w:r>
    </w:p>
    <w:p>
      <w:pPr>
        <w:pStyle w:val="Style38"/>
        <w:keepNext w:val="0"/>
        <w:keepLines w:val="0"/>
        <w:widowControl w:val="0"/>
        <w:shd w:val="clear" w:color="auto" w:fill="auto"/>
        <w:bidi w:val="0"/>
        <w:spacing w:before="0" w:after="440" w:line="240" w:lineRule="auto"/>
        <w:ind w:left="0" w:right="0" w:firstLine="980"/>
        <w:jc w:val="left"/>
      </w:pPr>
      <w:r>
        <w:rPr>
          <w:color w:val="000000"/>
          <w:spacing w:val="0"/>
          <w:w w:val="100"/>
          <w:position w:val="0"/>
        </w:rPr>
        <w:t>可转换公司债券基本情况详见本节注释</w:t>
      </w:r>
      <w:r>
        <w:rPr>
          <w:rFonts w:ascii="Times New Roman" w:eastAsia="Times New Roman" w:hAnsi="Times New Roman" w:cs="Times New Roman"/>
          <w:color w:val="000000"/>
          <w:spacing w:val="0"/>
          <w:w w:val="100"/>
          <w:position w:val="0"/>
        </w:rPr>
        <w:t>34</w:t>
      </w:r>
      <w:r>
        <w:rPr>
          <w:color w:val="000000"/>
          <w:spacing w:val="0"/>
          <w:w w:val="100"/>
          <w:position w:val="0"/>
        </w:rPr>
        <w:t>应付债券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line="240" w:lineRule="auto"/>
        <w:ind w:left="0" w:right="0" w:firstLine="54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3</w:t>
      </w:r>
      <w:bookmarkEnd w:id="1644"/>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642"/>
      <w:bookmarkEnd w:id="1643"/>
      <w:bookmarkEnd w:id="1645"/>
    </w:p>
    <w:p>
      <w:pPr>
        <w:pStyle w:val="Style2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2,244,046,493.75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2,244,181,633.45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256,159.46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2,244,302,653.21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2,244,437,792.91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59" w:line="1" w:lineRule="exact"/>
      </w:pPr>
    </w:p>
    <w:p>
      <w:pPr>
        <w:pStyle w:val="Style38"/>
        <w:keepNext w:val="0"/>
        <w:keepLines w:val="0"/>
        <w:widowControl w:val="0"/>
        <w:shd w:val="clear" w:color="auto" w:fill="auto"/>
        <w:bidi w:val="0"/>
        <w:spacing w:before="0" w:after="200" w:line="240" w:lineRule="auto"/>
        <w:ind w:left="0" w:right="0" w:firstLine="980"/>
        <w:jc w:val="left"/>
      </w:pPr>
      <w:r>
        <w:rPr>
          <w:color w:val="000000"/>
          <w:spacing w:val="0"/>
          <w:w w:val="100"/>
          <w:position w:val="0"/>
        </w:rPr>
        <w:t>资本公积的说明：公司</w:t>
      </w:r>
      <w:r>
        <w:rPr>
          <w:rFonts w:ascii="Times New Roman" w:eastAsia="Times New Roman" w:hAnsi="Times New Roman" w:cs="Times New Roman"/>
          <w:color w:val="000000"/>
          <w:spacing w:val="0"/>
          <w:w w:val="100"/>
          <w:position w:val="0"/>
        </w:rPr>
        <w:t>2018</w:t>
      </w:r>
      <w:r>
        <w:rPr>
          <w:color w:val="000000"/>
          <w:spacing w:val="0"/>
          <w:w w:val="100"/>
          <w:position w:val="0"/>
        </w:rPr>
        <w:t>年公开发行可转换公司债券募集资金转股，在</w:t>
      </w:r>
      <w:r>
        <w:rPr>
          <w:rFonts w:ascii="Times New Roman" w:eastAsia="Times New Roman" w:hAnsi="Times New Roman" w:cs="Times New Roman"/>
          <w:color w:val="000000"/>
          <w:spacing w:val="0"/>
          <w:w w:val="100"/>
          <w:position w:val="0"/>
        </w:rPr>
        <w:t>2020</w:t>
      </w:r>
      <w:r>
        <w:rPr>
          <w:color w:val="000000"/>
          <w:spacing w:val="0"/>
          <w:w w:val="100"/>
          <w:position w:val="0"/>
        </w:rPr>
        <w:t>年度共计转股比例为</w:t>
      </w:r>
    </w:p>
    <w:p>
      <w:pPr>
        <w:pStyle w:val="Style38"/>
        <w:keepNext w:val="0"/>
        <w:keepLines w:val="0"/>
        <w:widowControl w:val="0"/>
        <w:shd w:val="clear" w:color="auto" w:fill="auto"/>
        <w:bidi w:val="0"/>
        <w:spacing w:before="0" w:after="440" w:line="240" w:lineRule="auto"/>
        <w:ind w:left="0" w:right="0" w:firstLine="540"/>
        <w:jc w:val="left"/>
      </w:pPr>
      <w:r>
        <w:rPr>
          <w:rFonts w:ascii="Times New Roman" w:eastAsia="Times New Roman" w:hAnsi="Times New Roman" w:cs="Times New Roman"/>
          <w:color w:val="000000"/>
          <w:spacing w:val="0"/>
          <w:w w:val="100"/>
          <w:position w:val="0"/>
        </w:rPr>
        <w:t>0.0409%</w:t>
      </w:r>
      <w:r>
        <w:rPr>
          <w:color w:val="000000"/>
          <w:spacing w:val="0"/>
          <w:w w:val="100"/>
          <w:position w:val="0"/>
        </w:rPr>
        <w:t>，将可转债超出股本的部分计入资本公积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135,139.7</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54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646"/>
      <w:bookmarkEnd w:id="1647"/>
      <w:bookmarkEnd w:id="1649"/>
    </w:p>
    <w:p>
      <w:pPr>
        <w:pStyle w:val="Style2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15,858,900.00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2,199,741.81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2,199,741.81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18,058,641.81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54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650"/>
      <w:bookmarkEnd w:id="1651"/>
      <w:bookmarkEnd w:id="16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128"/>
        <w:gridCol w:w="5246"/>
        <w:gridCol w:w="114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3130"/>
        <w:gridCol w:w="1128"/>
        <w:gridCol w:w="850"/>
        <w:gridCol w:w="994"/>
        <w:gridCol w:w="1133"/>
        <w:gridCol w:w="710"/>
        <w:gridCol w:w="850"/>
        <w:gridCol w:w="710"/>
        <w:gridCol w:w="1142"/>
      </w:tblGrid>
      <w:tr>
        <w:trPr>
          <w:trHeight w:val="134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数股东</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16,143,420.00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16,053,160.00</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60"/>
        <w:jc w:val="both"/>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4</w:t>
      </w:r>
      <w:bookmarkEnd w:id="1656"/>
      <w:r>
        <w:rPr>
          <w:rFonts w:ascii="Times New Roman" w:eastAsia="Times New Roman" w:hAnsi="Times New Roman" w:cs="Times New Roman"/>
          <w:color w:val="000000"/>
          <w:spacing w:val="0"/>
          <w:w w:val="100"/>
          <w:position w:val="0"/>
        </w:rPr>
        <w:t>2</w:t>
      </w:r>
      <w:r>
        <w:rPr>
          <w:color w:val="000000"/>
          <w:spacing w:val="0"/>
          <w:w w:val="100"/>
          <w:position w:val="0"/>
        </w:rPr>
        <w:t>、专项储备</w:t>
      </w:r>
      <w:bookmarkEnd w:id="1654"/>
      <w:bookmarkEnd w:id="1655"/>
      <w:bookmarkEnd w:id="1657"/>
    </w:p>
    <w:p>
      <w:pPr>
        <w:pStyle w:val="Style2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60"/>
        <w:jc w:val="both"/>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4</w:t>
      </w:r>
      <w:bookmarkEnd w:id="1660"/>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658"/>
      <w:bookmarkEnd w:id="1659"/>
      <w:bookmarkEnd w:id="1661"/>
    </w:p>
    <w:p>
      <w:pPr>
        <w:pStyle w:val="Style2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44,032,250.37</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6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4</w:t>
      </w:r>
      <w:bookmarkEnd w:id="1664"/>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662"/>
      <w:bookmarkEnd w:id="1663"/>
      <w:bookmarkEnd w:id="1665"/>
    </w:p>
    <w:p>
      <w:pPr>
        <w:pStyle w:val="Style2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295,249,512.49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1,273,386,271.35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295,249,512.49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1,273,386,271.35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-1,092,545,436.06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-936,517,823.35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1,686,310.72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39,932,624.79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-797,295,923.57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295,249,512.49</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调整期初未分配利润明细：</w:t>
      </w:r>
    </w:p>
    <w:p>
      <w:pPr>
        <w:pStyle w:val="Style28"/>
        <w:keepNext w:val="0"/>
        <w:keepLines w:val="0"/>
        <w:widowControl w:val="0"/>
        <w:shd w:val="clear" w:color="auto" w:fill="auto"/>
        <w:tabs>
          <w:tab w:pos="890" w:val="left"/>
        </w:tabs>
        <w:bidi w:val="0"/>
        <w:spacing w:before="0" w:line="240" w:lineRule="auto"/>
        <w:ind w:left="0" w:right="0" w:firstLine="560"/>
        <w:jc w:val="left"/>
      </w:pPr>
      <w:bookmarkStart w:id="1666" w:name="bookmark1666"/>
      <w:r>
        <w:rPr>
          <w:rFonts w:ascii="Times New Roman" w:eastAsia="Times New Roman" w:hAnsi="Times New Roman" w:cs="Times New Roman"/>
          <w:color w:val="000000"/>
          <w:spacing w:val="0"/>
          <w:w w:val="100"/>
          <w:position w:val="0"/>
          <w:sz w:val="18"/>
          <w:szCs w:val="18"/>
        </w:rPr>
        <w:t>1</w:t>
      </w:r>
      <w:bookmarkEnd w:id="16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909" w:val="left"/>
        </w:tabs>
        <w:bidi w:val="0"/>
        <w:spacing w:before="0" w:line="240" w:lineRule="auto"/>
        <w:ind w:left="0" w:right="0" w:firstLine="560"/>
        <w:jc w:val="left"/>
      </w:pPr>
      <w:bookmarkStart w:id="1667" w:name="bookmark1667"/>
      <w:r>
        <w:rPr>
          <w:rFonts w:ascii="Times New Roman" w:eastAsia="Times New Roman" w:hAnsi="Times New Roman" w:cs="Times New Roman"/>
          <w:color w:val="000000"/>
          <w:spacing w:val="0"/>
          <w:w w:val="100"/>
          <w:position w:val="0"/>
          <w:sz w:val="18"/>
          <w:szCs w:val="18"/>
        </w:rPr>
        <w:t>2</w:t>
      </w:r>
      <w:bookmarkEnd w:id="16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909" w:val="left"/>
        </w:tabs>
        <w:bidi w:val="0"/>
        <w:spacing w:before="0" w:after="220" w:line="240" w:lineRule="auto"/>
        <w:ind w:left="0" w:right="0" w:firstLine="560"/>
        <w:jc w:val="left"/>
      </w:pPr>
      <w:bookmarkStart w:id="1668" w:name="bookmark1668"/>
      <w:r>
        <w:rPr>
          <w:rFonts w:ascii="Times New Roman" w:eastAsia="Times New Roman" w:hAnsi="Times New Roman" w:cs="Times New Roman"/>
          <w:color w:val="000000"/>
          <w:spacing w:val="0"/>
          <w:w w:val="100"/>
          <w:position w:val="0"/>
          <w:sz w:val="18"/>
          <w:szCs w:val="18"/>
        </w:rPr>
        <w:t>3</w:t>
      </w:r>
      <w:bookmarkEnd w:id="16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8"/>
        <w:keepNext w:val="0"/>
        <w:keepLines w:val="0"/>
        <w:widowControl w:val="0"/>
        <w:shd w:val="clear" w:color="auto" w:fill="auto"/>
        <w:tabs>
          <w:tab w:pos="909" w:val="left"/>
        </w:tabs>
        <w:bidi w:val="0"/>
        <w:spacing w:before="0" w:after="120" w:line="240" w:lineRule="auto"/>
        <w:ind w:left="0" w:right="0" w:firstLine="560"/>
        <w:jc w:val="left"/>
      </w:pPr>
      <w:bookmarkStart w:id="1669" w:name="bookmark1669"/>
      <w:r>
        <w:rPr>
          <w:rFonts w:ascii="Times New Roman" w:eastAsia="Times New Roman" w:hAnsi="Times New Roman" w:cs="Times New Roman"/>
          <w:color w:val="000000"/>
          <w:spacing w:val="0"/>
          <w:w w:val="100"/>
          <w:position w:val="0"/>
          <w:sz w:val="18"/>
          <w:szCs w:val="18"/>
        </w:rPr>
        <w:t>4</w:t>
      </w:r>
      <w:bookmarkEnd w:id="16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909" w:val="left"/>
        </w:tabs>
        <w:bidi w:val="0"/>
        <w:spacing w:before="0" w:after="380" w:line="240" w:lineRule="auto"/>
        <w:ind w:left="0" w:right="0" w:firstLine="560"/>
        <w:jc w:val="left"/>
      </w:pPr>
      <w:bookmarkStart w:id="1670" w:name="bookmark1670"/>
      <w:r>
        <w:rPr>
          <w:rFonts w:ascii="Times New Roman" w:eastAsia="Times New Roman" w:hAnsi="Times New Roman" w:cs="Times New Roman"/>
          <w:color w:val="000000"/>
          <w:spacing w:val="0"/>
          <w:w w:val="100"/>
          <w:position w:val="0"/>
          <w:sz w:val="18"/>
          <w:szCs w:val="18"/>
        </w:rPr>
        <w:t>5</w:t>
      </w:r>
      <w:bookmarkEnd w:id="16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56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671"/>
      <w:bookmarkEnd w:id="1672"/>
      <w:bookmarkEnd w:id="1674"/>
    </w:p>
    <w:p>
      <w:pPr>
        <w:pStyle w:val="Style28"/>
        <w:keepNext w:val="0"/>
        <w:keepLines w:val="0"/>
        <w:widowControl w:val="0"/>
        <w:shd w:val="clear" w:color="auto" w:fill="auto"/>
        <w:bidi w:val="0"/>
        <w:spacing w:before="0" w:after="120" w:line="240" w:lineRule="auto"/>
        <w:ind w:left="950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1,043,536,464.56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621,237,885.57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1,914,111,891.87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1,013,662,774.54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2,007,848.90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1,902,641.96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5,327,953.68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961,408.90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623,140,527.53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1,919,439,845.55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1,014,624,183.44</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20" w:line="240" w:lineRule="auto"/>
        <w:ind w:left="0" w:right="0" w:firstLine="56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560"/>
        <w:gridCol w:w="1416"/>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1,919,439,845.55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20,928,166.17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审计意见中非标准审计意见涉及的收入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20,928,166.17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审计意见中非标准审计意见涉及的收入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1,024,616,147.29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1,919,439,845.55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1,045,544,313.46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458,452,541.55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458,452,541.55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471,195,040.23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471,195,040.23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93,498,918.58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93,498,918.58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电商运营服务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22,397,813.10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22,397,813.10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与履约义务相关的信息：无</w:t>
      </w:r>
    </w:p>
    <w:p>
      <w:pPr>
        <w:pStyle w:val="Style2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56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675"/>
      <w:bookmarkEnd w:id="1676"/>
      <w:bookmarkEnd w:id="1678"/>
    </w:p>
    <w:p>
      <w:pPr>
        <w:pStyle w:val="Style28"/>
        <w:keepNext w:val="0"/>
        <w:keepLines w:val="0"/>
        <w:widowControl w:val="0"/>
        <w:shd w:val="clear" w:color="auto" w:fill="auto"/>
        <w:bidi w:val="0"/>
        <w:spacing w:before="0" w:after="12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974,235.57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4,954,018.01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428,940.57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2,181,439.96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13,308.91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1,378,737.88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348,632.23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468,455.90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47,965.00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70,315.00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436,323.89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2,331,285.21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287,474.91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1,440,727.77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2,536,881.08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12,828,729.73</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8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4</w:t>
      </w:r>
      <w:bookmarkEnd w:id="1681"/>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679"/>
      <w:bookmarkEnd w:id="1680"/>
      <w:bookmarkEnd w:id="1682"/>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14,277,085.12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43,549,843.70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促销推广费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7,743,163.76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2,753,527.36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6,679,152.99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1,456,412.11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3,725,290.29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685,975.74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1,444,050.59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4,503,349.71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2,441,356.54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3,315,306.58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2,259,035.42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882,668.58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1,386,730.97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5,752,957.67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3,316,283.10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广告和业务宣传费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180,371.55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818,483.00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10,036.22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221,180.00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安装调试费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702,126.40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255,328.16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28,866.42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18,757.01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257,887.10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234,266.03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34,806,570.56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74,092,921.56</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8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683"/>
      <w:bookmarkEnd w:id="1684"/>
      <w:bookmarkEnd w:id="1686"/>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34,722,419.53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57,062,445.39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34,348,460.99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30,293,863.44</w:t>
            </w:r>
          </w:p>
        </w:tc>
      </w:tr>
    </w:tbl>
    <w:p>
      <w:pPr>
        <w:sectPr>
          <w:footnotePr>
            <w:pos w:val="pageBottom"/>
            <w:numFmt w:val="decimal"/>
            <w:numRestart w:val="continuous"/>
          </w:footnotePr>
          <w:pgSz w:w="11900" w:h="16840"/>
          <w:pgMar w:top="1330" w:right="298" w:bottom="1498" w:left="250"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10,869,787.58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17,673,398.87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21,369,774.28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15,793,946.37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6,650,161.97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8,352,529.47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2,622,937.16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5,600,797.05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2,305,620.49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5,709,162.66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1,159,398.04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2,802,550.00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240,869.59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166,407.93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232,467.56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49,750.43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473,738.47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97,777.31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2,014,252.32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945,362.41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602,223.91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115,307,858.12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146,852,245.10</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580"/>
        <w:jc w:val="both"/>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687"/>
      <w:bookmarkEnd w:id="1688"/>
      <w:bookmarkEnd w:id="1690"/>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149,377,702.64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151,330,211.90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34,284,645.81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36,464,767.40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33,322,126.92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8,400,017.23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8,853,827.49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15,454,050.17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225,838,302.86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211,649,046.70</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58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w:t>
      </w:r>
      <w:bookmarkEnd w:id="1693"/>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691"/>
      <w:bookmarkEnd w:id="1692"/>
      <w:bookmarkEnd w:id="1694"/>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227,446,902.70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175,314,668.13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5,625,843.59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6,338,419.52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11,265.43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-4,166,573.73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476,948.20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12,475,205.50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4,923,760.76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4,918,653.04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227,233,033.50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182,203,533.42</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580"/>
        <w:jc w:val="both"/>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5</w:t>
      </w:r>
      <w:bookmarkEnd w:id="1697"/>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695"/>
      <w:bookmarkEnd w:id="1696"/>
      <w:bookmarkEnd w:id="1698"/>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35,554,654.43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88,052,201.95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97,411.30</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8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699"/>
      <w:bookmarkEnd w:id="1700"/>
      <w:bookmarkEnd w:id="1702"/>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226,492.69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113,520,224.01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406,061.97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16,816.41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113,564,000.40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644,869.95</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8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703"/>
      <w:bookmarkEnd w:id="1704"/>
      <w:bookmarkEnd w:id="1706"/>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-382,534,615.95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-435,027,793.19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-382,534,615.95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-435,027,793.19</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8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707"/>
      <w:bookmarkEnd w:id="1708"/>
      <w:bookmarkEnd w:id="1710"/>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-108,198,443.56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-99,581,486.13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-493,586,016.88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-751,082,564.81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-677,112,960.44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-850,695,950.94</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8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711"/>
      <w:bookmarkEnd w:id="1712"/>
      <w:bookmarkEnd w:id="1714"/>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-237,435.41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-2,673.12</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8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5</w:t>
      </w:r>
      <w:bookmarkEnd w:id="1717"/>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715"/>
      <w:bookmarkEnd w:id="1716"/>
      <w:bookmarkEnd w:id="1718"/>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521,279.58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521,279.58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久悬未决收入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530,174.38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595,933.64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530,174.38</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580"/>
        <w:jc w:val="left"/>
      </w:pPr>
      <w:r>
        <w:rPr>
          <w:color w:val="000000"/>
          <w:spacing w:val="0"/>
          <w:w w:val="100"/>
          <w:position w:val="0"/>
        </w:rPr>
        <w:t>计入当期损益的政府补助：无</w:t>
      </w:r>
    </w:p>
    <w:p>
      <w:pPr>
        <w:pStyle w:val="Style35"/>
        <w:keepNext/>
        <w:keepLines/>
        <w:widowControl w:val="0"/>
        <w:shd w:val="clear" w:color="auto" w:fill="auto"/>
        <w:bidi w:val="0"/>
        <w:spacing w:before="0" w:after="400" w:line="240" w:lineRule="auto"/>
        <w:ind w:left="0" w:right="0" w:firstLine="58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5</w:t>
      </w:r>
      <w:bookmarkEnd w:id="1721"/>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719"/>
      <w:bookmarkEnd w:id="1720"/>
      <w:bookmarkEnd w:id="1722"/>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2,441,069.80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29,699,899.64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2,441,069.80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846,969.69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826,865.70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846,969.69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803,994.03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129,126.78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803,994.03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4,105,828.21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30,810,892.12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4,105,828.21</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8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5</w:t>
      </w:r>
      <w:bookmarkEnd w:id="1725"/>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723"/>
      <w:bookmarkEnd w:id="1724"/>
      <w:bookmarkEnd w:id="1726"/>
    </w:p>
    <w:p>
      <w:pPr>
        <w:pStyle w:val="Style48"/>
        <w:keepNext/>
        <w:keepLines/>
        <w:widowControl w:val="0"/>
        <w:shd w:val="clear" w:color="auto" w:fill="auto"/>
        <w:bidi w:val="0"/>
        <w:spacing w:before="0" w:after="400" w:line="240" w:lineRule="auto"/>
        <w:ind w:left="0" w:right="0" w:firstLine="580"/>
        <w:jc w:val="both"/>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27"/>
      <w:bookmarkEnd w:id="1728"/>
      <w:bookmarkEnd w:id="1729"/>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23,365,826.76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50,970,248.60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-10,670,824.18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-90,752,223.51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12,695,002.58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-39,781,974.91</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70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30"/>
      <w:bookmarkEnd w:id="1731"/>
      <w:bookmarkEnd w:id="1732"/>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-1,097,508,257.53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-80,986,555.10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-8,353,109.34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5,344,644.35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1,042,399.62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162,366,186.33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递延所得税费用变动影响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-49,397,313.57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-17,321,249.71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12,695,002.58</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8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5</w:t>
      </w:r>
      <w:bookmarkEnd w:id="1735"/>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733"/>
      <w:bookmarkEnd w:id="1734"/>
      <w:bookmarkEnd w:id="1736"/>
    </w:p>
    <w:p>
      <w:pPr>
        <w:pStyle w:val="Style48"/>
        <w:keepNext/>
        <w:keepLines/>
        <w:widowControl w:val="0"/>
        <w:shd w:val="clear" w:color="auto" w:fill="auto"/>
        <w:bidi w:val="0"/>
        <w:spacing w:before="0" w:after="400" w:line="240" w:lineRule="auto"/>
        <w:ind w:left="0" w:right="0" w:firstLine="58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37"/>
      <w:bookmarkEnd w:id="1738"/>
      <w:bookmarkEnd w:id="1739"/>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政府专项补贴款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26,318,846.40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36,235,900.60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479,485.88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2,191,056.12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162,456,645.11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70,387,939.28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13,363,569.31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139,286,640.44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8,206,436.31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10,686,930.49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210,824,983.01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258,788,466.93</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700"/>
        <w:jc w:val="left"/>
      </w:pPr>
      <w:bookmarkStart w:id="1740" w:name="bookmark1740"/>
      <w:bookmarkStart w:id="1741" w:name="bookmark1741"/>
      <w:bookmarkStart w:id="1742" w:name="bookmark17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40"/>
      <w:bookmarkEnd w:id="1741"/>
      <w:bookmarkEnd w:id="1742"/>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4,619,367.41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支付的往来款、销售费用及管理费用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256,193,821.92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350,750,380.34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256,670,770.12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355,369,747.75</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70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43"/>
      <w:bookmarkEnd w:id="1744"/>
      <w:bookmarkEnd w:id="1746"/>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293" w:right="669" w:bottom="1560" w:left="585" w:header="0" w:footer="3" w:gutter="0"/>
          <w:cols w:space="720"/>
          <w:noEndnote/>
          <w:rtlGutter w:val="0"/>
          <w:docGrid w:linePitch="360"/>
        </w:sectPr>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40,000,001.00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40,000,001.00</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70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w:t>
      </w:r>
      <w:bookmarkEnd w:id="174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47"/>
      <w:bookmarkEnd w:id="1748"/>
      <w:bookmarkEnd w:id="1750"/>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处置子公司现金净流出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285,046.69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285,046.69</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70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51"/>
      <w:bookmarkEnd w:id="1752"/>
      <w:bookmarkEnd w:id="1754"/>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募集资金专户利息收入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6,929.49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银行承兑汇票、履约保证金及信用证保 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137,232,985.05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133,536,000.01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162,233,340.90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133,542,929.50</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70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55"/>
      <w:bookmarkEnd w:id="1756"/>
      <w:bookmarkEnd w:id="1758"/>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银行承兑汇票、履约保证金及信用证保 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1,782,631.70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161,968,929.27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47,891,736.50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股权激励股份回购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5,625,160.00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17,352,212.91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19,885,334.61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215,485,825.77</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58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6</w:t>
      </w:r>
      <w:bookmarkEnd w:id="1761"/>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759"/>
      <w:bookmarkEnd w:id="1760"/>
      <w:bookmarkEnd w:id="1762"/>
    </w:p>
    <w:p>
      <w:pPr>
        <w:pStyle w:val="Style48"/>
        <w:keepNext/>
        <w:keepLines/>
        <w:widowControl w:val="0"/>
        <w:shd w:val="clear" w:color="auto" w:fill="auto"/>
        <w:bidi w:val="0"/>
        <w:spacing w:before="0" w:after="400" w:line="240" w:lineRule="auto"/>
        <w:ind w:left="0" w:right="0" w:firstLine="58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3"/>
      <w:bookmarkEnd w:id="1764"/>
      <w:bookmarkEnd w:id="1765"/>
    </w:p>
    <w:p>
      <w:pPr>
        <w:pStyle w:val="Style28"/>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-1,110,203,260.11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-910,175,732.02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677,112,960.44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850,695,950.94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218,830,378.45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237,867,386.51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382,534,615.95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435,027,793.19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66,974,397.05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92,462,817.80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4,354,767.73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6,220,199.54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1,919,790.22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29,699,899.64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232,370,651.17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170,396,015.09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-113,564,000.40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-644,869.95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-11,846,031.60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-85,819,165.04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1,175,207.37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441,941.53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77,961,191.43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24,254,409.97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-447,670,742.23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-1,030,059,185.77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167,813,329.50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-108,829,078.61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148,000,690.38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-288,458,944.06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18,303,322.89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70,733,600.89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70,733,600.89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1,031,747,914.75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-52,430,278.00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-961,014,313.86</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766"/>
      <w:bookmarkEnd w:id="1767"/>
      <w:bookmarkEnd w:id="176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18,303,322.89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70,733,600.89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299,537.60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18,214,216.36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70,434,063.29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18,303,322.89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70,733,600.89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6</w:t>
      </w:r>
      <w:bookmarkEnd w:id="1771"/>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69"/>
      <w:bookmarkEnd w:id="1770"/>
      <w:bookmarkEnd w:id="177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51,009,707.91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详见本节注释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、中受限制的货币资金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204,211,381.32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融资租赁抵押物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133,793,604.88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903,559,149.48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1,292,573,843.59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、期末用于抵押的在建工程账面价值为</w:t>
      </w:r>
      <w:r>
        <w:rPr>
          <w:rFonts w:ascii="Times New Roman" w:eastAsia="Times New Roman" w:hAnsi="Times New Roman" w:cs="Times New Roman"/>
          <w:color w:val="000000"/>
          <w:spacing w:val="0"/>
          <w:w w:val="100"/>
          <w:position w:val="0"/>
        </w:rPr>
        <w:t>903,559,149.48</w:t>
      </w:r>
      <w:r>
        <w:rPr>
          <w:color w:val="000000"/>
          <w:spacing w:val="0"/>
          <w:w w:val="100"/>
          <w:position w:val="0"/>
        </w:rPr>
        <w:t>元，详见注释</w:t>
      </w:r>
      <w:r>
        <w:rPr>
          <w:rFonts w:ascii="Times New Roman" w:eastAsia="Times New Roman" w:hAnsi="Times New Roman" w:cs="Times New Roman"/>
          <w:color w:val="000000"/>
          <w:spacing w:val="0"/>
          <w:w w:val="100"/>
          <w:position w:val="0"/>
        </w:rPr>
        <w:t>22</w:t>
      </w:r>
      <w:r>
        <w:rPr>
          <w:color w:val="000000"/>
          <w:spacing w:val="0"/>
          <w:w w:val="100"/>
          <w:position w:val="0"/>
        </w:rPr>
        <w:t>、短期借款及注释</w:t>
      </w:r>
      <w:r>
        <w:rPr>
          <w:rFonts w:ascii="Times New Roman" w:eastAsia="Times New Roman" w:hAnsi="Times New Roman" w:cs="Times New Roman"/>
          <w:color w:val="000000"/>
          <w:spacing w:val="0"/>
          <w:w w:val="100"/>
          <w:position w:val="0"/>
        </w:rPr>
        <w:t>33</w:t>
      </w:r>
      <w:r>
        <w:rPr>
          <w:color w:val="000000"/>
          <w:spacing w:val="0"/>
          <w:w w:val="100"/>
          <w:position w:val="0"/>
        </w:rPr>
        <w:t>、长期借</w:t>
      </w:r>
    </w:p>
    <w:p>
      <w:pPr>
        <w:pStyle w:val="Style38"/>
        <w:keepNext w:val="0"/>
        <w:keepLines w:val="0"/>
        <w:widowControl w:val="0"/>
        <w:shd w:val="clear" w:color="auto" w:fill="auto"/>
        <w:bidi w:val="0"/>
        <w:spacing w:before="0" w:after="0" w:line="470" w:lineRule="exact"/>
        <w:ind w:left="0" w:right="0" w:firstLine="0"/>
        <w:jc w:val="both"/>
      </w:pPr>
      <w:r>
        <w:rPr>
          <w:color w:val="000000"/>
          <w:spacing w:val="0"/>
          <w:w w:val="100"/>
          <w:position w:val="0"/>
        </w:rPr>
        <w:t>款；</w:t>
      </w:r>
    </w:p>
    <w:p>
      <w:pPr>
        <w:pStyle w:val="Style38"/>
        <w:keepNext w:val="0"/>
        <w:keepLines w:val="0"/>
        <w:widowControl w:val="0"/>
        <w:shd w:val="clear" w:color="auto" w:fill="auto"/>
        <w:tabs>
          <w:tab w:pos="813" w:val="left"/>
        </w:tabs>
        <w:bidi w:val="0"/>
        <w:spacing w:before="0" w:after="0" w:line="470" w:lineRule="exact"/>
        <w:ind w:left="0" w:right="0" w:firstLine="440"/>
        <w:jc w:val="left"/>
      </w:pPr>
      <w:bookmarkStart w:id="1773" w:name="bookmark1773"/>
      <w:r>
        <w:rPr>
          <w:rFonts w:ascii="Times New Roman" w:eastAsia="Times New Roman" w:hAnsi="Times New Roman" w:cs="Times New Roman"/>
          <w:color w:val="000000"/>
          <w:spacing w:val="0"/>
          <w:w w:val="100"/>
          <w:position w:val="0"/>
        </w:rPr>
        <w:t>2</w:t>
      </w:r>
      <w:bookmarkEnd w:id="1773"/>
      <w:r>
        <w:rPr>
          <w:color w:val="000000"/>
          <w:spacing w:val="0"/>
          <w:w w:val="100"/>
          <w:position w:val="0"/>
        </w:rPr>
        <w:t>、</w:t>
        <w:tab/>
        <w:t>期末用于抵押的固定资产账面价值为</w:t>
      </w:r>
      <w:r>
        <w:rPr>
          <w:rFonts w:ascii="Times New Roman" w:eastAsia="Times New Roman" w:hAnsi="Times New Roman" w:cs="Times New Roman"/>
          <w:color w:val="000000"/>
          <w:spacing w:val="0"/>
          <w:w w:val="100"/>
          <w:position w:val="0"/>
        </w:rPr>
        <w:t>204,211,381.32</w:t>
      </w:r>
      <w:r>
        <w:rPr>
          <w:color w:val="000000"/>
          <w:spacing w:val="0"/>
          <w:w w:val="100"/>
          <w:position w:val="0"/>
        </w:rPr>
        <w:t>元，详见注释</w:t>
      </w:r>
      <w:r>
        <w:rPr>
          <w:rFonts w:ascii="Times New Roman" w:eastAsia="Times New Roman" w:hAnsi="Times New Roman" w:cs="Times New Roman"/>
          <w:color w:val="000000"/>
          <w:spacing w:val="0"/>
          <w:w w:val="100"/>
          <w:position w:val="0"/>
        </w:rPr>
        <w:t>35</w:t>
      </w:r>
      <w:r>
        <w:rPr>
          <w:color w:val="000000"/>
          <w:spacing w:val="0"/>
          <w:w w:val="100"/>
          <w:position w:val="0"/>
        </w:rPr>
        <w:t>、长期应付款；</w:t>
      </w:r>
    </w:p>
    <w:p>
      <w:pPr>
        <w:pStyle w:val="Style38"/>
        <w:keepNext w:val="0"/>
        <w:keepLines w:val="0"/>
        <w:widowControl w:val="0"/>
        <w:shd w:val="clear" w:color="auto" w:fill="auto"/>
        <w:tabs>
          <w:tab w:pos="790" w:val="left"/>
        </w:tabs>
        <w:bidi w:val="0"/>
        <w:spacing w:before="0" w:after="200" w:line="470" w:lineRule="exact"/>
        <w:ind w:left="0" w:right="0" w:firstLine="440"/>
        <w:jc w:val="both"/>
      </w:pPr>
      <w:bookmarkStart w:id="1774" w:name="bookmark1774"/>
      <w:r>
        <w:rPr>
          <w:rFonts w:ascii="Times New Roman" w:eastAsia="Times New Roman" w:hAnsi="Times New Roman" w:cs="Times New Roman"/>
          <w:color w:val="000000"/>
          <w:spacing w:val="0"/>
          <w:w w:val="100"/>
          <w:position w:val="0"/>
        </w:rPr>
        <w:t>3</w:t>
      </w:r>
      <w:bookmarkEnd w:id="1774"/>
      <w:r>
        <w:rPr>
          <w:color w:val="000000"/>
          <w:spacing w:val="0"/>
          <w:w w:val="100"/>
          <w:position w:val="0"/>
        </w:rPr>
        <w:t>、</w:t>
        <w:tab/>
        <w:t>期末用于抵押的无形资产账面价值为</w:t>
      </w:r>
      <w:r>
        <w:rPr>
          <w:rFonts w:ascii="Times New Roman" w:eastAsia="Times New Roman" w:hAnsi="Times New Roman" w:cs="Times New Roman"/>
          <w:color w:val="000000"/>
          <w:spacing w:val="0"/>
          <w:w w:val="100"/>
          <w:position w:val="0"/>
        </w:rPr>
        <w:t>133,793,604.88</w:t>
      </w:r>
      <w:r>
        <w:rPr>
          <w:color w:val="000000"/>
          <w:spacing w:val="0"/>
          <w:w w:val="100"/>
          <w:position w:val="0"/>
        </w:rPr>
        <w:t>元，详见注释</w:t>
      </w:r>
      <w:r>
        <w:rPr>
          <w:rFonts w:ascii="Times New Roman" w:eastAsia="Times New Roman" w:hAnsi="Times New Roman" w:cs="Times New Roman"/>
          <w:color w:val="000000"/>
          <w:spacing w:val="0"/>
          <w:w w:val="100"/>
          <w:position w:val="0"/>
        </w:rPr>
        <w:t>22</w:t>
      </w:r>
      <w:r>
        <w:rPr>
          <w:color w:val="000000"/>
          <w:spacing w:val="0"/>
          <w:w w:val="100"/>
          <w:position w:val="0"/>
        </w:rPr>
        <w:t>、短期借款、注释</w:t>
      </w:r>
      <w:r>
        <w:rPr>
          <w:rFonts w:ascii="Times New Roman" w:eastAsia="Times New Roman" w:hAnsi="Times New Roman" w:cs="Times New Roman"/>
          <w:color w:val="000000"/>
          <w:spacing w:val="0"/>
          <w:w w:val="100"/>
          <w:position w:val="0"/>
        </w:rPr>
        <w:t>33</w:t>
      </w:r>
      <w:r>
        <w:rPr>
          <w:color w:val="000000"/>
          <w:spacing w:val="0"/>
          <w:w w:val="100"/>
          <w:position w:val="0"/>
        </w:rPr>
        <w:t>、长期借 款及注释</w:t>
      </w:r>
      <w:r>
        <w:rPr>
          <w:rFonts w:ascii="Times New Roman" w:eastAsia="Times New Roman" w:hAnsi="Times New Roman" w:cs="Times New Roman"/>
          <w:color w:val="000000"/>
          <w:spacing w:val="0"/>
          <w:w w:val="100"/>
          <w:position w:val="0"/>
        </w:rPr>
        <w:t>35</w:t>
      </w:r>
      <w:r>
        <w:rPr>
          <w:color w:val="000000"/>
          <w:spacing w:val="0"/>
          <w:w w:val="100"/>
          <w:position w:val="0"/>
        </w:rPr>
        <w:t>、长期应付款。</w:t>
      </w:r>
    </w:p>
    <w:p>
      <w:pPr>
        <w:pStyle w:val="Style35"/>
        <w:keepNext/>
        <w:keepLines/>
        <w:widowControl w:val="0"/>
        <w:shd w:val="clear" w:color="auto" w:fill="auto"/>
        <w:bidi w:val="0"/>
        <w:spacing w:before="0" w:after="140" w:line="470" w:lineRule="exact"/>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6</w:t>
      </w:r>
      <w:bookmarkEnd w:id="1777"/>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775"/>
      <w:bookmarkEnd w:id="1776"/>
      <w:bookmarkEnd w:id="1778"/>
    </w:p>
    <w:p>
      <w:pPr>
        <w:pStyle w:val="Style48"/>
        <w:keepNext/>
        <w:keepLines/>
        <w:widowControl w:val="0"/>
        <w:shd w:val="clear" w:color="auto" w:fill="auto"/>
        <w:bidi w:val="0"/>
        <w:spacing w:before="0" w:after="380" w:line="470" w:lineRule="exact"/>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9"/>
      <w:bookmarkEnd w:id="1780"/>
      <w:bookmarkEnd w:id="178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11,994,798.81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14,324,047.59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14,324,047.59</w:t>
            </w: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冲减成本费用的政府补助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331,687.00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26,650,533.40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24,655,734.59</w:t>
            </w:r>
          </w:p>
        </w:tc>
      </w:tr>
    </w:tbl>
    <w:p>
      <w:pPr>
        <w:widowControl w:val="0"/>
        <w:spacing w:after="139" w:line="1" w:lineRule="exact"/>
      </w:pPr>
    </w:p>
    <w:p>
      <w:pPr>
        <w:pStyle w:val="Style48"/>
        <w:keepNext/>
        <w:keepLines/>
        <w:widowControl w:val="0"/>
        <w:shd w:val="clear" w:color="auto" w:fill="auto"/>
        <w:bidi w:val="0"/>
        <w:spacing w:before="0" w:after="380" w:line="466" w:lineRule="exact"/>
        <w:ind w:left="0" w:right="0" w:firstLine="0"/>
        <w:jc w:val="left"/>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82"/>
      <w:bookmarkEnd w:id="1783"/>
      <w:bookmarkEnd w:id="178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八</w:t>
      </w:r>
      <w:bookmarkEnd w:id="1787"/>
      <w:r>
        <w:rPr>
          <w:color w:val="000000"/>
          <w:spacing w:val="0"/>
          <w:w w:val="100"/>
          <w:position w:val="0"/>
        </w:rPr>
        <w:t>、合并范围的变更</w:t>
      </w:r>
      <w:bookmarkEnd w:id="1785"/>
      <w:bookmarkEnd w:id="1786"/>
      <w:bookmarkEnd w:id="1788"/>
    </w:p>
    <w:p>
      <w:pPr>
        <w:pStyle w:val="Style35"/>
        <w:keepNext/>
        <w:keepLines/>
        <w:widowControl w:val="0"/>
        <w:shd w:val="clear" w:color="auto" w:fill="auto"/>
        <w:tabs>
          <w:tab w:pos="368" w:val="left"/>
        </w:tabs>
        <w:bidi w:val="0"/>
        <w:spacing w:before="0" w:after="140" w:line="466" w:lineRule="exact"/>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1</w:t>
      </w:r>
      <w:bookmarkEnd w:id="1791"/>
      <w:r>
        <w:rPr>
          <w:color w:val="000000"/>
          <w:spacing w:val="0"/>
          <w:w w:val="100"/>
          <w:position w:val="0"/>
        </w:rPr>
        <w:t>、</w:t>
        <w:tab/>
        <w:t>非同一控制下企业合并</w:t>
      </w:r>
      <w:bookmarkEnd w:id="1789"/>
      <w:bookmarkEnd w:id="1790"/>
      <w:bookmarkEnd w:id="1792"/>
    </w:p>
    <w:p>
      <w:pPr>
        <w:pStyle w:val="Style38"/>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140" w:line="466" w:lineRule="exact"/>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2</w:t>
      </w:r>
      <w:bookmarkEnd w:id="1795"/>
      <w:r>
        <w:rPr>
          <w:color w:val="000000"/>
          <w:spacing w:val="0"/>
          <w:w w:val="100"/>
          <w:position w:val="0"/>
        </w:rPr>
        <w:t>、</w:t>
        <w:tab/>
        <w:t>同一控制下企业合并</w:t>
      </w:r>
      <w:bookmarkEnd w:id="1793"/>
      <w:bookmarkEnd w:id="1794"/>
      <w:bookmarkEnd w:id="1796"/>
    </w:p>
    <w:p>
      <w:pPr>
        <w:pStyle w:val="Style38"/>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140" w:line="466" w:lineRule="exact"/>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3</w:t>
      </w:r>
      <w:bookmarkEnd w:id="1799"/>
      <w:r>
        <w:rPr>
          <w:color w:val="000000"/>
          <w:spacing w:val="0"/>
          <w:w w:val="100"/>
          <w:position w:val="0"/>
        </w:rPr>
        <w:t>、</w:t>
        <w:tab/>
        <w:t>反向购买</w:t>
      </w:r>
      <w:bookmarkEnd w:id="1797"/>
      <w:bookmarkEnd w:id="1798"/>
      <w:bookmarkEnd w:id="1800"/>
    </w:p>
    <w:p>
      <w:pPr>
        <w:pStyle w:val="Style38"/>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本报告期内未发生反向购买。</w:t>
      </w:r>
    </w:p>
    <w:p>
      <w:pPr>
        <w:pStyle w:val="Style35"/>
        <w:keepNext/>
        <w:keepLines/>
        <w:widowControl w:val="0"/>
        <w:shd w:val="clear" w:color="auto" w:fill="auto"/>
        <w:tabs>
          <w:tab w:pos="378" w:val="left"/>
        </w:tabs>
        <w:bidi w:val="0"/>
        <w:spacing w:before="0" w:line="466" w:lineRule="exact"/>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4</w:t>
      </w:r>
      <w:bookmarkEnd w:id="1803"/>
      <w:r>
        <w:rPr>
          <w:color w:val="000000"/>
          <w:spacing w:val="0"/>
          <w:w w:val="100"/>
          <w:position w:val="0"/>
        </w:rPr>
        <w:t>、</w:t>
        <w:tab/>
        <w:t>处置子公司</w:t>
      </w:r>
      <w:bookmarkEnd w:id="1801"/>
      <w:bookmarkEnd w:id="1802"/>
      <w:bookmarkEnd w:id="180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378" w:val="left"/>
        </w:tabs>
        <w:bidi w:val="0"/>
        <w:spacing w:before="0" w:line="466" w:lineRule="exact"/>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5</w:t>
      </w:r>
      <w:bookmarkEnd w:id="1807"/>
      <w:r>
        <w:rPr>
          <w:color w:val="000000"/>
          <w:spacing w:val="0"/>
          <w:w w:val="100"/>
          <w:position w:val="0"/>
        </w:rPr>
        <w:t>、</w:t>
        <w:tab/>
        <w:t>其他原因的合并范围变动</w:t>
      </w:r>
      <w:bookmarkEnd w:id="1805"/>
      <w:bookmarkEnd w:id="1806"/>
      <w:bookmarkEnd w:id="180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8"/>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、新设子公司</w:t>
      </w:r>
    </w:p>
    <w:p>
      <w:pPr>
        <w:pStyle w:val="Style38"/>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日，公司全资子公司蓝盾信息安全技术有限公司投资设立控股子公司广东蓝盾网信科技 有限公司，注册资本</w:t>
      </w:r>
      <w:r>
        <w:rPr>
          <w:rFonts w:ascii="Times New Roman" w:eastAsia="Times New Roman" w:hAnsi="Times New Roman" w:cs="Times New Roman"/>
          <w:color w:val="000000"/>
          <w:spacing w:val="0"/>
          <w:w w:val="100"/>
          <w:position w:val="0"/>
        </w:rPr>
        <w:t>10,000.00</w:t>
      </w:r>
      <w:r>
        <w:rPr>
          <w:color w:val="000000"/>
          <w:spacing w:val="0"/>
          <w:w w:val="100"/>
          <w:position w:val="0"/>
        </w:rPr>
        <w:t>万元；</w:t>
      </w:r>
    </w:p>
    <w:p>
      <w:pPr>
        <w:pStyle w:val="Style38"/>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日，公司子公司中经汇通电子商务有限公司投资设立控股子公司蓝盾汇通电子商务有限公 司，注册资本</w:t>
      </w:r>
      <w:r>
        <w:rPr>
          <w:rFonts w:ascii="Times New Roman" w:eastAsia="Times New Roman" w:hAnsi="Times New Roman" w:cs="Times New Roman"/>
          <w:color w:val="000000"/>
          <w:spacing w:val="0"/>
          <w:w w:val="100"/>
          <w:position w:val="0"/>
        </w:rPr>
        <w:t>10,000.00</w:t>
      </w:r>
      <w:r>
        <w:rPr>
          <w:color w:val="000000"/>
          <w:spacing w:val="0"/>
          <w:w w:val="100"/>
          <w:position w:val="0"/>
        </w:rPr>
        <w:t>万元；</w:t>
      </w:r>
    </w:p>
    <w:p>
      <w:pPr>
        <w:pStyle w:val="Style38"/>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日，公司全资子公司蓝盾信息安全技术有限公司投资设立控股子公司肇庆蓝盾创新信息 安全技术有限公司，注册资本</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38"/>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日，公司投资设立控股子公司江门蓝盾创新信息安全技术有限公司，注册资本</w:t>
      </w:r>
      <w:r>
        <w:rPr>
          <w:rFonts w:ascii="Times New Roman" w:eastAsia="Times New Roman" w:hAnsi="Times New Roman" w:cs="Times New Roman"/>
          <w:color w:val="000000"/>
          <w:spacing w:val="0"/>
          <w:w w:val="100"/>
          <w:position w:val="0"/>
        </w:rPr>
        <w:t xml:space="preserve">10,000.00 </w:t>
      </w:r>
      <w:r>
        <w:rPr>
          <w:color w:val="000000"/>
          <w:spacing w:val="0"/>
          <w:w w:val="100"/>
          <w:position w:val="0"/>
        </w:rPr>
        <w:t>万元；</w:t>
      </w:r>
    </w:p>
    <w:p>
      <w:pPr>
        <w:pStyle w:val="Style3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日，公司投资设立控股子公司宜宾蓝盾信息安全技术有限公司，注册资本</w:t>
      </w:r>
      <w:r>
        <w:rPr>
          <w:rFonts w:ascii="Times New Roman" w:eastAsia="Times New Roman" w:hAnsi="Times New Roman" w:cs="Times New Roman"/>
          <w:color w:val="000000"/>
          <w:spacing w:val="0"/>
          <w:w w:val="100"/>
          <w:position w:val="0"/>
        </w:rPr>
        <w:t>20,000.00</w:t>
      </w:r>
      <w:r>
        <w:rPr>
          <w:color w:val="000000"/>
          <w:spacing w:val="0"/>
          <w:w w:val="100"/>
          <w:position w:val="0"/>
        </w:rPr>
        <w:t>万元;</w:t>
      </w:r>
    </w:p>
    <w:p>
      <w:pPr>
        <w:pStyle w:val="Style3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日，公司全资子公司蓝盾信息安全技术有限公司投资设立控股子公司广东蓝盾智能信息 安全技术有限公司，注册资本</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3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日，公司控股子公司广东蓝盾企业经营管理有限公司投资设立控股子公司宜宾蓝盾量子 科技有限公司，注册资本</w:t>
      </w:r>
      <w:r>
        <w:rPr>
          <w:rFonts w:ascii="Times New Roman" w:eastAsia="Times New Roman" w:hAnsi="Times New Roman" w:cs="Times New Roman"/>
          <w:color w:val="000000"/>
          <w:spacing w:val="0"/>
          <w:w w:val="100"/>
          <w:position w:val="0"/>
        </w:rPr>
        <w:t>20,000.00</w:t>
      </w:r>
      <w:r>
        <w:rPr>
          <w:color w:val="000000"/>
          <w:spacing w:val="0"/>
          <w:w w:val="100"/>
          <w:position w:val="0"/>
        </w:rPr>
        <w:t>万元；</w:t>
      </w:r>
    </w:p>
    <w:p>
      <w:pPr>
        <w:pStyle w:val="Style3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日，公司控股子公司广东蓝盾企业经营管理有限公司投资设立控股子公司广州蓝盾华创 信息安全技术有限公司，注册资本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3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日，公司控股子公司广州市奔特信息科技有限公司投资设立控股子公司广东蓝盾量子科 技有限公司，注册资本</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3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日，公司全资子公司广州市奔特信息科技有限公司投资设立控股子公司广东蓝盾聚能新 能源科技有限公司，注册资本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w:t>
      </w:r>
    </w:p>
    <w:p>
      <w:pPr>
        <w:pStyle w:val="Style3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、清算子公司</w:t>
      </w:r>
    </w:p>
    <w:p>
      <w:pPr>
        <w:pStyle w:val="Style38"/>
        <w:keepNext w:val="0"/>
        <w:keepLines w:val="0"/>
        <w:widowControl w:val="0"/>
        <w:shd w:val="clear" w:color="auto" w:fill="auto"/>
        <w:bidi w:val="0"/>
        <w:spacing w:before="0" w:after="44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日，公司控股子公司中经汇通电子商务有限公司处置全资子公司广东中经汇通交通运输有 限公司。</w:t>
      </w:r>
    </w:p>
    <w:p>
      <w:pPr>
        <w:pStyle w:val="Style26"/>
        <w:keepNext/>
        <w:keepLines/>
        <w:widowControl w:val="0"/>
        <w:shd w:val="clear" w:color="auto" w:fill="auto"/>
        <w:bidi w:val="0"/>
        <w:spacing w:before="0" w:after="12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九</w:t>
      </w:r>
      <w:bookmarkEnd w:id="1811"/>
      <w:r>
        <w:rPr>
          <w:color w:val="000000"/>
          <w:spacing w:val="0"/>
          <w:w w:val="100"/>
          <w:position w:val="0"/>
        </w:rPr>
        <w:t>、在其他主体中的权益</w:t>
      </w:r>
      <w:bookmarkEnd w:id="1809"/>
      <w:bookmarkEnd w:id="1810"/>
      <w:bookmarkEnd w:id="1812"/>
    </w:p>
    <w:p>
      <w:pPr>
        <w:pStyle w:val="Style35"/>
        <w:keepNext/>
        <w:keepLines/>
        <w:widowControl w:val="0"/>
        <w:shd w:val="clear" w:color="auto" w:fill="auto"/>
        <w:bidi w:val="0"/>
        <w:spacing w:before="0" w:after="120" w:line="470" w:lineRule="exact"/>
        <w:ind w:left="0" w:right="0" w:firstLine="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13"/>
      <w:bookmarkEnd w:id="1814"/>
      <w:bookmarkEnd w:id="1815"/>
    </w:p>
    <w:p>
      <w:pPr>
        <w:pStyle w:val="Style48"/>
        <w:keepNext/>
        <w:keepLines/>
        <w:widowControl w:val="0"/>
        <w:shd w:val="clear" w:color="auto" w:fill="auto"/>
        <w:bidi w:val="0"/>
        <w:spacing w:before="0" w:after="320" w:line="470" w:lineRule="exact"/>
        <w:ind w:left="0" w:right="0" w:firstLine="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16"/>
      <w:bookmarkEnd w:id="1817"/>
      <w:bookmarkEnd w:id="1818"/>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信息传输、软件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和信息技术服务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广东省蓝盾职业 培训学院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教育培训服务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广东蓝盾乐庚信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信息传输、软件 和信息技术服务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广东蓝盾移动互 联网信息科技有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信息传输、软件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和信息技术服务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广州市奔特信息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科学研究和技术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广东蓝盾企业经 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租赁和商务服务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广东省南方信息 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广东蓝盾新微安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科学研究和技术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北京京穗蓝盾信 息安全技术有限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科学研究和技术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广西蓝盾信息安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科学研究和技术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深圳中科蓝盾信 息安全技术有限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交通运输、仓储 和邮政业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广东汇青信息科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科学研究和技术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成都蓝盾网信科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科学研究和技术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西咸新区蓝盾信 息安全技术有限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信息传输、软件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和信息技术服务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广东蓝盾教育科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信息传输、软件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和信息技术服务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香港蓝盾投资管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广州天锐锋信息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科学研究和技术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广州华炜科技有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信息传输、软件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和信息技术服务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信息传输、软件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和信息技术服务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汇通宝支付有限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深圳市蓝盾满泰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信息传输、软件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科技发展有限公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和信息技术服务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广州蓝盾数据安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全技术创新中心</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科学研究和技术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东莞市华炜雷电 防护设备有限公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江西华炜电气技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南京微润科技有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居民服务、修理 和其他服务业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东莞市新铂铢电 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广州华炜测控技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科学研究和技术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福建中经汇通有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信息传输、软件 和信息技术服务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广州蓝盾工控技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科学研究和技术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广州市满泰信息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信息传输、软件 和信息技术服务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湖北蓝盾信息安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北京华炜思创科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科技推广和应用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四川中科蓝盾信 息安全技术有限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信息传输、软件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和信息技术服务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陕西蓝盾云信息 安全技术有限公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信息传输、软件 和信息技术服务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湖北蓝盾网信科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肇庆蓝盾创新信 息安全技术有限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广东蓝盾智能信 息安全技术有限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始兴县都亨加油 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始兴县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始兴县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广州市汇特慧科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科技推广和应用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蓝盾汇通电子商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研究和试验发展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广东蓝盾网信科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广东蓝盾聚能新 能源科技有限公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科技推广和应用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广东蓝盾量子科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科技推广和应用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宜宾蓝盾量子科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广州蓝盾华创信 息安全技术有限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宜宾蓝盾信息安 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江门蓝盾创新信 息安全技术有限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研究和试验发展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8"/>
        <w:keepNext w:val="0"/>
        <w:keepLines w:val="0"/>
        <w:widowControl w:val="0"/>
        <w:shd w:val="clear" w:color="auto" w:fill="auto"/>
        <w:bidi w:val="0"/>
        <w:spacing w:before="0" w:after="680" w:line="461" w:lineRule="exact"/>
        <w:ind w:left="0" w:right="0" w:firstLine="440"/>
        <w:jc w:val="left"/>
      </w:pPr>
      <w:r>
        <w:rPr>
          <w:color w:val="000000"/>
          <w:spacing w:val="0"/>
          <w:w w:val="100"/>
          <w:position w:val="0"/>
        </w:rPr>
        <w:t>广东蓝盾新微安全科技有限公司、广东蓝盾教育科技有限公司、深圳中科蓝盾信息安全技术有限公司 的少数股东尚未投入资本金，表决权为</w:t>
      </w:r>
      <w:r>
        <w:rPr>
          <w:rFonts w:ascii="Times New Roman" w:eastAsia="Times New Roman" w:hAnsi="Times New Roman" w:cs="Times New Roman"/>
          <w:color w:val="000000"/>
          <w:spacing w:val="0"/>
          <w:w w:val="100"/>
          <w:position w:val="0"/>
        </w:rPr>
        <w:t>100.00%</w:t>
      </w:r>
      <w:r>
        <w:rPr>
          <w:color w:val="000000"/>
          <w:spacing w:val="0"/>
          <w:w w:val="100"/>
          <w:position w:val="0"/>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8"/>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子公司广东汇青信息科技有限公司，持股比例为</w:t>
      </w:r>
      <w:r>
        <w:rPr>
          <w:rFonts w:ascii="Times New Roman" w:eastAsia="Times New Roman" w:hAnsi="Times New Roman" w:cs="Times New Roman"/>
          <w:color w:val="000000"/>
          <w:spacing w:val="0"/>
          <w:w w:val="100"/>
          <w:position w:val="0"/>
        </w:rPr>
        <w:t>50.00%</w:t>
      </w:r>
      <w:r>
        <w:rPr>
          <w:color w:val="000000"/>
          <w:spacing w:val="0"/>
          <w:w w:val="100"/>
          <w:position w:val="0"/>
        </w:rPr>
        <w:t>，根据第一次股东会决议公司有权任免子公司 广东汇青信息科技有限公司的董事会多数成员，可以对子公司广东汇青信息科技有限公司实施控制。</w:t>
      </w:r>
    </w:p>
    <w:p>
      <w:pPr>
        <w:pStyle w:val="Style48"/>
        <w:keepNext/>
        <w:keepLines/>
        <w:widowControl w:val="0"/>
        <w:shd w:val="clear" w:color="auto" w:fill="auto"/>
        <w:bidi w:val="0"/>
        <w:spacing w:before="0" w:after="400" w:line="468" w:lineRule="exact"/>
        <w:ind w:left="0" w:right="0" w:firstLine="0"/>
        <w:jc w:val="left"/>
      </w:pPr>
      <w:bookmarkStart w:id="1819" w:name="bookmark1819"/>
      <w:bookmarkStart w:id="1820" w:name="bookmark1820"/>
      <w:bookmarkStart w:id="1821" w:name="bookmark18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19"/>
      <w:bookmarkEnd w:id="1820"/>
      <w:bookmarkEnd w:id="18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广东蓝盾乐庚信息技术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-3,593,666.37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8,051,947.60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北京京穗蓝盾信息安全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-4,769,686.31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-21,607,293.10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深圳市蓝盾满泰科技发 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-6,711,283.90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148,789,366.02</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293" w:right="669" w:bottom="1560" w:left="585" w:header="0" w:footer="3" w:gutter="0"/>
          <w:cols w:space="720"/>
          <w:noEndnote/>
          <w:rtlGutter w:val="0"/>
          <w:docGrid w:linePitch="360"/>
        </w:sectPr>
      </w:pPr>
    </w:p>
    <w:p>
      <w:pPr>
        <w:pStyle w:val="Style28"/>
        <w:keepNext w:val="0"/>
        <w:keepLines w:val="0"/>
        <w:widowControl w:val="0"/>
        <w:shd w:val="clear" w:color="auto" w:fill="auto"/>
        <w:bidi w:val="0"/>
        <w:spacing w:before="0" w:after="80" w:line="240" w:lineRule="auto"/>
        <w:ind w:left="112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p>
      <w:pPr>
        <w:pStyle w:val="Style48"/>
        <w:keepNext/>
        <w:keepLines/>
        <w:widowControl w:val="0"/>
        <w:numPr>
          <w:ilvl w:val="0"/>
          <w:numId w:val="113"/>
        </w:numPr>
        <w:shd w:val="clear" w:color="auto" w:fill="auto"/>
        <w:bidi w:val="0"/>
        <w:spacing w:before="0" w:after="380" w:line="240" w:lineRule="auto"/>
        <w:ind w:left="112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重要非全资子公司的主要财务信息</w:t>
      </w:r>
      <w:bookmarkEnd w:id="1822"/>
      <w:bookmarkEnd w:id="1823"/>
      <w:bookmarkEnd w:id="1825"/>
    </w:p>
    <w:p>
      <w:pPr>
        <w:pStyle w:val="Style32"/>
        <w:keepNext w:val="0"/>
        <w:keepLines w:val="0"/>
        <w:widowControl w:val="0"/>
        <w:shd w:val="clear" w:color="auto" w:fill="auto"/>
        <w:bidi w:val="0"/>
        <w:spacing w:before="0" w:after="0" w:line="240" w:lineRule="auto"/>
        <w:ind w:left="14270" w:right="0" w:firstLine="0"/>
        <w:jc w:val="left"/>
      </w:pPr>
      <w:r>
        <w:rPr>
          <w:color w:val="000000"/>
          <w:spacing w:val="0"/>
          <w:w w:val="100"/>
          <w:position w:val="0"/>
        </w:rPr>
        <w:t>单位：元</w:t>
      </w:r>
    </w:p>
    <w:tbl>
      <w:tblPr>
        <w:tblOverlap w:val="never"/>
        <w:jc w:val="center"/>
        <w:tblLayout w:type="fixed"/>
      </w:tblPr>
      <w:tblGrid>
        <w:gridCol w:w="1138"/>
        <w:gridCol w:w="1277"/>
        <w:gridCol w:w="1277"/>
        <w:gridCol w:w="1277"/>
        <w:gridCol w:w="1272"/>
        <w:gridCol w:w="1133"/>
        <w:gridCol w:w="1282"/>
        <w:gridCol w:w="1272"/>
        <w:gridCol w:w="1277"/>
        <w:gridCol w:w="1277"/>
        <w:gridCol w:w="1272"/>
        <w:gridCol w:w="1138"/>
        <w:gridCol w:w="12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广东蓝盾乐 庚信息技术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16,749,881.50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14,589,905.12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31,339,786.62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10,566,987.28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11,209,917.63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11,942,384.83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20,846,901.55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32,789,286.38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2,889,390.79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785,860.67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3,675,251.46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北京京穗蓝 盾信息安全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13,955,248.08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9,629,637.79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23,584,885.87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67,681,402.40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67,681,402.40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14,099,025.94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16,283,126.47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30,382,152.41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64,744,615.25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64,744,615.25</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深圳市蓝盾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满泰科技发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516,828,513.22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141,877,180.22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658,705,693.44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281,082,347.55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5,649,930.83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286,732,278.38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596,417,661.10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109,398,806.18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705,816,467.28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296,107,141.00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20,957,701.48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317,064,842.48</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3264"/>
        <w:gridCol w:w="1421"/>
        <w:gridCol w:w="1416"/>
        <w:gridCol w:w="1416"/>
        <w:gridCol w:w="1277"/>
        <w:gridCol w:w="1277"/>
        <w:gridCol w:w="1277"/>
        <w:gridCol w:w="1272"/>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1,032,621.08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-8,984,165.93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-8,984,165.93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3,515,926.43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-12,191,412.78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-12,191,412.78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5,137,373.43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北京京穗蓝盾信息安全技术有限公司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3,310,012.03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-9,734,053.69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-9,734,053.69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8,515,672.05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-7,660,517.21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-7,660,517.21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-3,723,276.31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深圳市蓝盾满泰科技发展有限公司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157,526,298.76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-16,778,209.74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-16,778,209.74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2,491,945.05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225,008,806.11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98,952,989.05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98,952,989.05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-41,912,195.11</w:t>
            </w: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16840" w:h="11900" w:orient="landscape"/>
          <w:pgMar w:top="891" w:right="365" w:bottom="1193" w:left="303" w:header="463" w:footer="3" w:gutter="0"/>
          <w:cols w:space="720"/>
          <w:noEndnote/>
          <w:rtlGutter w:val="0"/>
          <w:docGrid w:linePitch="360"/>
        </w:sectPr>
      </w:pPr>
    </w:p>
    <w:p>
      <w:pPr>
        <w:pStyle w:val="Style48"/>
        <w:keepNext/>
        <w:keepLines/>
        <w:widowControl w:val="0"/>
        <w:shd w:val="clear" w:color="auto" w:fill="auto"/>
        <w:tabs>
          <w:tab w:pos="493" w:val="left"/>
        </w:tabs>
        <w:bidi w:val="0"/>
        <w:spacing w:before="220" w:after="36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26"/>
      <w:bookmarkEnd w:id="1827"/>
      <w:bookmarkEnd w:id="1829"/>
    </w:p>
    <w:p>
      <w:pPr>
        <w:pStyle w:val="Style3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公司不存在使用企业集团资产和清偿企业集团债务的重大限制。</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30"/>
      <w:bookmarkEnd w:id="1831"/>
      <w:bookmarkEnd w:id="1833"/>
    </w:p>
    <w:p>
      <w:pPr>
        <w:pStyle w:val="Style3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w:t>
      </w:r>
    </w:p>
    <w:p>
      <w:pPr>
        <w:pStyle w:val="Style35"/>
        <w:keepNext/>
        <w:keepLines/>
        <w:widowControl w:val="0"/>
        <w:shd w:val="clear" w:color="auto" w:fill="auto"/>
        <w:tabs>
          <w:tab w:pos="395" w:val="left"/>
        </w:tabs>
        <w:bidi w:val="0"/>
        <w:spacing w:before="0" w:after="36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2</w:t>
      </w:r>
      <w:bookmarkEnd w:id="1836"/>
      <w:r>
        <w:rPr>
          <w:color w:val="000000"/>
          <w:spacing w:val="0"/>
          <w:w w:val="100"/>
          <w:position w:val="0"/>
        </w:rPr>
        <w:t>、</w:t>
        <w:tab/>
        <w:t>在子公司的所有者权益份额发生变化且仍控制子公司的交易</w:t>
      </w:r>
      <w:bookmarkEnd w:id="1834"/>
      <w:bookmarkEnd w:id="1835"/>
      <w:bookmarkEnd w:id="1837"/>
    </w:p>
    <w:p>
      <w:pPr>
        <w:pStyle w:val="Style3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w:t>
      </w:r>
    </w:p>
    <w:p>
      <w:pPr>
        <w:pStyle w:val="Style35"/>
        <w:keepNext/>
        <w:keepLines/>
        <w:widowControl w:val="0"/>
        <w:shd w:val="clear" w:color="auto" w:fill="auto"/>
        <w:tabs>
          <w:tab w:pos="395" w:val="left"/>
        </w:tabs>
        <w:bidi w:val="0"/>
        <w:spacing w:before="0" w:after="36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3</w:t>
      </w:r>
      <w:bookmarkEnd w:id="1840"/>
      <w:r>
        <w:rPr>
          <w:color w:val="000000"/>
          <w:spacing w:val="0"/>
          <w:w w:val="100"/>
          <w:position w:val="0"/>
        </w:rPr>
        <w:t>、</w:t>
        <w:tab/>
        <w:t>在合营安排或联营企业中的权益</w:t>
      </w:r>
      <w:bookmarkEnd w:id="1838"/>
      <w:bookmarkEnd w:id="1839"/>
      <w:bookmarkEnd w:id="1841"/>
    </w:p>
    <w:p>
      <w:pPr>
        <w:pStyle w:val="Style48"/>
        <w:keepNext/>
        <w:keepLines/>
        <w:widowControl w:val="0"/>
        <w:shd w:val="clear" w:color="auto" w:fill="auto"/>
        <w:tabs>
          <w:tab w:pos="493" w:val="left"/>
        </w:tabs>
        <w:bidi w:val="0"/>
        <w:spacing w:before="0" w:after="36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42"/>
      <w:bookmarkEnd w:id="1843"/>
      <w:bookmarkEnd w:id="1845"/>
    </w:p>
    <w:p>
      <w:pPr>
        <w:pStyle w:val="Style3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公司期末无重要的合营企业或联营企业。</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46"/>
      <w:bookmarkEnd w:id="1847"/>
      <w:bookmarkEnd w:id="1849"/>
    </w:p>
    <w:p>
      <w:pPr>
        <w:pStyle w:val="Style3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50"/>
      <w:bookmarkEnd w:id="1851"/>
      <w:bookmarkEnd w:id="1853"/>
    </w:p>
    <w:p>
      <w:pPr>
        <w:pStyle w:val="Style3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54"/>
      <w:bookmarkEnd w:id="1855"/>
      <w:bookmarkEnd w:id="1857"/>
    </w:p>
    <w:p>
      <w:pPr>
        <w:pStyle w:val="Style3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58"/>
      <w:bookmarkEnd w:id="1859"/>
      <w:bookmarkEnd w:id="1861"/>
    </w:p>
    <w:p>
      <w:pPr>
        <w:pStyle w:val="Style3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62"/>
      <w:bookmarkEnd w:id="1863"/>
      <w:bookmarkEnd w:id="1865"/>
    </w:p>
    <w:p>
      <w:pPr>
        <w:pStyle w:val="Style3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66"/>
      <w:bookmarkEnd w:id="1867"/>
      <w:bookmarkEnd w:id="1869"/>
    </w:p>
    <w:p>
      <w:pPr>
        <w:pStyle w:val="Style3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公司无需要披露的承诺事项。</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70"/>
      <w:bookmarkEnd w:id="1871"/>
      <w:bookmarkEnd w:id="1873"/>
    </w:p>
    <w:p>
      <w:pPr>
        <w:pStyle w:val="Style3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公司不存在需要披露的或有事项。</w:t>
      </w:r>
    </w:p>
    <w:p>
      <w:pPr>
        <w:pStyle w:val="Style26"/>
        <w:keepNext/>
        <w:keepLines/>
        <w:widowControl w:val="0"/>
        <w:shd w:val="clear" w:color="auto" w:fill="auto"/>
        <w:bidi w:val="0"/>
        <w:spacing w:before="0" w:after="200" w:line="240" w:lineRule="auto"/>
        <w:ind w:left="0" w:right="0" w:firstLine="0"/>
        <w:jc w:val="left"/>
      </w:pPr>
      <w:bookmarkStart w:id="1874" w:name="bookmark1874"/>
      <w:bookmarkStart w:id="1875" w:name="bookmark1875"/>
      <w:bookmarkStart w:id="1876" w:name="bookmark1876"/>
      <w:r>
        <w:rPr>
          <w:color w:val="000000"/>
          <w:spacing w:val="0"/>
          <w:w w:val="100"/>
          <w:position w:val="0"/>
        </w:rPr>
        <w:t>十、与金融工具相关的风险</w:t>
      </w:r>
      <w:bookmarkEnd w:id="1874"/>
      <w:bookmarkEnd w:id="1875"/>
      <w:bookmarkEnd w:id="1876"/>
    </w:p>
    <w:p>
      <w:pPr>
        <w:pStyle w:val="Style38"/>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公司的主要金融工具包括货币资金、股权投资、债权投资、借款、应收款项、应付款项及可转换债券 等。在日常活动中面临各种金融工具的风险，主要包括信用风险、流动性风险、市场风险。与这些金融工 具相关的风险，以及公司为降低这些风险所采取的风险管理政策如下所述：</w:t>
      </w:r>
    </w:p>
    <w:p>
      <w:pPr>
        <w:pStyle w:val="Style38"/>
        <w:keepNext w:val="0"/>
        <w:keepLines w:val="0"/>
        <w:widowControl w:val="0"/>
        <w:shd w:val="clear" w:color="auto" w:fill="auto"/>
        <w:bidi w:val="0"/>
        <w:spacing w:before="0" w:after="260" w:line="462" w:lineRule="exact"/>
        <w:ind w:left="0" w:right="0" w:firstLine="44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w:t>
      </w:r>
    </w:p>
    <w:p>
      <w:pPr>
        <w:pStyle w:val="Style38"/>
        <w:keepNext w:val="0"/>
        <w:keepLines w:val="0"/>
        <w:widowControl w:val="0"/>
        <w:shd w:val="clear" w:color="auto" w:fill="auto"/>
        <w:bidi w:val="0"/>
        <w:spacing w:before="0" w:after="0" w:line="48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、信用风险</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信用风险是指交易对手未能履行合同义务而导致公司产生财务损失的风险，管理层已制定适当的信用 政策，并且不断监察信用风险的敞口。</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公司已采取政策只与信用良好的交易对手进行交易。另外，公司基于对客户的财务状况、从第三方获 取担保的可能性、信用记录及其它因素诸如目前市场状况等评估客户的信用资质并设置相应信用期。公司 对应收票据、应收账款余额及收回情况进行持续监控，对于信用记录不良的客户，公司会采用书面催款、 缩短信用期或取消信用期等方式，以确保公司不致面临重大信用损失。此外，公司于每个资产负债表日审 核金融资产的回收情况，以确保相关金融资产计提了充分的预期信用损失准备。</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公司其他金融资产包括货币资金、其他应收款、债权投资等，这些金融资产的信用风险源自于交易对 手违约，最大信用风险敞口为资产负债表中每项金融资产的账面金额。公司没有提供任何其他可能令公司 承受信用风险的担保。</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公司持有的货币资金主要存放于国有控股银行和其他大中型商业银行等金融机构，管理层认为这些商 业银行具备较高信誉和资产状况，不存在重大的信用风险，不会产生因对方单位违约而导致的任何重大损 失。公司的政策是根据各知名金融机构的市场信誉、经营规模及财务背景来控制存放当中的存款金额，以 限制对任何单个金融机构的信用风险金额。</w:t>
      </w:r>
    </w:p>
    <w:p>
      <w:pPr>
        <w:pStyle w:val="Style38"/>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作为公司信用风险资产管理的一部分，公司利用账龄来评估应收账款和其他应收款的减值损失。公司 的应收账款和其他应收款涉及大量客户，账龄信息可以反映这些客户对于应收账款和其他应收款的偿付能 力和坏账风险。公司根据历史数据计算不同账龄期间的历史实际坏账率，并考虑了当前及未来经济状况的 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增速、基建投资总额、国家货币政策等前瞻性信息进行调整得出预期损失率。对于长期 应收款，公司综合考虑结算期、合同约定付款期、债务人的财务状况和债务人所处行业的经济形势，并考 虑上述前瞻性信息进行调整后对于预期信用损失进行合理评估。</w:t>
      </w:r>
      <w:r>
        <w:br w:type="page"/>
      </w:r>
    </w:p>
    <w:p>
      <w:pPr>
        <w:pStyle w:val="Style32"/>
        <w:keepNext w:val="0"/>
        <w:keepLines w:val="0"/>
        <w:widowControl w:val="0"/>
        <w:shd w:val="clear" w:color="auto" w:fill="auto"/>
        <w:bidi w:val="0"/>
        <w:spacing w:before="0" w:after="0" w:line="240" w:lineRule="auto"/>
        <w:ind w:left="754"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center"/>
        <w:tblLayout w:type="fixed"/>
      </w:tblPr>
      <w:tblGrid>
        <w:gridCol w:w="3235"/>
        <w:gridCol w:w="3298"/>
        <w:gridCol w:w="312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10,339,642.95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639,891.26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4,211,159,331.99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1,147,874,634.07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111,187,891.35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34,557,345.62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4,332,686,866.29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1,183,071,870.95</w:t>
            </w:r>
          </w:p>
        </w:tc>
      </w:tr>
    </w:tbl>
    <w:p>
      <w:pPr>
        <w:pStyle w:val="Style32"/>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、流动性风险</w:t>
      </w:r>
    </w:p>
    <w:p>
      <w:pPr>
        <w:pStyle w:val="Style38"/>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流动性风险是指公司在履行以交付现金或其他金融资产的方式结算的义务时发生资金短缺的风险。公 司下属成员企业各自负责其现金流量预测。</w:t>
      </w:r>
    </w:p>
    <w:p>
      <w:pPr>
        <w:pStyle w:val="Style38"/>
        <w:keepNext w:val="0"/>
        <w:keepLines w:val="0"/>
        <w:widowControl w:val="0"/>
        <w:shd w:val="clear" w:color="auto" w:fill="auto"/>
        <w:bidi w:val="0"/>
        <w:spacing w:before="0" w:after="460" w:line="458" w:lineRule="exact"/>
        <w:ind w:left="0" w:right="0" w:firstLine="44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w:t>
      </w:r>
    </w:p>
    <w:p>
      <w:pPr>
        <w:pStyle w:val="Style26"/>
        <w:keepNext/>
        <w:keepLines/>
        <w:widowControl w:val="0"/>
        <w:shd w:val="clear" w:color="auto" w:fill="auto"/>
        <w:bidi w:val="0"/>
        <w:spacing w:before="0" w:after="360" w:line="240" w:lineRule="auto"/>
        <w:ind w:left="0" w:right="0" w:firstLine="0"/>
        <w:jc w:val="left"/>
      </w:pPr>
      <w:bookmarkStart w:id="1877" w:name="bookmark1877"/>
      <w:bookmarkStart w:id="1878" w:name="bookmark1878"/>
      <w:bookmarkStart w:id="1879" w:name="bookmark1879"/>
      <w:r>
        <w:rPr>
          <w:color w:val="000000"/>
          <w:spacing w:val="0"/>
          <w:w w:val="100"/>
          <w:position w:val="0"/>
        </w:rPr>
        <w:t>十^一、公允价值的披露</w:t>
      </w:r>
      <w:bookmarkEnd w:id="1877"/>
      <w:bookmarkEnd w:id="1878"/>
      <w:bookmarkEnd w:id="1879"/>
    </w:p>
    <w:p>
      <w:pPr>
        <w:pStyle w:val="Style35"/>
        <w:keepNext/>
        <w:keepLines/>
        <w:widowControl w:val="0"/>
        <w:shd w:val="clear" w:color="auto" w:fill="auto"/>
        <w:bidi w:val="0"/>
        <w:spacing w:before="0" w:after="120" w:line="480" w:lineRule="auto"/>
        <w:ind w:left="0" w:right="0" w:firstLine="0"/>
        <w:jc w:val="left"/>
      </w:pPr>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80"/>
      <w:bookmarkEnd w:id="1881"/>
      <w:bookmarkEnd w:id="188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982"/>
        <w:gridCol w:w="1987"/>
        <w:gridCol w:w="1982"/>
        <w:gridCol w:w="15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16,495,210.00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16,495,210.00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66,995,210.00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66,995,210.00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rPr>
          <w:sz w:val="20"/>
          <w:szCs w:val="20"/>
        </w:rPr>
      </w:pPr>
      <w:bookmarkStart w:id="1883" w:name="bookmark188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、持续和非持续第三层次公允价值计量项目，采用的估值技术和重要参数的定性及定量信息</w:t>
      </w:r>
      <w:bookmarkEnd w:id="1883"/>
    </w:p>
    <w:p>
      <w:pPr>
        <w:widowControl w:val="0"/>
        <w:spacing w:after="199" w:line="1" w:lineRule="exact"/>
      </w:pPr>
    </w:p>
    <w:p>
      <w:pPr>
        <w:pStyle w:val="Style38"/>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本公司以公允价值计量且其变动计入其他综合收益的其他权益工具投资及其他非流动金融资产主要 为对外股权投资，该部分股权投资均为非公众公司，采用的估值技术和重要参数为一般如有涉及近期股权 转让则按股权转让价格对应的持股比例计算每股市场价值即公允价值，否则公允价值的可能估计金额分布 范围很广，投资成本可以代表对公允价值的恰当估计。</w:t>
      </w:r>
    </w:p>
    <w:p>
      <w:pPr>
        <w:pStyle w:val="Style35"/>
        <w:keepNext/>
        <w:keepLines/>
        <w:widowControl w:val="0"/>
        <w:shd w:val="clear" w:color="auto" w:fill="auto"/>
        <w:bidi w:val="0"/>
        <w:spacing w:before="0" w:after="200" w:line="478" w:lineRule="exact"/>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3</w:t>
      </w:r>
      <w:bookmarkEnd w:id="1886"/>
      <w:r>
        <w:rPr>
          <w:color w:val="000000"/>
          <w:spacing w:val="0"/>
          <w:w w:val="100"/>
          <w:position w:val="0"/>
        </w:rPr>
        <w:t>、不以公允价值计量的金融资产和金融负债的公允价值情况</w:t>
      </w:r>
      <w:bookmarkEnd w:id="1884"/>
      <w:bookmarkEnd w:id="1885"/>
      <w:bookmarkEnd w:id="1887"/>
    </w:p>
    <w:p>
      <w:pPr>
        <w:pStyle w:val="Style38"/>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不以公允价值计量的金融资产和负债主要包括：应收款项、短期借款、应付款项、一年内到期的非流 动负债和长期借款。</w:t>
      </w:r>
    </w:p>
    <w:p>
      <w:pPr>
        <w:pStyle w:val="Style38"/>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上述不以公允价值计量的金融资产和负债的账面价值与公允价值相差很小。</w:t>
      </w:r>
    </w:p>
    <w:p>
      <w:pPr>
        <w:pStyle w:val="Style26"/>
        <w:keepNext/>
        <w:keepLines/>
        <w:widowControl w:val="0"/>
        <w:shd w:val="clear" w:color="auto" w:fill="auto"/>
        <w:bidi w:val="0"/>
        <w:spacing w:before="0" w:after="140" w:line="240" w:lineRule="auto"/>
        <w:ind w:left="0" w:right="0" w:firstLine="0"/>
        <w:jc w:val="left"/>
      </w:pPr>
      <w:bookmarkStart w:id="1888" w:name="bookmark1888"/>
      <w:bookmarkStart w:id="1889" w:name="bookmark1889"/>
      <w:bookmarkStart w:id="1890" w:name="bookmark1890"/>
      <w:r>
        <w:rPr>
          <w:color w:val="000000"/>
          <w:spacing w:val="0"/>
          <w:w w:val="100"/>
          <w:position w:val="0"/>
        </w:rPr>
        <w:t>十二、关联方及关联交易</w:t>
      </w:r>
      <w:bookmarkEnd w:id="1888"/>
      <w:bookmarkEnd w:id="1889"/>
      <w:bookmarkEnd w:id="1890"/>
    </w:p>
    <w:p>
      <w:pPr>
        <w:pStyle w:val="Style35"/>
        <w:keepNext/>
        <w:keepLines/>
        <w:widowControl w:val="0"/>
        <w:shd w:val="clear" w:color="auto" w:fill="auto"/>
        <w:tabs>
          <w:tab w:pos="368" w:val="left"/>
        </w:tabs>
        <w:bidi w:val="0"/>
        <w:spacing w:before="0" w:after="440" w:line="478" w:lineRule="exact"/>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1</w:t>
      </w:r>
      <w:bookmarkEnd w:id="1893"/>
      <w:r>
        <w:rPr>
          <w:color w:val="000000"/>
          <w:spacing w:val="0"/>
          <w:w w:val="100"/>
          <w:position w:val="0"/>
        </w:rPr>
        <w:t>、</w:t>
        <w:tab/>
        <w:t>本企业的母公司情况</w:t>
      </w:r>
      <w:bookmarkEnd w:id="1891"/>
      <w:bookmarkEnd w:id="1892"/>
      <w:bookmarkEnd w:id="1894"/>
    </w:p>
    <w:p>
      <w:pPr>
        <w:pStyle w:val="Style38"/>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本企业最终控制方是柯宗庆、柯宗贵。</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200" w:line="490"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日，中经汇通有限责任公司持有公司</w:t>
      </w:r>
      <w:r>
        <w:rPr>
          <w:rFonts w:ascii="Times New Roman" w:eastAsia="Times New Roman" w:hAnsi="Times New Roman" w:cs="Times New Roman"/>
          <w:color w:val="000000"/>
          <w:spacing w:val="0"/>
          <w:w w:val="100"/>
          <w:position w:val="0"/>
        </w:rPr>
        <w:t>7.20%</w:t>
      </w:r>
      <w:r>
        <w:rPr>
          <w:color w:val="000000"/>
          <w:spacing w:val="0"/>
          <w:w w:val="100"/>
          <w:position w:val="0"/>
        </w:rPr>
        <w:t>股权，根据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日与公司实际控 制人签署的《一致行动协议》，中经汇通有限责任公司与公司实际控制人构成一致行动人。</w:t>
      </w:r>
    </w:p>
    <w:p>
      <w:pPr>
        <w:pStyle w:val="Style35"/>
        <w:keepNext/>
        <w:keepLines/>
        <w:widowControl w:val="0"/>
        <w:shd w:val="clear" w:color="auto" w:fill="auto"/>
        <w:tabs>
          <w:tab w:pos="378" w:val="left"/>
        </w:tabs>
        <w:bidi w:val="0"/>
        <w:spacing w:before="0" w:after="200" w:line="478" w:lineRule="exact"/>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2</w:t>
      </w:r>
      <w:bookmarkEnd w:id="1897"/>
      <w:r>
        <w:rPr>
          <w:color w:val="000000"/>
          <w:spacing w:val="0"/>
          <w:w w:val="100"/>
          <w:position w:val="0"/>
        </w:rPr>
        <w:t>、</w:t>
        <w:tab/>
        <w:t>本企业的子公司情况</w:t>
      </w:r>
      <w:bookmarkEnd w:id="1895"/>
      <w:bookmarkEnd w:id="1896"/>
      <w:bookmarkEnd w:id="1898"/>
    </w:p>
    <w:p>
      <w:pPr>
        <w:pStyle w:val="Style38"/>
        <w:keepNext w:val="0"/>
        <w:keepLines w:val="0"/>
        <w:widowControl w:val="0"/>
        <w:shd w:val="clear" w:color="auto" w:fill="auto"/>
        <w:bidi w:val="0"/>
        <w:spacing w:before="0" w:after="200" w:line="478" w:lineRule="exact"/>
        <w:ind w:left="0" w:right="0" w:firstLine="44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35"/>
        <w:keepNext/>
        <w:keepLines/>
        <w:widowControl w:val="0"/>
        <w:shd w:val="clear" w:color="auto" w:fill="auto"/>
        <w:tabs>
          <w:tab w:pos="378" w:val="left"/>
        </w:tabs>
        <w:bidi w:val="0"/>
        <w:spacing w:before="0" w:after="440" w:line="478" w:lineRule="exact"/>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3</w:t>
      </w:r>
      <w:bookmarkEnd w:id="1901"/>
      <w:r>
        <w:rPr>
          <w:color w:val="000000"/>
          <w:spacing w:val="0"/>
          <w:w w:val="100"/>
          <w:position w:val="0"/>
        </w:rPr>
        <w:t>、</w:t>
        <w:tab/>
        <w:t>本企业合营和联营企业情况</w:t>
      </w:r>
      <w:bookmarkEnd w:id="1899"/>
      <w:bookmarkEnd w:id="1900"/>
      <w:bookmarkEnd w:id="1902"/>
    </w:p>
    <w:p>
      <w:pPr>
        <w:pStyle w:val="Style3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p>
    <w:p>
      <w:pPr>
        <w:pStyle w:val="Style35"/>
        <w:keepNext/>
        <w:keepLines/>
        <w:widowControl w:val="0"/>
        <w:shd w:val="clear" w:color="auto" w:fill="auto"/>
        <w:bidi w:val="0"/>
        <w:spacing w:before="0" w:after="32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4</w:t>
      </w:r>
      <w:bookmarkEnd w:id="1905"/>
      <w:r>
        <w:rPr>
          <w:color w:val="000000"/>
          <w:spacing w:val="0"/>
          <w:w w:val="100"/>
          <w:position w:val="0"/>
        </w:rPr>
        <w:t>、其他关联方情况</w:t>
      </w:r>
      <w:bookmarkEnd w:id="1903"/>
      <w:bookmarkEnd w:id="1904"/>
      <w:bookmarkEnd w:id="190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广州博饶投资合伙企业（有限合伙）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广州臻泰企业咨询管理合伙企业（有限合伙）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实际控制人及其关联自然人投资及任职的企业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广州中科蓝华生物科技有限公司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广州蓝耀医药科技有限公司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广州蓝锦生物科技有限公司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广东中科蓝华生物医药科技有限公司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实际控制人及其关联自然人控制及任职的企业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深圳中科蓝华生物科技有限公司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广州蓝盾融轩投资有限公司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广州市昇佰投资管理合伙企业（有限合伙）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广州华粤汇智教育科技有限公司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实际控制人控制及任职的企业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广东赢融企业咨询服务有限公司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广州景辕投资管理合伙企业（有限合伙）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实际控制人及其关联自然人控制及任职的企业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广州景轩投资管理有限公司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广州奥邦投资咨询有限公司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广西壮方生物科技有限公司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实际控制人的关联自然人投资及任职的企业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广东蓝安控股有限公司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实际控制人及其关联自然人控制及任职的企业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广东蓝御房地产开发有限公司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广州市创御信息科技有限公司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广州腾硕投资管理有限公司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广州仁强投资管理合伙企业（有限合伙）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广州锋昊环保科技有限公司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广州创瑞投资合伙企业（有限合伙）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深圳市华融股权投资管理有限公司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深圳市景诚投资管理有限公司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广东迅通科技股份有限公司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广东迅通信息传输分析有限公司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广东迅网视通科技有限公司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广州民营投资股份有限公司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实际控制人任职及母公司投资的企业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珠海横琴蓝曜投资管理合伙企业（有限合伙）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Swoop Success International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Holding Group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Chinex International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(HK) Group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广州市经汇投资管理有限公司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Winner choice International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Access Universe International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(Cayman)Holdings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China Express Group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中经穗港（广州）科技有限公司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萍乡市尚通投资管理合伙企业（有限合伙）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实际控制人的关联自然人投资及任职的企业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萍乡市捷瑞投资管理合伙企业（有限合伙）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广州中唯股权投资企业（有限合伙）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广州市子乔商业管理有限公司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广州鸿蒙信息科技有限公司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实际控制人的关联自然人投资及任职的企业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广州杰德环保科技有限公司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监事的关联自然人控制及任职的企业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广州市饶兴投资管理有限公司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监事的关联自然人控制及任职的企业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水晶球教育信息技术有限公司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监事的关联自然人投资及任职的企业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广州市协瑞投资咨询有限公司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广州兴饶创业投资企业（有限合伙）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广州聆创信息科技有限公司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监事的关联自然人控制及任职的企业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南平市瑞兴达股权投资合伙企业（有限合伙）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广东森一科技有限公司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广州市羽辰信息科技有限公司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广州市羽辰智能信息科技有限公司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广州市九略信息科技有限公司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广州协诺股权投资企业（有限合伙）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实际控制人的关联自然人投资及任职的企业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广东羽辰智慧城市科技发展有限公司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5</w:t>
      </w:r>
      <w:bookmarkEnd w:id="1909"/>
      <w:r>
        <w:rPr>
          <w:color w:val="000000"/>
          <w:spacing w:val="0"/>
          <w:w w:val="100"/>
          <w:position w:val="0"/>
        </w:rPr>
        <w:t>、关联交易情况</w:t>
      </w:r>
      <w:bookmarkEnd w:id="1907"/>
      <w:bookmarkEnd w:id="1908"/>
      <w:bookmarkEnd w:id="1910"/>
    </w:p>
    <w:p>
      <w:pPr>
        <w:pStyle w:val="Style48"/>
        <w:keepNext/>
        <w:keepLines/>
        <w:widowControl w:val="0"/>
        <w:shd w:val="clear" w:color="auto" w:fill="auto"/>
        <w:bidi w:val="0"/>
        <w:spacing w:before="0" w:after="44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911"/>
      <w:bookmarkEnd w:id="1912"/>
      <w:bookmarkEnd w:id="1914"/>
    </w:p>
    <w:p>
      <w:pPr>
        <w:pStyle w:val="Style3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存在控制关系且已纳入公司合并财务报表范围的子公司，其相互间交易及母子公司交易己作抵销。</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2</w:t>
      </w:r>
      <w:r>
        <w:rPr>
          <w:color w:val="000000"/>
          <w:spacing w:val="0"/>
          <w:w w:val="100"/>
          <w:position w:val="0"/>
        </w:rPr>
        <w:t>）</w:t>
        <w:tab/>
        <w:t>关联担保情况</w:t>
      </w:r>
      <w:bookmarkEnd w:id="1915"/>
      <w:bookmarkEnd w:id="1916"/>
      <w:bookmarkEnd w:id="191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本公司作为被担保方</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560"/>
        <w:gridCol w:w="1560"/>
        <w:gridCol w:w="1560"/>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 履行完毕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柯宗贵、柯宗庆、陈色琴、谭爱武、柯宗耀、 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柯宗贵、柯宗庆、陈色琴、谭爱武、柯宗耀、 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柯宗庆、柯宗贵、柯宗耀、中经汇通有限责任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691"/>
        <w:gridCol w:w="1560"/>
        <w:gridCol w:w="1560"/>
        <w:gridCol w:w="1560"/>
        <w:gridCol w:w="121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29,558,502.27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45,917,135.56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29,713,854.31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1,449,813.32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柯宗庆、柯宗贵、柯宗耀、中经汇通有限责任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8,611,558.98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4,411,507.50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4,673,625.00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4,999,918.50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4,716,859.00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4,977,355.00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2,438,735.00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691"/>
        <w:gridCol w:w="1560"/>
        <w:gridCol w:w="1560"/>
        <w:gridCol w:w="1560"/>
        <w:gridCol w:w="121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9,016,655.94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79,171,064.51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32,388,500.00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柯宗庆、柯宗贵、柯宗耀、柯瑞达、中经汇通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49,994,236.71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柯宗耀、李庆红、柯瑞达、中经汇通有限责任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柯宗耀、李庆红、柯瑞达、中经汇通有限责任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柯宗耀、李庆红、柯瑞达、中经汇通有限责任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柯宗贵、柯宗庆、柯宗耀、柯瑞达、陈色琴、 李庆红、中经汇通有限责任公司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44,701,536.50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柯宗贵、柯宗庆、柯宗耀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柯宗耀、李庆红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19" w:line="1" w:lineRule="exact"/>
      </w:pPr>
    </w:p>
    <w:p>
      <w:pPr>
        <w:pStyle w:val="Style48"/>
        <w:keepNext/>
        <w:keepLines/>
        <w:widowControl w:val="0"/>
        <w:numPr>
          <w:ilvl w:val="0"/>
          <w:numId w:val="115"/>
        </w:numPr>
        <w:shd w:val="clear" w:color="auto" w:fill="auto"/>
        <w:bidi w:val="0"/>
        <w:spacing w:before="0" w:after="400" w:line="240" w:lineRule="auto"/>
        <w:ind w:left="0" w:right="0" w:firstLine="0"/>
        <w:jc w:val="left"/>
      </w:pPr>
      <w:bookmarkStart w:id="1919" w:name="bookmark1919"/>
      <w:bookmarkStart w:id="1920" w:name="bookmark1920"/>
      <w:bookmarkStart w:id="1921" w:name="bookmark1921"/>
      <w:bookmarkStart w:id="1922" w:name="bookmark1922"/>
      <w:bookmarkEnd w:id="1921"/>
      <w:r>
        <w:rPr>
          <w:color w:val="000000"/>
          <w:spacing w:val="0"/>
          <w:w w:val="100"/>
          <w:position w:val="0"/>
        </w:rPr>
        <w:t>关键管理人员报酬</w:t>
      </w:r>
      <w:bookmarkEnd w:id="1919"/>
      <w:bookmarkEnd w:id="1920"/>
      <w:bookmarkEnd w:id="1922"/>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3,375,223.47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4,074,900.00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r>
        <w:rPr>
          <w:color w:val="000000"/>
          <w:spacing w:val="0"/>
          <w:w w:val="100"/>
          <w:position w:val="0"/>
        </w:rPr>
        <w:t>十三、股份支付</w:t>
      </w:r>
      <w:bookmarkEnd w:id="1923"/>
      <w:bookmarkEnd w:id="1924"/>
      <w:bookmarkEnd w:id="1925"/>
    </w:p>
    <w:p>
      <w:pPr>
        <w:pStyle w:val="Style35"/>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26"/>
      <w:bookmarkEnd w:id="1927"/>
      <w:bookmarkEnd w:id="1928"/>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29"/>
      <w:bookmarkEnd w:id="1930"/>
      <w:bookmarkEnd w:id="1931"/>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结合</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期权定价模型以及金融工程中的无套 利理论和看涨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看跌平价关系式确定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激励对象持有的股份数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20,594,520.00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5"/>
        <w:keepNext/>
        <w:keepLines/>
        <w:widowControl w:val="0"/>
        <w:shd w:val="clear" w:color="auto" w:fill="auto"/>
        <w:tabs>
          <w:tab w:pos="378" w:val="left"/>
        </w:tabs>
        <w:bidi w:val="0"/>
        <w:spacing w:before="0" w:line="469" w:lineRule="exact"/>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3</w:t>
      </w:r>
      <w:bookmarkEnd w:id="1934"/>
      <w:r>
        <w:rPr>
          <w:color w:val="000000"/>
          <w:spacing w:val="0"/>
          <w:w w:val="100"/>
          <w:position w:val="0"/>
        </w:rPr>
        <w:t>、</w:t>
        <w:tab/>
        <w:t>以现金结算的股份支付情况</w:t>
      </w:r>
      <w:bookmarkEnd w:id="1932"/>
      <w:bookmarkEnd w:id="1933"/>
      <w:bookmarkEnd w:id="193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00" w:line="469" w:lineRule="exact"/>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4</w:t>
      </w:r>
      <w:bookmarkEnd w:id="1938"/>
      <w:r>
        <w:rPr>
          <w:color w:val="000000"/>
          <w:spacing w:val="0"/>
          <w:w w:val="100"/>
          <w:position w:val="0"/>
        </w:rPr>
        <w:t>、</w:t>
        <w:tab/>
        <w:t>股份支付的修改、终止情况</w:t>
      </w:r>
      <w:bookmarkEnd w:id="1936"/>
      <w:bookmarkEnd w:id="1937"/>
      <w:bookmarkEnd w:id="1939"/>
    </w:p>
    <w:p>
      <w:pPr>
        <w:pStyle w:val="Style38"/>
        <w:keepNext w:val="0"/>
        <w:keepLines w:val="0"/>
        <w:widowControl w:val="0"/>
        <w:shd w:val="clear" w:color="auto" w:fill="auto"/>
        <w:bidi w:val="0"/>
        <w:spacing w:before="0" w:after="260" w:line="469"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日召开了第四届董事会第二十一次会议，审议通过了《关于调整限制性股票回购 价格及回购注销部分限制性股票的议案》，根据公司《限制性股票激励计划》的相关规定，公司</w:t>
      </w:r>
      <w:r>
        <w:rPr>
          <w:rFonts w:ascii="Times New Roman" w:eastAsia="Times New Roman" w:hAnsi="Times New Roman" w:cs="Times New Roman"/>
          <w:color w:val="000000"/>
          <w:spacing w:val="0"/>
          <w:w w:val="100"/>
          <w:position w:val="0"/>
        </w:rPr>
        <w:t>2019</w:t>
      </w:r>
      <w:r>
        <w:rPr>
          <w:color w:val="000000"/>
          <w:spacing w:val="0"/>
          <w:w w:val="100"/>
          <w:position w:val="0"/>
        </w:rPr>
        <w:t>年经 营业绩未达到第四个限售期的业绩考核目标（</w:t>
      </w:r>
      <w:r>
        <w:rPr>
          <w:rFonts w:ascii="Times New Roman" w:eastAsia="Times New Roman" w:hAnsi="Times New Roman" w:cs="Times New Roman"/>
          <w:color w:val="000000"/>
          <w:spacing w:val="0"/>
          <w:w w:val="100"/>
          <w:position w:val="0"/>
        </w:rPr>
        <w:t>2019</w:t>
      </w:r>
      <w:r>
        <w:rPr>
          <w:color w:val="000000"/>
          <w:spacing w:val="0"/>
          <w:w w:val="100"/>
          <w:position w:val="0"/>
        </w:rPr>
        <w:t>年公司实现的净利润不低于</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.59</w:t>
      </w:r>
      <w:r>
        <w:rPr>
          <w:color w:val="000000"/>
          <w:spacing w:val="0"/>
          <w:w w:val="100"/>
          <w:position w:val="0"/>
        </w:rPr>
        <w:t>亿元），激励计划授予 的限制性股票第四个解锁期未满足解锁条件，公司按照规定拟将</w:t>
      </w:r>
      <w:r>
        <w:rPr>
          <w:rFonts w:ascii="Times New Roman" w:eastAsia="Times New Roman" w:hAnsi="Times New Roman" w:cs="Times New Roman"/>
          <w:color w:val="000000"/>
          <w:spacing w:val="0"/>
          <w:w w:val="100"/>
          <w:position w:val="0"/>
        </w:rPr>
        <w:t>15 2</w:t>
      </w:r>
      <w:r>
        <w:rPr>
          <w:color w:val="000000"/>
          <w:spacing w:val="0"/>
          <w:w w:val="100"/>
          <w:position w:val="0"/>
        </w:rPr>
        <w:t>名激励对象所持的已授予但未解锁的 限制性股票共计</w:t>
      </w:r>
      <w:r>
        <w:rPr>
          <w:rFonts w:ascii="Times New Roman" w:eastAsia="Times New Roman" w:hAnsi="Times New Roman" w:cs="Times New Roman"/>
          <w:color w:val="000000"/>
          <w:spacing w:val="0"/>
          <w:w w:val="100"/>
          <w:position w:val="0"/>
        </w:rPr>
        <w:t>201</w:t>
      </w:r>
      <w:r>
        <w:rPr>
          <w:color w:val="000000"/>
          <w:spacing w:val="0"/>
          <w:w w:val="100"/>
          <w:position w:val="0"/>
        </w:rPr>
        <w:t>万股回购注销。</w:t>
      </w:r>
    </w:p>
    <w:p>
      <w:pPr>
        <w:pStyle w:val="Style26"/>
        <w:keepNext/>
        <w:keepLines/>
        <w:widowControl w:val="0"/>
        <w:shd w:val="clear" w:color="auto" w:fill="auto"/>
        <w:bidi w:val="0"/>
        <w:spacing w:before="0" w:after="380" w:line="470" w:lineRule="exact"/>
        <w:ind w:left="0" w:right="0" w:firstLine="0"/>
        <w:jc w:val="left"/>
      </w:pPr>
      <w:bookmarkStart w:id="1940" w:name="bookmark1940"/>
      <w:bookmarkStart w:id="1941" w:name="bookmark1941"/>
      <w:bookmarkStart w:id="1942" w:name="bookmark1942"/>
      <w:r>
        <w:rPr>
          <w:color w:val="000000"/>
          <w:spacing w:val="0"/>
          <w:w w:val="100"/>
          <w:position w:val="0"/>
        </w:rPr>
        <w:t>十四、承诺及或有事项</w:t>
      </w:r>
      <w:bookmarkEnd w:id="1940"/>
      <w:bookmarkEnd w:id="1941"/>
      <w:bookmarkEnd w:id="1942"/>
    </w:p>
    <w:p>
      <w:pPr>
        <w:pStyle w:val="Style35"/>
        <w:keepNext/>
        <w:keepLines/>
        <w:widowControl w:val="0"/>
        <w:shd w:val="clear" w:color="auto" w:fill="auto"/>
        <w:bidi w:val="0"/>
        <w:spacing w:before="0" w:after="140" w:line="480" w:lineRule="auto"/>
        <w:ind w:left="0" w:right="0" w:firstLine="0"/>
        <w:jc w:val="left"/>
      </w:pPr>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43"/>
      <w:bookmarkEnd w:id="1944"/>
      <w:bookmarkEnd w:id="194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38"/>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）抵押资产情况</w:t>
      </w:r>
    </w:p>
    <w:p>
      <w:pPr>
        <w:pStyle w:val="Style38"/>
        <w:keepNext w:val="0"/>
        <w:keepLines w:val="0"/>
        <w:widowControl w:val="0"/>
        <w:numPr>
          <w:ilvl w:val="0"/>
          <w:numId w:val="117"/>
        </w:numPr>
        <w:shd w:val="clear" w:color="auto" w:fill="auto"/>
        <w:tabs>
          <w:tab w:pos="821" w:val="left"/>
        </w:tabs>
        <w:bidi w:val="0"/>
        <w:spacing w:before="0" w:after="0" w:line="470" w:lineRule="exact"/>
        <w:ind w:left="0" w:right="0" w:firstLine="440"/>
        <w:jc w:val="both"/>
        <w:rPr>
          <w:sz w:val="22"/>
          <w:szCs w:val="22"/>
        </w:rPr>
      </w:pPr>
      <w:bookmarkStart w:id="1946" w:name="bookmark1946"/>
      <w:bookmarkEnd w:id="1946"/>
      <w:r>
        <w:rPr>
          <w:color w:val="000000"/>
          <w:spacing w:val="0"/>
          <w:w w:val="100"/>
          <w:position w:val="0"/>
          <w:sz w:val="22"/>
          <w:szCs w:val="22"/>
        </w:rPr>
        <w:t>长沙银行股份有限公司广州分行抵押</w:t>
      </w:r>
    </w:p>
    <w:p>
      <w:pPr>
        <w:pStyle w:val="Style38"/>
        <w:keepNext w:val="0"/>
        <w:keepLines w:val="0"/>
        <w:widowControl w:val="0"/>
        <w:shd w:val="clear" w:color="auto" w:fill="auto"/>
        <w:bidi w:val="0"/>
        <w:spacing w:before="0" w:after="0" w:line="470" w:lineRule="exact"/>
        <w:ind w:left="0" w:right="0" w:firstLine="220"/>
        <w:jc w:val="both"/>
      </w:pPr>
      <w:r>
        <w:rPr>
          <w:color w:val="000000"/>
          <w:spacing w:val="0"/>
          <w:w w:val="100"/>
          <w:position w:val="0"/>
        </w:rPr>
        <w:t>公司以价值</w:t>
      </w:r>
      <w:r>
        <w:rPr>
          <w:rFonts w:ascii="Times New Roman" w:eastAsia="Times New Roman" w:hAnsi="Times New Roman" w:cs="Times New Roman"/>
          <w:color w:val="000000"/>
          <w:spacing w:val="0"/>
          <w:w w:val="100"/>
          <w:position w:val="0"/>
        </w:rPr>
        <w:t>400,000,000.00</w:t>
      </w:r>
      <w:r>
        <w:rPr>
          <w:color w:val="000000"/>
          <w:spacing w:val="0"/>
          <w:w w:val="100"/>
          <w:position w:val="0"/>
        </w:rPr>
        <w:t>元的陕（</w:t>
      </w:r>
      <w:r>
        <w:rPr>
          <w:rFonts w:ascii="Times New Roman" w:eastAsia="Times New Roman" w:hAnsi="Times New Roman" w:cs="Times New Roman"/>
          <w:color w:val="000000"/>
          <w:spacing w:val="0"/>
          <w:w w:val="100"/>
          <w:position w:val="0"/>
        </w:rPr>
        <w:t>2017</w:t>
      </w:r>
      <w:r>
        <w:rPr>
          <w:color w:val="000000"/>
          <w:spacing w:val="0"/>
          <w:w w:val="100"/>
          <w:position w:val="0"/>
        </w:rPr>
        <w:t>）咸阳市不动产权第</w:t>
      </w:r>
      <w:r>
        <w:rPr>
          <w:rFonts w:ascii="Times New Roman" w:eastAsia="Times New Roman" w:hAnsi="Times New Roman" w:cs="Times New Roman"/>
          <w:color w:val="000000"/>
          <w:spacing w:val="0"/>
          <w:w w:val="100"/>
          <w:position w:val="0"/>
        </w:rPr>
        <w:t>0000097</w:t>
      </w:r>
      <w:r>
        <w:rPr>
          <w:color w:val="000000"/>
          <w:spacing w:val="0"/>
          <w:w w:val="100"/>
          <w:position w:val="0"/>
        </w:rPr>
        <w:t>号的土地使用权对蓝盾信息安全技 术有限公司与长沙银行股份有限公司广州分行签订的编号为</w:t>
      </w:r>
      <w:r>
        <w:rPr>
          <w:rFonts w:ascii="Times New Roman" w:eastAsia="Times New Roman" w:hAnsi="Times New Roman" w:cs="Times New Roman"/>
          <w:color w:val="000000"/>
          <w:spacing w:val="0"/>
          <w:w w:val="100"/>
          <w:position w:val="0"/>
        </w:rPr>
        <w:t>C</w:t>
      </w:r>
      <w:r>
        <w:rPr>
          <w:rFonts w:ascii="Times New Roman" w:eastAsia="Times New Roman" w:hAnsi="Times New Roman" w:cs="Times New Roman"/>
          <w:color w:val="000000"/>
          <w:spacing w:val="0"/>
          <w:w w:val="100"/>
          <w:position w:val="0"/>
        </w:rPr>
        <w:t>2016060000001484</w:t>
      </w:r>
      <w:r>
        <w:rPr>
          <w:color w:val="000000"/>
          <w:spacing w:val="0"/>
          <w:w w:val="100"/>
          <w:position w:val="0"/>
        </w:rPr>
        <w:t>人民币综合授信额度合同 提供最高额抵押担保，抵押担保的最高债权额为</w:t>
      </w:r>
      <w:r>
        <w:rPr>
          <w:rFonts w:ascii="Times New Roman" w:eastAsia="Times New Roman" w:hAnsi="Times New Roman" w:cs="Times New Roman"/>
          <w:color w:val="000000"/>
          <w:spacing w:val="0"/>
          <w:w w:val="100"/>
          <w:position w:val="0"/>
        </w:rPr>
        <w:t>200,000,000.00</w:t>
      </w:r>
      <w:r>
        <w:rPr>
          <w:color w:val="000000"/>
          <w:spacing w:val="0"/>
          <w:w w:val="100"/>
          <w:position w:val="0"/>
        </w:rPr>
        <w:t>元。</w:t>
      </w:r>
    </w:p>
    <w:p>
      <w:pPr>
        <w:pStyle w:val="Style38"/>
        <w:keepNext w:val="0"/>
        <w:keepLines w:val="0"/>
        <w:widowControl w:val="0"/>
        <w:numPr>
          <w:ilvl w:val="0"/>
          <w:numId w:val="117"/>
        </w:numPr>
        <w:shd w:val="clear" w:color="auto" w:fill="auto"/>
        <w:tabs>
          <w:tab w:pos="821" w:val="left"/>
        </w:tabs>
        <w:bidi w:val="0"/>
        <w:spacing w:before="0" w:after="0" w:line="470" w:lineRule="exact"/>
        <w:ind w:left="0" w:right="0" w:firstLine="440"/>
        <w:jc w:val="both"/>
        <w:rPr>
          <w:sz w:val="22"/>
          <w:szCs w:val="22"/>
        </w:rPr>
      </w:pPr>
      <w:bookmarkStart w:id="1947" w:name="bookmark1947"/>
      <w:bookmarkEnd w:id="1947"/>
      <w:r>
        <w:rPr>
          <w:color w:val="000000"/>
          <w:spacing w:val="0"/>
          <w:w w:val="100"/>
          <w:position w:val="0"/>
          <w:sz w:val="22"/>
          <w:szCs w:val="22"/>
        </w:rPr>
        <w:t>浙商银行广州分行抵押</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公司以位于成都高新区中和街道观东社区</w:t>
      </w:r>
      <w:r>
        <w:rPr>
          <w:rFonts w:ascii="Times New Roman" w:eastAsia="Times New Roman" w:hAnsi="Times New Roman" w:cs="Times New Roman"/>
          <w:color w:val="000000"/>
          <w:spacing w:val="0"/>
          <w:w w:val="100"/>
          <w:position w:val="0"/>
        </w:rPr>
        <w:t>8</w:t>
      </w:r>
      <w:r>
        <w:rPr>
          <w:color w:val="000000"/>
          <w:spacing w:val="0"/>
          <w:w w:val="100"/>
          <w:position w:val="0"/>
        </w:rPr>
        <w:t>组、</w:t>
      </w:r>
      <w:r>
        <w:rPr>
          <w:rFonts w:ascii="Times New Roman" w:eastAsia="Times New Roman" w:hAnsi="Times New Roman" w:cs="Times New Roman"/>
          <w:color w:val="000000"/>
          <w:spacing w:val="0"/>
          <w:w w:val="100"/>
          <w:position w:val="0"/>
        </w:rPr>
        <w:t>9</w:t>
      </w:r>
      <w:r>
        <w:rPr>
          <w:color w:val="000000"/>
          <w:spacing w:val="0"/>
          <w:w w:val="100"/>
          <w:position w:val="0"/>
        </w:rPr>
        <w:t>组（产权证书编号为成高国用（</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31151</w:t>
      </w:r>
      <w:r>
        <w:rPr>
          <w:color w:val="000000"/>
          <w:spacing w:val="0"/>
          <w:w w:val="100"/>
          <w:position w:val="0"/>
        </w:rPr>
        <w:t>号） 价值为</w:t>
      </w:r>
      <w:r>
        <w:rPr>
          <w:rFonts w:ascii="Times New Roman" w:eastAsia="Times New Roman" w:hAnsi="Times New Roman" w:cs="Times New Roman"/>
          <w:color w:val="000000"/>
          <w:spacing w:val="0"/>
          <w:w w:val="100"/>
          <w:position w:val="0"/>
        </w:rPr>
        <w:t>300,000,000.00</w:t>
      </w:r>
      <w:r>
        <w:rPr>
          <w:color w:val="000000"/>
          <w:spacing w:val="0"/>
          <w:w w:val="100"/>
          <w:position w:val="0"/>
        </w:rPr>
        <w:t>元的土地使用权对公司与浙商银行股份有限公司广州分行签订的（</w:t>
      </w:r>
      <w:r>
        <w:rPr>
          <w:rFonts w:ascii="Times New Roman" w:eastAsia="Times New Roman" w:hAnsi="Times New Roman" w:cs="Times New Roman"/>
          <w:color w:val="000000"/>
          <w:spacing w:val="0"/>
          <w:w w:val="100"/>
          <w:position w:val="0"/>
        </w:rPr>
        <w:t>20810000</w:t>
      </w:r>
      <w:r>
        <w:rPr>
          <w:color w:val="000000"/>
          <w:spacing w:val="0"/>
          <w:w w:val="100"/>
          <w:position w:val="0"/>
        </w:rPr>
        <w:t>）浙商 银固借字（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01289</w:t>
      </w:r>
      <w:r>
        <w:rPr>
          <w:color w:val="000000"/>
          <w:spacing w:val="0"/>
          <w:w w:val="100"/>
          <w:position w:val="0"/>
        </w:rPr>
        <w:t>号借款合同提供最高额抵押担保，抵押合同编号为</w:t>
      </w:r>
      <w:r>
        <w:rPr>
          <w:color w:val="000000"/>
          <w:spacing w:val="0"/>
          <w:w w:val="100"/>
          <w:position w:val="0"/>
        </w:rPr>
        <w:t>（</w:t>
      </w:r>
      <w:r>
        <w:rPr>
          <w:rFonts w:ascii="Times New Roman" w:eastAsia="Times New Roman" w:hAnsi="Times New Roman" w:cs="Times New Roman"/>
          <w:color w:val="000000"/>
          <w:spacing w:val="0"/>
          <w:w w:val="100"/>
          <w:position w:val="0"/>
        </w:rPr>
        <w:t>581003</w:t>
      </w:r>
      <w:r>
        <w:rPr>
          <w:color w:val="000000"/>
          <w:spacing w:val="0"/>
          <w:w w:val="100"/>
          <w:position w:val="0"/>
        </w:rPr>
        <w:t>）浙商银抵字（</w:t>
      </w:r>
      <w:r>
        <w:rPr>
          <w:rFonts w:ascii="Times New Roman" w:eastAsia="Times New Roman" w:hAnsi="Times New Roman" w:cs="Times New Roman"/>
          <w:color w:val="000000"/>
          <w:spacing w:val="0"/>
          <w:w w:val="100"/>
          <w:position w:val="0"/>
        </w:rPr>
        <w:t>2017</w:t>
      </w:r>
      <w:r>
        <w:rPr>
          <w:color w:val="000000"/>
          <w:spacing w:val="0"/>
          <w:w w:val="100"/>
          <w:position w:val="0"/>
        </w:rPr>
        <w:t>） 第</w:t>
      </w:r>
      <w:r>
        <w:rPr>
          <w:rFonts w:ascii="Times New Roman" w:eastAsia="Times New Roman" w:hAnsi="Times New Roman" w:cs="Times New Roman"/>
          <w:color w:val="000000"/>
          <w:spacing w:val="0"/>
          <w:w w:val="100"/>
          <w:position w:val="0"/>
        </w:rPr>
        <w:t>00008</w:t>
      </w:r>
      <w:r>
        <w:rPr>
          <w:color w:val="000000"/>
          <w:spacing w:val="0"/>
          <w:w w:val="100"/>
          <w:position w:val="0"/>
        </w:rPr>
        <w:t>号，抵押担保的最高债权额为</w:t>
      </w:r>
      <w:r>
        <w:rPr>
          <w:rFonts w:ascii="Times New Roman" w:eastAsia="Times New Roman" w:hAnsi="Times New Roman" w:cs="Times New Roman"/>
          <w:color w:val="000000"/>
          <w:spacing w:val="0"/>
          <w:w w:val="100"/>
          <w:position w:val="0"/>
        </w:rPr>
        <w:t>300,000,000.00</w:t>
      </w:r>
      <w:r>
        <w:rPr>
          <w:color w:val="000000"/>
          <w:spacing w:val="0"/>
          <w:w w:val="100"/>
          <w:position w:val="0"/>
        </w:rPr>
        <w:t>元；以成都蓝盾网信科技有限公司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的股权对公 司与浙商银行股份有限公司广州分行签订的（</w:t>
      </w:r>
      <w:r>
        <w:rPr>
          <w:rFonts w:ascii="Times New Roman" w:eastAsia="Times New Roman" w:hAnsi="Times New Roman" w:cs="Times New Roman"/>
          <w:color w:val="000000"/>
          <w:spacing w:val="0"/>
          <w:w w:val="100"/>
          <w:position w:val="0"/>
        </w:rPr>
        <w:t>20810000</w:t>
      </w:r>
      <w:r>
        <w:rPr>
          <w:color w:val="000000"/>
          <w:spacing w:val="0"/>
          <w:w w:val="100"/>
          <w:position w:val="0"/>
        </w:rPr>
        <w:t>）浙商银固借字（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01289</w:t>
      </w:r>
      <w:r>
        <w:rPr>
          <w:color w:val="000000"/>
          <w:spacing w:val="0"/>
          <w:w w:val="100"/>
          <w:position w:val="0"/>
        </w:rPr>
        <w:t>号借款合同提供 质押担保，质押合同编号为（</w:t>
      </w:r>
      <w:r>
        <w:rPr>
          <w:rFonts w:ascii="Times New Roman" w:eastAsia="Times New Roman" w:hAnsi="Times New Roman" w:cs="Times New Roman"/>
          <w:color w:val="000000"/>
          <w:spacing w:val="0"/>
          <w:w w:val="100"/>
          <w:position w:val="0"/>
        </w:rPr>
        <w:t>581003</w:t>
      </w:r>
      <w:r>
        <w:rPr>
          <w:color w:val="000000"/>
          <w:spacing w:val="0"/>
          <w:w w:val="100"/>
          <w:position w:val="0"/>
        </w:rPr>
        <w:t>）浙商银权质字（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00009</w:t>
      </w:r>
      <w:r>
        <w:rPr>
          <w:color w:val="000000"/>
          <w:spacing w:val="0"/>
          <w:w w:val="100"/>
          <w:position w:val="0"/>
        </w:rPr>
        <w:t>号。</w:t>
      </w:r>
    </w:p>
    <w:p>
      <w:pPr>
        <w:pStyle w:val="Style38"/>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公司以位于成都高新区中和街道观东社区</w:t>
      </w:r>
      <w:r>
        <w:rPr>
          <w:rFonts w:ascii="Times New Roman" w:eastAsia="Times New Roman" w:hAnsi="Times New Roman" w:cs="Times New Roman"/>
          <w:color w:val="000000"/>
          <w:spacing w:val="0"/>
          <w:w w:val="100"/>
          <w:position w:val="0"/>
        </w:rPr>
        <w:t>8</w:t>
      </w:r>
      <w:r>
        <w:rPr>
          <w:color w:val="000000"/>
          <w:spacing w:val="0"/>
          <w:w w:val="100"/>
          <w:position w:val="0"/>
        </w:rPr>
        <w:t>组、</w:t>
      </w:r>
      <w:r>
        <w:rPr>
          <w:rFonts w:ascii="Times New Roman" w:eastAsia="Times New Roman" w:hAnsi="Times New Roman" w:cs="Times New Roman"/>
          <w:color w:val="000000"/>
          <w:spacing w:val="0"/>
          <w:w w:val="100"/>
          <w:position w:val="0"/>
        </w:rPr>
        <w:t>9</w:t>
      </w:r>
      <w:r>
        <w:rPr>
          <w:color w:val="000000"/>
          <w:spacing w:val="0"/>
          <w:w w:val="100"/>
          <w:position w:val="0"/>
        </w:rPr>
        <w:t>组（产权证书编号为成高国用（</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31151</w:t>
      </w:r>
      <w:r>
        <w:rPr>
          <w:color w:val="000000"/>
          <w:spacing w:val="0"/>
          <w:w w:val="100"/>
          <w:position w:val="0"/>
        </w:rPr>
        <w:t>号） 价值为</w:t>
      </w:r>
      <w:r>
        <w:rPr>
          <w:rFonts w:ascii="Times New Roman" w:eastAsia="Times New Roman" w:hAnsi="Times New Roman" w:cs="Times New Roman"/>
          <w:color w:val="000000"/>
          <w:spacing w:val="0"/>
          <w:w w:val="100"/>
          <w:position w:val="0"/>
        </w:rPr>
        <w:t>610,817,200.00</w:t>
      </w:r>
      <w:r>
        <w:rPr>
          <w:color w:val="000000"/>
          <w:spacing w:val="0"/>
          <w:w w:val="100"/>
          <w:position w:val="0"/>
        </w:rPr>
        <w:t>元的在建工程与浙商银行股份有限公司广州分行签订的（</w:t>
      </w:r>
      <w:r>
        <w:rPr>
          <w:rFonts w:ascii="Times New Roman" w:eastAsia="Times New Roman" w:hAnsi="Times New Roman" w:cs="Times New Roman"/>
          <w:color w:val="000000"/>
          <w:spacing w:val="0"/>
          <w:w w:val="100"/>
          <w:position w:val="0"/>
        </w:rPr>
        <w:t>20810000</w:t>
      </w:r>
      <w:r>
        <w:rPr>
          <w:color w:val="000000"/>
          <w:spacing w:val="0"/>
          <w:w w:val="100"/>
          <w:position w:val="0"/>
        </w:rPr>
        <w:t xml:space="preserve">）浙商银借字 </w:t>
      </w:r>
      <w:r>
        <w:rPr>
          <w:rFonts w:ascii="Times New Roman" w:eastAsia="Times New Roman" w:hAnsi="Times New Roman" w:cs="Times New Roman"/>
          <w:color w:val="000000"/>
          <w:spacing w:val="0"/>
          <w:w w:val="100"/>
          <w:position w:val="0"/>
        </w:rPr>
        <w:t>（20200</w:t>
      </w:r>
      <w:r>
        <w:rPr>
          <w:color w:val="000000"/>
          <w:spacing w:val="0"/>
          <w:w w:val="100"/>
          <w:position w:val="0"/>
        </w:rPr>
        <w:t>第</w:t>
      </w:r>
      <w:r>
        <w:rPr>
          <w:rFonts w:ascii="Times New Roman" w:eastAsia="Times New Roman" w:hAnsi="Times New Roman" w:cs="Times New Roman"/>
          <w:color w:val="000000"/>
          <w:spacing w:val="0"/>
          <w:w w:val="100"/>
          <w:position w:val="0"/>
        </w:rPr>
        <w:t>02172</w:t>
      </w:r>
      <w:r>
        <w:rPr>
          <w:color w:val="000000"/>
          <w:spacing w:val="0"/>
          <w:w w:val="100"/>
          <w:position w:val="0"/>
        </w:rPr>
        <w:t>号借款合同提供最高额抵押担保抵押合同编号为</w:t>
      </w:r>
      <w:r>
        <w:rPr>
          <w:color w:val="000000"/>
          <w:spacing w:val="0"/>
          <w:w w:val="100"/>
          <w:position w:val="0"/>
        </w:rPr>
        <w:t>（</w:t>
      </w:r>
      <w:r>
        <w:rPr>
          <w:rFonts w:ascii="Times New Roman" w:eastAsia="Times New Roman" w:hAnsi="Times New Roman" w:cs="Times New Roman"/>
          <w:color w:val="000000"/>
          <w:spacing w:val="0"/>
          <w:w w:val="100"/>
          <w:position w:val="0"/>
        </w:rPr>
        <w:t>581022</w:t>
      </w:r>
      <w:r>
        <w:rPr>
          <w:color w:val="000000"/>
          <w:spacing w:val="0"/>
          <w:w w:val="100"/>
          <w:position w:val="0"/>
        </w:rPr>
        <w:t>）浙商银高抵字（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 xml:space="preserve">00001 </w:t>
      </w:r>
      <w:r>
        <w:rPr>
          <w:color w:val="000000"/>
          <w:spacing w:val="0"/>
          <w:w w:val="100"/>
          <w:position w:val="0"/>
        </w:rPr>
        <w:t>号，抵押担保的最高债权额为</w:t>
      </w:r>
      <w:r>
        <w:rPr>
          <w:rFonts w:ascii="Times New Roman" w:eastAsia="Times New Roman" w:hAnsi="Times New Roman" w:cs="Times New Roman"/>
          <w:color w:val="000000"/>
          <w:spacing w:val="0"/>
          <w:w w:val="100"/>
          <w:position w:val="0"/>
        </w:rPr>
        <w:t>80,000,000.00</w:t>
      </w:r>
      <w:r>
        <w:rPr>
          <w:color w:val="000000"/>
          <w:spacing w:val="0"/>
          <w:w w:val="100"/>
          <w:position w:val="0"/>
        </w:rPr>
        <w:t>元。</w:t>
      </w:r>
    </w:p>
    <w:p>
      <w:pPr>
        <w:pStyle w:val="Style38"/>
        <w:keepNext w:val="0"/>
        <w:keepLines w:val="0"/>
        <w:widowControl w:val="0"/>
        <w:numPr>
          <w:ilvl w:val="0"/>
          <w:numId w:val="117"/>
        </w:numPr>
        <w:shd w:val="clear" w:color="auto" w:fill="auto"/>
        <w:tabs>
          <w:tab w:pos="821" w:val="left"/>
        </w:tabs>
        <w:bidi w:val="0"/>
        <w:spacing w:before="0" w:after="140" w:line="470" w:lineRule="exact"/>
        <w:ind w:left="0" w:right="0" w:firstLine="440"/>
        <w:jc w:val="both"/>
        <w:rPr>
          <w:sz w:val="22"/>
          <w:szCs w:val="22"/>
        </w:rPr>
      </w:pPr>
      <w:bookmarkStart w:id="1948" w:name="bookmark1948"/>
      <w:bookmarkEnd w:id="1948"/>
      <w:r>
        <w:rPr>
          <w:color w:val="000000"/>
          <w:spacing w:val="0"/>
          <w:w w:val="100"/>
          <w:position w:val="0"/>
          <w:sz w:val="22"/>
          <w:szCs w:val="22"/>
        </w:rPr>
        <w:t>科学城（广州）融资租赁有限公司抵押</w:t>
      </w:r>
    </w:p>
    <w:p>
      <w:pPr>
        <w:pStyle w:val="Style38"/>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公司以价值</w:t>
      </w:r>
      <w:r>
        <w:rPr>
          <w:rFonts w:ascii="Times New Roman" w:eastAsia="Times New Roman" w:hAnsi="Times New Roman" w:cs="Times New Roman"/>
          <w:color w:val="000000"/>
          <w:spacing w:val="0"/>
          <w:w w:val="100"/>
          <w:position w:val="0"/>
        </w:rPr>
        <w:t>43,200,000.00</w:t>
      </w:r>
      <w:r>
        <w:rPr>
          <w:color w:val="000000"/>
          <w:spacing w:val="0"/>
          <w:w w:val="100"/>
          <w:position w:val="0"/>
        </w:rPr>
        <w:t>元的土地使用权与软件著作权的无形资产对公司与科学城（广州）融资租赁 有限公司签订的编号为</w:t>
      </w:r>
      <w:r>
        <w:rPr>
          <w:rFonts w:ascii="Times New Roman" w:eastAsia="Times New Roman" w:hAnsi="Times New Roman" w:cs="Times New Roman"/>
          <w:color w:val="000000"/>
          <w:spacing w:val="0"/>
          <w:w w:val="100"/>
          <w:position w:val="0"/>
        </w:rPr>
        <w:t>KXCHZ2019070</w:t>
      </w:r>
      <w:r>
        <w:rPr>
          <w:color w:val="000000"/>
          <w:spacing w:val="0"/>
          <w:w w:val="100"/>
          <w:position w:val="0"/>
        </w:rPr>
        <w:t>、</w:t>
      </w:r>
      <w:r>
        <w:rPr>
          <w:rFonts w:ascii="Times New Roman" w:eastAsia="Times New Roman" w:hAnsi="Times New Roman" w:cs="Times New Roman"/>
          <w:color w:val="000000"/>
          <w:spacing w:val="0"/>
          <w:w w:val="100"/>
          <w:position w:val="0"/>
        </w:rPr>
        <w:t>KXCHZ2019071</w:t>
      </w:r>
      <w:r>
        <w:rPr>
          <w:color w:val="000000"/>
          <w:spacing w:val="0"/>
          <w:w w:val="100"/>
          <w:position w:val="0"/>
        </w:rPr>
        <w:t>的融资租赁合同提供最高额抵押担保，最高抵押 担保额为</w:t>
      </w:r>
      <w:r>
        <w:rPr>
          <w:rFonts w:ascii="Times New Roman" w:eastAsia="Times New Roman" w:hAnsi="Times New Roman" w:cs="Times New Roman"/>
          <w:color w:val="000000"/>
          <w:spacing w:val="0"/>
          <w:w w:val="100"/>
          <w:position w:val="0"/>
        </w:rPr>
        <w:t>36,000,000.00</w:t>
      </w:r>
      <w:r>
        <w:rPr>
          <w:color w:val="000000"/>
          <w:spacing w:val="0"/>
          <w:w w:val="100"/>
          <w:position w:val="0"/>
        </w:rPr>
        <w:t>元。</w:t>
      </w:r>
    </w:p>
    <w:p>
      <w:pPr>
        <w:pStyle w:val="Style38"/>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公司以广州华炜科技有限公司价值</w:t>
      </w:r>
      <w:r>
        <w:rPr>
          <w:rFonts w:ascii="Times New Roman" w:eastAsia="Times New Roman" w:hAnsi="Times New Roman" w:cs="Times New Roman"/>
          <w:color w:val="000000"/>
          <w:spacing w:val="0"/>
          <w:w w:val="100"/>
          <w:position w:val="0"/>
        </w:rPr>
        <w:t>36,000,000.00</w:t>
      </w:r>
      <w:r>
        <w:rPr>
          <w:color w:val="000000"/>
          <w:spacing w:val="0"/>
          <w:w w:val="100"/>
          <w:position w:val="0"/>
        </w:rPr>
        <w:t>元的房屋抵押（编号为高房权证石字第</w:t>
      </w:r>
      <w:r>
        <w:rPr>
          <w:rFonts w:ascii="Times New Roman" w:eastAsia="Times New Roman" w:hAnsi="Times New Roman" w:cs="Times New Roman"/>
          <w:color w:val="000000"/>
          <w:spacing w:val="0"/>
          <w:w w:val="100"/>
          <w:position w:val="0"/>
        </w:rPr>
        <w:t>1034669</w:t>
      </w:r>
      <w:r>
        <w:rPr>
          <w:color w:val="000000"/>
          <w:spacing w:val="0"/>
          <w:w w:val="100"/>
          <w:position w:val="0"/>
        </w:rPr>
        <w:t>号、 第</w:t>
      </w:r>
      <w:r>
        <w:rPr>
          <w:rFonts w:ascii="Times New Roman" w:eastAsia="Times New Roman" w:hAnsi="Times New Roman" w:cs="Times New Roman"/>
          <w:color w:val="000000"/>
          <w:spacing w:val="0"/>
          <w:w w:val="100"/>
          <w:position w:val="0"/>
        </w:rPr>
        <w:t>1036050</w:t>
      </w:r>
      <w:r>
        <w:rPr>
          <w:color w:val="000000"/>
          <w:spacing w:val="0"/>
          <w:w w:val="100"/>
          <w:position w:val="0"/>
        </w:rPr>
        <w:t>号、第</w:t>
      </w:r>
      <w:r>
        <w:rPr>
          <w:rFonts w:ascii="Times New Roman" w:eastAsia="Times New Roman" w:hAnsi="Times New Roman" w:cs="Times New Roman"/>
          <w:color w:val="000000"/>
          <w:spacing w:val="0"/>
          <w:w w:val="100"/>
          <w:position w:val="0"/>
        </w:rPr>
        <w:t>1034667</w:t>
      </w:r>
      <w:r>
        <w:rPr>
          <w:color w:val="000000"/>
          <w:spacing w:val="0"/>
          <w:w w:val="100"/>
          <w:position w:val="0"/>
        </w:rPr>
        <w:t>号、第</w:t>
      </w:r>
      <w:r>
        <w:rPr>
          <w:rFonts w:ascii="Times New Roman" w:eastAsia="Times New Roman" w:hAnsi="Times New Roman" w:cs="Times New Roman"/>
          <w:color w:val="000000"/>
          <w:spacing w:val="0"/>
          <w:w w:val="100"/>
          <w:position w:val="0"/>
        </w:rPr>
        <w:t>1034668</w:t>
      </w:r>
      <w:r>
        <w:rPr>
          <w:color w:val="000000"/>
          <w:spacing w:val="0"/>
          <w:w w:val="100"/>
          <w:position w:val="0"/>
        </w:rPr>
        <w:t>号、第</w:t>
      </w:r>
      <w:r>
        <w:rPr>
          <w:rFonts w:ascii="Times New Roman" w:eastAsia="Times New Roman" w:hAnsi="Times New Roman" w:cs="Times New Roman"/>
          <w:color w:val="000000"/>
          <w:spacing w:val="0"/>
          <w:w w:val="100"/>
          <w:position w:val="0"/>
        </w:rPr>
        <w:t>1034670</w:t>
      </w:r>
      <w:r>
        <w:rPr>
          <w:color w:val="000000"/>
          <w:spacing w:val="0"/>
          <w:w w:val="100"/>
          <w:position w:val="0"/>
        </w:rPr>
        <w:t>号）和价值</w:t>
      </w:r>
      <w:r>
        <w:rPr>
          <w:rFonts w:ascii="Times New Roman" w:eastAsia="Times New Roman" w:hAnsi="Times New Roman" w:cs="Times New Roman"/>
          <w:color w:val="000000"/>
          <w:spacing w:val="0"/>
          <w:w w:val="100"/>
          <w:position w:val="0"/>
        </w:rPr>
        <w:t>8,100,000.00</w:t>
      </w:r>
      <w:r>
        <w:rPr>
          <w:color w:val="000000"/>
          <w:spacing w:val="0"/>
          <w:w w:val="100"/>
          <w:position w:val="0"/>
        </w:rPr>
        <w:t>元的软件著作权质押 对蓝盾信息安全技术有限公司与科学城（广州）融资租赁有限公司签订的</w:t>
      </w:r>
      <w:r>
        <w:rPr>
          <w:rFonts w:ascii="Times New Roman" w:eastAsia="Times New Roman" w:hAnsi="Times New Roman" w:cs="Times New Roman"/>
          <w:color w:val="000000"/>
          <w:spacing w:val="0"/>
          <w:w w:val="100"/>
          <w:position w:val="0"/>
        </w:rPr>
        <w:t>KXCHZ2020006</w:t>
      </w:r>
      <w:r>
        <w:rPr>
          <w:color w:val="000000"/>
          <w:spacing w:val="0"/>
          <w:w w:val="100"/>
          <w:position w:val="0"/>
        </w:rPr>
        <w:t>的融资租赁合 同提供最高额抵押担保，最高抵押担保额为</w:t>
      </w:r>
      <w:r>
        <w:rPr>
          <w:rFonts w:ascii="Times New Roman" w:eastAsia="Times New Roman" w:hAnsi="Times New Roman" w:cs="Times New Roman"/>
          <w:color w:val="000000"/>
          <w:spacing w:val="0"/>
          <w:w w:val="100"/>
          <w:position w:val="0"/>
        </w:rPr>
        <w:t>36,000,000.00</w:t>
      </w:r>
      <w:r>
        <w:rPr>
          <w:color w:val="000000"/>
          <w:spacing w:val="0"/>
          <w:w w:val="100"/>
          <w:position w:val="0"/>
        </w:rPr>
        <w:t>元。</w:t>
      </w:r>
    </w:p>
    <w:p>
      <w:pPr>
        <w:pStyle w:val="Style38"/>
        <w:keepNext w:val="0"/>
        <w:keepLines w:val="0"/>
        <w:widowControl w:val="0"/>
        <w:numPr>
          <w:ilvl w:val="0"/>
          <w:numId w:val="117"/>
        </w:numPr>
        <w:shd w:val="clear" w:color="auto" w:fill="auto"/>
        <w:bidi w:val="0"/>
        <w:spacing w:before="0" w:after="140" w:line="240" w:lineRule="auto"/>
        <w:ind w:left="0" w:right="0" w:firstLine="440"/>
        <w:jc w:val="both"/>
      </w:pPr>
      <w:bookmarkStart w:id="1949" w:name="bookmark1949"/>
      <w:bookmarkEnd w:id="1949"/>
      <w:r>
        <w:rPr>
          <w:color w:val="000000"/>
          <w:spacing w:val="0"/>
          <w:w w:val="100"/>
          <w:position w:val="0"/>
        </w:rPr>
        <w:t>江西银行股份有限公司广州分行质押</w:t>
      </w:r>
    </w:p>
    <w:p>
      <w:pPr>
        <w:pStyle w:val="Style38"/>
        <w:keepNext w:val="0"/>
        <w:keepLines w:val="0"/>
        <w:widowControl w:val="0"/>
        <w:shd w:val="clear" w:color="auto" w:fill="auto"/>
        <w:bidi w:val="0"/>
        <w:spacing w:before="0" w:after="160" w:line="472" w:lineRule="exact"/>
        <w:ind w:left="0" w:right="0" w:firstLine="520"/>
        <w:jc w:val="both"/>
      </w:pPr>
      <w:r>
        <w:rPr>
          <w:color w:val="000000"/>
          <w:spacing w:val="0"/>
          <w:w w:val="100"/>
          <w:position w:val="0"/>
        </w:rPr>
        <w:t>公司以广州华炜科技有限公司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股权与西咸新区蓝盾信息安全技术有限公司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股权，对公司与 银行签订的江银广分越支借字第</w:t>
      </w:r>
      <w:r>
        <w:rPr>
          <w:rFonts w:ascii="Times New Roman" w:eastAsia="Times New Roman" w:hAnsi="Times New Roman" w:cs="Times New Roman"/>
          <w:color w:val="000000"/>
          <w:spacing w:val="0"/>
          <w:w w:val="100"/>
          <w:position w:val="0"/>
        </w:rPr>
        <w:t>1820006-002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去年报告披露</w:t>
      </w:r>
      <w:r>
        <w:rPr>
          <w:rFonts w:ascii="Times New Roman" w:eastAsia="Times New Roman" w:hAnsi="Times New Roman" w:cs="Times New Roman"/>
          <w:color w:val="000000"/>
          <w:spacing w:val="0"/>
          <w:w w:val="100"/>
          <w:position w:val="0"/>
        </w:rPr>
        <w:t>1820006-002</w:t>
      </w:r>
      <w:r>
        <w:rPr>
          <w:color w:val="000000"/>
          <w:spacing w:val="0"/>
          <w:w w:val="100"/>
          <w:position w:val="0"/>
        </w:rPr>
        <w:t xml:space="preserve">号对应西咸股权质押，第 </w:t>
      </w:r>
      <w:r>
        <w:rPr>
          <w:rFonts w:ascii="Times New Roman" w:eastAsia="Times New Roman" w:hAnsi="Times New Roman" w:cs="Times New Roman"/>
          <w:color w:val="000000"/>
          <w:spacing w:val="0"/>
          <w:w w:val="100"/>
          <w:position w:val="0"/>
        </w:rPr>
        <w:t>182006-001</w:t>
      </w:r>
      <w:r>
        <w:rPr>
          <w:color w:val="000000"/>
          <w:spacing w:val="0"/>
          <w:w w:val="100"/>
          <w:position w:val="0"/>
        </w:rPr>
        <w:t>号对应广州华炜质押。借款表格内显示只有</w:t>
      </w:r>
      <w:r>
        <w:rPr>
          <w:rFonts w:ascii="Times New Roman" w:eastAsia="Times New Roman" w:hAnsi="Times New Roman" w:cs="Times New Roman"/>
          <w:color w:val="000000"/>
          <w:spacing w:val="0"/>
          <w:w w:val="100"/>
          <w:position w:val="0"/>
        </w:rPr>
        <w:t>002</w:t>
      </w:r>
      <w:r>
        <w:rPr>
          <w:color w:val="000000"/>
          <w:spacing w:val="0"/>
          <w:w w:val="100"/>
          <w:position w:val="0"/>
        </w:rPr>
        <w:t>号合同，对应广州华炜股权质押。与去年报告 披露有差异</w:t>
      </w:r>
      <w:r>
        <w:rPr>
          <w:rFonts w:ascii="Times New Roman" w:eastAsia="Times New Roman" w:hAnsi="Times New Roman" w:cs="Times New Roman"/>
          <w:color w:val="000000"/>
          <w:spacing w:val="0"/>
          <w:w w:val="100"/>
          <w:position w:val="0"/>
        </w:rPr>
        <w:t>］</w:t>
      </w:r>
      <w:r>
        <w:rPr>
          <w:color w:val="000000"/>
          <w:spacing w:val="0"/>
          <w:w w:val="100"/>
          <w:position w:val="0"/>
        </w:rPr>
        <w:t>贷款合同提供最高额抵押担保于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日与银行签订广州华炜科技有限公司</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股权质押合同江银广分越支高质字第</w:t>
      </w:r>
      <w:r>
        <w:rPr>
          <w:rFonts w:ascii="Times New Roman" w:eastAsia="Times New Roman" w:hAnsi="Times New Roman" w:cs="Times New Roman"/>
          <w:color w:val="000000"/>
          <w:spacing w:val="0"/>
          <w:w w:val="100"/>
          <w:position w:val="0"/>
        </w:rPr>
        <w:t>182006-001</w:t>
      </w:r>
      <w:r>
        <w:rPr>
          <w:color w:val="000000"/>
          <w:spacing w:val="0"/>
          <w:w w:val="100"/>
          <w:position w:val="0"/>
        </w:rPr>
        <w:t>号并于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日完成股权出质设立登记手续；于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日与银行签订西咸新区蓝盾信息安全技术有限公司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股权质押合同江银广分越支高质 字第</w:t>
      </w:r>
      <w:r>
        <w:rPr>
          <w:rFonts w:ascii="Times New Roman" w:eastAsia="Times New Roman" w:hAnsi="Times New Roman" w:cs="Times New Roman"/>
          <w:color w:val="000000"/>
          <w:spacing w:val="0"/>
          <w:w w:val="100"/>
          <w:position w:val="0"/>
        </w:rPr>
        <w:t>182006-002</w:t>
      </w:r>
      <w:r>
        <w:rPr>
          <w:color w:val="000000"/>
          <w:spacing w:val="0"/>
          <w:w w:val="100"/>
          <w:position w:val="0"/>
        </w:rPr>
        <w:t>号并于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日完成股权出质设立登记手续。</w:t>
      </w:r>
    </w:p>
    <w:p>
      <w:pPr>
        <w:pStyle w:val="Style38"/>
        <w:keepNext w:val="0"/>
        <w:keepLines w:val="0"/>
        <w:widowControl w:val="0"/>
        <w:numPr>
          <w:ilvl w:val="0"/>
          <w:numId w:val="117"/>
        </w:numPr>
        <w:shd w:val="clear" w:color="auto" w:fill="auto"/>
        <w:bidi w:val="0"/>
        <w:spacing w:before="0" w:after="160" w:line="469" w:lineRule="exact"/>
        <w:ind w:left="0" w:right="0" w:firstLine="520"/>
        <w:jc w:val="both"/>
      </w:pPr>
      <w:bookmarkStart w:id="1950" w:name="bookmark1950"/>
      <w:bookmarkEnd w:id="1950"/>
      <w:r>
        <w:rPr>
          <w:color w:val="000000"/>
          <w:spacing w:val="0"/>
          <w:w w:val="100"/>
          <w:position w:val="0"/>
        </w:rPr>
        <w:t>招商银行股份有限公司广州富力中心支行质押</w:t>
      </w:r>
    </w:p>
    <w:p>
      <w:pPr>
        <w:pStyle w:val="Style38"/>
        <w:keepNext w:val="0"/>
        <w:keepLines w:val="0"/>
        <w:widowControl w:val="0"/>
        <w:shd w:val="clear" w:color="auto" w:fill="auto"/>
        <w:bidi w:val="0"/>
        <w:spacing w:before="0" w:after="360" w:line="469"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日与招商银行富力中心支行签订了一年的</w:t>
      </w:r>
      <w:r>
        <w:rPr>
          <w:rFonts w:ascii="Times New Roman" w:eastAsia="Times New Roman" w:hAnsi="Times New Roman" w:cs="Times New Roman"/>
          <w:color w:val="000000"/>
          <w:spacing w:val="0"/>
          <w:w w:val="100"/>
          <w:position w:val="0"/>
        </w:rPr>
        <w:t>150,000,000.00</w:t>
      </w:r>
      <w:r>
        <w:rPr>
          <w:color w:val="000000"/>
          <w:spacing w:val="0"/>
          <w:w w:val="100"/>
          <w:position w:val="0"/>
        </w:rPr>
        <w:t>亿元的授信协议，由 蓝盾信息安全技术股份有限公司、蓝盾信息安全技术有限公司、柯宗庆、柯宗贵、柯宗耀作为连带责任保 证人。在授信协议下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日以账面金额为</w:t>
      </w:r>
      <w:r>
        <w:rPr>
          <w:rFonts w:ascii="Times New Roman" w:eastAsia="Times New Roman" w:hAnsi="Times New Roman" w:cs="Times New Roman"/>
          <w:color w:val="000000"/>
          <w:spacing w:val="0"/>
          <w:w w:val="100"/>
          <w:position w:val="0"/>
        </w:rPr>
        <w:t>30,625,522.00</w:t>
      </w:r>
      <w:r>
        <w:rPr>
          <w:color w:val="000000"/>
          <w:spacing w:val="0"/>
          <w:w w:val="100"/>
          <w:position w:val="0"/>
        </w:rPr>
        <w:t>元的应收账款作为质押向招商银行广州 富力中心支行借入借款</w:t>
      </w:r>
      <w:r>
        <w:rPr>
          <w:rFonts w:ascii="Times New Roman" w:eastAsia="Times New Roman" w:hAnsi="Times New Roman" w:cs="Times New Roman"/>
          <w:color w:val="000000"/>
          <w:spacing w:val="0"/>
          <w:w w:val="100"/>
          <w:position w:val="0"/>
        </w:rPr>
        <w:t>23,080,000.00</w:t>
      </w:r>
      <w:r>
        <w:rPr>
          <w:color w:val="000000"/>
          <w:spacing w:val="0"/>
          <w:w w:val="100"/>
          <w:position w:val="0"/>
        </w:rPr>
        <w:t>元，期限半年，利率为</w:t>
      </w:r>
      <w:r>
        <w:rPr>
          <w:rFonts w:ascii="Times New Roman" w:eastAsia="Times New Roman" w:hAnsi="Times New Roman" w:cs="Times New Roman"/>
          <w:color w:val="000000"/>
          <w:spacing w:val="0"/>
          <w:w w:val="100"/>
          <w:position w:val="0"/>
        </w:rPr>
        <w:t>5.22%</w:t>
      </w:r>
      <w:r>
        <w:rPr>
          <w:color w:val="000000"/>
          <w:spacing w:val="0"/>
          <w:w w:val="100"/>
          <w:position w:val="0"/>
        </w:rPr>
        <w:t>，已于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号偿还借款 </w:t>
      </w:r>
      <w:r>
        <w:rPr>
          <w:rFonts w:ascii="Times New Roman" w:eastAsia="Times New Roman" w:hAnsi="Times New Roman" w:cs="Times New Roman"/>
          <w:color w:val="000000"/>
          <w:spacing w:val="0"/>
          <w:w w:val="100"/>
          <w:position w:val="0"/>
        </w:rPr>
        <w:t>10,080,000.00</w:t>
      </w:r>
      <w:r>
        <w:rPr>
          <w:color w:val="000000"/>
          <w:spacing w:val="0"/>
          <w:w w:val="100"/>
          <w:position w:val="0"/>
        </w:rPr>
        <w:t>元在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日逾期，逾期利率</w:t>
      </w:r>
      <w:r>
        <w:rPr>
          <w:rFonts w:ascii="Times New Roman" w:eastAsia="Times New Roman" w:hAnsi="Times New Roman" w:cs="Times New Roman"/>
          <w:color w:val="000000"/>
          <w:spacing w:val="0"/>
          <w:w w:val="100"/>
          <w:position w:val="0"/>
        </w:rPr>
        <w:t xml:space="preserve">7.83% </w:t>
      </w:r>
      <w:r>
        <w:rPr>
          <w:color w:val="000000"/>
          <w:spacing w:val="0"/>
          <w:w w:val="100"/>
          <w:position w:val="0"/>
        </w:rPr>
        <w:t>截止</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日未偿还金额为</w:t>
      </w:r>
      <w:r>
        <w:rPr>
          <w:rFonts w:ascii="Times New Roman" w:eastAsia="Times New Roman" w:hAnsi="Times New Roman" w:cs="Times New Roman"/>
          <w:color w:val="000000"/>
          <w:spacing w:val="0"/>
          <w:w w:val="100"/>
          <w:position w:val="0"/>
        </w:rPr>
        <w:t xml:space="preserve">13,000,000.00 </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日以账面价值为</w:t>
      </w:r>
      <w:r>
        <w:rPr>
          <w:rFonts w:ascii="Times New Roman" w:eastAsia="Times New Roman" w:hAnsi="Times New Roman" w:cs="Times New Roman"/>
          <w:color w:val="000000"/>
          <w:spacing w:val="0"/>
          <w:w w:val="100"/>
          <w:position w:val="0"/>
        </w:rPr>
        <w:t>8,248,864.00</w:t>
      </w:r>
      <w:r>
        <w:rPr>
          <w:color w:val="000000"/>
          <w:spacing w:val="0"/>
          <w:w w:val="100"/>
          <w:position w:val="0"/>
        </w:rPr>
        <w:t>元的应收账款作为质押借入</w:t>
      </w:r>
      <w:r>
        <w:rPr>
          <w:rFonts w:ascii="Times New Roman" w:eastAsia="Times New Roman" w:hAnsi="Times New Roman" w:cs="Times New Roman"/>
          <w:color w:val="000000"/>
          <w:spacing w:val="0"/>
          <w:w w:val="100"/>
          <w:position w:val="0"/>
        </w:rPr>
        <w:t>6,420,000.00</w:t>
      </w:r>
      <w:r>
        <w:rPr>
          <w:color w:val="000000"/>
          <w:spacing w:val="0"/>
          <w:w w:val="100"/>
          <w:position w:val="0"/>
        </w:rPr>
        <w:t>元，期限半年， 利率</w:t>
      </w:r>
      <w:r>
        <w:rPr>
          <w:rFonts w:ascii="Times New Roman" w:eastAsia="Times New Roman" w:hAnsi="Times New Roman" w:cs="Times New Roman"/>
          <w:color w:val="000000"/>
          <w:spacing w:val="0"/>
          <w:w w:val="100"/>
          <w:position w:val="0"/>
        </w:rPr>
        <w:t>5.22%</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i/>
          <w:iCs/>
          <w:color w:val="000000"/>
          <w:spacing w:val="0"/>
          <w:w w:val="100"/>
          <w:position w:val="0"/>
        </w:rPr>
        <w:t>9</w:t>
      </w:r>
      <w:r>
        <w:rPr>
          <w:color w:val="000000"/>
          <w:spacing w:val="0"/>
          <w:w w:val="100"/>
          <w:position w:val="0"/>
        </w:rPr>
        <w:t>号偿还借款</w:t>
      </w:r>
      <w:r>
        <w:rPr>
          <w:rFonts w:ascii="Times New Roman" w:eastAsia="Times New Roman" w:hAnsi="Times New Roman" w:cs="Times New Roman"/>
          <w:color w:val="000000"/>
          <w:spacing w:val="0"/>
          <w:w w:val="100"/>
          <w:position w:val="0"/>
        </w:rPr>
        <w:t>20,000.00</w:t>
      </w:r>
      <w:r>
        <w:rPr>
          <w:color w:val="000000"/>
          <w:spacing w:val="0"/>
          <w:w w:val="100"/>
          <w:position w:val="0"/>
        </w:rPr>
        <w:t>元，在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号逾期，逾期利率</w:t>
      </w:r>
      <w:r>
        <w:rPr>
          <w:rFonts w:ascii="Times New Roman" w:eastAsia="Times New Roman" w:hAnsi="Times New Roman" w:cs="Times New Roman"/>
          <w:color w:val="000000"/>
          <w:spacing w:val="0"/>
          <w:w w:val="100"/>
          <w:position w:val="0"/>
        </w:rPr>
        <w:t>7.83%</w:t>
      </w:r>
      <w:r>
        <w:rPr>
          <w:color w:val="000000"/>
          <w:spacing w:val="0"/>
          <w:w w:val="100"/>
          <w:position w:val="0"/>
        </w:rPr>
        <w:t>， 截止</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日还有</w:t>
      </w:r>
      <w:r>
        <w:rPr>
          <w:rFonts w:ascii="Times New Roman" w:eastAsia="Times New Roman" w:hAnsi="Times New Roman" w:cs="Times New Roman"/>
          <w:color w:val="000000"/>
          <w:spacing w:val="0"/>
          <w:w w:val="100"/>
          <w:position w:val="0"/>
        </w:rPr>
        <w:t>6,400,000.00</w:t>
      </w:r>
      <w:r>
        <w:rPr>
          <w:color w:val="000000"/>
          <w:spacing w:val="0"/>
          <w:w w:val="100"/>
          <w:position w:val="0"/>
        </w:rPr>
        <w:t>元未偿还；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号以账面价值</w:t>
      </w:r>
      <w:r>
        <w:rPr>
          <w:rFonts w:ascii="Times New Roman" w:eastAsia="Times New Roman" w:hAnsi="Times New Roman" w:cs="Times New Roman"/>
          <w:color w:val="000000"/>
          <w:spacing w:val="0"/>
          <w:w w:val="100"/>
          <w:position w:val="0"/>
        </w:rPr>
        <w:t>37,515,042.00</w:t>
      </w:r>
      <w:r>
        <w:rPr>
          <w:color w:val="000000"/>
          <w:spacing w:val="0"/>
          <w:w w:val="100"/>
          <w:position w:val="0"/>
        </w:rPr>
        <w:t>元的应收账款为 质押借入</w:t>
      </w:r>
      <w:r>
        <w:rPr>
          <w:rFonts w:ascii="Times New Roman" w:eastAsia="Times New Roman" w:hAnsi="Times New Roman" w:cs="Times New Roman"/>
          <w:color w:val="000000"/>
          <w:spacing w:val="0"/>
          <w:w w:val="100"/>
          <w:position w:val="0"/>
        </w:rPr>
        <w:t>30,000,000.00</w:t>
      </w:r>
      <w:r>
        <w:rPr>
          <w:color w:val="000000"/>
          <w:spacing w:val="0"/>
          <w:w w:val="100"/>
          <w:position w:val="0"/>
        </w:rPr>
        <w:t>元，期限半年，利率</w:t>
      </w:r>
      <w:r>
        <w:rPr>
          <w:rFonts w:ascii="Times New Roman" w:eastAsia="Times New Roman" w:hAnsi="Times New Roman" w:cs="Times New Roman"/>
          <w:color w:val="000000"/>
          <w:spacing w:val="0"/>
          <w:w w:val="100"/>
          <w:position w:val="0"/>
        </w:rPr>
        <w:t>5.22%</w:t>
      </w:r>
      <w:r>
        <w:rPr>
          <w:color w:val="000000"/>
          <w:spacing w:val="0"/>
          <w:w w:val="100"/>
          <w:position w:val="0"/>
        </w:rPr>
        <w:t>，在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日逾期，逾期利率</w:t>
      </w:r>
      <w:r>
        <w:rPr>
          <w:rFonts w:ascii="Times New Roman" w:eastAsia="Times New Roman" w:hAnsi="Times New Roman" w:cs="Times New Roman"/>
          <w:color w:val="000000"/>
          <w:spacing w:val="0"/>
          <w:w w:val="100"/>
          <w:position w:val="0"/>
        </w:rPr>
        <w:t>7.83%</w:t>
      </w:r>
      <w:r>
        <w:rPr>
          <w:color w:val="000000"/>
          <w:spacing w:val="0"/>
          <w:w w:val="100"/>
          <w:position w:val="0"/>
        </w:rPr>
        <w:t xml:space="preserve">，截止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日还未偿还。</w:t>
      </w:r>
    </w:p>
    <w:p>
      <w:pPr>
        <w:pStyle w:val="Style77"/>
        <w:keepNext w:val="0"/>
        <w:keepLines w:val="0"/>
        <w:widowControl w:val="0"/>
        <w:shd w:val="clear" w:color="auto" w:fill="auto"/>
        <w:bidi w:val="0"/>
        <w:spacing w:before="0" w:after="160" w:line="240" w:lineRule="auto"/>
        <w:ind w:left="0" w:right="0" w:firstLine="520"/>
        <w:jc w:val="both"/>
      </w:pPr>
      <w:r>
        <w:rPr>
          <w:rFonts w:ascii="SimSun" w:eastAsia="SimSun" w:hAnsi="SimSun" w:cs="SimSun"/>
          <w:color w:val="000000"/>
          <w:spacing w:val="0"/>
          <w:w w:val="100"/>
          <w:position w:val="0"/>
        </w:rPr>
        <w:t>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日，上述借款余额为</w:t>
      </w:r>
      <w:r>
        <w:rPr>
          <w:color w:val="000000"/>
          <w:spacing w:val="0"/>
          <w:w w:val="100"/>
          <w:position w:val="0"/>
        </w:rPr>
        <w:t>49,400,000.00</w:t>
      </w:r>
      <w:r>
        <w:rPr>
          <w:rFonts w:ascii="SimSun" w:eastAsia="SimSun" w:hAnsi="SimSun" w:cs="SimSun"/>
          <w:color w:val="000000"/>
          <w:spacing w:val="0"/>
          <w:w w:val="100"/>
          <w:position w:val="0"/>
        </w:rPr>
        <w:t>元。</w:t>
      </w:r>
    </w:p>
    <w:p>
      <w:pPr>
        <w:pStyle w:val="Style38"/>
        <w:keepNext w:val="0"/>
        <w:keepLines w:val="0"/>
        <w:widowControl w:val="0"/>
        <w:shd w:val="clear" w:color="auto" w:fill="auto"/>
        <w:bidi w:val="0"/>
        <w:spacing w:before="0" w:after="460" w:line="469" w:lineRule="exact"/>
        <w:ind w:left="0" w:right="0" w:firstLine="520"/>
        <w:jc w:val="left"/>
      </w:pPr>
      <w:r>
        <w:rPr>
          <w:color w:val="000000"/>
          <w:spacing w:val="0"/>
          <w:w w:val="100"/>
          <w:position w:val="0"/>
        </w:rPr>
        <w:t>除存在上述承诺事项外</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公司无其他应披露未披露的重要承诺事项。</w:t>
      </w:r>
    </w:p>
    <w:p>
      <w:pPr>
        <w:pStyle w:val="Style35"/>
        <w:keepNext/>
        <w:keepLines/>
        <w:widowControl w:val="0"/>
        <w:shd w:val="clear" w:color="auto" w:fill="auto"/>
        <w:bidi w:val="0"/>
        <w:spacing w:before="0" w:after="0" w:line="480" w:lineRule="auto"/>
        <w:ind w:left="0" w:right="0" w:firstLine="0"/>
        <w:jc w:val="left"/>
      </w:pPr>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51"/>
      <w:bookmarkEnd w:id="1952"/>
      <w:bookmarkEnd w:id="1953"/>
    </w:p>
    <w:p>
      <w:pPr>
        <w:pStyle w:val="Style48"/>
        <w:keepNext/>
        <w:keepLines/>
        <w:widowControl w:val="0"/>
        <w:shd w:val="clear" w:color="auto" w:fill="auto"/>
        <w:bidi w:val="0"/>
        <w:spacing w:before="0" w:after="360" w:line="469" w:lineRule="exact"/>
        <w:ind w:left="0" w:right="0" w:firstLine="0"/>
        <w:jc w:val="both"/>
      </w:pPr>
      <w:bookmarkStart w:id="1954" w:name="bookmark1954"/>
      <w:bookmarkStart w:id="1955" w:name="bookmark1955"/>
      <w:bookmarkStart w:id="1956" w:name="bookmark19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54"/>
      <w:bookmarkEnd w:id="1955"/>
      <w:bookmarkEnd w:id="1956"/>
    </w:p>
    <w:p>
      <w:pPr>
        <w:pStyle w:val="Style48"/>
        <w:keepNext/>
        <w:keepLines/>
        <w:widowControl w:val="0"/>
        <w:shd w:val="clear" w:color="auto" w:fill="auto"/>
        <w:bidi w:val="0"/>
        <w:spacing w:before="0" w:after="260" w:line="240" w:lineRule="auto"/>
        <w:ind w:left="0" w:right="0" w:firstLine="520"/>
        <w:jc w:val="both"/>
      </w:pPr>
      <w:bookmarkStart w:id="1957" w:name="bookmark1957"/>
      <w:bookmarkStart w:id="1958" w:name="bookmark1958"/>
      <w:bookmarkStart w:id="1959" w:name="bookmark1959"/>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）借款及融资租赁相关诉讼</w:t>
      </w:r>
      <w:bookmarkEnd w:id="1957"/>
      <w:bookmarkEnd w:id="1958"/>
      <w:bookmarkEnd w:id="1959"/>
    </w:p>
    <w:p>
      <w:pPr>
        <w:pStyle w:val="Style38"/>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公司本期借款与融资租赁相关诉讼案件总涉诉金额为</w:t>
      </w:r>
      <w:r>
        <w:rPr>
          <w:rFonts w:ascii="Times New Roman" w:eastAsia="Times New Roman" w:hAnsi="Times New Roman" w:cs="Times New Roman"/>
          <w:color w:val="000000"/>
          <w:spacing w:val="0"/>
          <w:w w:val="100"/>
          <w:position w:val="0"/>
        </w:rPr>
        <w:t>1,849,465,701.43</w:t>
      </w:r>
      <w:r>
        <w:rPr>
          <w:color w:val="000000"/>
          <w:spacing w:val="0"/>
          <w:w w:val="100"/>
          <w:position w:val="0"/>
        </w:rPr>
        <w:t>元，相关诉讼具体情况如下:</w:t>
      </w:r>
    </w:p>
    <w:tbl>
      <w:tblPr>
        <w:tblOverlap w:val="never"/>
        <w:jc w:val="center"/>
        <w:tblLayout w:type="fixed"/>
      </w:tblPr>
      <w:tblGrid>
        <w:gridCol w:w="595"/>
        <w:gridCol w:w="1579"/>
        <w:gridCol w:w="1627"/>
        <w:gridCol w:w="989"/>
        <w:gridCol w:w="1421"/>
        <w:gridCol w:w="1483"/>
        <w:gridCol w:w="216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所属公司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涉诉金额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案件进展情况</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蓝盾信息安全技 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江西银行股份有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限公司广州分行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借款合同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308,663,016.23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bl>
    <w:p>
      <w:pPr>
        <w:spacing w:lineRule="exact" w:line="1"/>
        <w:rPr>
          <w:sz w:val="2"/>
          <w:szCs w:val="2"/>
        </w:rPr>
      </w:pPr>
      <w:r>
        <w:br w:type="page"/>
      </w:r>
    </w:p>
    <w:tbl>
      <w:tblPr>
        <w:tblOverlap w:val="never"/>
        <w:jc w:val="center"/>
        <w:tblLayout w:type="fixed"/>
      </w:tblPr>
      <w:tblGrid>
        <w:gridCol w:w="595"/>
        <w:gridCol w:w="1579"/>
        <w:gridCol w:w="1627"/>
        <w:gridCol w:w="989"/>
        <w:gridCol w:w="1421"/>
        <w:gridCol w:w="1483"/>
        <w:gridCol w:w="2165"/>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广州农村商业银 行股份有限公司 天河支行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248,422,758.00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字第</w:t>
            </w:r>
            <w:r>
              <w:rPr>
                <w:rFonts w:ascii="Times New Roman" w:eastAsia="Times New Roman" w:hAnsi="Times New Roman" w:cs="Times New Roman"/>
                <w:color w:val="000000"/>
                <w:spacing w:val="0"/>
                <w:w w:val="100"/>
                <w:position w:val="0"/>
                <w:sz w:val="18"/>
                <w:szCs w:val="18"/>
              </w:rPr>
              <w:t>5530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月，广州仲裁委 员会就该事项做出裁决， 要求中经电商偿还本息 合计</w:t>
            </w:r>
            <w:r>
              <w:rPr>
                <w:rFonts w:ascii="Times New Roman" w:eastAsia="Times New Roman" w:hAnsi="Times New Roman" w:cs="Times New Roman"/>
                <w:color w:val="000000"/>
                <w:spacing w:val="0"/>
                <w:w w:val="100"/>
                <w:position w:val="0"/>
                <w:sz w:val="18"/>
                <w:szCs w:val="18"/>
              </w:rPr>
              <w:t>24,842.28</w:t>
            </w:r>
            <w:r>
              <w:rPr>
                <w:color w:val="000000"/>
                <w:spacing w:val="0"/>
                <w:w w:val="100"/>
                <w:position w:val="0"/>
              </w:rPr>
              <w:t>万元及相 关费用。</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长沙银行股份有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借款合同 纠粉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121,936,940.52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广东省广州市中级人民 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 出具《民事调解书》，双 方达成和解，蓝盾技术自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月分十四期偿还该款项。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99,831,458.77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7586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中国民生银行股 份有限公司广州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借款合同 纠粉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83,085,968.65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1519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限公司淘金支行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74,937,960.41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0104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46773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二审尚未判决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上海浦东发展银 行股份有限公司 广州东风支行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金融借款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57,203,305.36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0104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4952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中经汇通电子商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长沙银行股份有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53,111,616.00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0106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41600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双方于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达成和解协议，广州市天 河区人民法院于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日出具《民事调解 书》，中经电商自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月分 十期偿还该款项，强制执 行中。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中经汇通电子商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上海浦东发展银 行股份有限公司 广州东风支行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金融借款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50,178,004.58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0104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4957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蓝盾信息安全技 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0106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34394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 份有限公司广州 经济技术开发区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48,364,195.59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0112</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9261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待开庭，将于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日开庭审理。</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中经汇通电子商 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限公司广州分行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44,791,913.30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0104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9021</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bl>
    <w:p>
      <w:pPr>
        <w:spacing w:lineRule="exact" w:line="1"/>
        <w:rPr>
          <w:sz w:val="2"/>
          <w:szCs w:val="2"/>
        </w:rPr>
      </w:pPr>
      <w:r>
        <w:br w:type="page"/>
      </w:r>
    </w:p>
    <w:tbl>
      <w:tblPr>
        <w:tblOverlap w:val="never"/>
        <w:jc w:val="center"/>
        <w:tblLayout w:type="fixed"/>
      </w:tblPr>
      <w:tblGrid>
        <w:gridCol w:w="595"/>
        <w:gridCol w:w="1579"/>
        <w:gridCol w:w="1627"/>
        <w:gridCol w:w="989"/>
        <w:gridCol w:w="1421"/>
        <w:gridCol w:w="1483"/>
        <w:gridCol w:w="216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限公司淘金支行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41,892,904.90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0104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46772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二审尚未判决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中信银行股份有 限公司广州分公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40,229,683.97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)穗仲案</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字第</w:t>
            </w:r>
            <w:r>
              <w:rPr>
                <w:rFonts w:ascii="Times New Roman" w:eastAsia="Times New Roman" w:hAnsi="Times New Roman" w:cs="Times New Roman"/>
                <w:color w:val="000000"/>
                <w:spacing w:val="0"/>
                <w:w w:val="100"/>
                <w:position w:val="0"/>
                <w:sz w:val="18"/>
                <w:szCs w:val="18"/>
              </w:rPr>
              <w:t>1051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已裁决待履约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中经汇通电子商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 份有限公司广州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0106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35141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中信银行股份有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31,664,697.00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)穗仲案</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字第</w:t>
            </w:r>
            <w:r>
              <w:rPr>
                <w:rFonts w:ascii="Times New Roman" w:eastAsia="Times New Roman" w:hAnsi="Times New Roman" w:cs="Times New Roman"/>
                <w:color w:val="000000"/>
                <w:spacing w:val="0"/>
                <w:w w:val="100"/>
                <w:position w:val="0"/>
                <w:sz w:val="18"/>
                <w:szCs w:val="18"/>
              </w:rPr>
              <w:t>1052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已裁决待履约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广发银行股份有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30,858,221.97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0106 </w:t>
            </w:r>
            <w:r>
              <w:rPr>
                <w:color w:val="000000"/>
                <w:spacing w:val="0"/>
                <w:w w:val="100"/>
                <w:position w:val="0"/>
              </w:rPr>
              <w:t>民初</w:t>
            </w:r>
          </w:p>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27268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兴业很行股有限 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30,399,433.33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0106</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6340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广东恒孚融资租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27,839,693.75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0491</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2539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广发融资租赁(广 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27,231,187.77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9177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深圳市蓝盾满泰 科技发展有限公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长沙银行股份有 限公司广州分行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25,114,189.75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0106</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2668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双方于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 达成和解协议，广东省广 州市天河区人民法院于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日出具《民 事调解书》，满泰科技自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月分四期偿还该款项。</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广发融资租赁(广 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24,742,516.31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9176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厦门国际银行股 份有限公司珠海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22,912,441.26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0402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4683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深圳市蓝盾满泰 科技发展有限公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中国民生银行股 份有限公司广州 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20,854,017.46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0106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35143</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一审尚未判决</w:t>
            </w:r>
          </w:p>
        </w:tc>
      </w:tr>
    </w:tbl>
    <w:p>
      <w:pPr>
        <w:spacing w:lineRule="exact" w:line="1"/>
        <w:rPr>
          <w:sz w:val="2"/>
          <w:szCs w:val="2"/>
        </w:rPr>
      </w:pPr>
      <w:r>
        <w:br w:type="page"/>
      </w:r>
    </w:p>
    <w:tbl>
      <w:tblPr>
        <w:tblOverlap w:val="never"/>
        <w:jc w:val="center"/>
        <w:tblLayout w:type="fixed"/>
      </w:tblPr>
      <w:tblGrid>
        <w:gridCol w:w="595"/>
        <w:gridCol w:w="1579"/>
        <w:gridCol w:w="1627"/>
        <w:gridCol w:w="989"/>
        <w:gridCol w:w="1421"/>
        <w:gridCol w:w="1483"/>
        <w:gridCol w:w="2165"/>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远东国际融资租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20,412,955.97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0115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14796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上海市浦东新区人民法 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日出 具《民事调解书》，双方 达成和解，蓝盾信息安全 技术有限公司应当自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月分十三期偿还该款项。</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远东国际融资租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21,573,604.06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0115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14845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上海市浦东新区人民法 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日出 具《民事调解书》，双方 达成和解，蓝盾技术自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月分十四期偿还该款项。</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远东国际融资租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21,261,849.23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0115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23135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上海市浦东新区人民法 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 具《民事调解书》，双方 达成和解，蓝盾股份应当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月分十四期偿还该款 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科学城（广州）投 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53,569,410.95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0112</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2701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科学城（广州）投 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24,940,426.14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0112</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2705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西咸新区蓝盾信 息安全技术有限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科学城（广州）投 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24,879,584.44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0112</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2699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科学城（广州）投 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18,150,289.67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0112</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2704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广州华炜科技有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科学城（广州）投 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16,533,681.00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0112</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2702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科学城（广州）投 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8,174,338.00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0112</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2703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中经汇通电子商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重庆谈石融资租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16,051,174.00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）渝 </w:t>
            </w:r>
            <w:r>
              <w:rPr>
                <w:rFonts w:ascii="Times New Roman" w:eastAsia="Times New Roman" w:hAnsi="Times New Roman" w:cs="Times New Roman"/>
                <w:color w:val="000000"/>
                <w:spacing w:val="0"/>
                <w:w w:val="100"/>
                <w:position w:val="0"/>
                <w:sz w:val="18"/>
                <w:szCs w:val="18"/>
              </w:rPr>
              <w:t xml:space="preserve">0103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6831</w:t>
            </w:r>
            <w:r>
              <w:rPr>
                <w:color w:val="000000"/>
                <w:spacing w:val="0"/>
                <w:w w:val="100"/>
                <w:position w:val="0"/>
              </w:rPr>
              <w:t>号、</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0106</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23930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中经汇通电子商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重庆谈石融资租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 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13,778,340.00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）渝 </w:t>
            </w:r>
            <w:r>
              <w:rPr>
                <w:rFonts w:ascii="Times New Roman" w:eastAsia="Times New Roman" w:hAnsi="Times New Roman" w:cs="Times New Roman"/>
                <w:color w:val="000000"/>
                <w:spacing w:val="0"/>
                <w:w w:val="100"/>
                <w:position w:val="0"/>
                <w:sz w:val="18"/>
                <w:szCs w:val="18"/>
              </w:rPr>
              <w:t xml:space="preserve">0103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30748</w:t>
            </w:r>
            <w:r>
              <w:rPr>
                <w:color w:val="000000"/>
                <w:spacing w:val="0"/>
                <w:w w:val="100"/>
                <w:position w:val="0"/>
              </w:rPr>
              <w:t>号、</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）渝 </w:t>
            </w:r>
            <w:r>
              <w:rPr>
                <w:rFonts w:ascii="Times New Roman" w:eastAsia="Times New Roman" w:hAnsi="Times New Roman" w:cs="Times New Roman"/>
                <w:color w:val="000000"/>
                <w:spacing w:val="0"/>
                <w:w w:val="100"/>
                <w:position w:val="0"/>
                <w:sz w:val="18"/>
                <w:szCs w:val="18"/>
              </w:rPr>
              <w:t>0103</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6831</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bl>
    <w:p>
      <w:pPr>
        <w:spacing w:lineRule="exact" w:line="1"/>
        <w:rPr>
          <w:sz w:val="2"/>
          <w:szCs w:val="2"/>
        </w:rPr>
      </w:pPr>
      <w:r>
        <w:br w:type="page"/>
      </w:r>
    </w:p>
    <w:tbl>
      <w:tblPr>
        <w:tblOverlap w:val="never"/>
        <w:jc w:val="center"/>
        <w:tblLayout w:type="fixed"/>
      </w:tblPr>
      <w:tblGrid>
        <w:gridCol w:w="595"/>
        <w:gridCol w:w="1579"/>
        <w:gridCol w:w="1627"/>
        <w:gridCol w:w="989"/>
        <w:gridCol w:w="1421"/>
        <w:gridCol w:w="1483"/>
        <w:gridCol w:w="2165"/>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欧力士融资租赁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4,011,031.39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）沪 </w:t>
            </w:r>
            <w:r>
              <w:rPr>
                <w:rFonts w:ascii="Times New Roman" w:eastAsia="Times New Roman" w:hAnsi="Times New Roman" w:cs="Times New Roman"/>
                <w:color w:val="000000"/>
                <w:spacing w:val="0"/>
                <w:w w:val="100"/>
                <w:position w:val="0"/>
                <w:sz w:val="18"/>
                <w:szCs w:val="18"/>
              </w:rPr>
              <w:t xml:space="preserve">0105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24274</w:t>
            </w:r>
            <w:r>
              <w:rPr>
                <w:color w:val="000000"/>
                <w:spacing w:val="0"/>
                <w:w w:val="100"/>
                <w:position w:val="0"/>
              </w:rPr>
              <w:t>号、</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0105</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1765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中经汇通电子商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欧力士融资租赁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1,785,255.84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）沪 </w:t>
            </w:r>
            <w:r>
              <w:rPr>
                <w:rFonts w:ascii="Times New Roman" w:eastAsia="Times New Roman" w:hAnsi="Times New Roman" w:cs="Times New Roman"/>
                <w:color w:val="000000"/>
                <w:spacing w:val="0"/>
                <w:w w:val="100"/>
                <w:position w:val="0"/>
                <w:sz w:val="18"/>
                <w:szCs w:val="18"/>
              </w:rPr>
              <w:t xml:space="preserve">0105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24272</w:t>
            </w:r>
            <w:r>
              <w:rPr>
                <w:color w:val="000000"/>
                <w:spacing w:val="0"/>
                <w:w w:val="100"/>
                <w:position w:val="0"/>
              </w:rPr>
              <w:t>号、</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0105</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1836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中经汇通电子商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欧力士融资租赁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融资租赁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）沪 </w:t>
            </w:r>
            <w:r>
              <w:rPr>
                <w:rFonts w:ascii="Times New Roman" w:eastAsia="Times New Roman" w:hAnsi="Times New Roman" w:cs="Times New Roman"/>
                <w:color w:val="000000"/>
                <w:spacing w:val="0"/>
                <w:w w:val="100"/>
                <w:position w:val="0"/>
                <w:sz w:val="18"/>
                <w:szCs w:val="18"/>
              </w:rPr>
              <w:t xml:space="preserve">0105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24275</w:t>
            </w:r>
            <w:r>
              <w:rPr>
                <w:color w:val="000000"/>
                <w:spacing w:val="0"/>
                <w:w w:val="100"/>
                <w:position w:val="0"/>
              </w:rPr>
              <w:t>号、</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）沪 </w:t>
            </w:r>
            <w:r>
              <w:rPr>
                <w:rFonts w:ascii="Times New Roman" w:eastAsia="Times New Roman" w:hAnsi="Times New Roman" w:cs="Times New Roman"/>
                <w:color w:val="000000"/>
                <w:spacing w:val="0"/>
                <w:w w:val="100"/>
                <w:position w:val="0"/>
                <w:sz w:val="18"/>
                <w:szCs w:val="18"/>
              </w:rPr>
              <w:t xml:space="preserve">0105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1806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中经汇通电子商 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欧力士融资租赁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融资租赁 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391,135.86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0105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24276</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r>
    </w:tbl>
    <w:p>
      <w:pPr>
        <w:widowControl w:val="0"/>
        <w:spacing w:after="159" w:line="1" w:lineRule="exact"/>
      </w:pPr>
    </w:p>
    <w:p>
      <w:pPr>
        <w:pStyle w:val="Style48"/>
        <w:keepNext/>
        <w:keepLines/>
        <w:widowControl w:val="0"/>
        <w:shd w:val="clear" w:color="auto" w:fill="auto"/>
        <w:bidi w:val="0"/>
        <w:spacing w:before="0" w:after="300" w:line="240" w:lineRule="auto"/>
        <w:ind w:left="0" w:right="0" w:firstLine="520"/>
        <w:jc w:val="left"/>
      </w:pPr>
      <w:bookmarkStart w:id="1960" w:name="bookmark1960"/>
      <w:bookmarkStart w:id="1961" w:name="bookmark1961"/>
      <w:bookmarkStart w:id="1962" w:name="bookmark1962"/>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）其他诉讼</w:t>
      </w:r>
      <w:bookmarkEnd w:id="1960"/>
      <w:bookmarkEnd w:id="1961"/>
      <w:bookmarkEnd w:id="1962"/>
    </w:p>
    <w:p>
      <w:pPr>
        <w:pStyle w:val="Style38"/>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公司本期除上述借款及融资租赁相关诉讼以外，还存在服务合同纠纷、买卖合同纠纷等其他诉讼，总</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涉诉金额为</w:t>
      </w:r>
      <w:r>
        <w:rPr>
          <w:rFonts w:ascii="Times New Roman" w:eastAsia="Times New Roman" w:hAnsi="Times New Roman" w:cs="Times New Roman"/>
          <w:color w:val="000000"/>
          <w:spacing w:val="0"/>
          <w:w w:val="100"/>
          <w:position w:val="0"/>
        </w:rPr>
        <w:t>149,706,321.29</w:t>
      </w:r>
      <w:r>
        <w:rPr>
          <w:color w:val="000000"/>
          <w:spacing w:val="0"/>
          <w:w w:val="100"/>
          <w:position w:val="0"/>
        </w:rPr>
        <w:t>元，选取案件标的金额前十位进行披露，相关诉讼具体情况如下：</w:t>
      </w:r>
    </w:p>
    <w:tbl>
      <w:tblPr>
        <w:tblOverlap w:val="never"/>
        <w:jc w:val="center"/>
        <w:tblLayout w:type="fixed"/>
      </w:tblPr>
      <w:tblGrid>
        <w:gridCol w:w="595"/>
        <w:gridCol w:w="1579"/>
        <w:gridCol w:w="1632"/>
        <w:gridCol w:w="989"/>
        <w:gridCol w:w="1416"/>
        <w:gridCol w:w="1560"/>
        <w:gridCol w:w="209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所属公司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涉诉金额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案件进展情况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和宇健康科技股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44,213,954.71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）穗仲案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字第</w:t>
            </w:r>
            <w:r>
              <w:rPr>
                <w:rFonts w:ascii="Times New Roman" w:eastAsia="Times New Roman" w:hAnsi="Times New Roman" w:cs="Times New Roman"/>
                <w:color w:val="000000"/>
                <w:spacing w:val="0"/>
                <w:w w:val="100"/>
                <w:position w:val="0"/>
                <w:sz w:val="20"/>
                <w:szCs w:val="20"/>
              </w:rPr>
              <w:t>942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仲裁未决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蓝盾信息安全技 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广东和诚科技孵 化器有限公司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21,399,237.50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20"/>
                <w:szCs w:val="20"/>
              </w:rPr>
              <w:t>0106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民初</w:t>
            </w:r>
            <w:r>
              <w:rPr>
                <w:rFonts w:ascii="Times New Roman" w:eastAsia="Times New Roman" w:hAnsi="Times New Roman" w:cs="Times New Roman"/>
                <w:color w:val="000000"/>
                <w:spacing w:val="0"/>
                <w:w w:val="100"/>
                <w:position w:val="0"/>
                <w:sz w:val="20"/>
                <w:szCs w:val="20"/>
              </w:rPr>
              <w:t>37708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中经汇通电子商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纳斯特投资管理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服务合同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7,305,769.33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）穗仲案</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字第 </w:t>
            </w:r>
            <w:r>
              <w:rPr>
                <w:rFonts w:ascii="Times New Roman" w:eastAsia="Times New Roman" w:hAnsi="Times New Roman" w:cs="Times New Roman"/>
                <w:color w:val="000000"/>
                <w:spacing w:val="0"/>
                <w:w w:val="100"/>
                <w:position w:val="0"/>
                <w:sz w:val="20"/>
                <w:szCs w:val="20"/>
              </w:rPr>
              <w:t xml:space="preserve">178 </w:t>
            </w:r>
            <w:r>
              <w:rPr>
                <w:color w:val="000000"/>
                <w:spacing w:val="0"/>
                <w:w w:val="100"/>
                <w:position w:val="0"/>
              </w:rPr>
              <w:t>号、</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rPr>
              <w:t>执</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3524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广州市雅格布通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买卖合同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6,425,998.68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20"/>
                <w:szCs w:val="20"/>
              </w:rPr>
              <w:t>0112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民初</w:t>
            </w:r>
            <w:r>
              <w:rPr>
                <w:rFonts w:ascii="Times New Roman" w:eastAsia="Times New Roman" w:hAnsi="Times New Roman" w:cs="Times New Roman"/>
                <w:color w:val="000000"/>
                <w:spacing w:val="0"/>
                <w:w w:val="100"/>
                <w:position w:val="0"/>
                <w:sz w:val="20"/>
                <w:szCs w:val="20"/>
              </w:rPr>
              <w:t>3055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广东赛壹便利店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6,303,786.38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20"/>
                <w:szCs w:val="20"/>
              </w:rPr>
              <w:t>0104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民初</w:t>
            </w:r>
            <w:r>
              <w:rPr>
                <w:rFonts w:ascii="Times New Roman" w:eastAsia="Times New Roman" w:hAnsi="Times New Roman" w:cs="Times New Roman"/>
                <w:color w:val="000000"/>
                <w:spacing w:val="0"/>
                <w:w w:val="100"/>
                <w:position w:val="0"/>
                <w:sz w:val="20"/>
                <w:szCs w:val="20"/>
              </w:rPr>
              <w:t>39641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广州同略科技有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4,467,479.71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20"/>
                <w:szCs w:val="20"/>
              </w:rPr>
              <w:t>0112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民初</w:t>
            </w:r>
            <w:r>
              <w:rPr>
                <w:rFonts w:ascii="Times New Roman" w:eastAsia="Times New Roman" w:hAnsi="Times New Roman" w:cs="Times New Roman"/>
                <w:color w:val="000000"/>
                <w:spacing w:val="0"/>
                <w:w w:val="100"/>
                <w:position w:val="0"/>
                <w:sz w:val="20"/>
                <w:szCs w:val="20"/>
              </w:rPr>
              <w:t>7388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一审已判决，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日提交上诉状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东莞市信耀安防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3,727,350.00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20"/>
                <w:szCs w:val="20"/>
              </w:rPr>
              <w:t>0112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民初</w:t>
            </w:r>
            <w:r>
              <w:rPr>
                <w:rFonts w:ascii="Times New Roman" w:eastAsia="Times New Roman" w:hAnsi="Times New Roman" w:cs="Times New Roman"/>
                <w:color w:val="000000"/>
                <w:spacing w:val="0"/>
                <w:w w:val="100"/>
                <w:position w:val="0"/>
                <w:sz w:val="20"/>
                <w:szCs w:val="20"/>
              </w:rPr>
              <w:t>1043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蓝盾信息安全技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清远市大海网络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建设工程 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2,968,221.40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20"/>
                <w:szCs w:val="20"/>
              </w:rPr>
              <w:t xml:space="preserve">1881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20"/>
                <w:szCs w:val="20"/>
              </w:rPr>
              <w:t xml:space="preserve">3136 </w:t>
            </w:r>
            <w:r>
              <w:rPr>
                <w:color w:val="000000"/>
                <w:spacing w:val="0"/>
                <w:w w:val="100"/>
                <w:position w:val="0"/>
              </w:rPr>
              <w:t>号、</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20"/>
                <w:szCs w:val="20"/>
              </w:rPr>
              <w:t>1881</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民申</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日中止原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调解再审</w:t>
            </w:r>
          </w:p>
        </w:tc>
      </w:tr>
    </w:tbl>
    <w:tbl>
      <w:tblPr>
        <w:tblOverlap w:val="never"/>
        <w:jc w:val="center"/>
        <w:tblLayout w:type="fixed"/>
      </w:tblPr>
      <w:tblGrid>
        <w:gridCol w:w="595"/>
        <w:gridCol w:w="1579"/>
        <w:gridCol w:w="1632"/>
        <w:gridCol w:w="989"/>
        <w:gridCol w:w="1416"/>
        <w:gridCol w:w="1560"/>
        <w:gridCol w:w="209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大参林医药集团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2,955,429.25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20"/>
                <w:szCs w:val="20"/>
              </w:rPr>
              <w:t>0103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w:t>
            </w:r>
            <w:r>
              <w:rPr>
                <w:rFonts w:ascii="Times New Roman" w:eastAsia="Times New Roman" w:hAnsi="Times New Roman" w:cs="Times New Roman"/>
                <w:color w:val="000000"/>
                <w:spacing w:val="0"/>
                <w:w w:val="100"/>
                <w:position w:val="0"/>
                <w:sz w:val="20"/>
                <w:szCs w:val="20"/>
              </w:rPr>
              <w:t>5883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蓝盾信息安全技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东莞立华海威网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买卖合同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2,686,581.00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20"/>
                <w:szCs w:val="20"/>
              </w:rPr>
              <w:t>0112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民初</w:t>
            </w:r>
            <w:r>
              <w:rPr>
                <w:rFonts w:ascii="Times New Roman" w:eastAsia="Times New Roman" w:hAnsi="Times New Roman" w:cs="Times New Roman"/>
                <w:color w:val="000000"/>
                <w:spacing w:val="0"/>
                <w:w w:val="100"/>
                <w:position w:val="0"/>
                <w:sz w:val="20"/>
                <w:szCs w:val="20"/>
              </w:rPr>
              <w:t>5956</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r>
    </w:tbl>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除存在上述或有事项外，截止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日，公司无其他应披露未披露的重要或有事项。</w:t>
      </w:r>
    </w:p>
    <w:p>
      <w:pPr>
        <w:widowControl w:val="0"/>
        <w:spacing w:after="459" w:line="1" w:lineRule="exact"/>
      </w:pPr>
    </w:p>
    <w:p>
      <w:pPr>
        <w:pStyle w:val="Style26"/>
        <w:keepNext/>
        <w:keepLines/>
        <w:widowControl w:val="0"/>
        <w:shd w:val="clear" w:color="auto" w:fill="auto"/>
        <w:bidi w:val="0"/>
        <w:spacing w:before="0" w:after="160" w:line="240" w:lineRule="auto"/>
        <w:ind w:left="0" w:right="0" w:firstLine="0"/>
        <w:jc w:val="both"/>
      </w:pPr>
      <w:bookmarkStart w:id="1963" w:name="bookmark1963"/>
      <w:bookmarkStart w:id="1964" w:name="bookmark1964"/>
      <w:bookmarkStart w:id="1965" w:name="bookmark1965"/>
      <w:r>
        <w:rPr>
          <w:color w:val="000000"/>
          <w:spacing w:val="0"/>
          <w:w w:val="100"/>
          <w:position w:val="0"/>
        </w:rPr>
        <w:t>十五、资产负债表日后事项</w:t>
      </w:r>
      <w:bookmarkEnd w:id="1963"/>
      <w:bookmarkEnd w:id="1964"/>
      <w:bookmarkEnd w:id="1965"/>
    </w:p>
    <w:p>
      <w:pPr>
        <w:pStyle w:val="Style35"/>
        <w:keepNext/>
        <w:keepLines/>
        <w:widowControl w:val="0"/>
        <w:shd w:val="clear" w:color="auto" w:fill="auto"/>
        <w:bidi w:val="0"/>
        <w:spacing w:before="0" w:after="200" w:line="467" w:lineRule="exact"/>
        <w:ind w:left="0" w:right="0" w:firstLine="0"/>
        <w:jc w:val="both"/>
      </w:pPr>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966"/>
      <w:bookmarkEnd w:id="1967"/>
      <w:bookmarkEnd w:id="1968"/>
    </w:p>
    <w:p>
      <w:pPr>
        <w:pStyle w:val="Style38"/>
        <w:keepNext w:val="0"/>
        <w:keepLines w:val="0"/>
        <w:widowControl w:val="0"/>
        <w:shd w:val="clear" w:color="auto" w:fill="auto"/>
        <w:tabs>
          <w:tab w:pos="948" w:val="left"/>
        </w:tabs>
        <w:bidi w:val="0"/>
        <w:spacing w:before="0" w:after="0" w:line="467" w:lineRule="exact"/>
        <w:ind w:left="0" w:right="0" w:firstLine="520"/>
        <w:jc w:val="both"/>
      </w:pPr>
      <w:bookmarkStart w:id="1969" w:name="bookmark1969"/>
      <w:r>
        <w:rPr>
          <w:color w:val="000000"/>
          <w:spacing w:val="0"/>
          <w:w w:val="100"/>
          <w:position w:val="0"/>
        </w:rPr>
        <w:t>（</w:t>
      </w:r>
      <w:bookmarkEnd w:id="1969"/>
      <w:r>
        <w:rPr>
          <w:rFonts w:ascii="Times New Roman" w:eastAsia="Times New Roman" w:hAnsi="Times New Roman" w:cs="Times New Roman"/>
          <w:color w:val="000000"/>
          <w:spacing w:val="0"/>
          <w:w w:val="100"/>
          <w:position w:val="0"/>
        </w:rPr>
        <w:t>1</w:t>
      </w:r>
      <w:r>
        <w:rPr>
          <w:color w:val="000000"/>
          <w:spacing w:val="0"/>
          <w:w w:val="100"/>
          <w:position w:val="0"/>
        </w:rPr>
        <w:t>）</w:t>
        <w:tab/>
        <w:t>子公司被申请破产清算</w:t>
      </w:r>
    </w:p>
    <w:p>
      <w:pPr>
        <w:pStyle w:val="Style38"/>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公司的子公司中经汇通电子商务有限公司（以下简称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中经电商</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与纳斯特投资管理有限公司曾于资 产负债日前发生服务合同纠纷案件。对此服务合同纠纷案件，中国广州仲裁委员会已在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日作出 （</w:t>
      </w:r>
      <w:r>
        <w:rPr>
          <w:rFonts w:ascii="Times New Roman" w:eastAsia="Times New Roman" w:hAnsi="Times New Roman" w:cs="Times New Roman"/>
          <w:color w:val="000000"/>
          <w:spacing w:val="0"/>
          <w:w w:val="100"/>
          <w:position w:val="0"/>
        </w:rPr>
        <w:t>2020</w:t>
      </w:r>
      <w:r>
        <w:rPr>
          <w:color w:val="000000"/>
          <w:spacing w:val="0"/>
          <w:w w:val="100"/>
          <w:position w:val="0"/>
        </w:rPr>
        <w:t>）穗仲案字第</w:t>
      </w:r>
      <w:r>
        <w:rPr>
          <w:rFonts w:ascii="Times New Roman" w:eastAsia="Times New Roman" w:hAnsi="Times New Roman" w:cs="Times New Roman"/>
          <w:color w:val="000000"/>
          <w:spacing w:val="0"/>
          <w:w w:val="100"/>
          <w:position w:val="0"/>
        </w:rPr>
        <w:t>178</w:t>
      </w:r>
      <w:r>
        <w:rPr>
          <w:color w:val="000000"/>
          <w:spacing w:val="0"/>
          <w:w w:val="100"/>
          <w:position w:val="0"/>
        </w:rPr>
        <w:t>号仲裁裁决书，裁决中经电商向纳斯特投资管理有限公司返还款项</w:t>
      </w:r>
      <w:r>
        <w:rPr>
          <w:rFonts w:ascii="Times New Roman" w:eastAsia="Times New Roman" w:hAnsi="Times New Roman" w:cs="Times New Roman"/>
          <w:color w:val="000000"/>
          <w:spacing w:val="0"/>
          <w:w w:val="100"/>
          <w:position w:val="0"/>
        </w:rPr>
        <w:t>600</w:t>
      </w:r>
      <w:r>
        <w:rPr>
          <w:color w:val="000000"/>
          <w:spacing w:val="0"/>
          <w:w w:val="100"/>
          <w:position w:val="0"/>
        </w:rPr>
        <w:t>万元、支付 违约金及利息、补偿律师费</w:t>
      </w:r>
      <w:r>
        <w:rPr>
          <w:rFonts w:ascii="Times New Roman" w:eastAsia="Times New Roman" w:hAnsi="Times New Roman" w:cs="Times New Roman"/>
          <w:color w:val="000000"/>
          <w:spacing w:val="0"/>
          <w:w w:val="100"/>
          <w:position w:val="0"/>
        </w:rPr>
        <w:t>10</w:t>
      </w:r>
      <w:r>
        <w:rPr>
          <w:color w:val="000000"/>
          <w:spacing w:val="0"/>
          <w:w w:val="100"/>
          <w:position w:val="0"/>
        </w:rPr>
        <w:t>万元、财产保全费</w:t>
      </w:r>
      <w:r>
        <w:rPr>
          <w:rFonts w:ascii="Times New Roman" w:eastAsia="Times New Roman" w:hAnsi="Times New Roman" w:cs="Times New Roman"/>
          <w:color w:val="000000"/>
          <w:spacing w:val="0"/>
          <w:w w:val="100"/>
          <w:position w:val="0"/>
        </w:rPr>
        <w:t>5,000</w:t>
      </w:r>
      <w:r>
        <w:rPr>
          <w:color w:val="000000"/>
          <w:spacing w:val="0"/>
          <w:w w:val="100"/>
          <w:position w:val="0"/>
        </w:rPr>
        <w:t>元、支付仲裁费</w:t>
      </w:r>
      <w:r>
        <w:rPr>
          <w:rFonts w:ascii="Times New Roman" w:eastAsia="Times New Roman" w:hAnsi="Times New Roman" w:cs="Times New Roman"/>
          <w:color w:val="000000"/>
          <w:spacing w:val="0"/>
          <w:w w:val="100"/>
          <w:position w:val="0"/>
        </w:rPr>
        <w:t>58,325</w:t>
      </w:r>
      <w:r>
        <w:rPr>
          <w:color w:val="000000"/>
          <w:spacing w:val="0"/>
          <w:w w:val="100"/>
          <w:position w:val="0"/>
        </w:rPr>
        <w:t>元。</w:t>
      </w:r>
    </w:p>
    <w:p>
      <w:pPr>
        <w:pStyle w:val="Style38"/>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日，中经电商尚未履行上述生效裁决书所确定的给付义务，故纳斯特投资管理有限 公司以中经电商不能清偿到期债务为由向广东省广州市中级人民法院申请对中经电商进行破产清算。广东 省广州市中级人民法院于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日对该事项进行了听证。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日，公司董事会对此发出提示 性公告。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日，中经电商与纳斯特投资已就上述债权清偿事项达成庭外和解，并签署了《和解 协议》。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日纳斯特投资向广东省广州市中级人民法院提交了《撤回破产申请书》，申请撤 回对中经电商的破产申请。</w:t>
      </w:r>
    </w:p>
    <w:p>
      <w:pPr>
        <w:pStyle w:val="Style38"/>
        <w:keepNext w:val="0"/>
        <w:keepLines w:val="0"/>
        <w:widowControl w:val="0"/>
        <w:shd w:val="clear" w:color="auto" w:fill="auto"/>
        <w:tabs>
          <w:tab w:pos="948" w:val="left"/>
        </w:tabs>
        <w:bidi w:val="0"/>
        <w:spacing w:before="0" w:after="0" w:line="467" w:lineRule="exact"/>
        <w:ind w:left="0" w:right="0" w:firstLine="520"/>
        <w:jc w:val="both"/>
      </w:pPr>
      <w:bookmarkStart w:id="1970" w:name="bookmark1970"/>
      <w:r>
        <w:rPr>
          <w:color w:val="000000"/>
          <w:spacing w:val="0"/>
          <w:w w:val="100"/>
          <w:position w:val="0"/>
        </w:rPr>
        <w:t>（</w:t>
      </w:r>
      <w:bookmarkEnd w:id="1970"/>
      <w:r>
        <w:rPr>
          <w:rFonts w:ascii="Times New Roman" w:eastAsia="Times New Roman" w:hAnsi="Times New Roman" w:cs="Times New Roman"/>
          <w:color w:val="000000"/>
          <w:spacing w:val="0"/>
          <w:w w:val="100"/>
          <w:position w:val="0"/>
        </w:rPr>
        <w:t>2</w:t>
      </w:r>
      <w:r>
        <w:rPr>
          <w:color w:val="000000"/>
          <w:spacing w:val="0"/>
          <w:w w:val="100"/>
          <w:position w:val="0"/>
        </w:rPr>
        <w:t>）</w:t>
        <w:tab/>
        <w:t>关于与宜宾市叙州区创益产业投资有限公司合作事项</w:t>
      </w:r>
    </w:p>
    <w:p>
      <w:pPr>
        <w:pStyle w:val="Style38"/>
        <w:keepNext w:val="0"/>
        <w:keepLines w:val="0"/>
        <w:widowControl w:val="0"/>
        <w:shd w:val="clear" w:color="auto" w:fill="auto"/>
        <w:tabs>
          <w:tab w:pos="2344" w:val="left"/>
        </w:tabs>
        <w:bidi w:val="0"/>
        <w:spacing w:before="0" w:after="0" w:line="467"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tab/>
      </w:r>
      <w:r>
        <w:rPr>
          <w:rFonts w:ascii="SimHei" w:eastAsia="SimHei" w:hAnsi="SimHei" w:cs="SimHei"/>
          <w:color w:val="000000"/>
          <w:spacing w:val="0"/>
          <w:w w:val="100"/>
          <w:position w:val="0"/>
          <w:sz w:val="26"/>
          <w:szCs w:val="26"/>
        </w:rPr>
        <w:t>0，</w:t>
      </w:r>
      <w:r>
        <w:rPr>
          <w:color w:val="000000"/>
          <w:spacing w:val="0"/>
          <w:w w:val="100"/>
          <w:position w:val="0"/>
        </w:rPr>
        <w:t>宜宾市叙州区创益产业投资有限公司（简称</w:t>
      </w:r>
      <w:r>
        <w:rPr>
          <w:rFonts w:ascii="Times New Roman" w:eastAsia="Times New Roman" w:hAnsi="Times New Roman" w:cs="Times New Roman"/>
          <w:color w:val="000000"/>
          <w:spacing w:val="0"/>
          <w:w w:val="100"/>
          <w:position w:val="0"/>
        </w:rPr>
        <w:t>“</w:t>
      </w:r>
      <w:r>
        <w:rPr>
          <w:color w:val="000000"/>
          <w:spacing w:val="0"/>
          <w:w w:val="100"/>
          <w:position w:val="0"/>
        </w:rPr>
        <w:t>叙州区政府</w:t>
      </w:r>
      <w:r>
        <w:rPr>
          <w:color w:val="000000"/>
          <w:spacing w:val="0"/>
          <w:w w:val="100"/>
          <w:position w:val="0"/>
        </w:rPr>
        <w:t>''）</w:t>
      </w:r>
      <w:r>
        <w:rPr>
          <w:color w:val="000000"/>
          <w:spacing w:val="0"/>
          <w:w w:val="100"/>
          <w:position w:val="0"/>
        </w:rPr>
        <w:t>与公司、公司实际</w:t>
      </w:r>
    </w:p>
    <w:p>
      <w:pPr>
        <w:pStyle w:val="Style38"/>
        <w:keepNext w:val="0"/>
        <w:keepLines w:val="0"/>
        <w:widowControl w:val="0"/>
        <w:shd w:val="clear" w:color="auto" w:fill="auto"/>
        <w:bidi w:val="0"/>
        <w:spacing w:before="0" w:after="180" w:line="467" w:lineRule="exact"/>
        <w:ind w:left="0" w:right="0" w:firstLine="0"/>
        <w:jc w:val="both"/>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244" w:right="1012" w:bottom="1546" w:left="1006" w:header="0" w:footer="3" w:gutter="0"/>
          <w:cols w:space="720"/>
          <w:noEndnote/>
          <w:rtlGutter w:val="0"/>
          <w:docGrid w:linePitch="360"/>
        </w:sectPr>
      </w:pPr>
      <w:r>
        <w:rPr>
          <w:color w:val="000000"/>
          <w:spacing w:val="0"/>
          <w:w w:val="100"/>
          <w:position w:val="0"/>
        </w:rPr>
        <w:t>控制人柯宗庆先生、柯宗贵先生及其一致行动人中经汇通有限责任公司签订了《合作框架协议》，三方拟 就上市公司债务问题、公司股权转让事项、上市公司注册主体迁址事项、上市公司业务发展规划、产业投 资等事项展开全面合作。在公司债务谈判小组与金融机构沟通债务和解过程中，叙州区政府相关工作人员 全程参与，帮助公司跟银行等金融机构谈判，目前公司已与东莞银行股份有限公司广州分行、香港上海汇 丰银行有限公司广州分行、平安国际融资租赁有限公司等债权人已经达成和解，相关逾期贷款已转正续贷。 此外，公司注册地迁移事项进展顺利，注册地迁移手续正在办理中。宜宾市市场监督管理局已于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日向广东省市场监督管理局出具《企业迁移登记注册通知函》，同意公司迁移及注册登记；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日，广东省市场监督管理局向宜宾市市场监督管理局出具《企业迁移登记通知书》（粤）内企迁函〔</w:t>
      </w:r>
      <w:r>
        <w:rPr>
          <w:rFonts w:ascii="Times New Roman" w:eastAsia="Times New Roman" w:hAnsi="Times New Roman" w:cs="Times New Roman"/>
          <w:color w:val="000000"/>
          <w:spacing w:val="0"/>
          <w:w w:val="100"/>
          <w:position w:val="0"/>
        </w:rPr>
        <w:t>2021</w:t>
      </w:r>
      <w:r>
        <w:rPr>
          <w:color w:val="000000"/>
          <w:spacing w:val="0"/>
          <w:w w:val="100"/>
          <w:position w:val="0"/>
        </w:rPr>
        <w:t>） 年第</w:t>
      </w:r>
      <w:r>
        <w:rPr>
          <w:rFonts w:ascii="Times New Roman" w:eastAsia="Times New Roman" w:hAnsi="Times New Roman" w:cs="Times New Roman"/>
          <w:color w:val="000000"/>
          <w:spacing w:val="0"/>
          <w:w w:val="100"/>
          <w:position w:val="0"/>
        </w:rPr>
        <w:t>44000012100000451</w:t>
      </w:r>
      <w:r>
        <w:rPr>
          <w:color w:val="000000"/>
          <w:spacing w:val="0"/>
          <w:w w:val="100"/>
          <w:position w:val="0"/>
        </w:rPr>
        <w:t>号，公司已在广东省市场监督管理局办理迁出手续，已将企业登记档案移交宜宾</w:t>
      </w:r>
    </w:p>
    <w:p>
      <w:pPr>
        <w:pStyle w:val="Style38"/>
        <w:keepNext w:val="0"/>
        <w:keepLines w:val="0"/>
        <w:widowControl w:val="0"/>
        <w:shd w:val="clear" w:color="auto" w:fill="auto"/>
        <w:bidi w:val="0"/>
        <w:spacing w:before="0" w:after="0" w:line="473" w:lineRule="exact"/>
        <w:ind w:left="0" w:right="0" w:firstLine="840"/>
        <w:jc w:val="both"/>
      </w:pPr>
      <w:r>
        <w:rPr>
          <w:color w:val="000000"/>
          <w:spacing w:val="0"/>
          <w:w w:val="100"/>
          <w:position w:val="0"/>
        </w:rPr>
        <w:t>市市场监督管理局。</w:t>
      </w:r>
    </w:p>
    <w:p>
      <w:pPr>
        <w:pStyle w:val="Style38"/>
        <w:keepNext w:val="0"/>
        <w:keepLines w:val="0"/>
        <w:widowControl w:val="0"/>
        <w:shd w:val="clear" w:color="auto" w:fill="auto"/>
        <w:bidi w:val="0"/>
        <w:spacing w:before="0" w:after="0" w:line="473" w:lineRule="exact"/>
        <w:ind w:left="1260" w:right="0" w:firstLine="0"/>
        <w:jc w:val="left"/>
      </w:pPr>
      <w:bookmarkStart w:id="1971" w:name="bookmark1971"/>
      <w:r>
        <w:rPr>
          <w:color w:val="000000"/>
          <w:spacing w:val="0"/>
          <w:w w:val="100"/>
          <w:position w:val="0"/>
        </w:rPr>
        <w:t>（</w:t>
      </w:r>
      <w:bookmarkEnd w:id="1971"/>
      <w:r>
        <w:rPr>
          <w:rFonts w:ascii="Times New Roman" w:eastAsia="Times New Roman" w:hAnsi="Times New Roman" w:cs="Times New Roman"/>
          <w:color w:val="000000"/>
          <w:spacing w:val="0"/>
          <w:w w:val="100"/>
          <w:position w:val="0"/>
        </w:rPr>
        <w:t>3</w:t>
      </w:r>
      <w:r>
        <w:rPr>
          <w:color w:val="000000"/>
          <w:spacing w:val="0"/>
          <w:w w:val="100"/>
          <w:position w:val="0"/>
        </w:rPr>
        <w:t>）其他资产负债表日后事项说明</w:t>
      </w:r>
    </w:p>
    <w:p>
      <w:pPr>
        <w:pStyle w:val="Style38"/>
        <w:keepNext w:val="0"/>
        <w:keepLines w:val="0"/>
        <w:widowControl w:val="0"/>
        <w:shd w:val="clear" w:color="auto" w:fill="auto"/>
        <w:bidi w:val="0"/>
        <w:spacing w:before="0" w:after="0" w:line="473" w:lineRule="exact"/>
        <w:ind w:left="84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日，公司控股股东、实际控制人柯宗庆、柯宗贵及其一致行动人中经汇通有限责任 公司累计质押（含冻结）其持有的本公司股份</w:t>
      </w:r>
      <w:r>
        <w:rPr>
          <w:rFonts w:ascii="Times New Roman" w:eastAsia="Times New Roman" w:hAnsi="Times New Roman" w:cs="Times New Roman"/>
          <w:color w:val="000000"/>
          <w:spacing w:val="0"/>
          <w:w w:val="100"/>
          <w:position w:val="0"/>
        </w:rPr>
        <w:t>388,164,196</w:t>
      </w:r>
      <w:r>
        <w:rPr>
          <w:color w:val="000000"/>
          <w:spacing w:val="0"/>
          <w:w w:val="100"/>
          <w:position w:val="0"/>
        </w:rPr>
        <w:t>股，占其持有的本公司股份的</w:t>
      </w:r>
      <w:r>
        <w:rPr>
          <w:rFonts w:ascii="Times New Roman" w:eastAsia="Times New Roman" w:hAnsi="Times New Roman" w:cs="Times New Roman"/>
          <w:color w:val="000000"/>
          <w:spacing w:val="0"/>
          <w:w w:val="100"/>
          <w:position w:val="0"/>
        </w:rPr>
        <w:t>99.98%</w:t>
      </w:r>
      <w:r>
        <w:rPr>
          <w:color w:val="000000"/>
          <w:spacing w:val="0"/>
          <w:w w:val="100"/>
          <w:position w:val="0"/>
        </w:rPr>
        <w:t>。</w:t>
      </w:r>
    </w:p>
    <w:p>
      <w:pPr>
        <w:pStyle w:val="Style38"/>
        <w:keepNext w:val="0"/>
        <w:keepLines w:val="0"/>
        <w:widowControl w:val="0"/>
        <w:shd w:val="clear" w:color="auto" w:fill="auto"/>
        <w:bidi w:val="0"/>
        <w:spacing w:before="0" w:after="440" w:line="473" w:lineRule="exact"/>
        <w:ind w:left="840" w:right="0" w:firstLine="420"/>
        <w:jc w:val="left"/>
      </w:pPr>
      <w:r>
        <w:rPr>
          <w:color w:val="000000"/>
          <w:spacing w:val="0"/>
          <w:w w:val="100"/>
          <w:position w:val="0"/>
        </w:rPr>
        <w:t>除存在上述资产负债表日后事项外，截至财务报告批准报出日止，本公司无其他应披露未披露的重大 资产负债表日后事项。</w:t>
      </w:r>
    </w:p>
    <w:p>
      <w:pPr>
        <w:pStyle w:val="Style26"/>
        <w:keepNext/>
        <w:keepLines/>
        <w:widowControl w:val="0"/>
        <w:shd w:val="clear" w:color="auto" w:fill="auto"/>
        <w:bidi w:val="0"/>
        <w:spacing w:before="0" w:after="120" w:line="240" w:lineRule="auto"/>
        <w:ind w:left="0" w:right="0" w:firstLine="840"/>
        <w:jc w:val="both"/>
      </w:pPr>
      <w:bookmarkStart w:id="1972" w:name="bookmark1972"/>
      <w:bookmarkStart w:id="1973" w:name="bookmark1973"/>
      <w:bookmarkStart w:id="1974" w:name="bookmark1974"/>
      <w:r>
        <w:rPr>
          <w:color w:val="000000"/>
          <w:spacing w:val="0"/>
          <w:w w:val="100"/>
          <w:position w:val="0"/>
        </w:rPr>
        <w:t>十六、其他重要事项</w:t>
      </w:r>
      <w:bookmarkEnd w:id="1972"/>
      <w:bookmarkEnd w:id="1973"/>
      <w:bookmarkEnd w:id="1974"/>
    </w:p>
    <w:p>
      <w:pPr>
        <w:pStyle w:val="Style35"/>
        <w:keepNext/>
        <w:keepLines/>
        <w:widowControl w:val="0"/>
        <w:shd w:val="clear" w:color="auto" w:fill="auto"/>
        <w:tabs>
          <w:tab w:pos="1208" w:val="left"/>
        </w:tabs>
        <w:bidi w:val="0"/>
        <w:spacing w:before="0" w:after="120" w:line="473" w:lineRule="exact"/>
        <w:ind w:left="0" w:right="0" w:firstLine="840"/>
        <w:jc w:val="both"/>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1</w:t>
      </w:r>
      <w:bookmarkEnd w:id="1977"/>
      <w:r>
        <w:rPr>
          <w:color w:val="000000"/>
          <w:spacing w:val="0"/>
          <w:w w:val="100"/>
          <w:position w:val="0"/>
        </w:rPr>
        <w:t>、</w:t>
        <w:tab/>
        <w:t>前期会计差错更正</w:t>
      </w:r>
      <w:bookmarkEnd w:id="1975"/>
      <w:bookmarkEnd w:id="1976"/>
      <w:bookmarkEnd w:id="1978"/>
    </w:p>
    <w:p>
      <w:pPr>
        <w:pStyle w:val="Style38"/>
        <w:keepNext w:val="0"/>
        <w:keepLines w:val="0"/>
        <w:widowControl w:val="0"/>
        <w:shd w:val="clear" w:color="auto" w:fill="auto"/>
        <w:bidi w:val="0"/>
        <w:spacing w:before="0" w:after="380" w:line="473" w:lineRule="exact"/>
        <w:ind w:left="1260" w:right="0" w:firstLine="0"/>
        <w:jc w:val="both"/>
      </w:pPr>
      <w:r>
        <w:rPr>
          <w:color w:val="000000"/>
          <w:spacing w:val="0"/>
          <w:w w:val="100"/>
          <w:position w:val="0"/>
        </w:rPr>
        <w:t>无。</w:t>
      </w:r>
    </w:p>
    <w:p>
      <w:pPr>
        <w:pStyle w:val="Style35"/>
        <w:keepNext/>
        <w:keepLines/>
        <w:widowControl w:val="0"/>
        <w:shd w:val="clear" w:color="auto" w:fill="auto"/>
        <w:tabs>
          <w:tab w:pos="1218" w:val="left"/>
        </w:tabs>
        <w:bidi w:val="0"/>
        <w:spacing w:before="0" w:after="0" w:line="494" w:lineRule="auto"/>
        <w:ind w:left="0" w:right="0" w:firstLine="840"/>
        <w:jc w:val="both"/>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2</w:t>
      </w:r>
      <w:bookmarkEnd w:id="1981"/>
      <w:r>
        <w:rPr>
          <w:color w:val="000000"/>
          <w:spacing w:val="0"/>
          <w:w w:val="100"/>
          <w:position w:val="0"/>
        </w:rPr>
        <w:t>、</w:t>
        <w:tab/>
        <w:t>债务重组</w:t>
      </w:r>
      <w:bookmarkEnd w:id="1979"/>
      <w:bookmarkEnd w:id="1980"/>
      <w:bookmarkEnd w:id="1982"/>
    </w:p>
    <w:p>
      <w:pPr>
        <w:pStyle w:val="Style38"/>
        <w:keepNext w:val="0"/>
        <w:keepLines w:val="0"/>
        <w:widowControl w:val="0"/>
        <w:shd w:val="clear" w:color="auto" w:fill="auto"/>
        <w:bidi w:val="0"/>
        <w:spacing w:before="0" w:after="380" w:line="473" w:lineRule="exact"/>
        <w:ind w:left="1260" w:right="0" w:firstLine="0"/>
        <w:jc w:val="both"/>
      </w:pPr>
      <w:r>
        <w:rPr>
          <w:color w:val="000000"/>
          <w:spacing w:val="0"/>
          <w:w w:val="100"/>
          <w:position w:val="0"/>
        </w:rPr>
        <w:t>无。</w:t>
      </w:r>
    </w:p>
    <w:p>
      <w:pPr>
        <w:pStyle w:val="Style35"/>
        <w:keepNext/>
        <w:keepLines/>
        <w:widowControl w:val="0"/>
        <w:shd w:val="clear" w:color="auto" w:fill="auto"/>
        <w:tabs>
          <w:tab w:pos="1218" w:val="left"/>
        </w:tabs>
        <w:bidi w:val="0"/>
        <w:spacing w:before="0" w:after="0" w:line="494" w:lineRule="auto"/>
        <w:ind w:left="0" w:right="0" w:firstLine="840"/>
        <w:jc w:val="both"/>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3</w:t>
      </w:r>
      <w:bookmarkEnd w:id="1985"/>
      <w:r>
        <w:rPr>
          <w:color w:val="000000"/>
          <w:spacing w:val="0"/>
          <w:w w:val="100"/>
          <w:position w:val="0"/>
        </w:rPr>
        <w:t>、</w:t>
        <w:tab/>
        <w:t>资产置换</w:t>
      </w:r>
      <w:bookmarkEnd w:id="1983"/>
      <w:bookmarkEnd w:id="1984"/>
      <w:bookmarkEnd w:id="1986"/>
    </w:p>
    <w:p>
      <w:pPr>
        <w:pStyle w:val="Style38"/>
        <w:keepNext w:val="0"/>
        <w:keepLines w:val="0"/>
        <w:widowControl w:val="0"/>
        <w:shd w:val="clear" w:color="auto" w:fill="auto"/>
        <w:bidi w:val="0"/>
        <w:spacing w:before="0" w:after="380" w:line="473" w:lineRule="exact"/>
        <w:ind w:left="1260" w:right="0" w:firstLine="0"/>
        <w:jc w:val="both"/>
      </w:pPr>
      <w:r>
        <w:rPr>
          <w:color w:val="000000"/>
          <w:spacing w:val="0"/>
          <w:w w:val="100"/>
          <w:position w:val="0"/>
        </w:rPr>
        <w:t>无。</w:t>
      </w:r>
    </w:p>
    <w:p>
      <w:pPr>
        <w:pStyle w:val="Style35"/>
        <w:keepNext/>
        <w:keepLines/>
        <w:widowControl w:val="0"/>
        <w:shd w:val="clear" w:color="auto" w:fill="auto"/>
        <w:tabs>
          <w:tab w:pos="1218" w:val="left"/>
        </w:tabs>
        <w:bidi w:val="0"/>
        <w:spacing w:before="0" w:after="0" w:line="494" w:lineRule="auto"/>
        <w:ind w:left="0" w:right="0" w:firstLine="840"/>
        <w:jc w:val="both"/>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4</w:t>
      </w:r>
      <w:bookmarkEnd w:id="1989"/>
      <w:r>
        <w:rPr>
          <w:color w:val="000000"/>
          <w:spacing w:val="0"/>
          <w:w w:val="100"/>
          <w:position w:val="0"/>
        </w:rPr>
        <w:t>、</w:t>
        <w:tab/>
        <w:t>年金计划</w:t>
      </w:r>
      <w:bookmarkEnd w:id="1987"/>
      <w:bookmarkEnd w:id="1988"/>
      <w:bookmarkEnd w:id="1990"/>
    </w:p>
    <w:p>
      <w:pPr>
        <w:pStyle w:val="Style38"/>
        <w:keepNext w:val="0"/>
        <w:keepLines w:val="0"/>
        <w:widowControl w:val="0"/>
        <w:shd w:val="clear" w:color="auto" w:fill="auto"/>
        <w:bidi w:val="0"/>
        <w:spacing w:before="0" w:after="380" w:line="473" w:lineRule="exact"/>
        <w:ind w:left="1260" w:right="0" w:firstLine="0"/>
        <w:jc w:val="both"/>
      </w:pPr>
      <w:r>
        <w:rPr>
          <w:color w:val="000000"/>
          <w:spacing w:val="0"/>
          <w:w w:val="100"/>
          <w:position w:val="0"/>
        </w:rPr>
        <w:t>无。</w:t>
      </w:r>
    </w:p>
    <w:p>
      <w:pPr>
        <w:pStyle w:val="Style35"/>
        <w:keepNext/>
        <w:keepLines/>
        <w:widowControl w:val="0"/>
        <w:shd w:val="clear" w:color="auto" w:fill="auto"/>
        <w:tabs>
          <w:tab w:pos="1218" w:val="left"/>
        </w:tabs>
        <w:bidi w:val="0"/>
        <w:spacing w:before="0" w:after="0" w:line="494" w:lineRule="auto"/>
        <w:ind w:left="0" w:right="0" w:firstLine="840"/>
        <w:jc w:val="both"/>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5</w:t>
      </w:r>
      <w:bookmarkEnd w:id="1993"/>
      <w:r>
        <w:rPr>
          <w:color w:val="000000"/>
          <w:spacing w:val="0"/>
          <w:w w:val="100"/>
          <w:position w:val="0"/>
        </w:rPr>
        <w:t>、</w:t>
        <w:tab/>
        <w:t>终止经营</w:t>
      </w:r>
      <w:bookmarkEnd w:id="1991"/>
      <w:bookmarkEnd w:id="1992"/>
      <w:bookmarkEnd w:id="1994"/>
    </w:p>
    <w:p>
      <w:pPr>
        <w:pStyle w:val="Style38"/>
        <w:keepNext w:val="0"/>
        <w:keepLines w:val="0"/>
        <w:widowControl w:val="0"/>
        <w:shd w:val="clear" w:color="auto" w:fill="auto"/>
        <w:bidi w:val="0"/>
        <w:spacing w:before="0" w:after="380" w:line="473" w:lineRule="exact"/>
        <w:ind w:left="1260" w:right="0" w:firstLine="0"/>
        <w:jc w:val="both"/>
      </w:pPr>
      <w:r>
        <w:rPr>
          <w:color w:val="000000"/>
          <w:spacing w:val="0"/>
          <w:w w:val="100"/>
          <w:position w:val="0"/>
        </w:rPr>
        <w:t>无。</w:t>
      </w:r>
    </w:p>
    <w:p>
      <w:pPr>
        <w:pStyle w:val="Style35"/>
        <w:keepNext/>
        <w:keepLines/>
        <w:widowControl w:val="0"/>
        <w:shd w:val="clear" w:color="auto" w:fill="auto"/>
        <w:tabs>
          <w:tab w:pos="1218" w:val="left"/>
        </w:tabs>
        <w:bidi w:val="0"/>
        <w:spacing w:before="0" w:after="0" w:line="494" w:lineRule="auto"/>
        <w:ind w:left="0" w:right="0" w:firstLine="840"/>
        <w:jc w:val="both"/>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6</w:t>
      </w:r>
      <w:bookmarkEnd w:id="1997"/>
      <w:r>
        <w:rPr>
          <w:color w:val="000000"/>
          <w:spacing w:val="0"/>
          <w:w w:val="100"/>
          <w:position w:val="0"/>
        </w:rPr>
        <w:t>、</w:t>
        <w:tab/>
        <w:t>分部信息</w:t>
      </w:r>
      <w:bookmarkEnd w:id="1995"/>
      <w:bookmarkEnd w:id="1996"/>
      <w:bookmarkEnd w:id="1998"/>
    </w:p>
    <w:p>
      <w:pPr>
        <w:pStyle w:val="Style38"/>
        <w:keepNext w:val="0"/>
        <w:keepLines w:val="0"/>
        <w:widowControl w:val="0"/>
        <w:shd w:val="clear" w:color="auto" w:fill="auto"/>
        <w:bidi w:val="0"/>
        <w:spacing w:before="0" w:after="120" w:line="473" w:lineRule="exact"/>
        <w:ind w:left="1260" w:right="0" w:firstLine="0"/>
        <w:jc w:val="both"/>
      </w:pPr>
      <w:r>
        <w:rPr>
          <w:color w:val="000000"/>
          <w:spacing w:val="0"/>
          <w:w w:val="100"/>
          <w:position w:val="0"/>
        </w:rPr>
        <w:t>无。</w:t>
      </w:r>
    </w:p>
    <w:p>
      <w:pPr>
        <w:pStyle w:val="Style35"/>
        <w:keepNext/>
        <w:keepLines/>
        <w:widowControl w:val="0"/>
        <w:shd w:val="clear" w:color="auto" w:fill="auto"/>
        <w:tabs>
          <w:tab w:pos="1218" w:val="left"/>
        </w:tabs>
        <w:bidi w:val="0"/>
        <w:spacing w:before="0" w:after="120" w:line="473" w:lineRule="exact"/>
        <w:ind w:left="0" w:right="0" w:firstLine="840"/>
        <w:jc w:val="both"/>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7</w:t>
      </w:r>
      <w:bookmarkEnd w:id="2001"/>
      <w:r>
        <w:rPr>
          <w:color w:val="000000"/>
          <w:spacing w:val="0"/>
          <w:w w:val="100"/>
          <w:position w:val="0"/>
        </w:rPr>
        <w:t>、</w:t>
        <w:tab/>
        <w:t>其他对投资者决策有影响的重要交易和事项</w:t>
      </w:r>
      <w:bookmarkEnd w:id="1999"/>
      <w:bookmarkEnd w:id="2000"/>
      <w:bookmarkEnd w:id="2002"/>
    </w:p>
    <w:p>
      <w:pPr>
        <w:pStyle w:val="Style38"/>
        <w:keepNext w:val="0"/>
        <w:keepLines w:val="0"/>
        <w:widowControl w:val="0"/>
        <w:shd w:val="clear" w:color="auto" w:fill="auto"/>
        <w:bidi w:val="0"/>
        <w:spacing w:before="0" w:after="380" w:line="473" w:lineRule="exact"/>
        <w:ind w:left="1260" w:right="0" w:firstLine="0"/>
        <w:jc w:val="both"/>
      </w:pPr>
      <w:r>
        <w:rPr>
          <w:color w:val="000000"/>
          <w:spacing w:val="0"/>
          <w:w w:val="100"/>
          <w:position w:val="0"/>
        </w:rPr>
        <w:t>无。</w:t>
      </w:r>
      <w:r>
        <w:br w:type="page"/>
      </w:r>
    </w:p>
    <w:p>
      <w:pPr>
        <w:pStyle w:val="Style26"/>
        <w:keepNext/>
        <w:keepLines/>
        <w:widowControl w:val="0"/>
        <w:shd w:val="clear" w:color="auto" w:fill="auto"/>
        <w:bidi w:val="0"/>
        <w:spacing w:before="0" w:after="360" w:line="240" w:lineRule="auto"/>
        <w:ind w:left="0" w:right="0" w:firstLine="820"/>
        <w:jc w:val="left"/>
      </w:pPr>
      <w:bookmarkStart w:id="2003" w:name="bookmark2003"/>
      <w:bookmarkStart w:id="2004" w:name="bookmark2004"/>
      <w:bookmarkStart w:id="2005" w:name="bookmark2005"/>
      <w:r>
        <w:rPr>
          <w:color w:val="000000"/>
          <w:spacing w:val="0"/>
          <w:w w:val="100"/>
          <w:position w:val="0"/>
        </w:rPr>
        <w:t>十七、母公司财务报表主要项目注释</w:t>
      </w:r>
      <w:bookmarkEnd w:id="2003"/>
      <w:bookmarkEnd w:id="2004"/>
      <w:bookmarkEnd w:id="2005"/>
    </w:p>
    <w:p>
      <w:pPr>
        <w:pStyle w:val="Style35"/>
        <w:keepNext/>
        <w:keepLines/>
        <w:widowControl w:val="0"/>
        <w:shd w:val="clear" w:color="auto" w:fill="auto"/>
        <w:bidi w:val="0"/>
        <w:spacing w:before="0" w:after="360" w:line="240" w:lineRule="auto"/>
        <w:ind w:left="0" w:right="0" w:firstLine="82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06"/>
      <w:bookmarkEnd w:id="2007"/>
      <w:bookmarkEnd w:id="2008"/>
    </w:p>
    <w:p>
      <w:pPr>
        <w:pStyle w:val="Style48"/>
        <w:keepNext/>
        <w:keepLines/>
        <w:widowControl w:val="0"/>
        <w:shd w:val="clear" w:color="auto" w:fill="auto"/>
        <w:bidi w:val="0"/>
        <w:spacing w:before="0" w:after="360" w:line="240" w:lineRule="auto"/>
        <w:ind w:left="0" w:right="0" w:firstLine="820"/>
        <w:jc w:val="both"/>
      </w:pPr>
      <w:bookmarkStart w:id="2009" w:name="bookmark2009"/>
      <w:bookmarkStart w:id="2010" w:name="bookmark2010"/>
      <w:bookmarkStart w:id="2011" w:name="bookmark20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09"/>
      <w:bookmarkEnd w:id="2010"/>
      <w:bookmarkEnd w:id="201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72"/>
        <w:gridCol w:w="710"/>
        <w:gridCol w:w="1133"/>
        <w:gridCol w:w="710"/>
        <w:gridCol w:w="1224"/>
        <w:gridCol w:w="1186"/>
        <w:gridCol w:w="710"/>
        <w:gridCol w:w="1133"/>
        <w:gridCol w:w="710"/>
        <w:gridCol w:w="12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6,650,100.00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360,950,292.98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66,984,160.36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293,966,132.62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285,851,752.10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52,665,543.07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233,186,209.03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357,526,676.30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66,984,160.36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290,542,515.94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282,952,213.42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52,665,543.07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230,286,670.35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3,423,616.68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3,423,616.68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2,899,538.68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2,899,538.68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367,600,392.98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73,634,260.36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293,966,132.62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285,851,752.10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52,665,543.07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233,186,209.03</w:t>
            </w:r>
          </w:p>
        </w:tc>
      </w:tr>
    </w:tbl>
    <w:p>
      <w:pPr>
        <w:pStyle w:val="Style32"/>
        <w:keepNext w:val="0"/>
        <w:keepLines w:val="0"/>
        <w:widowControl w:val="0"/>
        <w:shd w:val="clear" w:color="auto" w:fill="auto"/>
        <w:bidi w:val="0"/>
        <w:spacing w:before="0" w:after="0" w:line="240" w:lineRule="auto"/>
        <w:ind w:left="835" w:right="0" w:firstLine="0"/>
        <w:jc w:val="left"/>
      </w:pPr>
      <w:r>
        <w:rPr>
          <w:color w:val="000000"/>
          <w:spacing w:val="0"/>
          <w:w w:val="100"/>
          <w:position w:val="0"/>
        </w:rPr>
        <w:t>按单项计提坏账准备:</w:t>
      </w:r>
    </w:p>
    <w:p>
      <w:pPr>
        <w:widowControl w:val="0"/>
        <w:spacing w:after="119" w:line="1" w:lineRule="exact"/>
      </w:pPr>
    </w:p>
    <w:p>
      <w:pPr>
        <w:pStyle w:val="Style28"/>
        <w:keepNext w:val="0"/>
        <w:keepLines w:val="0"/>
        <w:widowControl w:val="0"/>
        <w:shd w:val="clear" w:color="auto" w:fill="auto"/>
        <w:bidi w:val="0"/>
        <w:spacing w:before="0" w:after="60" w:line="240" w:lineRule="auto"/>
        <w:ind w:left="9760" w:right="0" w:firstLine="0"/>
        <w:jc w:val="left"/>
      </w:pPr>
      <w:r>
        <w:rPr>
          <w:color w:val="000000"/>
          <w:spacing w:val="0"/>
          <w:w w:val="100"/>
          <w:position w:val="0"/>
        </w:rPr>
        <w:t>单位：元</w:t>
      </w:r>
    </w:p>
    <w:tbl>
      <w:tblPr>
        <w:tblOverlap w:val="never"/>
        <w:jc w:val="center"/>
        <w:tblLayout w:type="fixed"/>
      </w:tblPr>
      <w:tblGrid>
        <w:gridCol w:w="2698"/>
        <w:gridCol w:w="1704"/>
        <w:gridCol w:w="1699"/>
        <w:gridCol w:w="156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西安中方电子科技有限公司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广西南宁秉浩信息技术有限公司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深圳蓝剑科技有限公司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广州阿尔特智能科技有限公司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6,650,100.00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6,650,100.00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19" w:line="1" w:lineRule="exact"/>
      </w:pPr>
    </w:p>
    <w:p>
      <w:pPr>
        <w:pStyle w:val="Style28"/>
        <w:keepNext w:val="0"/>
        <w:keepLines w:val="0"/>
        <w:widowControl w:val="0"/>
        <w:shd w:val="clear" w:color="auto" w:fill="auto"/>
        <w:bidi w:val="0"/>
        <w:spacing w:before="0" w:after="60" w:line="240" w:lineRule="auto"/>
        <w:ind w:left="97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88,603,829.01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4,430,191.45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228,308,940.56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22,830,894.06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3,465,844.78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2,772,675.82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36,831,528.11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36,831,528.11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357,526,676.30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66,984,160.36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按组合计提坏账准备：关联方组合</w:t>
      </w:r>
    </w:p>
    <w:p>
      <w:pPr>
        <w:widowControl w:val="0"/>
        <w:spacing w:after="119" w:line="1" w:lineRule="exact"/>
      </w:pPr>
    </w:p>
    <w:p>
      <w:pPr>
        <w:pStyle w:val="Style28"/>
        <w:keepNext w:val="0"/>
        <w:keepLines w:val="0"/>
        <w:widowControl w:val="0"/>
        <w:shd w:val="clear" w:color="auto" w:fill="auto"/>
        <w:bidi w:val="0"/>
        <w:spacing w:before="0" w:after="120" w:line="240" w:lineRule="auto"/>
        <w:ind w:left="9760" w:right="0" w:firstLine="0"/>
        <w:jc w:val="left"/>
      </w:pPr>
      <w:r>
        <w:rPr>
          <w:color w:val="000000"/>
          <w:spacing w:val="0"/>
          <w:w w:val="100"/>
          <w:position w:val="0"/>
        </w:rPr>
        <w:t>单位：元</w:t>
      </w:r>
    </w:p>
    <w:tbl>
      <w:tblPr>
        <w:tblOverlap w:val="never"/>
        <w:jc w:val="center"/>
        <w:tblLayout w:type="fixed"/>
      </w:tblPr>
      <w:tblGrid>
        <w:gridCol w:w="3547"/>
        <w:gridCol w:w="1987"/>
        <w:gridCol w:w="212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广州市奔特信息科技有限公司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广东蓝盾新微安全科技有限公司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238,464.00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北京京穗蓝盾信息安全技术有限公司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167,194.00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广东汇青信息科技有限公司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西咸新区蓝盾信息安全技术有限公司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920,986.00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168,724.00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广州华炜测控技术有限公司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广州市满泰信息科技有限公司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广州蓝盾数据安全技术创新中心有限公司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蓝盾汇通电子商务有限公司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广东蓝盾企业经营管理有限公司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1,873,048.68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3,423,616.68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2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976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91,052,675.69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234,458,480.56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41,207,026.73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119,553.84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3,566,644.78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37,520,828.11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367,600,392.98</w:t>
            </w:r>
          </w:p>
        </w:tc>
      </w:tr>
    </w:tbl>
    <w:p>
      <w:pPr>
        <w:spacing w:lineRule="exact" w:line="1"/>
        <w:rPr>
          <w:sz w:val="2"/>
          <w:szCs w:val="2"/>
        </w:rPr>
      </w:pPr>
      <w:r>
        <w:br w:type="page"/>
      </w:r>
    </w:p>
    <w:p>
      <w:pPr>
        <w:pStyle w:val="Style48"/>
        <w:keepNext/>
        <w:keepLines/>
        <w:widowControl w:val="0"/>
        <w:shd w:val="clear" w:color="auto" w:fill="auto"/>
        <w:bidi w:val="0"/>
        <w:spacing w:before="0" w:after="380" w:line="240" w:lineRule="auto"/>
        <w:ind w:left="0" w:right="0" w:firstLine="840"/>
        <w:jc w:val="left"/>
      </w:pPr>
      <w:bookmarkStart w:id="2012" w:name="bookmark2012"/>
      <w:bookmarkStart w:id="2013" w:name="bookmark2013"/>
      <w:bookmarkStart w:id="2014" w:name="bookmark20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12"/>
      <w:bookmarkEnd w:id="2013"/>
      <w:bookmarkEnd w:id="2014"/>
    </w:p>
    <w:p>
      <w:pPr>
        <w:pStyle w:val="Style28"/>
        <w:keepNext w:val="0"/>
        <w:keepLines w:val="0"/>
        <w:widowControl w:val="0"/>
        <w:shd w:val="clear" w:color="auto" w:fill="auto"/>
        <w:bidi w:val="0"/>
        <w:spacing w:before="0" w:line="240" w:lineRule="auto"/>
        <w:ind w:left="0" w:right="0" w:firstLine="84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131"/>
        <w:gridCol w:w="1416"/>
        <w:gridCol w:w="1277"/>
        <w:gridCol w:w="1277"/>
        <w:gridCol w:w="1133"/>
        <w:gridCol w:w="974"/>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单项计提预期信用损失的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6,650,100.00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6,650,100.00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按组合计提预期信用损失 的应收账款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52,665,543.07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14,374,792.94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56,175.65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66,984,160.36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52,665,543.07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21,024,892.94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56,175.65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73,634,260.36</w:t>
            </w:r>
          </w:p>
        </w:tc>
      </w:tr>
    </w:tbl>
    <w:p>
      <w:pPr>
        <w:widowControl w:val="0"/>
        <w:spacing w:after="319" w:line="1" w:lineRule="exact"/>
      </w:pPr>
    </w:p>
    <w:p>
      <w:pPr>
        <w:pStyle w:val="Style48"/>
        <w:keepNext/>
        <w:keepLines/>
        <w:widowControl w:val="0"/>
        <w:numPr>
          <w:ilvl w:val="0"/>
          <w:numId w:val="119"/>
        </w:numPr>
        <w:shd w:val="clear" w:color="auto" w:fill="auto"/>
        <w:bidi w:val="0"/>
        <w:spacing w:before="0" w:after="380" w:line="240" w:lineRule="auto"/>
        <w:ind w:left="0" w:right="0" w:firstLine="960"/>
        <w:jc w:val="left"/>
      </w:pPr>
      <w:bookmarkStart w:id="2015" w:name="bookmark2015"/>
      <w:bookmarkStart w:id="2016" w:name="bookmark2016"/>
      <w:bookmarkStart w:id="2017" w:name="bookmark2017"/>
      <w:bookmarkStart w:id="2018" w:name="bookmark2018"/>
      <w:bookmarkEnd w:id="2017"/>
      <w:r>
        <w:rPr>
          <w:color w:val="000000"/>
          <w:spacing w:val="0"/>
          <w:w w:val="100"/>
          <w:position w:val="0"/>
        </w:rPr>
        <w:t>本期实际核销的应收账款情况</w:t>
      </w:r>
      <w:bookmarkEnd w:id="2015"/>
      <w:bookmarkEnd w:id="2016"/>
      <w:bookmarkEnd w:id="2018"/>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56,175.65</w:t>
            </w:r>
          </w:p>
        </w:tc>
      </w:tr>
    </w:tbl>
    <w:p>
      <w:pPr>
        <w:widowControl w:val="0"/>
        <w:spacing w:after="319" w:line="1" w:lineRule="exact"/>
      </w:pPr>
    </w:p>
    <w:p>
      <w:pPr>
        <w:pStyle w:val="Style48"/>
        <w:keepNext/>
        <w:keepLines/>
        <w:widowControl w:val="0"/>
        <w:numPr>
          <w:ilvl w:val="0"/>
          <w:numId w:val="119"/>
        </w:numPr>
        <w:shd w:val="clear" w:color="auto" w:fill="auto"/>
        <w:bidi w:val="0"/>
        <w:spacing w:before="0" w:after="380" w:line="240" w:lineRule="auto"/>
        <w:ind w:left="0" w:right="0" w:firstLine="96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按欠款方归集的期末余额前五名的应收账款情况</w:t>
      </w:r>
      <w:bookmarkEnd w:id="2019"/>
      <w:bookmarkEnd w:id="2020"/>
      <w:bookmarkEnd w:id="2022"/>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698"/>
        <w:gridCol w:w="2270"/>
        <w:gridCol w:w="2266"/>
        <w:gridCol w:w="234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广州凯帛信息科技有限公司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38,428,000.00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1,921,400.00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广州市康讯动力科技有限公司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9,999,500.00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499,975.00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广州胜鸿电子科技有限公司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9,845,000.00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984,500.00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广州至广信息科技有限公司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9,237,000.00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923,700.00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广州市德慷电子有限公司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8,331,000.00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833,100.00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75,840,500.00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8"/>
        <w:keepNext/>
        <w:keepLines/>
        <w:widowControl w:val="0"/>
        <w:numPr>
          <w:ilvl w:val="0"/>
          <w:numId w:val="119"/>
        </w:numPr>
        <w:shd w:val="clear" w:color="auto" w:fill="auto"/>
        <w:bidi w:val="0"/>
        <w:spacing w:before="0" w:after="380" w:line="240" w:lineRule="auto"/>
        <w:ind w:left="0" w:right="0" w:firstLine="96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因金融资产转移而终止确认的应收账款</w:t>
      </w:r>
      <w:bookmarkEnd w:id="2023"/>
      <w:bookmarkEnd w:id="2024"/>
      <w:bookmarkEnd w:id="2026"/>
    </w:p>
    <w:p>
      <w:pPr>
        <w:pStyle w:val="Style38"/>
        <w:keepNext w:val="0"/>
        <w:keepLines w:val="0"/>
        <w:widowControl w:val="0"/>
        <w:shd w:val="clear" w:color="auto" w:fill="auto"/>
        <w:bidi w:val="0"/>
        <w:spacing w:before="0" w:after="380" w:line="240" w:lineRule="auto"/>
        <w:ind w:left="1260" w:right="0" w:firstLine="0"/>
        <w:jc w:val="left"/>
      </w:pPr>
      <w:r>
        <w:rPr>
          <w:color w:val="000000"/>
          <w:spacing w:val="0"/>
          <w:w w:val="100"/>
          <w:position w:val="0"/>
        </w:rPr>
        <w:t>无。</w:t>
      </w:r>
    </w:p>
    <w:p>
      <w:pPr>
        <w:pStyle w:val="Style48"/>
        <w:keepNext/>
        <w:keepLines/>
        <w:widowControl w:val="0"/>
        <w:numPr>
          <w:ilvl w:val="0"/>
          <w:numId w:val="119"/>
        </w:numPr>
        <w:shd w:val="clear" w:color="auto" w:fill="auto"/>
        <w:bidi w:val="0"/>
        <w:spacing w:before="0" w:after="380" w:line="240" w:lineRule="auto"/>
        <w:ind w:left="0" w:right="0" w:firstLine="96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转移应收账款且继续涉入形成的资产、负债金额</w:t>
      </w:r>
      <w:bookmarkEnd w:id="2027"/>
      <w:bookmarkEnd w:id="2028"/>
      <w:bookmarkEnd w:id="2030"/>
    </w:p>
    <w:p>
      <w:pPr>
        <w:pStyle w:val="Style38"/>
        <w:keepNext w:val="0"/>
        <w:keepLines w:val="0"/>
        <w:widowControl w:val="0"/>
        <w:shd w:val="clear" w:color="auto" w:fill="auto"/>
        <w:bidi w:val="0"/>
        <w:spacing w:before="0" w:after="360" w:line="240" w:lineRule="auto"/>
        <w:ind w:left="126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400" w:line="240" w:lineRule="auto"/>
        <w:ind w:left="0" w:right="0" w:firstLine="840"/>
        <w:jc w:val="left"/>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31"/>
      <w:bookmarkEnd w:id="2032"/>
      <w:bookmarkEnd w:id="2033"/>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188,630,009.00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252,196,173.95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188,630,009.00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252,196,173.95</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840"/>
        <w:jc w:val="left"/>
      </w:pPr>
      <w:bookmarkStart w:id="2034" w:name="bookmark2034"/>
      <w:bookmarkStart w:id="2035" w:name="bookmark2035"/>
      <w:bookmarkStart w:id="2036" w:name="bookmark20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2034"/>
      <w:bookmarkEnd w:id="2035"/>
      <w:bookmarkEnd w:id="2036"/>
    </w:p>
    <w:p>
      <w:pPr>
        <w:pStyle w:val="Style88"/>
        <w:keepNext/>
        <w:keepLines/>
        <w:widowControl w:val="0"/>
        <w:shd w:val="clear" w:color="auto" w:fill="auto"/>
        <w:bidi w:val="0"/>
        <w:spacing w:before="0" w:after="400" w:line="240" w:lineRule="auto"/>
        <w:ind w:left="0" w:right="0" w:firstLine="840"/>
        <w:jc w:val="left"/>
      </w:pPr>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37"/>
      <w:bookmarkEnd w:id="2038"/>
      <w:bookmarkEnd w:id="2039"/>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315,974.76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240,575.39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501,565.74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856,069.00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259,528,241.06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251,336,284.11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18,832,526.64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279,039,432.07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253,184,893.61</w:t>
            </w:r>
          </w:p>
        </w:tc>
      </w:tr>
    </w:tbl>
    <w:p>
      <w:pPr>
        <w:widowControl w:val="0"/>
        <w:spacing w:after="339" w:line="1" w:lineRule="exact"/>
      </w:pPr>
    </w:p>
    <w:p>
      <w:pPr>
        <w:pStyle w:val="Style88"/>
        <w:keepNext/>
        <w:keepLines/>
        <w:widowControl w:val="0"/>
        <w:shd w:val="clear" w:color="auto" w:fill="auto"/>
        <w:bidi w:val="0"/>
        <w:spacing w:before="0" w:after="400" w:line="240" w:lineRule="auto"/>
        <w:ind w:left="0" w:right="0" w:firstLine="840"/>
        <w:jc w:val="left"/>
      </w:pPr>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40"/>
      <w:bookmarkEnd w:id="2041"/>
      <w:bookmarkEnd w:id="2042"/>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988,719.66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988,719.66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149,866.93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89,225,836.48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89,375,703.41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1,183,586.59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89,225,836.48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90,409,423.07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84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84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27,854,502.75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123,580,485.89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126,538,176.43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1,066,267.00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1,047,617.00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279,039,432.07</w:t>
            </w:r>
          </w:p>
        </w:tc>
      </w:tr>
    </w:tbl>
    <w:p>
      <w:pPr>
        <w:widowControl w:val="0"/>
        <w:spacing w:after="319" w:line="1" w:lineRule="exact"/>
      </w:pPr>
    </w:p>
    <w:p>
      <w:pPr>
        <w:pStyle w:val="Style88"/>
        <w:keepNext/>
        <w:keepLines/>
        <w:widowControl w:val="0"/>
        <w:shd w:val="clear" w:color="auto" w:fill="auto"/>
        <w:bidi w:val="0"/>
        <w:spacing w:before="0" w:after="400" w:line="240" w:lineRule="auto"/>
        <w:ind w:left="0" w:right="0" w:firstLine="84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3</w:t>
      </w:r>
      <w:bookmarkEnd w:id="2045"/>
      <w:r>
        <w:rPr>
          <w:color w:val="000000"/>
          <w:spacing w:val="0"/>
          <w:w w:val="100"/>
          <w:position w:val="0"/>
        </w:rPr>
        <w:t>）本期计提、收回或转回的坏账准备情况</w:t>
      </w:r>
      <w:bookmarkEnd w:id="2043"/>
      <w:bookmarkEnd w:id="2044"/>
      <w:bookmarkEnd w:id="2046"/>
    </w:p>
    <w:p>
      <w:pPr>
        <w:pStyle w:val="Style28"/>
        <w:keepNext w:val="0"/>
        <w:keepLines w:val="0"/>
        <w:widowControl w:val="0"/>
        <w:shd w:val="clear" w:color="auto" w:fill="auto"/>
        <w:bidi w:val="0"/>
        <w:spacing w:before="0" w:line="240" w:lineRule="auto"/>
        <w:ind w:left="0" w:right="0" w:firstLine="84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131"/>
        <w:gridCol w:w="1277"/>
        <w:gridCol w:w="1277"/>
        <w:gridCol w:w="1133"/>
        <w:gridCol w:w="1277"/>
        <w:gridCol w:w="1133"/>
        <w:gridCol w:w="13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单项计提预期信用损失的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89,225,836.48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89,225,836.48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按组合计提预期信用损失 的其他应收款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988,719.66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149,866.93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1,183,586.59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988,719.66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89,375,703.41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90,409,423.07</w:t>
            </w:r>
          </w:p>
        </w:tc>
      </w:tr>
    </w:tbl>
    <w:p>
      <w:pPr>
        <w:widowControl w:val="0"/>
        <w:spacing w:after="319" w:line="1" w:lineRule="exact"/>
      </w:pPr>
    </w:p>
    <w:p>
      <w:pPr>
        <w:pStyle w:val="Style88"/>
        <w:keepNext/>
        <w:keepLines/>
        <w:widowControl w:val="0"/>
        <w:shd w:val="clear" w:color="auto" w:fill="auto"/>
        <w:bidi w:val="0"/>
        <w:spacing w:before="0" w:after="400" w:line="240" w:lineRule="auto"/>
        <w:ind w:left="0" w:right="0" w:firstLine="84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4</w:t>
      </w:r>
      <w:bookmarkEnd w:id="2049"/>
      <w:r>
        <w:rPr>
          <w:color w:val="000000"/>
          <w:spacing w:val="0"/>
          <w:w w:val="100"/>
          <w:position w:val="0"/>
        </w:rPr>
        <w:t>）本期实际核销的其他应收款情况</w:t>
      </w:r>
      <w:bookmarkEnd w:id="2047"/>
      <w:bookmarkEnd w:id="2048"/>
      <w:bookmarkEnd w:id="2050"/>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bl>
    <w:p>
      <w:pPr>
        <w:widowControl w:val="0"/>
        <w:spacing w:after="319" w:line="1" w:lineRule="exact"/>
      </w:pPr>
    </w:p>
    <w:p>
      <w:pPr>
        <w:pStyle w:val="Style88"/>
        <w:keepNext/>
        <w:keepLines/>
        <w:widowControl w:val="0"/>
        <w:shd w:val="clear" w:color="auto" w:fill="auto"/>
        <w:bidi w:val="0"/>
        <w:spacing w:before="0" w:after="400" w:line="240" w:lineRule="auto"/>
        <w:ind w:left="0" w:right="0" w:firstLine="84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5</w:t>
      </w:r>
      <w:bookmarkEnd w:id="2053"/>
      <w:r>
        <w:rPr>
          <w:color w:val="000000"/>
          <w:spacing w:val="0"/>
          <w:w w:val="100"/>
          <w:position w:val="0"/>
        </w:rPr>
        <w:t>）按欠款方归集的期末余额前五名的其他应收款情况</w:t>
      </w:r>
      <w:bookmarkEnd w:id="2051"/>
      <w:bookmarkEnd w:id="2052"/>
      <w:bookmarkEnd w:id="2054"/>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558"/>
        <w:gridCol w:w="1555"/>
        <w:gridCol w:w="1421"/>
        <w:gridCol w:w="811"/>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西咸新区蓝盾信息安全技术有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179,064,355.91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73,005,536.48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73,005,536.48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河源腾胜科技有限公司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广东汇青信息科技有限公司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深圳中科蓝盾信息安全技术有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1555"/>
        <w:gridCol w:w="1421"/>
        <w:gridCol w:w="811"/>
        <w:gridCol w:w="1613"/>
        <w:gridCol w:w="162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274,539,892.39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89,225,536.48</w:t>
            </w:r>
          </w:p>
        </w:tc>
      </w:tr>
    </w:tbl>
    <w:p>
      <w:pPr>
        <w:widowControl w:val="0"/>
        <w:spacing w:after="359" w:line="1" w:lineRule="exact"/>
      </w:pPr>
    </w:p>
    <w:p>
      <w:pPr>
        <w:pStyle w:val="Style88"/>
        <w:keepNext/>
        <w:keepLines/>
        <w:widowControl w:val="0"/>
        <w:shd w:val="clear" w:color="auto" w:fill="auto"/>
        <w:tabs>
          <w:tab w:pos="1237" w:val="left"/>
        </w:tabs>
        <w:bidi w:val="0"/>
        <w:spacing w:before="0" w:after="360" w:line="240" w:lineRule="auto"/>
        <w:ind w:left="0" w:right="0" w:firstLine="84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6</w:t>
      </w:r>
      <w:bookmarkEnd w:id="2057"/>
      <w:r>
        <w:rPr>
          <w:color w:val="000000"/>
          <w:spacing w:val="0"/>
          <w:w w:val="100"/>
          <w:position w:val="0"/>
        </w:rPr>
        <w:t>）</w:t>
        <w:tab/>
        <w:t>涉及政府补助的应收款项</w:t>
      </w:r>
      <w:bookmarkEnd w:id="2055"/>
      <w:bookmarkEnd w:id="2056"/>
      <w:bookmarkEnd w:id="2058"/>
    </w:p>
    <w:p>
      <w:pPr>
        <w:pStyle w:val="Style38"/>
        <w:keepNext w:val="0"/>
        <w:keepLines w:val="0"/>
        <w:widowControl w:val="0"/>
        <w:shd w:val="clear" w:color="auto" w:fill="auto"/>
        <w:bidi w:val="0"/>
        <w:spacing w:before="0" w:after="360" w:line="240" w:lineRule="auto"/>
        <w:ind w:left="1260" w:right="0" w:firstLine="0"/>
        <w:jc w:val="left"/>
      </w:pPr>
      <w:r>
        <w:rPr>
          <w:color w:val="000000"/>
          <w:spacing w:val="0"/>
          <w:w w:val="100"/>
          <w:position w:val="0"/>
        </w:rPr>
        <w:t>无。</w:t>
      </w:r>
    </w:p>
    <w:p>
      <w:pPr>
        <w:pStyle w:val="Style88"/>
        <w:keepNext/>
        <w:keepLines/>
        <w:widowControl w:val="0"/>
        <w:shd w:val="clear" w:color="auto" w:fill="auto"/>
        <w:tabs>
          <w:tab w:pos="1232" w:val="left"/>
        </w:tabs>
        <w:bidi w:val="0"/>
        <w:spacing w:before="0" w:after="360" w:line="240" w:lineRule="auto"/>
        <w:ind w:left="0" w:right="0" w:firstLine="84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7</w:t>
      </w:r>
      <w:bookmarkEnd w:id="2061"/>
      <w:r>
        <w:rPr>
          <w:color w:val="000000"/>
          <w:spacing w:val="0"/>
          <w:w w:val="100"/>
          <w:position w:val="0"/>
        </w:rPr>
        <w:t>）</w:t>
        <w:tab/>
        <w:t>因金融资产转移而终止确认的其他应收款</w:t>
      </w:r>
      <w:bookmarkEnd w:id="2059"/>
      <w:bookmarkEnd w:id="2060"/>
      <w:bookmarkEnd w:id="2062"/>
    </w:p>
    <w:p>
      <w:pPr>
        <w:pStyle w:val="Style38"/>
        <w:keepNext w:val="0"/>
        <w:keepLines w:val="0"/>
        <w:widowControl w:val="0"/>
        <w:shd w:val="clear" w:color="auto" w:fill="auto"/>
        <w:bidi w:val="0"/>
        <w:spacing w:before="0" w:after="360" w:line="240" w:lineRule="auto"/>
        <w:ind w:left="1260" w:right="0" w:firstLine="0"/>
        <w:jc w:val="left"/>
      </w:pPr>
      <w:r>
        <w:rPr>
          <w:color w:val="000000"/>
          <w:spacing w:val="0"/>
          <w:w w:val="100"/>
          <w:position w:val="0"/>
        </w:rPr>
        <w:t>无。</w:t>
      </w:r>
    </w:p>
    <w:p>
      <w:pPr>
        <w:pStyle w:val="Style88"/>
        <w:keepNext/>
        <w:keepLines/>
        <w:widowControl w:val="0"/>
        <w:shd w:val="clear" w:color="auto" w:fill="auto"/>
        <w:tabs>
          <w:tab w:pos="1237" w:val="left"/>
        </w:tabs>
        <w:bidi w:val="0"/>
        <w:spacing w:before="0" w:after="360" w:line="240" w:lineRule="auto"/>
        <w:ind w:left="0" w:right="0" w:firstLine="84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8</w:t>
      </w:r>
      <w:bookmarkEnd w:id="2065"/>
      <w:r>
        <w:rPr>
          <w:color w:val="000000"/>
          <w:spacing w:val="0"/>
          <w:w w:val="100"/>
          <w:position w:val="0"/>
        </w:rPr>
        <w:t>）</w:t>
        <w:tab/>
        <w:t>转移其他应收款且继续涉入形成的资产、负债金额</w:t>
      </w:r>
      <w:bookmarkEnd w:id="2063"/>
      <w:bookmarkEnd w:id="2064"/>
      <w:bookmarkEnd w:id="2066"/>
    </w:p>
    <w:p>
      <w:pPr>
        <w:pStyle w:val="Style38"/>
        <w:keepNext w:val="0"/>
        <w:keepLines w:val="0"/>
        <w:widowControl w:val="0"/>
        <w:shd w:val="clear" w:color="auto" w:fill="auto"/>
        <w:bidi w:val="0"/>
        <w:spacing w:before="0" w:after="360" w:line="240" w:lineRule="auto"/>
        <w:ind w:left="126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84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3</w:t>
      </w:r>
      <w:bookmarkEnd w:id="2069"/>
      <w:r>
        <w:rPr>
          <w:color w:val="000000"/>
          <w:spacing w:val="0"/>
          <w:w w:val="100"/>
          <w:position w:val="0"/>
        </w:rPr>
        <w:t>、长期股权投资</w:t>
      </w:r>
      <w:bookmarkEnd w:id="2067"/>
      <w:bookmarkEnd w:id="2068"/>
      <w:bookmarkEnd w:id="2070"/>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3,737,310,432.00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974,383,142.26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2,762,927,289.74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3,737,310,432.00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3,737,310,432.00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3,737,310,432.00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974,383,142.26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2,762,927,289.74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3,737,310,432.00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3,737,310,432.00</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960"/>
        <w:jc w:val="both"/>
      </w:pPr>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71"/>
      <w:bookmarkEnd w:id="2072"/>
      <w:bookmarkEnd w:id="2073"/>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565"/>
        <w:gridCol w:w="1416"/>
        <w:gridCol w:w="854"/>
        <w:gridCol w:w="936"/>
        <w:gridCol w:w="1330"/>
        <w:gridCol w:w="850"/>
        <w:gridCol w:w="1411"/>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蓝盾信息安全技术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409,873,560.00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409,873,560.00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广东省蓝盾职业培 训学院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广东蓝盾乐庚信息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19,808,860.00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19,808,860.00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广东蓝盾移动互联 网信息科技有限公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广州市奔特信息科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广东蓝盾企业经营 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416"/>
        <w:gridCol w:w="854"/>
        <w:gridCol w:w="936"/>
        <w:gridCol w:w="1330"/>
        <w:gridCol w:w="850"/>
        <w:gridCol w:w="1411"/>
        <w:gridCol w:w="122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广东省南方信息技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广东蓝盾新微安全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7,737,780.00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7,737,780.00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北京京穗蓝盾信息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广西蓝盾信息安全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深圳中科蓝盾信息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广东汇青信息科技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成都蓝盾网信科技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西咸新区蓝盾信息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广东蓝盾教育科技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香港蓝盾投资管理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1,396,752.00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1,396,752.00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广州天锐锋信息科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广州华炜科技有限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422,633,480.00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422,633,480.00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中经汇通电子商务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974,383,142.26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974,383,142.26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974,383,142.26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深圳市蓝盾满泰科 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广州蓝盾数据安全 技术创新中心有限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汇通宝支付有限责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275,616,857.74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275,616,857.74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3,737,310,432.00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974,383,142.26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2,762,927,289.74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974,383,142.26</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84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4</w:t>
      </w:r>
      <w:bookmarkEnd w:id="2076"/>
      <w:r>
        <w:rPr>
          <w:color w:val="000000"/>
          <w:spacing w:val="0"/>
          <w:w w:val="100"/>
          <w:position w:val="0"/>
        </w:rPr>
        <w:t>、营业收入和营业成本</w:t>
      </w:r>
      <w:bookmarkEnd w:id="2074"/>
      <w:bookmarkEnd w:id="2075"/>
      <w:bookmarkEnd w:id="2077"/>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97"/>
        <w:gridCol w:w="3754"/>
        <w:gridCol w:w="383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91,196,687.33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54,665,363.89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401,045,049.46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234,589,905.84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9,963,607.00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9,830,797.23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4,776,970.04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1,420,449.20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101,160,294.33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64,496,161.12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405,822,019.50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236,010,355.04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101,160,294.33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101,160,294.33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37,134,557.55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37,134,557.55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49,973,452.94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49,973,452.94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4,088,676.84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4,088,676.84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9,963,607.00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9,963,607.00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840"/>
        <w:jc w:val="left"/>
      </w:pPr>
      <w:r>
        <w:rPr>
          <w:color w:val="000000"/>
          <w:spacing w:val="0"/>
          <w:w w:val="100"/>
          <w:position w:val="0"/>
        </w:rPr>
        <w:t>与履约义务相关的信息：无</w:t>
      </w:r>
    </w:p>
    <w:p>
      <w:pPr>
        <w:pStyle w:val="Style28"/>
        <w:keepNext w:val="0"/>
        <w:keepLines w:val="0"/>
        <w:widowControl w:val="0"/>
        <w:shd w:val="clear" w:color="auto" w:fill="auto"/>
        <w:bidi w:val="0"/>
        <w:spacing w:before="0" w:line="240" w:lineRule="auto"/>
        <w:ind w:left="0" w:right="0" w:firstLine="84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84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5</w:t>
      </w:r>
      <w:bookmarkEnd w:id="2080"/>
      <w:r>
        <w:rPr>
          <w:color w:val="000000"/>
          <w:spacing w:val="0"/>
          <w:w w:val="100"/>
          <w:position w:val="0"/>
        </w:rPr>
        <w:t>、投资收益</w:t>
      </w:r>
      <w:bookmarkEnd w:id="2078"/>
      <w:bookmarkEnd w:id="2079"/>
      <w:bookmarkEnd w:id="2081"/>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109,798,491.68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109,798,491.68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-19,083.52</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840"/>
        <w:jc w:val="left"/>
      </w:pPr>
      <w:bookmarkStart w:id="2082" w:name="bookmark2082"/>
      <w:bookmarkStart w:id="2083" w:name="bookmark2083"/>
      <w:bookmarkStart w:id="2084" w:name="bookmark2084"/>
      <w:r>
        <w:rPr>
          <w:color w:val="000000"/>
          <w:spacing w:val="0"/>
          <w:w w:val="100"/>
          <w:position w:val="0"/>
        </w:rPr>
        <w:t>十八、补充资料</w:t>
      </w:r>
      <w:bookmarkEnd w:id="2082"/>
      <w:bookmarkEnd w:id="2083"/>
      <w:bookmarkEnd w:id="2084"/>
    </w:p>
    <w:p>
      <w:pPr>
        <w:pStyle w:val="Style35"/>
        <w:keepNext/>
        <w:keepLines/>
        <w:widowControl w:val="0"/>
        <w:shd w:val="clear" w:color="auto" w:fill="auto"/>
        <w:bidi w:val="0"/>
        <w:spacing w:before="0" w:after="360" w:line="240" w:lineRule="auto"/>
        <w:ind w:left="0" w:right="0" w:firstLine="840"/>
        <w:jc w:val="left"/>
      </w:pPr>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85"/>
      <w:bookmarkEnd w:id="2086"/>
      <w:bookmarkEnd w:id="2087"/>
    </w:p>
    <w:p>
      <w:pPr>
        <w:pStyle w:val="Style28"/>
        <w:keepNext w:val="0"/>
        <w:keepLines w:val="0"/>
        <w:widowControl w:val="0"/>
        <w:shd w:val="clear" w:color="auto" w:fill="auto"/>
        <w:bidi w:val="0"/>
        <w:spacing w:before="0" w:line="240" w:lineRule="auto"/>
        <w:ind w:left="0" w:right="0" w:firstLine="8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108,641,102.68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31,730,577.53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-1,655,863.61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196,389.85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20,899,964.87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957,367.04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117,054,874.54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60" w:line="310" w:lineRule="exact"/>
        <w:ind w:left="84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60" w:line="310" w:lineRule="exact"/>
        <w:ind w:left="0" w:right="0" w:firstLine="8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58"/>
        <w:gridCol w:w="1982"/>
        <w:gridCol w:w="504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4,155,763.90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依据国家对软件行业的总体政策导向，预期软件增值税退税的税 收优惠政策将在较长时期内保持稳定，故定义为经常性损益。</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840"/>
        <w:jc w:val="left"/>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88"/>
      <w:bookmarkEnd w:id="2089"/>
      <w:bookmarkEnd w:id="2090"/>
    </w:p>
    <w:tbl>
      <w:tblPr>
        <w:tblOverlap w:val="never"/>
        <w:jc w:val="center"/>
        <w:tblLayout w:type="fixed"/>
      </w:tblPr>
      <w:tblGrid>
        <w:gridCol w:w="2693"/>
        <w:gridCol w:w="3062"/>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bl>
    <w:p>
      <w:pPr>
        <w:sectPr>
          <w:footnotePr>
            <w:pos w:val="pageBottom"/>
            <w:numFmt w:val="decimal"/>
            <w:numRestart w:val="continuous"/>
          </w:footnotePr>
          <w:pgSz w:w="11900" w:h="16840"/>
          <w:pgMar w:top="1316" w:right="271" w:bottom="1513" w:left="276" w:header="0" w:footer="3" w:gutter="0"/>
          <w:cols w:space="720"/>
          <w:noEndnote/>
          <w:rtlGutter w:val="0"/>
          <w:docGrid w:linePitch="360"/>
        </w:sectPr>
      </w:pPr>
    </w:p>
    <w:p>
      <w:pPr>
        <w:pStyle w:val="Style17"/>
        <w:keepNext/>
        <w:keepLines/>
        <w:widowControl w:val="0"/>
        <w:shd w:val="clear" w:color="auto" w:fill="auto"/>
        <w:bidi w:val="0"/>
        <w:spacing w:before="0" w:after="400" w:line="240" w:lineRule="auto"/>
        <w:ind w:left="0" w:right="0" w:firstLine="0"/>
        <w:jc w:val="center"/>
      </w:pPr>
      <w:bookmarkStart w:id="2091" w:name="bookmark2091"/>
      <w:bookmarkStart w:id="2092" w:name="bookmark2092"/>
      <w:bookmarkStart w:id="2093" w:name="bookmark2093"/>
      <w:r>
        <w:rPr>
          <w:color w:val="000000"/>
          <w:spacing w:val="0"/>
          <w:w w:val="100"/>
          <w:position w:val="0"/>
        </w:rPr>
        <w:t>第十三节备查文件目录</w:t>
      </w:r>
      <w:bookmarkEnd w:id="2091"/>
      <w:bookmarkEnd w:id="2092"/>
      <w:bookmarkEnd w:id="2093"/>
    </w:p>
    <w:p>
      <w:pPr>
        <w:pStyle w:val="Style38"/>
        <w:keepNext w:val="0"/>
        <w:keepLines w:val="0"/>
        <w:widowControl w:val="0"/>
        <w:shd w:val="clear" w:color="auto" w:fill="auto"/>
        <w:tabs>
          <w:tab w:pos="1722" w:val="left"/>
        </w:tabs>
        <w:bidi w:val="0"/>
        <w:spacing w:before="0" w:after="0" w:line="475" w:lineRule="exact"/>
        <w:ind w:left="840" w:right="0" w:firstLine="420"/>
        <w:jc w:val="left"/>
      </w:pPr>
      <w:bookmarkStart w:id="2094" w:name="bookmark2094"/>
      <w:r>
        <w:rPr>
          <w:color w:val="000000"/>
          <w:spacing w:val="0"/>
          <w:w w:val="100"/>
          <w:position w:val="0"/>
        </w:rPr>
        <w:t>一</w:t>
      </w:r>
      <w:bookmarkEnd w:id="2094"/>
      <w:r>
        <w:rPr>
          <w:color w:val="000000"/>
          <w:spacing w:val="0"/>
          <w:w w:val="100"/>
          <w:position w:val="0"/>
        </w:rPr>
        <w:t>、</w:t>
        <w:tab/>
        <w:t>载有公司法定代表人、主管会计工作负责人、公司会计机构负责人（会计主管人员）签名并盖章 的财务报表。</w:t>
      </w:r>
    </w:p>
    <w:p>
      <w:pPr>
        <w:pStyle w:val="Style38"/>
        <w:keepNext w:val="0"/>
        <w:keepLines w:val="0"/>
        <w:widowControl w:val="0"/>
        <w:shd w:val="clear" w:color="auto" w:fill="auto"/>
        <w:tabs>
          <w:tab w:pos="1729" w:val="left"/>
        </w:tabs>
        <w:bidi w:val="0"/>
        <w:spacing w:before="0" w:after="0" w:line="475" w:lineRule="exact"/>
        <w:ind w:left="1260" w:right="0" w:firstLine="0"/>
        <w:jc w:val="left"/>
      </w:pPr>
      <w:bookmarkStart w:id="2095" w:name="bookmark2095"/>
      <w:r>
        <w:rPr>
          <w:color w:val="000000"/>
          <w:spacing w:val="0"/>
          <w:w w:val="100"/>
          <w:position w:val="0"/>
        </w:rPr>
        <w:t>二</w:t>
      </w:r>
      <w:bookmarkEnd w:id="2095"/>
      <w:r>
        <w:rPr>
          <w:color w:val="000000"/>
          <w:spacing w:val="0"/>
          <w:w w:val="100"/>
          <w:position w:val="0"/>
        </w:rPr>
        <w:t>、</w:t>
        <w:tab/>
        <w:t>载有会计师事务所盖章、注册会计师签名并盖章的审计报告原件。</w:t>
      </w:r>
    </w:p>
    <w:p>
      <w:pPr>
        <w:pStyle w:val="Style38"/>
        <w:keepNext w:val="0"/>
        <w:keepLines w:val="0"/>
        <w:widowControl w:val="0"/>
        <w:shd w:val="clear" w:color="auto" w:fill="auto"/>
        <w:tabs>
          <w:tab w:pos="1734" w:val="left"/>
        </w:tabs>
        <w:bidi w:val="0"/>
        <w:spacing w:before="0" w:after="0" w:line="475" w:lineRule="exact"/>
        <w:ind w:left="1260" w:right="0" w:firstLine="0"/>
        <w:jc w:val="left"/>
      </w:pPr>
      <w:bookmarkStart w:id="2096" w:name="bookmark2096"/>
      <w:r>
        <w:rPr>
          <w:color w:val="000000"/>
          <w:spacing w:val="0"/>
          <w:w w:val="100"/>
          <w:position w:val="0"/>
        </w:rPr>
        <w:t>三</w:t>
      </w:r>
      <w:bookmarkEnd w:id="2096"/>
      <w:r>
        <w:rPr>
          <w:color w:val="000000"/>
          <w:spacing w:val="0"/>
          <w:w w:val="100"/>
          <w:position w:val="0"/>
        </w:rPr>
        <w:t>、</w:t>
        <w:tab/>
        <w:t>报告期内在中国证监会指定网站上公开披露过的所有公司文件的正本及公告的原稿。</w:t>
      </w:r>
    </w:p>
    <w:p>
      <w:pPr>
        <w:pStyle w:val="Style38"/>
        <w:keepNext w:val="0"/>
        <w:keepLines w:val="0"/>
        <w:widowControl w:val="0"/>
        <w:shd w:val="clear" w:color="auto" w:fill="auto"/>
        <w:tabs>
          <w:tab w:pos="1734" w:val="left"/>
        </w:tabs>
        <w:bidi w:val="0"/>
        <w:spacing w:before="0" w:after="0" w:line="475" w:lineRule="exact"/>
        <w:ind w:left="1260" w:right="0" w:firstLine="0"/>
        <w:jc w:val="left"/>
      </w:pPr>
      <w:bookmarkStart w:id="2097" w:name="bookmark2097"/>
      <w:r>
        <w:rPr>
          <w:color w:val="000000"/>
          <w:spacing w:val="0"/>
          <w:w w:val="100"/>
          <w:position w:val="0"/>
        </w:rPr>
        <w:t>四</w:t>
      </w:r>
      <w:bookmarkEnd w:id="2097"/>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p>
      <w:pPr>
        <w:pStyle w:val="Style38"/>
        <w:keepNext w:val="0"/>
        <w:keepLines w:val="0"/>
        <w:widowControl w:val="0"/>
        <w:shd w:val="clear" w:color="auto" w:fill="auto"/>
        <w:tabs>
          <w:tab w:pos="1734" w:val="left"/>
        </w:tabs>
        <w:bidi w:val="0"/>
        <w:spacing w:before="0" w:after="520" w:line="475" w:lineRule="exact"/>
        <w:ind w:left="1260" w:right="0" w:firstLine="0"/>
        <w:jc w:val="left"/>
      </w:pPr>
      <w:bookmarkStart w:id="2098" w:name="bookmark2098"/>
      <w:r>
        <w:rPr>
          <w:color w:val="000000"/>
          <w:spacing w:val="0"/>
          <w:w w:val="100"/>
          <w:position w:val="0"/>
        </w:rPr>
        <w:t>五</w:t>
      </w:r>
      <w:bookmarkEnd w:id="2098"/>
      <w:r>
        <w:rPr>
          <w:color w:val="000000"/>
          <w:spacing w:val="0"/>
          <w:w w:val="100"/>
          <w:position w:val="0"/>
        </w:rPr>
        <w:t>、</w:t>
        <w:tab/>
        <w:t>其他相关资料。</w:t>
      </w:r>
    </w:p>
    <w:p>
      <w:pPr>
        <w:pStyle w:val="Style38"/>
        <w:keepNext w:val="0"/>
        <w:keepLines w:val="0"/>
        <w:widowControl w:val="0"/>
        <w:shd w:val="clear" w:color="auto" w:fill="auto"/>
        <w:bidi w:val="0"/>
        <w:spacing w:before="0" w:after="0" w:line="475" w:lineRule="exact"/>
        <w:ind w:left="1260" w:right="0" w:firstLine="0"/>
        <w:jc w:val="left"/>
      </w:pPr>
      <w:r>
        <w:rPr>
          <w:color w:val="000000"/>
          <w:spacing w:val="0"/>
          <w:w w:val="100"/>
          <w:position w:val="0"/>
        </w:rPr>
        <w:t>以上备查文件的备置地点：公司证券部</w:t>
      </w:r>
    </w:p>
    <w:sectPr>
      <w:footnotePr>
        <w:pos w:val="pageBottom"/>
        <w:numFmt w:val="decimal"/>
        <w:numRestart w:val="continuous"/>
      </w:footnotePr>
      <w:pgSz w:w="11900" w:h="16840"/>
      <w:pgMar w:top="1662" w:right="271" w:bottom="1662" w:left="2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3759835</wp:posOffset>
              </wp:positionH>
              <wp:positionV relativeFrom="page">
                <wp:posOffset>10104755</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296.05000000000001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3723640</wp:posOffset>
              </wp:positionH>
              <wp:positionV relativeFrom="page">
                <wp:posOffset>9930765</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293.19999999999999pt;margin-top:781.95000000000005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5270500</wp:posOffset>
              </wp:positionH>
              <wp:positionV relativeFrom="page">
                <wp:posOffset>6798945</wp:posOffset>
              </wp:positionV>
              <wp:extent cx="155575" cy="79375"/>
              <wp:wrapNone/>
              <wp:docPr id="52" name="Shape 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415.pt;margin-top:535.35000000000002pt;width:12.25pt;height:6.25pt;z-index:-1887440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5270500</wp:posOffset>
              </wp:positionH>
              <wp:positionV relativeFrom="page">
                <wp:posOffset>6798945</wp:posOffset>
              </wp:positionV>
              <wp:extent cx="155575" cy="79375"/>
              <wp:wrapNone/>
              <wp:docPr id="54" name="Shape 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415.pt;margin-top:535.35000000000002pt;width:12.25pt;height:6.25pt;z-index:-1887440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5274945</wp:posOffset>
              </wp:positionH>
              <wp:positionV relativeFrom="page">
                <wp:posOffset>6805930</wp:posOffset>
              </wp:positionV>
              <wp:extent cx="155575" cy="79375"/>
              <wp:wrapNone/>
              <wp:docPr id="58" name="Shape 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415.35000000000002pt;margin-top:535.89999999999998pt;width:12.25pt;height:6.25pt;z-index:-1887440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5274945</wp:posOffset>
              </wp:positionH>
              <wp:positionV relativeFrom="page">
                <wp:posOffset>6805930</wp:posOffset>
              </wp:positionV>
              <wp:extent cx="155575" cy="79375"/>
              <wp:wrapNone/>
              <wp:docPr id="62" name="Shape 6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415.35000000000002pt;margin-top:535.89999999999998pt;width:12.25pt;height:6.25pt;z-index:-1887440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3656965</wp:posOffset>
              </wp:positionH>
              <wp:positionV relativeFrom="page">
                <wp:posOffset>9930765</wp:posOffset>
              </wp:positionV>
              <wp:extent cx="155575" cy="79375"/>
              <wp:wrapNone/>
              <wp:docPr id="66" name="Shape 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287.94999999999999pt;margin-top:781.95000000000005pt;width:12.25pt;height:6.25pt;z-index:-1887440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3656965</wp:posOffset>
              </wp:positionH>
              <wp:positionV relativeFrom="page">
                <wp:posOffset>9930765</wp:posOffset>
              </wp:positionV>
              <wp:extent cx="155575" cy="79375"/>
              <wp:wrapNone/>
              <wp:docPr id="70" name="Shape 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287.94999999999999pt;margin-top:781.95000000000005pt;width:12.25pt;height:6.25pt;z-index:-1887440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3656965</wp:posOffset>
              </wp:positionH>
              <wp:positionV relativeFrom="page">
                <wp:posOffset>9930765</wp:posOffset>
              </wp:positionV>
              <wp:extent cx="155575" cy="79375"/>
              <wp:wrapNone/>
              <wp:docPr id="74" name="Shape 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287.94999999999999pt;margin-top:781.95000000000005pt;width:12.25pt;height:6.25pt;z-index:-1887440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3656965</wp:posOffset>
              </wp:positionH>
              <wp:positionV relativeFrom="page">
                <wp:posOffset>9930765</wp:posOffset>
              </wp:positionV>
              <wp:extent cx="155575" cy="79375"/>
              <wp:wrapNone/>
              <wp:docPr id="78" name="Shape 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287.94999999999999pt;margin-top:781.95000000000005pt;width:12.25pt;height:6.25pt;z-index:-1887440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6399530</wp:posOffset>
              </wp:positionH>
              <wp:positionV relativeFrom="page">
                <wp:posOffset>9760585</wp:posOffset>
              </wp:positionV>
              <wp:extent cx="445135" cy="106680"/>
              <wp:wrapNone/>
              <wp:docPr id="82" name="Shape 8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8" type="#_x0000_t202" style="position:absolute;margin-left:503.90000000000003pt;margin-top:768.55000000000007pt;width:35.050000000000004pt;height:8.4000000000000004pt;z-index:-1887439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3708400</wp:posOffset>
              </wp:positionH>
              <wp:positionV relativeFrom="page">
                <wp:posOffset>10147300</wp:posOffset>
              </wp:positionV>
              <wp:extent cx="146050" cy="79375"/>
              <wp:wrapNone/>
              <wp:docPr id="84" name="Shape 8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292.pt;margin-top:799.pt;width:11.5pt;height:6.25pt;z-index:-1887439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3759835</wp:posOffset>
              </wp:positionH>
              <wp:positionV relativeFrom="page">
                <wp:posOffset>10104755</wp:posOffset>
              </wp:positionV>
              <wp:extent cx="30480" cy="79375"/>
              <wp:wrapNone/>
              <wp:docPr id="7" name="Shape 7"/>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296.05000000000001pt;margin-top:795.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3656965</wp:posOffset>
              </wp:positionH>
              <wp:positionV relativeFrom="page">
                <wp:posOffset>9930765</wp:posOffset>
              </wp:positionV>
              <wp:extent cx="155575" cy="79375"/>
              <wp:wrapNone/>
              <wp:docPr id="94" name="Shape 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287.94999999999999pt;margin-top:781.95000000000005pt;width:12.25pt;height:6.25pt;z-index:-1887439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3656965</wp:posOffset>
              </wp:positionH>
              <wp:positionV relativeFrom="page">
                <wp:posOffset>9930765</wp:posOffset>
              </wp:positionV>
              <wp:extent cx="155575" cy="79375"/>
              <wp:wrapNone/>
              <wp:docPr id="98" name="Shape 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287.94999999999999pt;margin-top:781.95000000000005pt;width:12.25pt;height:6.25pt;z-index:-1887439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6399530</wp:posOffset>
              </wp:positionH>
              <wp:positionV relativeFrom="page">
                <wp:posOffset>9760585</wp:posOffset>
              </wp:positionV>
              <wp:extent cx="445135" cy="106680"/>
              <wp:wrapNone/>
              <wp:docPr id="102" name="Shape 10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8" type="#_x0000_t202" style="position:absolute;margin-left:503.90000000000003pt;margin-top:768.55000000000007pt;width:35.050000000000004pt;height:8.4000000000000004pt;z-index:-1887439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3708400</wp:posOffset>
              </wp:positionH>
              <wp:positionV relativeFrom="page">
                <wp:posOffset>10147300</wp:posOffset>
              </wp:positionV>
              <wp:extent cx="146050" cy="79375"/>
              <wp:wrapNone/>
              <wp:docPr id="104" name="Shape 10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292.pt;margin-top:799.pt;width:11.5pt;height:6.25pt;z-index:-1887439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3656965</wp:posOffset>
              </wp:positionH>
              <wp:positionV relativeFrom="page">
                <wp:posOffset>9930765</wp:posOffset>
              </wp:positionV>
              <wp:extent cx="155575" cy="79375"/>
              <wp:wrapNone/>
              <wp:docPr id="108" name="Shape 1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287.94999999999999pt;margin-top:781.95000000000005pt;width:12.25pt;height:6.25pt;z-index:-1887439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6421755</wp:posOffset>
              </wp:positionH>
              <wp:positionV relativeFrom="page">
                <wp:posOffset>9692005</wp:posOffset>
              </wp:positionV>
              <wp:extent cx="445135" cy="106680"/>
              <wp:wrapNone/>
              <wp:docPr id="112" name="Shape 11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8" type="#_x0000_t202" style="position:absolute;margin-left:505.65000000000003pt;margin-top:763.14999999999998pt;width:35.050000000000004pt;height:8.4000000000000004pt;z-index:-1887439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3721100</wp:posOffset>
              </wp:positionH>
              <wp:positionV relativeFrom="page">
                <wp:posOffset>10070465</wp:posOffset>
              </wp:positionV>
              <wp:extent cx="167640" cy="79375"/>
              <wp:wrapNone/>
              <wp:docPr id="114" name="Shape 114"/>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293.pt;margin-top:792.95000000000005pt;width:13.200000000000001pt;height:6.25pt;z-index:-1887439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3656965</wp:posOffset>
              </wp:positionH>
              <wp:positionV relativeFrom="page">
                <wp:posOffset>9930765</wp:posOffset>
              </wp:positionV>
              <wp:extent cx="155575" cy="79375"/>
              <wp:wrapNone/>
              <wp:docPr id="118" name="Shape 11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287.94999999999999pt;margin-top:781.95000000000005pt;width:12.25pt;height:6.25pt;z-index:-1887439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3656965</wp:posOffset>
              </wp:positionH>
              <wp:positionV relativeFrom="page">
                <wp:posOffset>9930765</wp:posOffset>
              </wp:positionV>
              <wp:extent cx="155575" cy="79375"/>
              <wp:wrapNone/>
              <wp:docPr id="122" name="Shape 12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287.94999999999999pt;margin-top:781.95000000000005pt;width:12.25pt;height:6.25pt;z-index:-1887439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5258435</wp:posOffset>
              </wp:positionH>
              <wp:positionV relativeFrom="page">
                <wp:posOffset>6798945</wp:posOffset>
              </wp:positionV>
              <wp:extent cx="164465" cy="79375"/>
              <wp:wrapNone/>
              <wp:docPr id="124" name="Shape 124"/>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414.05000000000001pt;margin-top:535.35000000000002pt;width:12.950000000000001pt;height:6.25pt;z-index:-1887439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5258435</wp:posOffset>
              </wp:positionH>
              <wp:positionV relativeFrom="page">
                <wp:posOffset>6798945</wp:posOffset>
              </wp:positionV>
              <wp:extent cx="164465" cy="79375"/>
              <wp:wrapNone/>
              <wp:docPr id="126" name="Shape 126"/>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414.05000000000001pt;margin-top:535.35000000000002pt;width:12.950000000000001pt;height:6.25pt;z-index:-1887439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3656965</wp:posOffset>
              </wp:positionH>
              <wp:positionV relativeFrom="page">
                <wp:posOffset>9930765</wp:posOffset>
              </wp:positionV>
              <wp:extent cx="155575" cy="79375"/>
              <wp:wrapNone/>
              <wp:docPr id="130" name="Shape 1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287.94999999999999pt;margin-top:781.95000000000005pt;width:12.25pt;height:6.25pt;z-index:-1887439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3723640</wp:posOffset>
              </wp:positionH>
              <wp:positionV relativeFrom="page">
                <wp:posOffset>9930765</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293.19999999999999pt;margin-top:781.95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3656965</wp:posOffset>
              </wp:positionH>
              <wp:positionV relativeFrom="page">
                <wp:posOffset>9930765</wp:posOffset>
              </wp:positionV>
              <wp:extent cx="155575" cy="79375"/>
              <wp:wrapNone/>
              <wp:docPr id="134" name="Shape 1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287.94999999999999pt;margin-top:781.95000000000005pt;width:12.25pt;height:6.25pt;z-index:-1887439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3723640</wp:posOffset>
              </wp:positionH>
              <wp:positionV relativeFrom="page">
                <wp:posOffset>9930765</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3.19999999999999pt;margin-top:781.9500000000000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5288915</wp:posOffset>
              </wp:positionH>
              <wp:positionV relativeFrom="page">
                <wp:posOffset>6798945</wp:posOffset>
              </wp:positionV>
              <wp:extent cx="106680" cy="79375"/>
              <wp:wrapNone/>
              <wp:docPr id="17" name="Shape 1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416.44999999999999pt;margin-top:535.35000000000002pt;width:8.4000000000000004pt;height:6.25pt;z-index:-1887440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5288915</wp:posOffset>
              </wp:positionH>
              <wp:positionV relativeFrom="page">
                <wp:posOffset>6798945</wp:posOffset>
              </wp:positionV>
              <wp:extent cx="106680" cy="79375"/>
              <wp:wrapNone/>
              <wp:docPr id="19" name="Shape 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416.44999999999999pt;margin-top:535.35000000000002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5288915</wp:posOffset>
              </wp:positionH>
              <wp:positionV relativeFrom="page">
                <wp:posOffset>6800215</wp:posOffset>
              </wp:positionV>
              <wp:extent cx="109855" cy="79375"/>
              <wp:wrapNone/>
              <wp:docPr id="23" name="Shape 2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416.44999999999999pt;margin-top:535.45000000000005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5288915</wp:posOffset>
              </wp:positionH>
              <wp:positionV relativeFrom="page">
                <wp:posOffset>6800215</wp:posOffset>
              </wp:positionV>
              <wp:extent cx="109855" cy="79375"/>
              <wp:wrapNone/>
              <wp:docPr id="27" name="Shape 2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416.44999999999999pt;margin-top:535.45000000000005pt;width:8.6500000000000004pt;height:6.25pt;z-index:-1887440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3723640</wp:posOffset>
              </wp:positionH>
              <wp:positionV relativeFrom="page">
                <wp:posOffset>9930765</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293.19999999999999pt;margin-top:781.95000000000005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503555</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39.649999999999999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678815</wp:posOffset>
              </wp:positionH>
              <wp:positionV relativeFrom="page">
                <wp:posOffset>585470</wp:posOffset>
              </wp:positionV>
              <wp:extent cx="2675890" cy="106680"/>
              <wp:wrapNone/>
              <wp:docPr id="33" name="Shape 3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9" type="#_x0000_t202" style="position:absolute;margin-left:53.450000000000003pt;margin-top:46.100000000000001pt;width:210.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922655</wp:posOffset>
              </wp:positionH>
              <wp:positionV relativeFrom="page">
                <wp:posOffset>581660</wp:posOffset>
              </wp:positionV>
              <wp:extent cx="2675890" cy="106680"/>
              <wp:wrapNone/>
              <wp:docPr id="56" name="Shape 5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2" type="#_x0000_t202" style="position:absolute;margin-left:72.650000000000006pt;margin-top:45.800000000000004pt;width:210.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922655</wp:posOffset>
              </wp:positionH>
              <wp:positionV relativeFrom="page">
                <wp:posOffset>581660</wp:posOffset>
              </wp:positionV>
              <wp:extent cx="2675890" cy="106680"/>
              <wp:wrapNone/>
              <wp:docPr id="60" name="Shape 6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72.650000000000006pt;margin-top:45.800000000000004pt;width:210.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676275</wp:posOffset>
              </wp:positionH>
              <wp:positionV relativeFrom="page">
                <wp:posOffset>561975</wp:posOffset>
              </wp:positionV>
              <wp:extent cx="2675890" cy="106680"/>
              <wp:wrapNone/>
              <wp:docPr id="64" name="Shape 6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0" type="#_x0000_t202" style="position:absolute;margin-left:53.25pt;margin-top:44.25pt;width:210.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676275</wp:posOffset>
              </wp:positionH>
              <wp:positionV relativeFrom="page">
                <wp:posOffset>561975</wp:posOffset>
              </wp:positionV>
              <wp:extent cx="2675890" cy="106680"/>
              <wp:wrapNone/>
              <wp:docPr id="68" name="Shape 6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4" type="#_x0000_t202" style="position:absolute;margin-left:53.25pt;margin-top:44.25pt;width:210.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676275</wp:posOffset>
              </wp:positionH>
              <wp:positionV relativeFrom="page">
                <wp:posOffset>561975</wp:posOffset>
              </wp:positionV>
              <wp:extent cx="2675890" cy="106680"/>
              <wp:wrapNone/>
              <wp:docPr id="72" name="Shape 7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53.25pt;margin-top:44.25pt;width:210.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676275</wp:posOffset>
              </wp:positionH>
              <wp:positionV relativeFrom="page">
                <wp:posOffset>561975</wp:posOffset>
              </wp:positionV>
              <wp:extent cx="2675890" cy="106680"/>
              <wp:wrapNone/>
              <wp:docPr id="76" name="Shape 7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2" type="#_x0000_t202" style="position:absolute;margin-left:53.25pt;margin-top:44.25pt;width:210.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730250</wp:posOffset>
              </wp:positionH>
              <wp:positionV relativeFrom="page">
                <wp:posOffset>787400</wp:posOffset>
              </wp:positionV>
              <wp:extent cx="2675890" cy="106680"/>
              <wp:wrapNone/>
              <wp:docPr id="80" name="Shape 8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57.5pt;margin-top:62.pt;width:210.7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503555</wp:posOffset>
              </wp:positionV>
              <wp:extent cx="2675890" cy="106680"/>
              <wp:wrapNone/>
              <wp:docPr id="5" name="Shape 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57.pt;margin-top:39.649999999999999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676275</wp:posOffset>
              </wp:positionH>
              <wp:positionV relativeFrom="page">
                <wp:posOffset>561975</wp:posOffset>
              </wp:positionV>
              <wp:extent cx="2675890" cy="106680"/>
              <wp:wrapNone/>
              <wp:docPr id="92" name="Shape 9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8" type="#_x0000_t202" style="position:absolute;margin-left:53.25pt;margin-top:44.25pt;width:210.70000000000002pt;height:8.4000000000000004pt;z-index:-1887439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676275</wp:posOffset>
              </wp:positionH>
              <wp:positionV relativeFrom="page">
                <wp:posOffset>561975</wp:posOffset>
              </wp:positionV>
              <wp:extent cx="2675890" cy="106680"/>
              <wp:wrapNone/>
              <wp:docPr id="96" name="Shape 9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2" type="#_x0000_t202" style="position:absolute;margin-left:53.25pt;margin-top:44.25pt;width:210.70000000000002pt;height:8.4000000000000004pt;z-index:-1887439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730250</wp:posOffset>
              </wp:positionH>
              <wp:positionV relativeFrom="page">
                <wp:posOffset>787400</wp:posOffset>
              </wp:positionV>
              <wp:extent cx="2675890" cy="106680"/>
              <wp:wrapNone/>
              <wp:docPr id="100" name="Shape 10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6" type="#_x0000_t202" style="position:absolute;margin-left:57.5pt;margin-top:62.pt;width:210.70000000000002pt;height:8.4000000000000004pt;z-index:-1887439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676275</wp:posOffset>
              </wp:positionH>
              <wp:positionV relativeFrom="page">
                <wp:posOffset>561975</wp:posOffset>
              </wp:positionV>
              <wp:extent cx="2675890" cy="106680"/>
              <wp:wrapNone/>
              <wp:docPr id="106" name="Shape 10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2" type="#_x0000_t202" style="position:absolute;margin-left:53.25pt;margin-top:44.25pt;width:210.70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752475</wp:posOffset>
              </wp:positionH>
              <wp:positionV relativeFrom="page">
                <wp:posOffset>708025</wp:posOffset>
              </wp:positionV>
              <wp:extent cx="2675890" cy="106680"/>
              <wp:wrapNone/>
              <wp:docPr id="110" name="Shape 11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6" type="#_x0000_t202" style="position:absolute;margin-left:59.25pt;margin-top:55.75pt;width:210.70000000000002pt;height:8.4000000000000004pt;z-index:-1887439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676275</wp:posOffset>
              </wp:positionH>
              <wp:positionV relativeFrom="page">
                <wp:posOffset>561975</wp:posOffset>
              </wp:positionV>
              <wp:extent cx="2675890" cy="106680"/>
              <wp:wrapNone/>
              <wp:docPr id="116" name="Shape 1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2" type="#_x0000_t202" style="position:absolute;margin-left:53.25pt;margin-top:44.25pt;width:210.70000000000002pt;height:8.4000000000000004pt;z-index:-1887439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676275</wp:posOffset>
              </wp:positionH>
              <wp:positionV relativeFrom="page">
                <wp:posOffset>561975</wp:posOffset>
              </wp:positionV>
              <wp:extent cx="2675890" cy="106680"/>
              <wp:wrapNone/>
              <wp:docPr id="120" name="Shape 12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6" type="#_x0000_t202" style="position:absolute;margin-left:53.25pt;margin-top:44.25pt;width:210.70000000000002pt;height:8.4000000000000004pt;z-index:-1887439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676275</wp:posOffset>
              </wp:positionH>
              <wp:positionV relativeFrom="page">
                <wp:posOffset>561975</wp:posOffset>
              </wp:positionV>
              <wp:extent cx="2675890" cy="106680"/>
              <wp:wrapNone/>
              <wp:docPr id="128" name="Shape 1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4" type="#_x0000_t202" style="position:absolute;margin-left:53.25pt;margin-top:44.25pt;width:210.70000000000002pt;height:8.4000000000000004pt;z-index:-1887439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678815</wp:posOffset>
              </wp:positionH>
              <wp:positionV relativeFrom="page">
                <wp:posOffset>585470</wp:posOffset>
              </wp:positionV>
              <wp:extent cx="2675890" cy="106680"/>
              <wp:wrapNone/>
              <wp:docPr id="9" name="Shape 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5" type="#_x0000_t202" style="position:absolute;margin-left:53.450000000000003pt;margin-top:46.100000000000001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676275</wp:posOffset>
              </wp:positionH>
              <wp:positionV relativeFrom="page">
                <wp:posOffset>561975</wp:posOffset>
              </wp:positionV>
              <wp:extent cx="2675890" cy="106680"/>
              <wp:wrapNone/>
              <wp:docPr id="132" name="Shape 13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8" type="#_x0000_t202" style="position:absolute;margin-left:53.25pt;margin-top:44.25pt;width:210.70000000000002pt;height:8.4000000000000004pt;z-index:-1887439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678815</wp:posOffset>
              </wp:positionH>
              <wp:positionV relativeFrom="page">
                <wp:posOffset>585470</wp:posOffset>
              </wp:positionV>
              <wp:extent cx="2675890" cy="106680"/>
              <wp:wrapNone/>
              <wp:docPr id="13" name="Shape 1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9" type="#_x0000_t202" style="position:absolute;margin-left:53.450000000000003pt;margin-top:46.100000000000001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920750</wp:posOffset>
              </wp:positionH>
              <wp:positionV relativeFrom="page">
                <wp:posOffset>583565</wp:posOffset>
              </wp:positionV>
              <wp:extent cx="2675890" cy="106680"/>
              <wp:wrapNone/>
              <wp:docPr id="21" name="Shape 2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72.5pt;margin-top:45.950000000000003pt;width:210.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920750</wp:posOffset>
              </wp:positionH>
              <wp:positionV relativeFrom="page">
                <wp:posOffset>583565</wp:posOffset>
              </wp:positionV>
              <wp:extent cx="2675890" cy="106680"/>
              <wp:wrapNone/>
              <wp:docPr id="25" name="Shape 2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1" type="#_x0000_t202" style="position:absolute;margin-left:72.5pt;margin-top:45.950000000000003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678815</wp:posOffset>
              </wp:positionH>
              <wp:positionV relativeFrom="page">
                <wp:posOffset>585470</wp:posOffset>
              </wp:positionV>
              <wp:extent cx="2675890" cy="106680"/>
              <wp:wrapNone/>
              <wp:docPr id="29" name="Shape 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5" type="#_x0000_t202" style="position:absolute;margin-left:53.450000000000003pt;margin-top:46.100000000000001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3)_"/>
    <w:basedOn w:val="DefaultParagraphFont"/>
    <w:link w:val="Style19"/>
    <w:rPr>
      <w:rFonts w:ascii="SimSun" w:eastAsia="SimSun" w:hAnsi="SimSun" w:cs="SimSun"/>
      <w:b/>
      <w:bCs/>
      <w:i w:val="0"/>
      <w:iCs w:val="0"/>
      <w:smallCaps w:val="0"/>
      <w:strike w:val="0"/>
      <w:sz w:val="26"/>
      <w:szCs w:val="26"/>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标题 #4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8">
    <w:name w:val="页眉或页脚_"/>
    <w:basedOn w:val="DefaultParagraphFont"/>
    <w:link w:val="Style57"/>
    <w:rPr>
      <w:rFonts w:ascii="SimSun" w:eastAsia="SimSun" w:hAnsi="SimSun" w:cs="SimSun"/>
      <w:b w:val="0"/>
      <w:bCs w:val="0"/>
      <w:i w:val="0"/>
      <w:iCs w:val="0"/>
      <w:smallCaps w:val="0"/>
      <w:strike w:val="0"/>
      <w:sz w:val="17"/>
      <w:szCs w:val="17"/>
      <w:u w:val="none"/>
      <w:shd w:val="clear" w:color="auto" w:fill="auto"/>
    </w:rPr>
  </w:style>
  <w:style w:type="character" w:customStyle="1" w:styleId="CharStyle71">
    <w:name w:val="正文文本 (6)_"/>
    <w:basedOn w:val="DefaultParagraphFont"/>
    <w:link w:val="Style7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8">
    <w:name w:val="正文文本 (7)_"/>
    <w:basedOn w:val="DefaultParagraphFont"/>
    <w:link w:val="Style7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9">
    <w:name w:val="标题 #5_"/>
    <w:basedOn w:val="DefaultParagraphFont"/>
    <w:link w:val="Style88"/>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before="50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3)"/>
    <w:basedOn w:val="Normal"/>
    <w:link w:val="CharStyle20"/>
    <w:pPr>
      <w:widowControl w:val="0"/>
      <w:shd w:val="clear" w:color="auto" w:fill="auto"/>
      <w:spacing w:after="100" w:line="623"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2">
    <w:name w:val="目录"/>
    <w:basedOn w:val="Normal"/>
    <w:link w:val="CharStyle23"/>
    <w:pPr>
      <w:widowControl w:val="0"/>
      <w:shd w:val="clear" w:color="auto" w:fill="auto"/>
      <w:spacing w:after="180"/>
    </w:pPr>
    <w:rPr>
      <w:rFonts w:ascii="SimSun" w:eastAsia="SimSun" w:hAnsi="SimSun" w:cs="SimSun"/>
      <w:b/>
      <w:bCs/>
      <w:i w:val="0"/>
      <w:iCs w:val="0"/>
      <w:smallCaps w:val="0"/>
      <w:strike w:val="0"/>
      <w:sz w:val="22"/>
      <w:szCs w:val="22"/>
      <w:u w:val="none"/>
      <w:shd w:val="clear" w:color="auto" w:fill="auto"/>
    </w:rPr>
  </w:style>
  <w:style w:type="paragraph" w:customStyle="1" w:styleId="Style26">
    <w:name w:val="标题 #2"/>
    <w:basedOn w:val="Normal"/>
    <w:link w:val="CharStyle27"/>
    <w:pPr>
      <w:widowControl w:val="0"/>
      <w:shd w:val="clear" w:color="auto" w:fill="auto"/>
      <w:spacing w:after="33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正文文本 (2)"/>
    <w:basedOn w:val="Normal"/>
    <w:link w:val="CharStyle29"/>
    <w:pPr>
      <w:widowControl w:val="0"/>
      <w:shd w:val="clear" w:color="auto" w:fill="auto"/>
      <w:spacing w:after="140"/>
      <w:ind w:firstLine="2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380"/>
      <w:ind w:firstLine="4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w:basedOn w:val="Normal"/>
    <w:link w:val="CharStyle39"/>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标题 #4"/>
    <w:basedOn w:val="Normal"/>
    <w:link w:val="CharStyle49"/>
    <w:pPr>
      <w:widowControl w:val="0"/>
      <w:shd w:val="clear" w:color="auto" w:fill="auto"/>
      <w:spacing w:after="390"/>
      <w:ind w:firstLine="6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页眉或页脚"/>
    <w:basedOn w:val="Normal"/>
    <w:link w:val="CharStyle5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0">
    <w:name w:val="正文文本 (6)"/>
    <w:basedOn w:val="Normal"/>
    <w:link w:val="CharStyle7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7">
    <w:name w:val="正文文本 (7)"/>
    <w:basedOn w:val="Normal"/>
    <w:link w:val="CharStyle78"/>
    <w:pPr>
      <w:widowControl w:val="0"/>
      <w:shd w:val="clear" w:color="auto" w:fill="auto"/>
      <w:spacing w:line="402"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8">
    <w:name w:val="标题 #5"/>
    <w:basedOn w:val="Normal"/>
    <w:link w:val="CharStyle89"/>
    <w:pPr>
      <w:widowControl w:val="0"/>
      <w:shd w:val="clear" w:color="auto" w:fill="auto"/>
      <w:spacing w:after="390"/>
      <w:ind w:firstLine="7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image" Target="media/image1.jpeg"/><Relationship Id="rId26" Type="http://schemas.openxmlformats.org/officeDocument/2006/relationships/image" Target="media/image1.jpeg" TargetMode="Externa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s>
</file>

<file path=docProps/core.xml><?xml version="1.0" encoding="utf-8"?>
<cp:coreProperties xmlns:cp="http://schemas.openxmlformats.org/package/2006/metadata/core-properties" xmlns:dc="http://purl.org/dc/elements/1.1/">
  <dc:title/>
  <dc:subject/>
  <dc:creator>37311</dc:creator>
  <cp:keywords/>
</cp:coreProperties>
</file>