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80013pt;width:484.95pt;height:.1pt;mso-position-horizontal-relative:page;mso-position-vertical-relative:page;z-index:0" coordorigin="1104,982" coordsize="9699,2">
            <v:shape style="position:absolute;left:1104;top:982;width:9699;height:2" coordorigin="1104,982" coordsize="9699,0" path="m1104,982l10802,982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2400" w:lineRule="exact"/>
        <w:ind w:left="386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7"/>
          <w:sz w:val="20"/>
          <w:szCs w:val="20"/>
        </w:rPr>
        <w:drawing>
          <wp:inline distT="0" distB="0" distL="0" distR="0">
            <wp:extent cx="1409699" cy="152400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09699" cy="1524000"/>
                    </a:xfrm>
                    <a:prstGeom prst="rect">
                      <a:avLst/>
                    </a:prstGeom>
                  </pic:spPr>
                </pic:pic>
              </a:graphicData>
            </a:graphic>
          </wp:inline>
        </w:drawing>
      </w:r>
      <w:r>
        <w:rPr>
          <w:rFonts w:ascii="Times New Roman" w:hAnsi="Times New Roman" w:cs="Times New Roman" w:eastAsia="Times New Roman" w:hint="default"/>
          <w:position w:val="-47"/>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495" w:right="494" w:firstLine="0"/>
        <w:jc w:val="center"/>
        <w:rPr>
          <w:rFonts w:ascii="宋体" w:hAnsi="宋体" w:cs="宋体" w:eastAsia="宋体" w:hint="default"/>
          <w:sz w:val="36"/>
          <w:szCs w:val="36"/>
        </w:rPr>
      </w:pPr>
      <w:r>
        <w:rPr>
          <w:rFonts w:ascii="宋体" w:hAnsi="宋体" w:cs="宋体" w:eastAsia="宋体" w:hint="default"/>
          <w:b/>
          <w:bCs/>
          <w:sz w:val="36"/>
          <w:szCs w:val="36"/>
        </w:rPr>
        <w:t>汉鼎信息科技股份有限公司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495" w:right="49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2012</w:t>
      </w:r>
      <w:r>
        <w:rPr>
          <w:rFonts w:ascii="Times New Roman" w:hAnsi="Times New Roman" w:cs="Times New Roman" w:eastAsia="Times New Roman" w:hint="default"/>
          <w:b/>
          <w:bCs/>
          <w:spacing w:val="-5"/>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495" w:right="49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82" w:top="1060" w:bottom="118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4" w:right="0"/>
        <w:jc w:val="left"/>
        <w:rPr>
          <w:b w:val="0"/>
          <w:bCs w:val="0"/>
        </w:rPr>
      </w:pPr>
      <w:bookmarkStart w:name="_TOC_250009" w:id="1"/>
      <w:r>
        <w:rPr/>
        <w:t>第一节</w:t>
      </w:r>
      <w:r>
        <w:rPr>
          <w:spacing w:val="-13"/>
        </w:rPr>
        <w:t> </w:t>
      </w:r>
      <w:r>
        <w:rPr/>
        <w:t>重要提示、目录和释义</w:t>
      </w:r>
      <w:bookmarkEnd w:id="1"/>
      <w:r>
        <w:rPr>
          <w:b w:val="0"/>
          <w:bCs w:val="0"/>
        </w:rPr>
      </w:r>
    </w:p>
    <w:p>
      <w:pPr>
        <w:spacing w:line="240" w:lineRule="auto" w:before="0"/>
        <w:rPr>
          <w:rFonts w:ascii="黑体" w:hAnsi="黑体" w:cs="黑体" w:eastAsia="黑体" w:hint="default"/>
          <w:b/>
          <w:bCs/>
          <w:sz w:val="32"/>
          <w:szCs w:val="32"/>
        </w:rPr>
      </w:pPr>
    </w:p>
    <w:p>
      <w:pPr>
        <w:spacing w:line="408" w:lineRule="auto" w:before="211"/>
        <w:ind w:left="153" w:right="1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本公司董事会、监事会及董事、监事、高级管理人员保证本报告所载资料</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不存在任何虚假记载、误导性陈述或者重大遗漏，并对其内容的真实性、准确</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72" w:lineRule="auto"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spacing w:val="1"/>
          <w:w w:val="99"/>
          <w:sz w:val="28"/>
          <w:szCs w:val="28"/>
        </w:rPr>
        <w:t> </w:t>
      </w:r>
      <w:r>
        <w:rPr>
          <w:rFonts w:ascii="宋体" w:hAnsi="宋体" w:cs="宋体" w:eastAsia="宋体" w:hint="default"/>
          <w:b/>
          <w:bCs/>
          <w:w w:val="95"/>
          <w:sz w:val="28"/>
          <w:szCs w:val="28"/>
        </w:rPr>
        <w:t>公司负责人吴艳、主管会计工作负责人王智斌及会计机构负责人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sz w:val="28"/>
          <w:szCs w:val="28"/>
        </w:rPr>
      </w:r>
    </w:p>
    <w:p>
      <w:pPr>
        <w:spacing w:line="324"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周小平声明：保证年度报告中财务报告的真实、准确、完整。</w:t>
      </w:r>
      <w:r>
        <w:rPr>
          <w:rFonts w:ascii="宋体" w:hAnsi="宋体" w:cs="宋体" w:eastAsia="宋体" w:hint="default"/>
          <w:sz w:val="28"/>
          <w:szCs w:val="28"/>
        </w:rPr>
      </w:r>
    </w:p>
    <w:p>
      <w:pPr>
        <w:spacing w:after="0" w:line="324" w:lineRule="exact"/>
        <w:jc w:val="left"/>
        <w:rPr>
          <w:rFonts w:ascii="宋体" w:hAnsi="宋体" w:cs="宋体" w:eastAsia="宋体" w:hint="default"/>
          <w:sz w:val="28"/>
          <w:szCs w:val="28"/>
        </w:rPr>
        <w:sectPr>
          <w:footerReference w:type="default" r:id="rId8"/>
          <w:pgSz w:w="11910" w:h="16840"/>
          <w:pgMar w:footer="982" w:header="747" w:top="1060" w:bottom="1180" w:left="980" w:right="9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495" w:right="49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80" w:val="right" w:leader="dot"/>
            </w:tabs>
            <w:spacing w:line="240" w:lineRule="auto" w:before="0"/>
            <w:ind w:left="154"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09">
            <w:r>
              <w:rPr/>
              <w:t>第一节 重要提示、目录和释义</w:t>
            </w:r>
            <w:r>
              <w:rPr>
                <w:rFonts w:ascii="Times New Roman" w:hAnsi="Times New Roman" w:cs="Times New Roman" w:eastAsia="Times New Roman" w:hint="default"/>
              </w:rPr>
              <w:tab/>
              <w:t>2</w:t>
            </w:r>
          </w:hyperlink>
        </w:p>
        <w:p>
          <w:pPr>
            <w:pStyle w:val="TOC1"/>
            <w:tabs>
              <w:tab w:pos="9779" w:val="right" w:leader="dot"/>
            </w:tabs>
            <w:spacing w:line="240" w:lineRule="auto"/>
            <w:ind w:right="0"/>
            <w:jc w:val="left"/>
            <w:rPr>
              <w:rFonts w:ascii="Times New Roman" w:hAnsi="Times New Roman" w:cs="Times New Roman" w:eastAsia="Times New Roman" w:hint="default"/>
            </w:rPr>
          </w:pPr>
          <w:hyperlink w:history="true" w:anchor="_TOC_250008">
            <w:r>
              <w:rPr/>
              <w:t>第二节 公司基本情况简介</w:t>
            </w:r>
            <w:r>
              <w:rPr>
                <w:rFonts w:ascii="Times New Roman" w:hAnsi="Times New Roman" w:cs="Times New Roman" w:eastAsia="Times New Roman" w:hint="default"/>
              </w:rPr>
              <w:tab/>
              <w:t>5</w:t>
            </w:r>
          </w:hyperlink>
        </w:p>
        <w:p>
          <w:pPr>
            <w:pStyle w:val="TOC1"/>
            <w:tabs>
              <w:tab w:pos="9780" w:val="right" w:leader="dot"/>
            </w:tabs>
            <w:spacing w:line="240" w:lineRule="auto" w:before="103"/>
            <w:ind w:right="0"/>
            <w:jc w:val="left"/>
            <w:rPr>
              <w:rFonts w:ascii="Times New Roman" w:hAnsi="Times New Roman" w:cs="Times New Roman" w:eastAsia="Times New Roman" w:hint="default"/>
            </w:rPr>
          </w:pPr>
          <w:hyperlink w:history="true" w:anchor="_TOC_250007">
            <w:r>
              <w:rPr/>
              <w:t>第三节 会计数据和财务指标摘要</w:t>
            </w:r>
            <w:r>
              <w:rPr>
                <w:rFonts w:ascii="Times New Roman" w:hAnsi="Times New Roman" w:cs="Times New Roman" w:eastAsia="Times New Roman" w:hint="default"/>
              </w:rPr>
              <w:tab/>
              <w:t>7</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6">
            <w:r>
              <w:rPr/>
              <w:t>第四节 董事会报告</w:t>
            </w:r>
            <w:r>
              <w:rPr>
                <w:rFonts w:ascii="Times New Roman" w:hAnsi="Times New Roman" w:cs="Times New Roman" w:eastAsia="Times New Roman" w:hint="default"/>
              </w:rPr>
              <w:tab/>
              <w:t>10</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5">
            <w:r>
              <w:rPr/>
              <w:t>第五节 重要事项</w:t>
            </w:r>
            <w:r>
              <w:rPr>
                <w:rFonts w:ascii="Times New Roman" w:hAnsi="Times New Roman" w:cs="Times New Roman" w:eastAsia="Times New Roman" w:hint="default"/>
              </w:rPr>
              <w:tab/>
              <w:t>26</w:t>
            </w:r>
          </w:hyperlink>
        </w:p>
        <w:p>
          <w:pPr>
            <w:pStyle w:val="TOC1"/>
            <w:tabs>
              <w:tab w:pos="9780" w:val="right" w:leader="dot"/>
            </w:tabs>
            <w:spacing w:line="240" w:lineRule="auto" w:before="103"/>
            <w:ind w:right="0"/>
            <w:jc w:val="left"/>
            <w:rPr>
              <w:rFonts w:ascii="Times New Roman" w:hAnsi="Times New Roman" w:cs="Times New Roman" w:eastAsia="Times New Roman" w:hint="default"/>
            </w:rPr>
          </w:pPr>
          <w:hyperlink w:history="true" w:anchor="_TOC_250004">
            <w:r>
              <w:rPr/>
              <w:t>第六节 股份变动及股东情况</w:t>
            </w:r>
            <w:r>
              <w:rPr>
                <w:rFonts w:ascii="Times New Roman" w:hAnsi="Times New Roman" w:cs="Times New Roman" w:eastAsia="Times New Roman" w:hint="default"/>
              </w:rPr>
              <w:tab/>
              <w:t>31</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3">
            <w:r>
              <w:rPr/>
              <w:t>第七节 董事、监事、高级管理人员和员工情况</w:t>
            </w:r>
            <w:r>
              <w:rPr>
                <w:rFonts w:ascii="Times New Roman" w:hAnsi="Times New Roman" w:cs="Times New Roman" w:eastAsia="Times New Roman" w:hint="default"/>
              </w:rPr>
              <w:tab/>
              <w:t>38</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2">
            <w:r>
              <w:rPr/>
              <w:t>第八节 公司治理</w:t>
            </w:r>
            <w:r>
              <w:rPr>
                <w:rFonts w:ascii="Times New Roman" w:hAnsi="Times New Roman" w:cs="Times New Roman" w:eastAsia="Times New Roman" w:hint="default"/>
              </w:rPr>
              <w:tab/>
              <w:t>44</w:t>
            </w:r>
          </w:hyperlink>
        </w:p>
        <w:p>
          <w:pPr>
            <w:pStyle w:val="TOC1"/>
            <w:tabs>
              <w:tab w:pos="9780" w:val="right" w:leader="dot"/>
            </w:tabs>
            <w:spacing w:line="240" w:lineRule="auto" w:before="103"/>
            <w:ind w:right="0"/>
            <w:jc w:val="left"/>
            <w:rPr>
              <w:rFonts w:ascii="Times New Roman" w:hAnsi="Times New Roman" w:cs="Times New Roman" w:eastAsia="Times New Roman" w:hint="default"/>
            </w:rPr>
          </w:pPr>
          <w:hyperlink w:history="true" w:anchor="_TOC_250001">
            <w:r>
              <w:rPr/>
              <w:t>第九节 财务报告</w:t>
            </w:r>
            <w:r>
              <w:rPr>
                <w:rFonts w:ascii="Times New Roman" w:hAnsi="Times New Roman" w:cs="Times New Roman" w:eastAsia="Times New Roman" w:hint="default"/>
              </w:rPr>
              <w:tab/>
              <w:t>47</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0">
            <w:r>
              <w:rPr/>
              <w:t>第十节 备查文件目录</w:t>
            </w:r>
            <w:r>
              <w:rPr>
                <w:rFonts w:ascii="Times New Roman" w:hAnsi="Times New Roman" w:cs="Times New Roman" w:eastAsia="Times New Roman" w:hint="default"/>
              </w:rPr>
              <w:tab/>
              <w:t>130</w:t>
            </w:r>
          </w:hyperlink>
        </w:p>
        <w:p>
          <w:pPr/>
          <w:r>
            <w:fldChar w:fldCharType="end"/>
          </w:r>
        </w:p>
      </w:sdtContent>
    </w:sdt>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5"/>
        <w:rPr>
          <w:rFonts w:ascii="Times New Roman" w:hAnsi="Times New Roman" w:cs="Times New Roman" w:eastAsia="Times New Roman" w:hint="default"/>
          <w:sz w:val="30"/>
          <w:szCs w:val="30"/>
        </w:rPr>
      </w:pPr>
    </w:p>
    <w:p>
      <w:pPr>
        <w:spacing w:before="0"/>
        <w:ind w:left="495" w:right="49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4"/>
        <w:gridCol w:w="620"/>
        <w:gridCol w:w="5424"/>
      </w:tblGrid>
      <w:tr>
        <w:trPr>
          <w:trHeight w:val="401"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汉鼎股份、本公司、公司</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汉鼎信息科技股份有限公司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汉爵科技</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浙江汉爵科技有限公司，公司全资子公司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上海汉鼎</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上海汉鼎信息技术有限公司，公司全资子公司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四川通普</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四川通普集成系统工程有限责任公司，公司控股子公司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汉鼎集团</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浙江汉鼎宇佑实业控股集团有限公司，公司股东</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青悠安和广告</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杭州青悠安和广告有限公司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伊言糖影视</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浙江伊言糖影视文化有限公司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卓业投资</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杭州卓业投资发展有限公司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宝翔科技</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浙江宝翔科技有限公司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正维投资</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杭州正维投资管理有限公司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都城实业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杭州都城实业有限公司，公司股东</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深创投</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深圳市创新投资集团有限公司，公司股东</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浙江城建</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浙江城建建设集团有限公司，公司股东</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华润房产</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浙江华润房地产有限公司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华众房产</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杭州华众房地产开发有限公司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玄坛源实业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杭州玄坛源实业有限公司（原杭州红太阳房地产开发有限公司）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国润房产</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杭州国润房地产有限公司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百家乐房产</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浙江百家乐房地产开发有限公司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保昌科技</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杭州保昌科技咨询有限公司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国家发展和改革委员会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中华人民共和国国家发展和改革委员会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保荐人（主承销商）</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立信事务所</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国浩律师</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国浩律师（杭州）事务所</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报告期、本报告期</w:t>
            </w:r>
            <w:r>
              <w:rPr>
                <w:rFonts w:ascii="Times New Roman" w:hAnsi="Times New Roman" w:cs="Times New Roman" w:eastAsia="Times New Roman" w:hint="default"/>
                <w:sz w:val="18"/>
                <w:szCs w:val="18"/>
              </w:rPr>
              <w:t>/</w:t>
            </w:r>
            <w:r>
              <w:rPr>
                <w:rFonts w:ascii="宋体" w:hAnsi="宋体" w:cs="宋体" w:eastAsia="宋体" w:hint="default"/>
                <w:sz w:val="18"/>
                <w:szCs w:val="18"/>
              </w:rPr>
              <w:t>上年同期</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126" w:right="0"/>
        <w:jc w:val="left"/>
        <w:rPr>
          <w:b w:val="0"/>
          <w:bCs w:val="0"/>
        </w:rPr>
      </w:pPr>
      <w:bookmarkStart w:name="_TOC_250008" w:id="2"/>
      <w:r>
        <w:rPr/>
        <w:t>第二节</w:t>
      </w:r>
      <w:r>
        <w:rPr>
          <w:spacing w:val="-11"/>
        </w:rPr>
        <w:t> </w:t>
      </w:r>
      <w:r>
        <w:rPr/>
        <w:t>公司基本情况简介</w:t>
      </w:r>
      <w:bookmarkEnd w:id="2"/>
      <w:r>
        <w:rPr>
          <w:b w:val="0"/>
          <w:bCs w:val="0"/>
        </w:rPr>
      </w:r>
    </w:p>
    <w:p>
      <w:pPr>
        <w:spacing w:line="240" w:lineRule="auto" w:before="0"/>
        <w:rPr>
          <w:rFonts w:ascii="黑体" w:hAnsi="黑体" w:cs="黑体" w:eastAsia="黑体" w:hint="default"/>
          <w:b/>
          <w:bCs/>
          <w:sz w:val="20"/>
          <w:szCs w:val="20"/>
        </w:rPr>
      </w:pPr>
    </w:p>
    <w:p>
      <w:pPr>
        <w:spacing w:line="240" w:lineRule="auto" w:before="12"/>
        <w:rPr>
          <w:rFonts w:ascii="黑体" w:hAnsi="黑体" w:cs="黑体" w:eastAsia="黑体" w:hint="default"/>
          <w:b/>
          <w:bCs/>
          <w:sz w:val="16"/>
          <w:szCs w:val="16"/>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30"/>
        <w:gridCol w:w="2305"/>
        <w:gridCol w:w="2156"/>
        <w:gridCol w:w="2177"/>
      </w:tblGrid>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汉鼎股份</w:t>
            </w:r>
          </w:p>
        </w:tc>
        <w:tc>
          <w:tcPr>
            <w:tcW w:w="21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300300</w:t>
            </w:r>
          </w:p>
        </w:tc>
      </w:tr>
      <w:tr>
        <w:trPr>
          <w:trHeight w:val="401"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63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汉鼎信息科技股份有限公司</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汉鼎股份</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Hakim Information Technology</w:t>
            </w:r>
            <w:r>
              <w:rPr>
                <w:rFonts w:ascii="Times New Roman"/>
                <w:spacing w:val="-25"/>
                <w:sz w:val="18"/>
              </w:rPr>
              <w:t> </w:t>
            </w:r>
            <w:r>
              <w:rPr>
                <w:rFonts w:ascii="Times New Roman"/>
                <w:sz w:val="18"/>
              </w:rPr>
              <w:t>Co.,Ltd.</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杭州市延安路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号元通大厦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310006</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杭州市天目山路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号天际大厦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310007</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9">
              <w:r>
                <w:rPr>
                  <w:rFonts w:ascii="Times New Roman"/>
                  <w:sz w:val="18"/>
                </w:rPr>
                <w:t>http://www.hakim.com.cn/</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0">
              <w:r>
                <w:rPr>
                  <w:rFonts w:ascii="Times New Roman"/>
                  <w:sz w:val="18"/>
                </w:rPr>
                <w:t>hakim@hakim.com.cn</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王丽平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丁国卿</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杭州市天目山路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号天际大厦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杭州市天目山路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号天际大厦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0571-89938397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0571-89938397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0571-88303333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0571-88303333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hakim@hakim.com.cn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hakim@hakim.com.cn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60"/>
        <w:gridCol w:w="5708"/>
      </w:tblGrid>
      <w:tr>
        <w:trPr>
          <w:trHeight w:val="402" w:hRule="exact"/>
        </w:trPr>
        <w:tc>
          <w:tcPr>
            <w:tcW w:w="3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《证券日报》、《证券时报》、《中国证券报》、《上海证券报》</w:t>
            </w:r>
          </w:p>
        </w:tc>
      </w:tr>
      <w:tr>
        <w:trPr>
          <w:trHeight w:val="402" w:hRule="exact"/>
        </w:trPr>
        <w:tc>
          <w:tcPr>
            <w:tcW w:w="3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r>
        <w:rPr/>
        <w:t>四、公司历史沿革</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51"/>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杭州市工商行政管 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330103000037043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330103744143784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74414378-4</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变更为股份有限公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杭州市工商行政管 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330103000037043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330103744143784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74414378-4</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首次公开发行股票 变更注册登记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浙江省工商行政管 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330000000063403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330103744143784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74414378-4</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注册地址变更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浙江省工商行政管 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330000000063403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330103744143784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74414378-4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_TOC_250007" w:id="3"/>
      <w:r>
        <w:rPr/>
        <w:t>第三节</w:t>
      </w:r>
      <w:r>
        <w:rPr>
          <w:spacing w:val="-13"/>
        </w:rPr>
        <w:t> </w:t>
      </w:r>
      <w:r>
        <w:rPr/>
        <w:t>会计数据和财务指标摘要</w:t>
      </w:r>
      <w:bookmarkEnd w:id="3"/>
      <w:r>
        <w:rPr>
          <w:b w:val="0"/>
          <w:bCs w:val="0"/>
        </w:rPr>
      </w:r>
    </w:p>
    <w:p>
      <w:pPr>
        <w:spacing w:line="240" w:lineRule="auto" w:before="11"/>
        <w:rPr>
          <w:rFonts w:ascii="黑体" w:hAnsi="黑体" w:cs="黑体" w:eastAsia="黑体" w:hint="default"/>
          <w:b/>
          <w:bCs/>
          <w:sz w:val="38"/>
          <w:szCs w:val="38"/>
        </w:rPr>
      </w:pPr>
    </w:p>
    <w:p>
      <w:pPr>
        <w:pStyle w:val="Heading2"/>
        <w:spacing w:line="240" w:lineRule="auto"/>
        <w:ind w:right="0"/>
        <w:jc w:val="left"/>
        <w:rPr>
          <w:b w:val="0"/>
          <w:bCs w:val="0"/>
        </w:rPr>
      </w:pP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338" w:lineRule="auto" w:before="117"/>
        <w:ind w:right="86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主要会计数据</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2620"/>
        <w:gridCol w:w="1738"/>
        <w:gridCol w:w="1738"/>
        <w:gridCol w:w="1739"/>
        <w:gridCol w:w="1735"/>
      </w:tblGrid>
      <w:tr>
        <w:trPr>
          <w:trHeight w:val="401"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营业总收入（元）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403,145,027.74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333,428,732.56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20.91%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172,993,662.56</w:t>
            </w:r>
          </w:p>
        </w:tc>
      </w:tr>
      <w:tr>
        <w:trPr>
          <w:trHeight w:val="402"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63,184,700.64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48,945,574.59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29.09%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36,983,176.46</w:t>
            </w:r>
          </w:p>
        </w:tc>
      </w:tr>
      <w:tr>
        <w:trPr>
          <w:trHeight w:val="402"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66,824,490.05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61,300,687.70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39,441,945.53</w:t>
            </w:r>
          </w:p>
        </w:tc>
      </w:tr>
      <w:tr>
        <w:trPr>
          <w:trHeight w:val="714"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55,598,274.01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52,366,260.19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33,607,997.42</w:t>
            </w:r>
          </w:p>
        </w:tc>
      </w:tr>
      <w:tr>
        <w:trPr>
          <w:trHeight w:val="714"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52,240,308.53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41,699,364.67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25.28%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29,235,652.46</w:t>
            </w:r>
          </w:p>
        </w:tc>
      </w:tr>
      <w:tr>
        <w:trPr>
          <w:trHeight w:val="715"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-25,825,405.55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-17,942,268.00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-43.94%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31,986,868.20</w:t>
            </w:r>
          </w:p>
        </w:tc>
      </w:tr>
      <w:tr>
        <w:trPr>
          <w:trHeight w:val="161" w:hRule="exact"/>
        </w:trPr>
        <w:tc>
          <w:tcPr>
            <w:tcW w:w="2620"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73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391" w:hRule="exact"/>
        </w:trPr>
        <w:tc>
          <w:tcPr>
            <w:tcW w:w="2620" w:type="dxa"/>
            <w:tcBorders>
              <w:top w:val="nil" w:sz="6" w:space="0" w:color="auto"/>
              <w:left w:val="single" w:sz="4" w:space="0" w:color="000000"/>
              <w:bottom w:val="nil" w:sz="6" w:space="0" w:color="auto"/>
              <w:right w:val="single" w:sz="4" w:space="0" w:color="000000"/>
            </w:tcBorders>
            <w:shd w:val="clear" w:color="auto" w:fill="D3D3D3"/>
          </w:tcPr>
          <w:p>
            <w:pPr/>
          </w:p>
        </w:tc>
        <w:tc>
          <w:tcPr>
            <w:tcW w:w="1738" w:type="dxa"/>
            <w:vMerge/>
            <w:tcBorders>
              <w:left w:val="single" w:sz="4" w:space="0" w:color="000000"/>
              <w:right w:val="single" w:sz="4" w:space="0" w:color="000000"/>
            </w:tcBorders>
            <w:shd w:val="clear" w:color="auto" w:fill="D3D3D3"/>
          </w:tcPr>
          <w:p>
            <w:pPr/>
          </w:p>
        </w:tc>
        <w:tc>
          <w:tcPr>
            <w:tcW w:w="1738" w:type="dxa"/>
            <w:vMerge/>
            <w:tcBorders>
              <w:left w:val="single" w:sz="4" w:space="0" w:color="000000"/>
              <w:right w:val="single" w:sz="4" w:space="0" w:color="000000"/>
            </w:tcBorders>
            <w:shd w:val="clear" w:color="auto" w:fill="D3D3D3"/>
          </w:tcPr>
          <w:p>
            <w:pPr/>
          </w:p>
        </w:tc>
        <w:tc>
          <w:tcPr>
            <w:tcW w:w="1739" w:type="dxa"/>
            <w:vMerge/>
            <w:tcBorders>
              <w:left w:val="single" w:sz="4" w:space="0" w:color="000000"/>
              <w:right w:val="single" w:sz="4" w:space="0" w:color="000000"/>
            </w:tcBorders>
            <w:shd w:val="clear" w:color="auto" w:fill="D3D3D3"/>
          </w:tcPr>
          <w:p>
            <w:pPr/>
          </w:p>
        </w:tc>
        <w:tc>
          <w:tcPr>
            <w:tcW w:w="1735" w:type="dxa"/>
            <w:vMerge/>
            <w:tcBorders>
              <w:left w:val="single" w:sz="4" w:space="0" w:color="000000"/>
              <w:right w:val="single" w:sz="4" w:space="0" w:color="000000"/>
            </w:tcBorders>
            <w:shd w:val="clear" w:color="auto" w:fill="D3D3D3"/>
          </w:tcPr>
          <w:p>
            <w:pPr/>
          </w:p>
        </w:tc>
      </w:tr>
      <w:tr>
        <w:trPr>
          <w:trHeight w:val="161" w:hRule="exact"/>
        </w:trPr>
        <w:tc>
          <w:tcPr>
            <w:tcW w:w="2620"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8" w:type="dxa"/>
            <w:vMerge/>
            <w:tcBorders>
              <w:left w:val="single" w:sz="4" w:space="0" w:color="000000"/>
              <w:bottom w:val="single" w:sz="4" w:space="0" w:color="000000"/>
              <w:right w:val="single" w:sz="4" w:space="0" w:color="000000"/>
            </w:tcBorders>
            <w:shd w:val="clear" w:color="auto" w:fill="D3D3D3"/>
          </w:tcPr>
          <w:p>
            <w:pPr/>
          </w:p>
        </w:tc>
        <w:tc>
          <w:tcPr>
            <w:tcW w:w="1738" w:type="dxa"/>
            <w:vMerge/>
            <w:tcBorders>
              <w:left w:val="single" w:sz="4" w:space="0" w:color="000000"/>
              <w:bottom w:val="single" w:sz="4" w:space="0" w:color="000000"/>
              <w:right w:val="single" w:sz="4" w:space="0" w:color="000000"/>
            </w:tcBorders>
            <w:shd w:val="clear" w:color="auto" w:fill="D3D3D3"/>
          </w:tcPr>
          <w:p>
            <w:pPr/>
          </w:p>
        </w:tc>
        <w:tc>
          <w:tcPr>
            <w:tcW w:w="1739" w:type="dxa"/>
            <w:vMerge/>
            <w:tcBorders>
              <w:left w:val="single" w:sz="4" w:space="0" w:color="000000"/>
              <w:bottom w:val="single" w:sz="4" w:space="0" w:color="000000"/>
              <w:right w:val="single" w:sz="4" w:space="0" w:color="000000"/>
            </w:tcBorders>
            <w:shd w:val="clear" w:color="auto" w:fill="D3D3D3"/>
          </w:tcPr>
          <w:p>
            <w:pPr/>
          </w:p>
        </w:tc>
        <w:tc>
          <w:tcPr>
            <w:tcW w:w="173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807,701,524.45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325,357,751.78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148.25%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209,764,345.63</w:t>
            </w:r>
          </w:p>
        </w:tc>
      </w:tr>
      <w:tr>
        <w:trPr>
          <w:trHeight w:val="402"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217,858,355.71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137,662,954.73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58.25%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67,935,808.77</w:t>
            </w:r>
          </w:p>
        </w:tc>
      </w:tr>
      <w:tr>
        <w:trPr>
          <w:trHeight w:val="714"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归属于上市公司股东的所有者权 益（元）</w:t>
            </w:r>
          </w:p>
        </w:tc>
        <w:tc>
          <w:tcPr>
            <w:tcW w:w="17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585,069,071.06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187,694,797.05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211.71%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141,828,536.86</w:t>
            </w:r>
          </w:p>
        </w:tc>
      </w:tr>
      <w:tr>
        <w:trPr>
          <w:trHeight w:val="403"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87,000,000.00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65,000,000.00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33.85%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65,000,000.00</w:t>
            </w:r>
          </w:p>
        </w:tc>
      </w:tr>
    </w:tbl>
    <w:p>
      <w:pPr>
        <w:pStyle w:val="BodyText"/>
        <w:spacing w:line="240" w:lineRule="auto" w:before="51"/>
        <w:ind w:right="0"/>
        <w:jc w:val="left"/>
      </w:pPr>
      <w:r>
        <w:rPr/>
        <w:t>主要财务指标</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24"/>
        <w:gridCol w:w="1736"/>
        <w:gridCol w:w="1736"/>
        <w:gridCol w:w="1736"/>
        <w:gridCol w:w="1735"/>
      </w:tblGrid>
      <w:tr>
        <w:trPr>
          <w:trHeight w:val="401"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0.81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0.56</w:t>
            </w:r>
          </w:p>
        </w:tc>
      </w:tr>
      <w:tr>
        <w:trPr>
          <w:trHeight w:val="402"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0.81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0.56</w:t>
            </w:r>
          </w:p>
        </w:tc>
      </w:tr>
      <w:tr>
        <w:trPr>
          <w:trHeight w:val="714"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扣除非经常性损益后的基本每股 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0.48</w:t>
            </w:r>
          </w:p>
        </w:tc>
      </w:tr>
      <w:tr>
        <w:trPr>
          <w:trHeight w:val="402"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全面摊薄净资产收益率（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23.7%</w:t>
            </w:r>
          </w:p>
        </w:tc>
      </w:tr>
      <w:tr>
        <w:trPr>
          <w:trHeight w:val="402"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11.62%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32.21%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-20.59%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33.7%</w:t>
            </w:r>
          </w:p>
        </w:tc>
      </w:tr>
      <w:tr>
        <w:trPr>
          <w:trHeight w:val="714"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扣除非经常性损益后全面摊薄净 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22.22%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20.61%</w:t>
            </w:r>
          </w:p>
        </w:tc>
      </w:tr>
      <w:tr>
        <w:trPr>
          <w:trHeight w:val="402"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4"/>
        <w:gridCol w:w="1736"/>
        <w:gridCol w:w="1736"/>
        <w:gridCol w:w="1736"/>
        <w:gridCol w:w="1735"/>
      </w:tblGrid>
      <w:tr>
        <w:trPr>
          <w:trHeight w:val="362"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6"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-0.2968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-0.276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0.4921</w:t>
            </w:r>
          </w:p>
        </w:tc>
      </w:tr>
      <w:tr>
        <w:trPr>
          <w:trHeight w:val="161" w:hRule="exact"/>
        </w:trPr>
        <w:tc>
          <w:tcPr>
            <w:tcW w:w="2624"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73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392" w:hRule="exact"/>
        </w:trPr>
        <w:tc>
          <w:tcPr>
            <w:tcW w:w="2624" w:type="dxa"/>
            <w:tcBorders>
              <w:top w:val="nil" w:sz="6" w:space="0" w:color="auto"/>
              <w:left w:val="single" w:sz="4" w:space="0" w:color="000000"/>
              <w:bottom w:val="nil" w:sz="6" w:space="0" w:color="auto"/>
              <w:right w:val="single" w:sz="4" w:space="0" w:color="000000"/>
            </w:tcBorders>
            <w:shd w:val="clear" w:color="auto" w:fill="D3D3D3"/>
          </w:tcPr>
          <w:p>
            <w:pPr/>
          </w:p>
        </w:tc>
        <w:tc>
          <w:tcPr>
            <w:tcW w:w="1736" w:type="dxa"/>
            <w:vMerge/>
            <w:tcBorders>
              <w:left w:val="single" w:sz="4" w:space="0" w:color="000000"/>
              <w:right w:val="single" w:sz="4" w:space="0" w:color="000000"/>
            </w:tcBorders>
            <w:shd w:val="clear" w:color="auto" w:fill="D3D3D3"/>
          </w:tcPr>
          <w:p>
            <w:pPr/>
          </w:p>
        </w:tc>
        <w:tc>
          <w:tcPr>
            <w:tcW w:w="1736" w:type="dxa"/>
            <w:vMerge/>
            <w:tcBorders>
              <w:left w:val="single" w:sz="4" w:space="0" w:color="000000"/>
              <w:right w:val="single" w:sz="4" w:space="0" w:color="000000"/>
            </w:tcBorders>
            <w:shd w:val="clear" w:color="auto" w:fill="D3D3D3"/>
          </w:tcPr>
          <w:p>
            <w:pPr/>
          </w:p>
        </w:tc>
        <w:tc>
          <w:tcPr>
            <w:tcW w:w="1736" w:type="dxa"/>
            <w:vMerge/>
            <w:tcBorders>
              <w:left w:val="single" w:sz="4" w:space="0" w:color="000000"/>
              <w:right w:val="single" w:sz="4" w:space="0" w:color="000000"/>
            </w:tcBorders>
            <w:shd w:val="clear" w:color="auto" w:fill="D3D3D3"/>
          </w:tcPr>
          <w:p>
            <w:pPr/>
          </w:p>
        </w:tc>
        <w:tc>
          <w:tcPr>
            <w:tcW w:w="1735" w:type="dxa"/>
            <w:vMerge/>
            <w:tcBorders>
              <w:left w:val="single" w:sz="4" w:space="0" w:color="000000"/>
              <w:right w:val="single" w:sz="4" w:space="0" w:color="000000"/>
            </w:tcBorders>
            <w:shd w:val="clear" w:color="auto" w:fill="D3D3D3"/>
          </w:tcPr>
          <w:p>
            <w:pPr/>
          </w:p>
        </w:tc>
      </w:tr>
      <w:tr>
        <w:trPr>
          <w:trHeight w:val="161" w:hRule="exact"/>
        </w:trPr>
        <w:tc>
          <w:tcPr>
            <w:tcW w:w="2624"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6" w:type="dxa"/>
            <w:vMerge/>
            <w:tcBorders>
              <w:left w:val="single" w:sz="4" w:space="0" w:color="000000"/>
              <w:bottom w:val="single" w:sz="4" w:space="0" w:color="000000"/>
              <w:right w:val="single" w:sz="4" w:space="0" w:color="000000"/>
            </w:tcBorders>
            <w:shd w:val="clear" w:color="auto" w:fill="D3D3D3"/>
          </w:tcPr>
          <w:p>
            <w:pPr/>
          </w:p>
        </w:tc>
        <w:tc>
          <w:tcPr>
            <w:tcW w:w="1736" w:type="dxa"/>
            <w:vMerge/>
            <w:tcBorders>
              <w:left w:val="single" w:sz="4" w:space="0" w:color="000000"/>
              <w:bottom w:val="single" w:sz="4" w:space="0" w:color="000000"/>
              <w:right w:val="single" w:sz="4" w:space="0" w:color="000000"/>
            </w:tcBorders>
            <w:shd w:val="clear" w:color="auto" w:fill="D3D3D3"/>
          </w:tcPr>
          <w:p>
            <w:pPr/>
          </w:p>
        </w:tc>
        <w:tc>
          <w:tcPr>
            <w:tcW w:w="1736" w:type="dxa"/>
            <w:vMerge/>
            <w:tcBorders>
              <w:left w:val="single" w:sz="4" w:space="0" w:color="000000"/>
              <w:bottom w:val="single" w:sz="4" w:space="0" w:color="000000"/>
              <w:right w:val="single" w:sz="4" w:space="0" w:color="000000"/>
            </w:tcBorders>
            <w:shd w:val="clear" w:color="auto" w:fill="D3D3D3"/>
          </w:tcPr>
          <w:p>
            <w:pPr/>
          </w:p>
        </w:tc>
        <w:tc>
          <w:tcPr>
            <w:tcW w:w="1735"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归属于上市公司股东的每股净资 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6.7249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2.8876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132.89%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2.182</w:t>
            </w:r>
          </w:p>
        </w:tc>
      </w:tr>
      <w:tr>
        <w:trPr>
          <w:trHeight w:val="402"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资产负债率（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26.97%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32.39%</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二、报告期内非经常性损益的项目及金额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96"/>
        <w:gridCol w:w="1519"/>
        <w:gridCol w:w="1520"/>
        <w:gridCol w:w="1522"/>
        <w:gridCol w:w="1710"/>
      </w:tblGrid>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-268.88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-15,687.25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-774,911.91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19" w:type="dxa"/>
            <w:tcBorders>
              <w:top w:val="single" w:sz="4" w:space="0" w:color="000000"/>
              <w:left w:val="single" w:sz="13" w:space="0" w:color="D3D3D3"/>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94,882.04</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4,065,100.00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5,124,263.16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2,612,586.84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19" w:type="dxa"/>
            <w:tcBorders>
              <w:top w:val="single" w:sz="4" w:space="0" w:color="000000"/>
              <w:left w:val="single" w:sz="13" w:space="0" w:color="D3D3D3"/>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3,536,979.48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19" w:type="dxa"/>
            <w:tcBorders>
              <w:top w:val="single" w:sz="4" w:space="0" w:color="000000"/>
              <w:left w:val="single" w:sz="10" w:space="0" w:color="D3D3D3"/>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-2,144.33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-114,189.38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7,380,127.97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-9,922.66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592,676.26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1,916,690.40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821,719.55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168,522.91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3,357,965.48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10,666,895.52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4,372,344.96</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514" w:right="0"/>
        <w:jc w:val="left"/>
      </w:pPr>
      <w:r>
        <w:rPr/>
        <w:t>对公司根据《公开发行证券的公司信息披露解释性公告第</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3"/>
        </w:rPr>
        <w:t>号</w:t>
      </w:r>
      <w:r>
        <w:rPr>
          <w:rFonts w:ascii="Times New Roman" w:hAnsi="Times New Roman" w:cs="Times New Roman" w:eastAsia="Times New Roman" w:hint="default"/>
          <w:spacing w:val="-3"/>
        </w:rPr>
        <w:t>——</w:t>
      </w:r>
      <w:r>
        <w:rPr>
          <w:spacing w:val="-3"/>
        </w:rPr>
        <w:t>非经常性损益》定义界定的非经常性损益项目，以及</w:t>
      </w:r>
    </w:p>
    <w:p>
      <w:pPr>
        <w:pStyle w:val="BodyText"/>
        <w:spacing w:line="302" w:lineRule="auto" w:before="61"/>
        <w:ind w:right="136"/>
        <w:jc w:val="left"/>
      </w:pPr>
      <w:r>
        <w:rPr>
          <w:spacing w:val="-2"/>
        </w:rPr>
        <w:t>把《公开发行证券的公司信息披露解释性公告第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spacing w:val="-2"/>
        </w:rPr>
        <w:t>号</w:t>
      </w:r>
      <w:r>
        <w:rPr>
          <w:rFonts w:ascii="Times New Roman" w:hAnsi="Times New Roman" w:cs="Times New Roman" w:eastAsia="Times New Roman" w:hint="default"/>
          <w:spacing w:val="-2"/>
        </w:rPr>
        <w:t>——</w:t>
      </w:r>
      <w:r>
        <w:rPr>
          <w:spacing w:val="-2"/>
        </w:rPr>
        <w:t>非经常性损益》中列举的非经常性损益项目界定为经常性损益的项</w:t>
      </w:r>
      <w:r>
        <w:rPr>
          <w:spacing w:val="-88"/>
        </w:rPr>
        <w:t> </w:t>
      </w:r>
      <w:r>
        <w:rPr>
          <w:spacing w:val="-88"/>
        </w:rPr>
      </w:r>
      <w:r>
        <w:rPr/>
        <w:t>目，应说明原因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三、重大风险提示</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14" w:right="0" w:hanging="360"/>
        <w:jc w:val="left"/>
      </w:pPr>
      <w:r>
        <w:rPr>
          <w:rFonts w:ascii="宋体" w:hAnsi="宋体" w:cs="宋体" w:eastAsia="宋体" w:hint="default"/>
          <w:b/>
          <w:bCs/>
        </w:rPr>
        <w:t>1、行业政策风险</w:t>
      </w:r>
      <w:r>
        <w:rPr>
          <w:rFonts w:ascii="宋体" w:hAnsi="宋体" w:cs="宋体" w:eastAsia="宋体" w:hint="default"/>
          <w:b/>
          <w:bCs/>
          <w:w w:val="99"/>
        </w:rPr>
        <w:t> </w:t>
      </w:r>
      <w:r>
        <w:rPr>
          <w:spacing w:val="-2"/>
        </w:rPr>
        <w:t>如果智能化下游行业的产业政策导向发生变更，导致下游行业发展放缓，可能对本公司的发展环境和市场需求造成不利</w:t>
      </w:r>
    </w:p>
    <w:p>
      <w:pPr>
        <w:spacing w:after="0" w:line="316"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16" w:lineRule="auto" w:before="44"/>
        <w:ind w:left="153" w:right="188"/>
        <w:jc w:val="both"/>
      </w:pPr>
      <w:r>
        <w:rPr>
          <w:spacing w:val="-2"/>
        </w:rPr>
        <w:t>影响。应对措施：在人力成本上升、能源稀缺、经济转型和结构升级的背景下，国内智能化技术应用领域在不断扩展，公司</w:t>
      </w:r>
      <w:r>
        <w:rPr>
          <w:spacing w:val="-68"/>
        </w:rPr>
        <w:t> </w:t>
      </w:r>
      <w:r>
        <w:rPr>
          <w:spacing w:val="-68"/>
        </w:rPr>
      </w:r>
      <w:r>
        <w:rPr>
          <w:spacing w:val="-2"/>
        </w:rPr>
        <w:t>在巩固建筑智能化主营业务的同时，紧紧把握国家政策导向，增加投入公共安全领域、智慧节能领域，加强区域拓展和海外</w:t>
      </w:r>
      <w:r>
        <w:rPr>
          <w:spacing w:val="-66"/>
        </w:rPr>
        <w:t> </w:t>
      </w:r>
      <w:r>
        <w:rPr>
          <w:spacing w:val="-66"/>
        </w:rPr>
      </w:r>
      <w:r>
        <w:rPr/>
        <w:t>市场拓展，形成多领域、多地城业务布局，化解政策变化带来的风险。</w:t>
      </w:r>
    </w:p>
    <w:p>
      <w:pPr>
        <w:spacing w:before="19"/>
        <w:ind w:left="153" w:right="91" w:firstLine="0"/>
        <w:jc w:val="left"/>
        <w:rPr>
          <w:rFonts w:ascii="宋体" w:hAnsi="宋体" w:cs="宋体" w:eastAsia="宋体" w:hint="default"/>
          <w:sz w:val="18"/>
          <w:szCs w:val="18"/>
        </w:rPr>
      </w:pPr>
      <w:r>
        <w:rPr>
          <w:rFonts w:ascii="宋体" w:hAnsi="宋体" w:cs="宋体" w:eastAsia="宋体" w:hint="default"/>
          <w:b/>
          <w:bCs/>
          <w:sz w:val="18"/>
          <w:szCs w:val="18"/>
        </w:rPr>
        <w:t>2、成长性风险</w:t>
      </w:r>
      <w:r>
        <w:rPr>
          <w:rFonts w:ascii="宋体" w:hAnsi="宋体" w:cs="宋体" w:eastAsia="宋体" w:hint="default"/>
          <w:sz w:val="18"/>
          <w:szCs w:val="18"/>
        </w:rPr>
      </w:r>
    </w:p>
    <w:p>
      <w:pPr>
        <w:pStyle w:val="BodyText"/>
        <w:spacing w:line="316" w:lineRule="auto" w:before="76"/>
        <w:ind w:left="153" w:right="91" w:firstLine="360"/>
        <w:jc w:val="left"/>
      </w:pPr>
      <w:r>
        <w:rPr>
          <w:spacing w:val="-2"/>
        </w:rPr>
        <w:t>如果公司发生对智能化行业的技术发展方向、下游行业对智能化技术的实际需求判断失误或市场开拓不同步等情形，将</w:t>
      </w:r>
      <w:r>
        <w:rPr/>
        <w:t> 对公司的快速成长造成不利影响。应对措施：公司制定了研发项目立项审批制度，只有紧跟市场需要、得到下游客户认同、 </w:t>
      </w:r>
      <w:r>
        <w:rPr>
          <w:spacing w:val="-2"/>
        </w:rPr>
        <w:t>契合政策支持导向的项目才能获准立项，力求在最大程度上保证技术研发成果快速转化并达到接单状态，成为公司新的利润</w:t>
      </w:r>
      <w:r>
        <w:rPr>
          <w:spacing w:val="-64"/>
        </w:rPr>
        <w:t> </w:t>
      </w:r>
      <w:r>
        <w:rPr>
          <w:spacing w:val="-64"/>
        </w:rPr>
      </w:r>
      <w:r>
        <w:rPr/>
        <w:t>增长点。</w:t>
      </w:r>
    </w:p>
    <w:p>
      <w:pPr>
        <w:pStyle w:val="BodyText"/>
        <w:spacing w:line="316" w:lineRule="auto" w:before="19"/>
        <w:ind w:left="513" w:right="91" w:hanging="360"/>
        <w:jc w:val="left"/>
      </w:pPr>
      <w:r>
        <w:rPr>
          <w:rFonts w:ascii="宋体" w:hAnsi="宋体" w:cs="宋体" w:eastAsia="宋体" w:hint="default"/>
          <w:b/>
          <w:bCs/>
        </w:rPr>
        <w:t>3、市场竞争风险</w:t>
      </w:r>
      <w:r>
        <w:rPr>
          <w:rFonts w:ascii="宋体" w:hAnsi="宋体" w:cs="宋体" w:eastAsia="宋体" w:hint="default"/>
          <w:b/>
          <w:bCs/>
          <w:w w:val="99"/>
        </w:rPr>
        <w:t> </w:t>
      </w:r>
      <w:r>
        <w:rPr>
          <w:spacing w:val="-4"/>
        </w:rPr>
        <w:t>随着智能化技术的不断发展及行业内管理的日益规范，智能化行业进入壁垒日益提高，对智能化行业内企业技术、资质、</w:t>
      </w:r>
    </w:p>
    <w:p>
      <w:pPr>
        <w:pStyle w:val="BodyText"/>
        <w:spacing w:line="316" w:lineRule="auto" w:before="19"/>
        <w:ind w:left="153" w:right="91"/>
        <w:jc w:val="left"/>
      </w:pPr>
      <w:r>
        <w:rPr>
          <w:spacing w:val="-2"/>
        </w:rPr>
        <w:t>规模和资金实力等方面的要求不断提高。如果行业内更多的企业取得高等级资质，则将加剧智能化行业的竞争激烈程度，从</w:t>
      </w:r>
      <w:r>
        <w:rPr>
          <w:spacing w:val="-66"/>
        </w:rPr>
        <w:t> </w:t>
      </w:r>
      <w:r>
        <w:rPr>
          <w:spacing w:val="-66"/>
        </w:rPr>
      </w:r>
      <w:r>
        <w:rPr>
          <w:spacing w:val="-4"/>
        </w:rPr>
        <w:t>而影响公司的市场份额和项目获利水平。应对措施：完善资质体系，除继续保持从事智能化工程设计施工所需的最高资质外，</w:t>
      </w:r>
      <w:r>
        <w:rPr>
          <w:spacing w:val="-44"/>
        </w:rPr>
        <w:t> </w:t>
      </w:r>
      <w:r>
        <w:rPr>
          <w:spacing w:val="-44"/>
        </w:rPr>
      </w:r>
      <w:r>
        <w:rPr>
          <w:spacing w:val="-2"/>
        </w:rPr>
        <w:t>本报告期公司全资子公司汉爵科技获得了机电安装工程施工总承包二级资质，这是公司往总包方向迈出的第一步，将有利于</w:t>
      </w:r>
      <w:r>
        <w:rPr>
          <w:spacing w:val="-64"/>
        </w:rPr>
        <w:t> </w:t>
      </w:r>
      <w:r>
        <w:rPr>
          <w:spacing w:val="-64"/>
        </w:rPr>
      </w:r>
      <w:r>
        <w:rPr>
          <w:spacing w:val="-4"/>
        </w:rPr>
        <w:t>扩大公司的业务规模，增加公司的盈利能力。借上市给公司带来的资金、知名度等有利条件，加大研发投入，保持技术领先，</w:t>
      </w:r>
      <w:r>
        <w:rPr>
          <w:spacing w:val="-44"/>
        </w:rPr>
        <w:t> </w:t>
      </w:r>
      <w:r>
        <w:rPr>
          <w:spacing w:val="-44"/>
        </w:rPr>
      </w:r>
      <w:r>
        <w:rPr/>
        <w:t>提高品牌识别度，抢占市场先机，维持公司的竞争优势。</w:t>
      </w:r>
    </w:p>
    <w:p>
      <w:pPr>
        <w:spacing w:after="0" w:line="316"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92" w:right="3628"/>
        <w:jc w:val="center"/>
        <w:rPr>
          <w:b w:val="0"/>
          <w:bCs w:val="0"/>
        </w:rPr>
      </w:pPr>
      <w:bookmarkStart w:name="_TOC_250006" w:id="4"/>
      <w:r>
        <w:rPr/>
        <w:t>第四节</w:t>
      </w:r>
      <w:r>
        <w:rPr>
          <w:spacing w:val="-8"/>
        </w:rPr>
        <w:t> </w:t>
      </w:r>
      <w:r>
        <w:rPr/>
        <w:t>董事会报告</w:t>
      </w:r>
      <w:bookmarkEnd w:id="4"/>
      <w:r>
        <w:rPr>
          <w:b w:val="0"/>
          <w:bCs w:val="0"/>
        </w:rPr>
      </w:r>
    </w:p>
    <w:p>
      <w:pPr>
        <w:spacing w:line="240" w:lineRule="auto" w:before="0"/>
        <w:rPr>
          <w:rFonts w:ascii="黑体" w:hAnsi="黑体" w:cs="黑体" w:eastAsia="黑体" w:hint="default"/>
          <w:b/>
          <w:bCs/>
          <w:sz w:val="20"/>
          <w:szCs w:val="20"/>
        </w:rPr>
      </w:pPr>
    </w:p>
    <w:p>
      <w:pPr>
        <w:spacing w:line="240" w:lineRule="auto" w:before="12"/>
        <w:rPr>
          <w:rFonts w:ascii="黑体" w:hAnsi="黑体" w:cs="黑体" w:eastAsia="黑体" w:hint="default"/>
          <w:b/>
          <w:bCs/>
          <w:sz w:val="16"/>
          <w:szCs w:val="16"/>
        </w:rPr>
      </w:pPr>
    </w:p>
    <w:p>
      <w:pPr>
        <w:pStyle w:val="Heading2"/>
        <w:spacing w:line="240" w:lineRule="auto" w:before="26"/>
        <w:ind w:right="91"/>
        <w:jc w:val="left"/>
        <w:rPr>
          <w:b w:val="0"/>
          <w:bCs w:val="0"/>
        </w:rPr>
      </w:pPr>
      <w:r>
        <w:rPr/>
        <w:t>一、管理层讨论与分析</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91" w:firstLine="360"/>
        <w:jc w:val="left"/>
      </w:pPr>
      <w:r>
        <w:rPr>
          <w:spacing w:val="-2"/>
        </w:rPr>
        <w:t>2012年是公司发展道路上的一个重要里程碑，这一年公司成功发行股票并在深圳证券交易所上市，为公司的进一步发展</w:t>
      </w:r>
      <w:r>
        <w:rPr/>
        <w:t> </w:t>
      </w:r>
      <w:r>
        <w:rPr>
          <w:spacing w:val="-4"/>
        </w:rPr>
        <w:t>提供了良好的契机。2012年也是公司发展进程中一个承前启后的重要阶段，公司主营业务延续了发展的势头，业绩持续增长，</w:t>
      </w:r>
      <w:r>
        <w:rPr>
          <w:spacing w:val="-36"/>
        </w:rPr>
        <w:t> </w:t>
      </w:r>
      <w:r>
        <w:rPr>
          <w:spacing w:val="-36"/>
        </w:rPr>
      </w:r>
      <w:r>
        <w:rPr/>
        <w:t>同时乘着登陆资本市场的东风，按计划实施募投项目、布局未来利润增长点业务，为公司的继续发展垫定了良好的基础。</w:t>
      </w:r>
    </w:p>
    <w:p>
      <w:pPr>
        <w:pStyle w:val="BodyText"/>
        <w:spacing w:line="316" w:lineRule="auto" w:before="19"/>
        <w:ind w:left="153" w:right="189" w:firstLine="360"/>
        <w:jc w:val="both"/>
      </w:pPr>
      <w:r>
        <w:rPr/>
        <w:t>报告期内，公司经营业绩良好。实现营业收入40,314.50万元，与上年同期相比增加20.91%，实现营业利润6,318.47万 元，与上年同期相比增加29.09%，实现净利润5,559.83万元，与上年同期相比增加6.17%，实现扣除非经常性损益后净利润 </w:t>
      </w:r>
      <w:r>
        <w:rPr>
          <w:spacing w:val="-2"/>
        </w:rPr>
        <w:t>5,224.03万元，与上年同期相比增加25.28%。经营业绩的增长得益于智能化业务延续了增长趋势，规模不断扩大，盈利能力</w:t>
      </w:r>
      <w:r>
        <w:rPr>
          <w:spacing w:val="-52"/>
        </w:rPr>
        <w:t> </w:t>
      </w:r>
      <w:r>
        <w:rPr>
          <w:spacing w:val="-52"/>
        </w:rPr>
      </w:r>
      <w:r>
        <w:rPr/>
        <w:t>不断增加。受上年同期转让房产贡献利润影响，本报告期净利润增长率低于营业利润增长率。</w:t>
      </w:r>
    </w:p>
    <w:p>
      <w:pPr>
        <w:pStyle w:val="BodyText"/>
        <w:spacing w:line="316" w:lineRule="auto" w:before="19"/>
        <w:ind w:left="153" w:right="91" w:firstLine="360"/>
        <w:jc w:val="left"/>
      </w:pPr>
      <w:r>
        <w:rPr/>
        <w:t>报告期内，公司新增合同和新中标项目金额计7.28亿元，实现了全年保七亿的经营目标。公司疏理并优化了业务体系， </w:t>
      </w:r>
      <w:r>
        <w:rPr>
          <w:spacing w:val="-2"/>
        </w:rPr>
        <w:t>把公司业务分为传统业务和创新业务。传统业务方面加紧区域中心及信息化管理平台和公共安全管理平台两个募投项目的建</w:t>
      </w:r>
      <w:r>
        <w:rPr>
          <w:spacing w:val="-64"/>
        </w:rPr>
        <w:t> </w:t>
      </w:r>
      <w:r>
        <w:rPr>
          <w:spacing w:val="-64"/>
        </w:rPr>
      </w:r>
      <w:r>
        <w:rPr>
          <w:spacing w:val="-5"/>
        </w:rPr>
        <w:t>设，进一步巩固主业，加大区域拓展力度，特别是在海外市场的开拓方面取得了良好的开局，报告期内取得海外定单金额6600</w:t>
      </w:r>
      <w:r>
        <w:rPr>
          <w:spacing w:val="-68"/>
        </w:rPr>
        <w:t> </w:t>
      </w:r>
      <w:r>
        <w:rPr>
          <w:spacing w:val="-68"/>
        </w:rPr>
      </w:r>
      <w:r>
        <w:rPr>
          <w:spacing w:val="-2"/>
        </w:rPr>
        <w:t>万元；创新业务方面，在智慧节能和智慧高清等领域增加了研发投入和市场开拓，在暖通领域取得了近亿元合同，实现收入</w:t>
      </w:r>
      <w:r>
        <w:rPr>
          <w:spacing w:val="-66"/>
        </w:rPr>
        <w:t> </w:t>
      </w:r>
      <w:r>
        <w:rPr>
          <w:spacing w:val="-66"/>
        </w:rPr>
      </w:r>
      <w:r>
        <w:rPr/>
        <w:t>4560万元；在智能高清领域完成了相关产品研发和市场整合，预计在2013年度将有重大突破。</w:t>
      </w:r>
    </w:p>
    <w:p>
      <w:pPr>
        <w:pStyle w:val="BodyText"/>
        <w:spacing w:line="316" w:lineRule="auto" w:before="19"/>
        <w:ind w:left="153" w:right="181" w:firstLine="360"/>
        <w:jc w:val="left"/>
      </w:pPr>
      <w:r>
        <w:rPr/>
        <w:t>报告期内，公司注重研发团队建设和技术研发投入，报告期新增研发人员近50人，研发投入1419万元，新增发明专利1 项，实用新型5项，软件著作权25项；计算机软件产品登记18项；为公司进一步发展提供了强大技术支持。</w:t>
      </w:r>
    </w:p>
    <w:p>
      <w:pPr>
        <w:pStyle w:val="BodyText"/>
        <w:spacing w:line="316" w:lineRule="auto" w:before="19"/>
        <w:ind w:left="153" w:right="181" w:firstLine="360"/>
        <w:jc w:val="left"/>
      </w:pPr>
      <w:r>
        <w:rPr/>
        <w:t>报告期内，公司加强团队整合、优化人力资源，扩充新生力量，报告期末员工人数达到362人（不含四川通普），其中 研发设计人员118人，工程技术人员96人，销售业务人员74人，支持管理人员74人，为公司下一步发展提供了人才储备。</w:t>
      </w:r>
    </w:p>
    <w:p>
      <w:pPr>
        <w:pStyle w:val="BodyText"/>
        <w:spacing w:line="316" w:lineRule="auto" w:before="19"/>
        <w:ind w:left="153" w:right="91" w:firstLine="360"/>
        <w:jc w:val="left"/>
      </w:pPr>
      <w:r>
        <w:rPr>
          <w:spacing w:val="-2"/>
        </w:rPr>
        <w:t>报告期内，公司进一步完善了资质体系。其中全资子公司汉爵科技获得了机电安装工程施工总承包二级资质，这是公司</w:t>
      </w:r>
      <w:r>
        <w:rPr/>
        <w:t> 往总包方向迈出的第一步，将有利于扩大公司的业务规模，增加公司的盈利能力。</w:t>
      </w:r>
    </w:p>
    <w:p>
      <w:pPr>
        <w:pStyle w:val="BodyText"/>
        <w:spacing w:line="316" w:lineRule="auto" w:before="19"/>
        <w:ind w:left="153" w:right="181" w:firstLine="380"/>
        <w:jc w:val="left"/>
      </w:pPr>
      <w:r>
        <w:rPr/>
        <w:t>公司在经营业绩、技术研发、团队建设和业务发展等方面都取得了长足的发展，也得到了相关部门和社会的认可。报 告期内公司荣获2011年度全国智能建筑行业十大品牌企业、2011年度完成工程额前50名企业、博士后工作试点单位、2012 中国年度创新软件企业、入选2013福布斯中国潜力上市公司100强第11位等多项荣誉，公司四项完工业绩入选2012年度全国 百项建筑智能化经典项目。</w:t>
      </w:r>
    </w:p>
    <w:p>
      <w:pPr>
        <w:spacing w:line="240" w:lineRule="auto" w:before="10"/>
        <w:rPr>
          <w:rFonts w:ascii="宋体" w:hAnsi="宋体" w:cs="宋体" w:eastAsia="宋体" w:hint="default"/>
          <w:sz w:val="20"/>
          <w:szCs w:val="20"/>
        </w:rPr>
      </w:pPr>
    </w:p>
    <w:p>
      <w:pPr>
        <w:pStyle w:val="Heading2"/>
        <w:spacing w:line="240" w:lineRule="auto"/>
        <w:ind w:right="91"/>
        <w:jc w:val="left"/>
        <w:rPr>
          <w:b w:val="0"/>
          <w:bCs w:val="0"/>
        </w:rPr>
      </w:pPr>
      <w:r>
        <w:rPr/>
        <w:t>二、报告期内主要经营情况</w:t>
      </w:r>
      <w:r>
        <w:rPr>
          <w:b w:val="0"/>
          <w:bCs w:val="0"/>
        </w:rPr>
      </w:r>
    </w:p>
    <w:p>
      <w:pPr>
        <w:spacing w:line="240" w:lineRule="auto" w:before="4"/>
        <w:rPr>
          <w:rFonts w:ascii="宋体" w:hAnsi="宋体" w:cs="宋体" w:eastAsia="宋体" w:hint="default"/>
          <w:b/>
          <w:bCs/>
          <w:sz w:val="25"/>
          <w:szCs w:val="25"/>
        </w:rPr>
      </w:pPr>
    </w:p>
    <w:p>
      <w:pPr>
        <w:pStyle w:val="Heading5"/>
        <w:spacing w:line="240" w:lineRule="auto"/>
        <w:ind w:right="91"/>
        <w:jc w:val="left"/>
        <w:rPr>
          <w:b w:val="0"/>
          <w:bCs w:val="0"/>
        </w:rPr>
      </w:pPr>
      <w:r>
        <w:rPr>
          <w:rFonts w:ascii="Times New Roman" w:hAnsi="Times New Roman" w:cs="Times New Roman" w:eastAsia="Times New Roman" w:hint="default"/>
        </w:rPr>
        <w:t>1</w:t>
      </w:r>
      <w:r>
        <w:rPr/>
        <w:t>、主营业务分析</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left="153" w:right="91"/>
        <w:jc w:val="left"/>
        <w:rPr>
          <w:b w:val="0"/>
          <w:bCs w:val="0"/>
        </w:rPr>
      </w:pPr>
      <w:r>
        <w:rPr/>
        <w:t>（</w:t>
      </w:r>
      <w:r>
        <w:rPr>
          <w:rFonts w:ascii="Times New Roman" w:hAnsi="Times New Roman" w:cs="Times New Roman" w:eastAsia="Times New Roman" w:hint="default"/>
        </w:rPr>
        <w:t>1</w:t>
      </w:r>
      <w:r>
        <w:rPr/>
        <w:t>）收入</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right="91"/>
        <w:jc w:val="left"/>
      </w:pPr>
      <w:r>
        <w:rPr/>
        <w:t>说明</w:t>
      </w:r>
    </w:p>
    <w:p>
      <w:pPr>
        <w:pStyle w:val="BodyText"/>
        <w:spacing w:line="240" w:lineRule="auto" w:before="115"/>
        <w:ind w:left="534" w:right="91"/>
        <w:jc w:val="left"/>
      </w:pPr>
      <w:r>
        <w:rPr/>
        <w:t>报告期公司实现主营业务收入39,832.40万元，与上年同期相比增加20.67%，原因主要是智慧建筑和智慧公共安全业务</w:t>
      </w:r>
    </w:p>
    <w:p>
      <w:pPr>
        <w:pStyle w:val="BodyText"/>
        <w:spacing w:line="338" w:lineRule="auto" w:before="76"/>
        <w:ind w:right="91"/>
        <w:jc w:val="left"/>
      </w:pPr>
      <w:r>
        <w:rPr>
          <w:spacing w:val="-2"/>
        </w:rPr>
        <w:t>延续了稳步发展的势头，智慧节能业务取得重大进展，实现收入4,560万元。公司在报告期收购了四川通普75%的股权，将其</w:t>
      </w:r>
      <w:r>
        <w:rPr>
          <w:spacing w:val="-58"/>
        </w:rPr>
        <w:t> </w:t>
      </w:r>
      <w:r>
        <w:rPr>
          <w:spacing w:val="-58"/>
        </w:rPr>
      </w:r>
      <w:r>
        <w:rPr/>
        <w:t>纳入合并报表范围。剔除该公司本期产生的主营收入，公司本期实现主营收入37,864.23万元，比上年同期增长14.71%。 公司实物销售收入是否大于劳务收入</w:t>
      </w:r>
    </w:p>
    <w:p>
      <w:pPr>
        <w:pStyle w:val="BodyText"/>
        <w:spacing w:line="338" w:lineRule="auto" w:before="43"/>
        <w:ind w:right="78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公司重大的在手订单情况</w:t>
      </w:r>
    </w:p>
    <w:p>
      <w:pPr>
        <w:pStyle w:val="BodyText"/>
        <w:spacing w:line="240" w:lineRule="auto" w:before="42"/>
        <w:ind w:right="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数量分散的订单情况</w:t>
      </w:r>
    </w:p>
    <w:p>
      <w:pPr>
        <w:pStyle w:val="BodyText"/>
        <w:spacing w:line="240" w:lineRule="auto" w:before="116"/>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38" w:lineRule="auto" w:before="103"/>
        <w:ind w:right="0"/>
        <w:jc w:val="left"/>
      </w:pPr>
      <w:r>
        <w:rPr/>
        <w:t>①报告期内，公司公告的订单情况： </w:t>
      </w:r>
      <w:r>
        <w:rPr>
          <w:spacing w:val="-2"/>
        </w:rPr>
        <w:t>A、2012年4月20日，公司公告了中标阿尔及尔国际会议中心项目弱电专业安装工程。甲方单位是中国建筑股份有限公司阿尔</w:t>
      </w:r>
      <w:r>
        <w:rPr>
          <w:spacing w:val="-58"/>
        </w:rPr>
        <w:t> </w:t>
      </w:r>
      <w:r>
        <w:rPr>
          <w:spacing w:val="-58"/>
        </w:rPr>
      </w:r>
      <w:r>
        <w:rPr/>
        <w:t>及利亚分公司，中标金额是3581万元，合同期限24个月，该项目报告期开始施工，确认收入407万元，回款68.53万元。</w:t>
      </w:r>
    </w:p>
    <w:p>
      <w:pPr>
        <w:pStyle w:val="BodyText"/>
        <w:spacing w:line="338" w:lineRule="auto" w:before="41"/>
        <w:ind w:right="140"/>
        <w:jc w:val="left"/>
      </w:pPr>
      <w:r>
        <w:rPr/>
        <w:t>B、2012年12月3日，公司公告了中标阿尔及尔嘉玛大清真寺项目机电安装工程弱电专业A、C3、F、K楼劳务工程。甲方单位 是中国建筑股份有限公司阿尔及利亚分公司，该项目已签订正式合同，合同金额是3020万元，该项目报告期内尚未动工。 上述两个项目是公司境外智能化市场拓展取得的重大进展，标志着公司进军海外市场已迈出了成功的一步。</w:t>
      </w:r>
    </w:p>
    <w:p>
      <w:pPr>
        <w:pStyle w:val="BodyText"/>
        <w:spacing w:line="319" w:lineRule="auto" w:before="41"/>
        <w:ind w:right="151"/>
        <w:jc w:val="both"/>
      </w:pPr>
      <w:r>
        <w:rPr>
          <w:spacing w:val="-2"/>
        </w:rPr>
        <w:t>C、2012年12月3日，公司公告了中标拉萨市城市供暖试点工程户内燃气壁挂炉供暖项目十一标段工程。甲方单位是拉萨市暖</w:t>
      </w:r>
      <w:r>
        <w:rPr>
          <w:spacing w:val="-58"/>
        </w:rPr>
        <w:t> </w:t>
      </w:r>
      <w:r>
        <w:rPr>
          <w:spacing w:val="-58"/>
        </w:rPr>
      </w:r>
      <w:r>
        <w:rPr/>
        <w:t>心燃气热力有限责任公司，中标金额是5903.75万元，合同期限45个日历天，该项目报告期开始施工，确认收入4560万元， 回款300万元。该项目承接标志着公司在智慧节能领域取得突破性进展。</w:t>
      </w:r>
    </w:p>
    <w:p>
      <w:pPr>
        <w:pStyle w:val="BodyText"/>
        <w:spacing w:line="240" w:lineRule="auto" w:before="56"/>
        <w:ind w:right="0"/>
        <w:jc w:val="left"/>
      </w:pPr>
      <w:r>
        <w:rPr/>
        <w:t>②报告期新增的除以上订单外的订单和中标金额为60,272.46万元，本期完工比例为25%。</w:t>
      </w:r>
    </w:p>
    <w:p>
      <w:pPr>
        <w:pStyle w:val="BodyText"/>
        <w:spacing w:line="357" w:lineRule="auto" w:before="117"/>
        <w:ind w:right="3650"/>
        <w:jc w:val="left"/>
      </w:pPr>
      <w:r>
        <w:rPr/>
        <w:t>③报告期前已签订未实施的订单金额为36,299.51万元，本期完工比例为51%。 公司报告期内产品或服务发生重大变化或调整有关情况</w:t>
      </w:r>
    </w:p>
    <w:p>
      <w:pPr>
        <w:pStyle w:val="BodyText"/>
        <w:spacing w:line="240" w:lineRule="auto" w:before="2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）成本</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智慧建筑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219,717,161.90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212,397,957.52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-13.38%</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智慧公共安全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23,305,273.12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27,539,001.42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-0.68%</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智慧节能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32,705,136.98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294,477.23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11.32%</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智能产品销售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10,160,739.82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1,955,515.64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285,888,311.82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242,186,951.81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9"/>
          <w:szCs w:val="19"/>
        </w:rPr>
      </w:pPr>
    </w:p>
    <w:p>
      <w:pPr>
        <w:pStyle w:val="Heading5"/>
        <w:spacing w:line="240" w:lineRule="auto" w:before="38"/>
        <w:ind w:right="0"/>
        <w:jc w:val="left"/>
        <w:rPr>
          <w:b w:val="0"/>
          <w:bCs w:val="0"/>
        </w:rPr>
      </w:pPr>
      <w:r>
        <w:rPr/>
        <w:t>（</w:t>
      </w:r>
      <w:r>
        <w:rPr>
          <w:rFonts w:ascii="Times New Roman" w:hAnsi="Times New Roman" w:cs="Times New Roman" w:eastAsia="Times New Roman" w:hint="default"/>
        </w:rPr>
        <w:t>3</w:t>
      </w:r>
      <w:r>
        <w:rPr/>
        <w:t>）费用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5"/>
        <w:gridCol w:w="1637"/>
        <w:gridCol w:w="1637"/>
        <w:gridCol w:w="1462"/>
        <w:gridCol w:w="2917"/>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912"/>
              <w:jc w:val="righ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8,397,764.01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5,716,037.86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46.92%</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2"/>
                <w:sz w:val="18"/>
                <w:szCs w:val="18"/>
              </w:rPr>
              <w:t>主要系公司工资、折旧、前期工程费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用增长所致。</w:t>
            </w: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31,059,547.86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22,178,608.37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40.04%</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2"/>
                <w:sz w:val="18"/>
                <w:szCs w:val="18"/>
              </w:rPr>
              <w:t>主要系研发费用、人工、办公费增长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所致。</w:t>
            </w: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-4,835,407.60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826,823.72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-684.82%</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主要系本期募集资金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亿</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 增长所致。</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10,149,428.87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8,934,427.51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13.6%</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02"/>
              <w:jc w:val="right"/>
              <w:rPr>
                <w:rFonts w:ascii="宋体" w:hAnsi="宋体" w:cs="宋体" w:eastAsia="宋体" w:hint="default"/>
                <w:sz w:val="18"/>
                <w:szCs w:val="18"/>
              </w:rPr>
            </w:pPr>
            <w:r>
              <w:rPr>
                <w:rFonts w:ascii="宋体" w:hAnsi="宋体" w:cs="宋体" w:eastAsia="宋体" w:hint="default"/>
                <w:sz w:val="18"/>
                <w:szCs w:val="18"/>
              </w:rPr>
              <w:t>主要系本期利润总额增加</w:t>
            </w:r>
          </w:p>
        </w:tc>
      </w:tr>
    </w:tbl>
    <w:p>
      <w:pPr>
        <w:spacing w:after="0" w:line="240" w:lineRule="auto"/>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3"/>
        <w:rPr>
          <w:rFonts w:ascii="宋体" w:hAnsi="宋体" w:cs="宋体" w:eastAsia="宋体" w:hint="default"/>
          <w:sz w:val="25"/>
          <w:szCs w:val="25"/>
        </w:rPr>
      </w:pPr>
    </w:p>
    <w:p>
      <w:pPr>
        <w:pStyle w:val="Heading5"/>
        <w:spacing w:line="240" w:lineRule="auto" w:before="38"/>
        <w:ind w:right="91"/>
        <w:jc w:val="left"/>
        <w:rPr>
          <w:b w:val="0"/>
          <w:bCs w:val="0"/>
        </w:rPr>
      </w:pPr>
      <w:r>
        <w:rPr/>
        <w:t>（</w:t>
      </w:r>
      <w:r>
        <w:rPr>
          <w:rFonts w:ascii="Times New Roman" w:hAnsi="Times New Roman" w:cs="Times New Roman" w:eastAsia="Times New Roman" w:hint="default"/>
        </w:rPr>
        <w:t>4</w:t>
      </w:r>
      <w:r>
        <w:rPr/>
        <w:t>）研发投入</w:t>
      </w:r>
      <w:r>
        <w:rPr>
          <w:b w:val="0"/>
          <w:bCs w:val="0"/>
        </w:rPr>
      </w:r>
    </w:p>
    <w:p>
      <w:pPr>
        <w:spacing w:line="240" w:lineRule="auto" w:before="7"/>
        <w:rPr>
          <w:rFonts w:ascii="宋体" w:hAnsi="宋体" w:cs="宋体" w:eastAsia="宋体" w:hint="default"/>
          <w:b/>
          <w:bCs/>
          <w:sz w:val="29"/>
          <w:szCs w:val="29"/>
        </w:rPr>
      </w:pPr>
    </w:p>
    <w:p>
      <w:pPr>
        <w:pStyle w:val="BodyText"/>
        <w:spacing w:line="326" w:lineRule="auto"/>
        <w:ind w:right="91" w:firstLine="360"/>
        <w:jc w:val="left"/>
      </w:pPr>
      <w:r>
        <w:rPr>
          <w:spacing w:val="-2"/>
        </w:rPr>
        <w:t>报告期内，公司秉承“客户需求至上”的经营理念，继续专注于为建筑、公共安全管理等领域提供优质的智能化综合解</w:t>
      </w:r>
      <w:r>
        <w:rPr/>
        <w:t> 决方案。公司加大研发力度，本期投入1419万元，比上年同期增加约22%，占营业收入的3.52%。</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pStyle w:val="BodyText"/>
        <w:spacing w:line="240" w:lineRule="auto"/>
        <w:ind w:right="91"/>
        <w:jc w:val="left"/>
      </w:pPr>
      <w:r>
        <w:rPr/>
        <w:t>报告期内公司主要研发项目的进展情况：</w:t>
      </w:r>
    </w:p>
    <w:p>
      <w:pPr>
        <w:pStyle w:val="BodyText"/>
        <w:spacing w:line="364" w:lineRule="auto" w:before="124"/>
        <w:ind w:left="514" w:right="91" w:hanging="360"/>
        <w:jc w:val="left"/>
      </w:pPr>
      <w:r>
        <w:rPr/>
        <w:t>① 基于物联网技术的地质灾害监测预警系统 </w:t>
      </w:r>
      <w:r>
        <w:rPr>
          <w:spacing w:val="-2"/>
        </w:rPr>
        <w:t>该项目属于公司公共安全领域核心产品之一。该项目是面向地质灾害监测预警的大型智能化信息系统，项目以地质灾害</w:t>
      </w:r>
    </w:p>
    <w:p>
      <w:pPr>
        <w:pStyle w:val="BodyText"/>
        <w:spacing w:line="326" w:lineRule="auto"/>
        <w:ind w:left="153" w:right="101"/>
        <w:jc w:val="left"/>
      </w:pPr>
      <w:r>
        <w:rPr>
          <w:spacing w:val="-2"/>
        </w:rPr>
        <w:t>监测预警预报决策系统为平台，以地质灾害各应用子系统为业务平台，以地质灾害各类传感器及传感网络为基础平台。项目</w:t>
      </w:r>
      <w:r>
        <w:rPr>
          <w:spacing w:val="-66"/>
        </w:rPr>
        <w:t> </w:t>
      </w:r>
      <w:r>
        <w:rPr>
          <w:spacing w:val="-66"/>
        </w:rPr>
      </w:r>
      <w:r>
        <w:rPr>
          <w:spacing w:val="-2"/>
        </w:rPr>
        <w:t>开发完成了雨量、雨强、土壤水分、地表和内部形变、区域全景视觉的自动检测装置，创建了基于梯形模糊数的主观权重模</w:t>
      </w:r>
      <w:r>
        <w:rPr>
          <w:spacing w:val="-66"/>
        </w:rPr>
        <w:t> </w:t>
      </w:r>
      <w:r>
        <w:rPr>
          <w:spacing w:val="-66"/>
        </w:rPr>
      </w:r>
      <w:r>
        <w:rPr>
          <w:spacing w:val="-3"/>
        </w:rPr>
        <w:t>型和基于熵值的客观权重模型，建立了区域地质灾害气象预警判断，建立了滑坡位移联合预测模型，创建了基于Geodatabase</w:t>
      </w:r>
      <w:r>
        <w:rPr>
          <w:spacing w:val="-84"/>
        </w:rPr>
        <w:t> </w:t>
      </w:r>
      <w:r>
        <w:rPr>
          <w:spacing w:val="-84"/>
        </w:rPr>
      </w:r>
      <w:r>
        <w:rPr>
          <w:spacing w:val="-3"/>
        </w:rPr>
        <w:t>区域地质灾害中心数据库，同时建立了基于WebGIS的地质灾害监测、分析、评价、预报和预警系统，系统以电子地图为主体，</w:t>
      </w:r>
      <w:r>
        <w:rPr/>
        <w:t> 以区域-灾害点为主线，从面、线、点全方位实现地质灾害基本信息、监测信息、气象信息、预警预报信息的一体化网络远</w:t>
      </w:r>
      <w:r>
        <w:rPr>
          <w:spacing w:val="-83"/>
        </w:rPr>
        <w:t> </w:t>
      </w:r>
      <w:r>
        <w:rPr>
          <w:spacing w:val="-83"/>
        </w:rPr>
      </w:r>
      <w:r>
        <w:rPr>
          <w:spacing w:val="-2"/>
        </w:rPr>
        <w:t>程发布。本项目的实施能准确地预警预报地质灾害发生的空间、时间及规模，为防灾、避灾、减灾、救灾提供可靠的技术资</w:t>
      </w:r>
      <w:r>
        <w:rPr>
          <w:spacing w:val="-68"/>
        </w:rPr>
        <w:t> </w:t>
      </w:r>
      <w:r>
        <w:rPr>
          <w:spacing w:val="-68"/>
        </w:rPr>
      </w:r>
      <w:r>
        <w:rPr>
          <w:spacing w:val="-2"/>
        </w:rPr>
        <w:t>料和科学依据，社会、经济效益非常显著。目前，该系统的核心平台和各应用子系统均已获得了相应的自主知识产权，且已</w:t>
      </w:r>
      <w:r>
        <w:rPr>
          <w:spacing w:val="-66"/>
        </w:rPr>
        <w:t> </w:t>
      </w:r>
      <w:r>
        <w:rPr>
          <w:spacing w:val="-66"/>
        </w:rPr>
      </w:r>
      <w:r>
        <w:rPr/>
        <w:t>在四川省等部分地质灾害频发地区推广应用。</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BodyText"/>
        <w:spacing w:line="364" w:lineRule="auto"/>
        <w:ind w:left="513" w:right="91" w:hanging="360"/>
        <w:jc w:val="left"/>
      </w:pPr>
      <w:r>
        <w:rPr/>
        <w:t>② 面向城市安防领域的数字高清系列产品研发 </w:t>
      </w:r>
      <w:r>
        <w:rPr>
          <w:spacing w:val="-2"/>
        </w:rPr>
        <w:t>该项目属于公司城市公共安全领域核心产品之一，包含一种基于数字高清的城市安防智能管理平台及相应的系列软件产</w:t>
      </w:r>
    </w:p>
    <w:p>
      <w:pPr>
        <w:pStyle w:val="BodyText"/>
        <w:spacing w:line="326" w:lineRule="auto"/>
        <w:ind w:left="153" w:right="91"/>
        <w:jc w:val="left"/>
      </w:pPr>
      <w:r>
        <w:rPr>
          <w:spacing w:val="-2"/>
        </w:rPr>
        <w:t>品。汉鼎城市安防智能管理平台是基于网络时代的全新数字化音视频和信息流的传输、监控和管理系统，是城市级的平台系</w:t>
      </w:r>
      <w:r>
        <w:rPr>
          <w:spacing w:val="-66"/>
        </w:rPr>
        <w:t> </w:t>
      </w:r>
      <w:r>
        <w:rPr>
          <w:spacing w:val="-66"/>
        </w:rPr>
      </w:r>
      <w:r>
        <w:rPr>
          <w:spacing w:val="-2"/>
        </w:rPr>
        <w:t>统。平台融合了先进的网络通信技术、图像压缩技术、流媒体传输技术，同时以开放式的技术架构，实现了超大规模、跨域</w:t>
      </w:r>
      <w:r>
        <w:rPr>
          <w:spacing w:val="-68"/>
        </w:rPr>
        <w:t> </w:t>
      </w:r>
      <w:r>
        <w:rPr>
          <w:spacing w:val="-68"/>
        </w:rPr>
      </w:r>
      <w:r>
        <w:rPr/>
        <w:t>分布的系统大集成，平台集先进的管理、灵活的时间计划、快速的设备搜索、分析以及与其它系统集成等完整功能于一体， </w:t>
      </w:r>
      <w:r>
        <w:rPr>
          <w:spacing w:val="-2"/>
        </w:rPr>
        <w:t>是一套功能完善而稳定的网络监控管理系统平台，平台可以适合多种应用环境下的网络监控系统的需要——从简单的小型监</w:t>
      </w:r>
      <w:r>
        <w:rPr>
          <w:spacing w:val="-64"/>
        </w:rPr>
        <w:t> </w:t>
      </w:r>
      <w:r>
        <w:rPr>
          <w:spacing w:val="-64"/>
        </w:rPr>
      </w:r>
      <w:r>
        <w:rPr>
          <w:spacing w:val="-2"/>
        </w:rPr>
        <w:t>控系统，到分散的、多服务器的、多监控点的、大型复杂网络监控系统。同时，项目拟在城市安防智能管理平台上开展一系</w:t>
      </w:r>
      <w:r>
        <w:rPr>
          <w:spacing w:val="-68"/>
        </w:rPr>
        <w:t> </w:t>
      </w:r>
      <w:r>
        <w:rPr>
          <w:spacing w:val="-68"/>
        </w:rPr>
      </w:r>
      <w:r>
        <w:rPr>
          <w:spacing w:val="-2"/>
        </w:rPr>
        <w:t>列扩展应用系统研究，主要包括数据实时跟踪与状态查询、统一公共数据交换服务系统、城市数据分析与挖掘服务系统、智</w:t>
      </w:r>
      <w:r>
        <w:rPr>
          <w:spacing w:val="-66"/>
        </w:rPr>
        <w:t> </w:t>
      </w:r>
      <w:r>
        <w:rPr>
          <w:spacing w:val="-66"/>
        </w:rPr>
      </w:r>
      <w:r>
        <w:rPr/>
        <w:t>能决策支持与应急辅助决策等。</w:t>
      </w:r>
    </w:p>
    <w:p>
      <w:pPr>
        <w:pStyle w:val="BodyText"/>
        <w:spacing w:line="326" w:lineRule="auto" w:before="58"/>
        <w:ind w:left="153" w:right="91" w:firstLine="360"/>
        <w:jc w:val="left"/>
      </w:pPr>
      <w:r>
        <w:rPr/>
        <w:t>目前，项目已完成对城市安防智能管理平台的研发，已获得汉鼎平安城市总控集成平台等3项软件著作权，接下来项目 </w:t>
      </w:r>
      <w:r>
        <w:rPr>
          <w:spacing w:val="-2"/>
        </w:rPr>
        <w:t>拟在平台基础上开展系列应用系统的研究。本项目产品预计将应用于全国几百个各级大中小城市中，通过该项目的研发及应</w:t>
      </w:r>
      <w:r>
        <w:rPr>
          <w:spacing w:val="-64"/>
        </w:rPr>
        <w:t> </w:t>
      </w:r>
      <w:r>
        <w:rPr>
          <w:spacing w:val="-64"/>
        </w:rPr>
      </w:r>
      <w:r>
        <w:rPr>
          <w:spacing w:val="-4"/>
        </w:rPr>
        <w:t>用能够有效解决当前我国城市安防管理服务领域存在的数据获取渠道单一、信息互联互通性较差、数据交换效率低下等问题，</w:t>
      </w:r>
      <w:r>
        <w:rPr>
          <w:spacing w:val="-44"/>
        </w:rPr>
        <w:t> </w:t>
      </w:r>
      <w:r>
        <w:rPr>
          <w:spacing w:val="-44"/>
        </w:rPr>
      </w:r>
      <w:r>
        <w:rPr>
          <w:spacing w:val="-2"/>
        </w:rPr>
        <w:t>在国内居于技术领先地位，社会经济效益显著，同时在微观上通过本项目的成功研发将对公司城市安防领域的所有产品带来</w:t>
      </w:r>
      <w:r>
        <w:rPr>
          <w:spacing w:val="-64"/>
        </w:rPr>
        <w:t> </w:t>
      </w:r>
      <w:r>
        <w:rPr>
          <w:spacing w:val="-64"/>
        </w:rPr>
      </w:r>
      <w:r>
        <w:rPr/>
        <w:t>极大的推动作用，以平台优势带动其它产品的业务拓展，使得公司实现新的跨越式发展。</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BodyText"/>
        <w:spacing w:line="364" w:lineRule="auto"/>
        <w:ind w:left="513" w:right="91" w:hanging="360"/>
        <w:jc w:val="left"/>
      </w:pPr>
      <w:r>
        <w:rPr/>
        <w:t>③ 汉鼎基于物联网的煤矿生产全方位管理系统 </w:t>
      </w:r>
      <w:r>
        <w:rPr>
          <w:spacing w:val="-4"/>
        </w:rPr>
        <w:t>该项目综合运用现代先进的系统科学、管理科学、监测监控技术、计算机技术、网络技术、数据库技术、软件工程技术、</w:t>
      </w:r>
    </w:p>
    <w:p>
      <w:pPr>
        <w:pStyle w:val="BodyText"/>
        <w:spacing w:line="326" w:lineRule="auto"/>
        <w:ind w:left="153" w:right="91"/>
        <w:jc w:val="left"/>
      </w:pPr>
      <w:r>
        <w:rPr>
          <w:spacing w:val="-2"/>
        </w:rPr>
        <w:t>数据采集技术、系统集成技术和数据分析与处理技术，把煤矿生产过程中各个彼此孤立的系统有机地联系起来，形成一个分</w:t>
      </w:r>
      <w:r>
        <w:rPr>
          <w:spacing w:val="-66"/>
        </w:rPr>
        <w:t> </w:t>
      </w:r>
      <w:r>
        <w:rPr>
          <w:spacing w:val="-66"/>
        </w:rPr>
      </w:r>
      <w:r>
        <w:rPr>
          <w:spacing w:val="-2"/>
        </w:rPr>
        <w:t>布式覆盖全矿区的安全监管、预警、联动的综合信息平台，为日常安全管理、领导决策和救灾指挥服务。具体包括汉鼎智能</w:t>
      </w:r>
      <w:r>
        <w:rPr>
          <w:spacing w:val="-66"/>
        </w:rPr>
        <w:t> </w:t>
      </w:r>
      <w:r>
        <w:rPr>
          <w:spacing w:val="-66"/>
        </w:rPr>
      </w:r>
      <w:r>
        <w:rPr/>
        <w:t>安全生产集成管控平台、汉鼎矿用宽带数字通信系统管理平台、汉鼎煤矿安全监管联动系统、汉鼎煤矿安全监控管控平台、 </w:t>
      </w:r>
      <w:r>
        <w:rPr>
          <w:spacing w:val="-2"/>
        </w:rPr>
        <w:t>汉鼎煤矿人员定位系统、汉鼎煤矿主通风机监控系统等多个管理子系统。该项目能非常方便地获取井下环境实时信息，包含</w:t>
      </w:r>
      <w:r>
        <w:rPr>
          <w:spacing w:val="-66"/>
        </w:rPr>
        <w:t> </w:t>
      </w:r>
      <w:r>
        <w:rPr>
          <w:spacing w:val="-66"/>
        </w:rPr>
      </w:r>
      <w:r>
        <w:rPr>
          <w:spacing w:val="-2"/>
        </w:rPr>
        <w:t>监控煤矿环境安全、煤矿生产安全、煤矿机车运输安全和人员安全等信息，同时能方便地实现矿工的定位与跟踪，有助于数</w:t>
      </w:r>
      <w:r>
        <w:rPr>
          <w:spacing w:val="-66"/>
        </w:rPr>
        <w:t> </w:t>
      </w:r>
      <w:r>
        <w:rPr>
          <w:spacing w:val="-66"/>
        </w:rPr>
      </w:r>
      <w:r>
        <w:rPr/>
        <w:t>字矿井的实现及减少矿难的损失，社会效益显著。项目现已基本完成研发，实现1项发明专利（申请中）和7项软件著作权。</w:t>
      </w:r>
    </w:p>
    <w:p>
      <w:pPr>
        <w:spacing w:after="0" w:line="326" w:lineRule="auto"/>
        <w:jc w:val="left"/>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513" w:right="91"/>
        <w:jc w:val="left"/>
      </w:pPr>
      <w:r>
        <w:rPr/>
        <w:t>近三年公司研发投入金额及占营业收入的比例</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14,189,953.01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11,075,684.30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6,823,435.12</w:t>
            </w:r>
          </w:p>
        </w:tc>
      </w:tr>
      <w:tr>
        <w:trPr>
          <w:trHeight w:val="403" w:hRule="exact"/>
        </w:trPr>
        <w:tc>
          <w:tcPr>
            <w:tcW w:w="2392"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研发投入占营业收入比例（</w:t>
            </w:r>
            <w:r>
              <w:rPr>
                <w:rFonts w:ascii="Times New Roman" w:hAnsi="Times New Roman" w:cs="Times New Roman" w:eastAsia="Times New Roman" w:hint="default"/>
                <w:spacing w:val="-5"/>
                <w:sz w:val="18"/>
                <w:szCs w:val="18"/>
              </w:rPr>
              <w:t>%</w:t>
            </w:r>
          </w:p>
        </w:tc>
        <w:tc>
          <w:tcPr>
            <w:tcW w:w="2393"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z w:val="18"/>
              </w:rPr>
              <w:t>3.52%</w:t>
            </w:r>
          </w:p>
        </w:tc>
        <w:tc>
          <w:tcPr>
            <w:tcW w:w="239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3.94%</w:t>
            </w:r>
          </w:p>
        </w:tc>
      </w:tr>
    </w:tbl>
    <w:p>
      <w:pPr>
        <w:spacing w:line="240" w:lineRule="auto" w:before="8"/>
        <w:rPr>
          <w:rFonts w:ascii="宋体" w:hAnsi="宋体" w:cs="宋体" w:eastAsia="宋体" w:hint="default"/>
          <w:sz w:val="19"/>
          <w:szCs w:val="19"/>
        </w:rPr>
      </w:pPr>
    </w:p>
    <w:p>
      <w:pPr>
        <w:pStyle w:val="Heading5"/>
        <w:spacing w:line="240" w:lineRule="auto" w:before="38"/>
        <w:ind w:right="91"/>
        <w:jc w:val="left"/>
        <w:rPr>
          <w:b w:val="0"/>
          <w:bCs w:val="0"/>
        </w:rPr>
      </w:pPr>
      <w:r>
        <w:rPr/>
        <w:pict>
          <v:shape style="position:absolute;margin-left:170.399994pt;margin-top:-32.980011pt;width:125.3pt;height:19.6pt;mso-position-horizontal-relative:page;mso-position-vertical-relative:paragraph;z-index:-721192" type="#_x0000_t202" filled="false" stroked="false">
            <v:textbox inset="0,0,0,0">
              <w:txbxContent>
                <w:p>
                  <w:pPr>
                    <w:pStyle w:val="BodyText"/>
                    <w:spacing w:line="240" w:lineRule="auto" w:before="51"/>
                    <w:ind w:left="0" w:right="0"/>
                    <w:jc w:val="left"/>
                  </w:pPr>
                  <w:r>
                    <w:rPr/>
                    <w:t>）</w:t>
                  </w:r>
                </w:p>
              </w:txbxContent>
            </v:textbox>
            <w10:wrap type="none"/>
          </v:shape>
        </w:pict>
      </w:r>
      <w:r>
        <w:rPr/>
        <w:t>（</w:t>
      </w:r>
      <w:r>
        <w:rPr>
          <w:rFonts w:ascii="Times New Roman" w:hAnsi="Times New Roman" w:cs="Times New Roman" w:eastAsia="Times New Roman" w:hint="default"/>
        </w:rPr>
        <w:t>5</w:t>
      </w:r>
      <w:r>
        <w:rPr/>
        <w:t>）现金流</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9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263,880,479.77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279,981,128.76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289,705,885.32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297,923,396.76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-25,825,405.55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-17,942,268.00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-40.57%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10,679,288.00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26,637,215.34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71,254,511.95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-62.62%</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-26,636,705.34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-60,575,223.95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56.03%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364,426,134.51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40,105,409.74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808.67%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55,715,953.79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12,703,991.61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338.57%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308,710,180.72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27,401,418.13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1,026.62%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256,248,069.83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-51,116,073.82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601.31%</w:t>
            </w:r>
          </w:p>
        </w:tc>
      </w:tr>
    </w:tbl>
    <w:p>
      <w:pPr>
        <w:pStyle w:val="BodyText"/>
        <w:spacing w:line="240" w:lineRule="auto" w:before="51"/>
        <w:ind w:right="91"/>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3"/>
        <w:ind w:right="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rFonts w:ascii="Times New Roman" w:hAnsi="Times New Roman" w:cs="Times New Roman" w:eastAsia="Times New Roman" w:hint="default"/>
          <w:spacing w:val="-2"/>
        </w:rPr>
        <w:t>1</w:t>
      </w:r>
      <w:r>
        <w:rPr>
          <w:spacing w:val="-2"/>
        </w:rPr>
        <w:t>、经营活动产生的现金流量净额减少的主要原因：系由于受到经济环境的影响，下游客户资金面偏紧，回款速度减慢所致。</w:t>
      </w:r>
    </w:p>
    <w:p>
      <w:pPr>
        <w:pStyle w:val="BodyText"/>
        <w:spacing w:line="240" w:lineRule="auto" w:before="63"/>
        <w:ind w:right="91"/>
        <w:jc w:val="left"/>
      </w:pPr>
      <w:r>
        <w:rPr>
          <w:rFonts w:ascii="Times New Roman" w:hAnsi="Times New Roman" w:cs="Times New Roman" w:eastAsia="Times New Roman" w:hint="default"/>
        </w:rPr>
        <w:t>2</w:t>
      </w:r>
      <w:r>
        <w:rPr/>
        <w:t>、投资活动产生的现金流量净额增加的主要原因：系上年同期购置了经营和研发用办公场地，本期该项流出减少。</w:t>
      </w:r>
    </w:p>
    <w:p>
      <w:pPr>
        <w:pStyle w:val="BodyText"/>
        <w:spacing w:line="340" w:lineRule="auto" w:before="63"/>
        <w:ind w:right="1800"/>
        <w:jc w:val="left"/>
      </w:pPr>
      <w:r>
        <w:rPr>
          <w:rFonts w:ascii="Times New Roman" w:hAnsi="Times New Roman" w:cs="Times New Roman" w:eastAsia="Times New Roman" w:hint="default"/>
        </w:rPr>
        <w:t>3</w:t>
      </w:r>
      <w:r>
        <w:rPr/>
        <w:t>、筹资活动产生的现金流量净额增加的主要原因：系本期发行新股募集资金到位并偿还了银行借款。 报告期内公司经营活动的现金流量与本年度净利润存在重大差异的原因说明</w:t>
      </w:r>
    </w:p>
    <w:p>
      <w:pPr>
        <w:pStyle w:val="BodyText"/>
        <w:spacing w:line="338" w:lineRule="auto" w:before="41"/>
        <w:ind w:right="20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主要原因是公司发展较快，在建项目规模扩大，数量增多，公司获得的利润又投到了新增的项目。</w:t>
      </w:r>
    </w:p>
    <w:p>
      <w:pPr>
        <w:spacing w:line="240" w:lineRule="auto" w:before="13"/>
        <w:rPr>
          <w:rFonts w:ascii="宋体" w:hAnsi="宋体" w:cs="宋体" w:eastAsia="宋体" w:hint="default"/>
          <w:sz w:val="21"/>
          <w:szCs w:val="21"/>
        </w:rPr>
      </w:pPr>
    </w:p>
    <w:p>
      <w:pPr>
        <w:pStyle w:val="Heading5"/>
        <w:spacing w:line="240" w:lineRule="auto"/>
        <w:ind w:right="91"/>
        <w:jc w:val="left"/>
        <w:rPr>
          <w:b w:val="0"/>
          <w:bCs w:val="0"/>
        </w:rPr>
      </w:pPr>
      <w:r>
        <w:rPr/>
        <w:t>（</w:t>
      </w:r>
      <w:r>
        <w:rPr>
          <w:rFonts w:ascii="Times New Roman" w:hAnsi="Times New Roman" w:cs="Times New Roman" w:eastAsia="Times New Roman" w:hint="default"/>
        </w:rPr>
        <w:t>6</w:t>
      </w:r>
      <w:r>
        <w:rPr/>
        <w:t>）公司主要供应商、客户情况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91"/>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114,517,613.28</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28.41%</w:t>
            </w:r>
          </w:p>
        </w:tc>
      </w:tr>
    </w:tbl>
    <w:p>
      <w:pPr>
        <w:pStyle w:val="BodyText"/>
        <w:spacing w:line="240" w:lineRule="auto" w:before="51"/>
        <w:ind w:right="91"/>
        <w:jc w:val="left"/>
      </w:pPr>
      <w:r>
        <w:rPr/>
        <w:t>向单一客户销售比例超过</w:t>
      </w:r>
      <w:r>
        <w:rPr>
          <w:spacing w:val="-46"/>
        </w:rPr>
        <w:t> </w:t>
      </w:r>
      <w:r>
        <w:rPr>
          <w:rFonts w:ascii="Times New Roman" w:hAnsi="Times New Roman" w:cs="Times New Roman" w:eastAsia="Times New Roman" w:hint="default"/>
        </w:rPr>
        <w:t>30%</w:t>
      </w:r>
      <w:r>
        <w:rPr/>
        <w:t>的客户资料</w:t>
      </w:r>
    </w:p>
    <w:p>
      <w:pPr>
        <w:pStyle w:val="BodyText"/>
        <w:spacing w:line="240" w:lineRule="auto" w:before="103"/>
        <w:ind w:right="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公司主要供应商情况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28,216,603.89</w:t>
            </w:r>
          </w:p>
        </w:tc>
      </w:tr>
      <w:tr>
        <w:trPr>
          <w:trHeight w:val="403" w:hRule="exact"/>
        </w:trPr>
        <w:tc>
          <w:tcPr>
            <w:tcW w:w="4257"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1" w:type="dxa"/>
            <w:tcBorders>
              <w:top w:val="single" w:sz="4" w:space="0" w:color="000000"/>
              <w:left w:val="single" w:sz="9" w:space="0" w:color="FFFFFF"/>
              <w:bottom w:val="single" w:sz="4" w:space="0" w:color="000000"/>
              <w:right w:val="single" w:sz="13" w:space="0" w:color="FFFFFF"/>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9.83%</w:t>
            </w:r>
          </w:p>
        </w:tc>
      </w:tr>
    </w:tbl>
    <w:p>
      <w:pPr>
        <w:pStyle w:val="BodyText"/>
        <w:spacing w:line="240" w:lineRule="auto" w:before="51"/>
        <w:ind w:right="0"/>
        <w:jc w:val="both"/>
      </w:pPr>
      <w:r>
        <w:rPr/>
        <w:pict>
          <v:shape style="position:absolute;margin-left:263.579712pt;margin-top:-20.118pt;width:271.3pt;height:19.6pt;mso-position-horizontal-relative:page;mso-position-vertical-relative:paragraph;z-index:-721168" type="#_x0000_t202" filled="false" stroked="false">
            <v:textbox inset="0,0,0,0">
              <w:txbxContent>
                <w:p>
                  <w:pPr>
                    <w:pStyle w:val="BodyText"/>
                    <w:spacing w:line="240" w:lineRule="auto" w:before="51"/>
                    <w:ind w:left="0" w:right="0"/>
                    <w:jc w:val="left"/>
                  </w:pPr>
                  <w:r>
                    <w:rPr/>
                    <w:t>）</w:t>
                  </w:r>
                </w:p>
              </w:txbxContent>
            </v:textbox>
            <w10:wrap type="none"/>
          </v:shape>
        </w:pict>
      </w:r>
      <w:r>
        <w:rPr/>
        <w:t>向单一供应商采购比例超过</w:t>
      </w:r>
      <w:r>
        <w:rPr>
          <w:spacing w:val="-46"/>
        </w:rPr>
        <w:t> </w:t>
      </w:r>
      <w:r>
        <w:rPr>
          <w:rFonts w:ascii="Times New Roman" w:hAnsi="Times New Roman" w:cs="Times New Roman" w:eastAsia="Times New Roman" w:hint="default"/>
        </w:rPr>
        <w:t>30%</w:t>
      </w:r>
      <w:r>
        <w:rPr/>
        <w:t>的客户资料</w:t>
      </w:r>
    </w:p>
    <w:p>
      <w:pPr>
        <w:pStyle w:val="BodyText"/>
        <w:spacing w:line="240" w:lineRule="auto" w:before="102"/>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26"/>
          <w:szCs w:val="26"/>
        </w:rPr>
      </w:pPr>
    </w:p>
    <w:p>
      <w:pPr>
        <w:pStyle w:val="Heading5"/>
        <w:spacing w:line="240" w:lineRule="auto"/>
        <w:ind w:right="0"/>
        <w:jc w:val="both"/>
        <w:rPr>
          <w:b w:val="0"/>
          <w:bCs w:val="0"/>
        </w:rPr>
      </w:pPr>
      <w:r>
        <w:rPr/>
        <w:t>（</w:t>
      </w:r>
      <w:r>
        <w:rPr>
          <w:rFonts w:ascii="Times New Roman" w:hAnsi="Times New Roman" w:cs="Times New Roman" w:eastAsia="Times New Roman" w:hint="default"/>
        </w:rPr>
        <w:t>7</w:t>
      </w:r>
      <w:r>
        <w:rPr/>
        <w:t>）公司未来发展与规划延续至报告期的说明</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both"/>
      </w:pPr>
      <w:r>
        <w:rPr/>
        <w:t>首次公开发行招股说明书中披露的未来发展与规划在本报告期的实施情况</w:t>
      </w:r>
    </w:p>
    <w:p>
      <w:pPr>
        <w:pStyle w:val="BodyText"/>
        <w:spacing w:line="338" w:lineRule="auto" w:before="117"/>
        <w:ind w:left="514" w:right="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在未来三年内，公司计划将业务领域由以建筑智能化综合解决方案为主，转变为建筑智能化业务、公共安全管理智能化</w:t>
      </w:r>
    </w:p>
    <w:p>
      <w:pPr>
        <w:pStyle w:val="BodyText"/>
        <w:spacing w:line="316" w:lineRule="auto" w:before="2"/>
        <w:ind w:right="148"/>
        <w:jc w:val="both"/>
      </w:pPr>
      <w:r>
        <w:rPr>
          <w:spacing w:val="-2"/>
        </w:rPr>
        <w:t>业务和多媒体智能化业务齐头并进的格局，公司的目标市场由浙江地区逐步覆盖至全国大部分省市。成为国内智能化综合解</w:t>
      </w:r>
      <w:r>
        <w:rPr>
          <w:spacing w:val="-64"/>
        </w:rPr>
        <w:t> </w:t>
      </w:r>
      <w:r>
        <w:rPr>
          <w:spacing w:val="-64"/>
        </w:rPr>
      </w:r>
      <w:r>
        <w:rPr>
          <w:spacing w:val="-2"/>
        </w:rPr>
        <w:t>决方案供应的领先品牌，不断强化公司核心竞争力，使公司成为高技术、高附加值、高增长、高利润率、可持续发展并具有</w:t>
      </w:r>
      <w:r>
        <w:rPr>
          <w:spacing w:val="-68"/>
        </w:rPr>
        <w:t> </w:t>
      </w:r>
      <w:r>
        <w:rPr>
          <w:spacing w:val="-68"/>
        </w:rPr>
      </w:r>
      <w:r>
        <w:rPr/>
        <w:t>高度创新能力的行业领袖。</w:t>
      </w:r>
    </w:p>
    <w:p>
      <w:pPr>
        <w:pStyle w:val="BodyText"/>
        <w:spacing w:line="316" w:lineRule="auto" w:before="19"/>
        <w:ind w:right="140" w:firstLine="360"/>
        <w:jc w:val="left"/>
      </w:pPr>
      <w:r>
        <w:rPr/>
        <w:t>本报告期的实施情况。 1、公司加大研发投入，报告期内研发支出1419万元，新增发明专利1项，实用新型5项，软件著作权25项；计算机软件产品 登记18项，为智能化业务发展打下坚实基础，并在智慧节能领域取得了突破性进展。</w:t>
      </w:r>
    </w:p>
    <w:p>
      <w:pPr>
        <w:pStyle w:val="BodyText"/>
        <w:spacing w:line="316" w:lineRule="auto" w:before="59"/>
        <w:ind w:right="148"/>
        <w:jc w:val="both"/>
      </w:pPr>
      <w:r>
        <w:rPr/>
        <w:t>2、公司积极推进全国各区域中心的建设，拓展全国业务，减小单一市场风险。报告期公司按照招股时确定的区域中心拓展</w:t>
      </w:r>
      <w:r>
        <w:rPr>
          <w:spacing w:val="-83"/>
        </w:rPr>
        <w:t> </w:t>
      </w:r>
      <w:r>
        <w:rPr>
          <w:spacing w:val="-83"/>
        </w:rPr>
      </w:r>
      <w:r>
        <w:rPr>
          <w:spacing w:val="-2"/>
        </w:rPr>
        <w:t>计划实施，建立了北京、上海、成都、深圳和长沙五个区域中心，业务范围基本可以覆盖全国各主要城市。报告期浙江省外</w:t>
      </w:r>
      <w:r>
        <w:rPr>
          <w:spacing w:val="-68"/>
        </w:rPr>
        <w:t> </w:t>
      </w:r>
      <w:r>
        <w:rPr>
          <w:spacing w:val="-68"/>
        </w:rPr>
      </w:r>
      <w:r>
        <w:rPr>
          <w:spacing w:val="-2"/>
        </w:rPr>
        <w:t>实现主营业务收入23,454.34万元，约占全部主营业务收入的59%。公司还成功走出国门，走向世界，先后在阿尔及利亚取得</w:t>
      </w:r>
      <w:r>
        <w:rPr>
          <w:spacing w:val="-54"/>
        </w:rPr>
        <w:t> </w:t>
      </w:r>
      <w:r>
        <w:rPr>
          <w:spacing w:val="-54"/>
        </w:rPr>
      </w:r>
      <w:r>
        <w:rPr/>
        <w:t>两项订单，并顺利开始实施，为公司大力开拓境外市场积累了经验。</w:t>
      </w:r>
    </w:p>
    <w:p>
      <w:pPr>
        <w:pStyle w:val="BodyText"/>
        <w:spacing w:line="357" w:lineRule="auto" w:before="59"/>
        <w:ind w:left="424" w:right="4100"/>
        <w:jc w:val="left"/>
      </w:pPr>
      <w:r>
        <w:rPr/>
        <w:t>公司回顾总结前期披露的发展战略和经营计划在报告期内的进展情况 参见上款说明。</w:t>
      </w:r>
    </w:p>
    <w:p>
      <w:pPr>
        <w:pStyle w:val="BodyText"/>
        <w:spacing w:line="240" w:lineRule="auto" w:before="29"/>
        <w:ind w:right="0"/>
        <w:jc w:val="both"/>
      </w:pPr>
      <w:r>
        <w:rPr/>
        <w:t>公司实际经营业绩较曾公开披露过的本年度盈利预测低于或高于</w:t>
      </w:r>
      <w:r>
        <w:rPr>
          <w:spacing w:val="-46"/>
        </w:rPr>
        <w:t> </w:t>
      </w:r>
      <w:r>
        <w:rPr>
          <w:rFonts w:ascii="Times New Roman" w:hAnsi="Times New Roman" w:cs="Times New Roman" w:eastAsia="Times New Roman" w:hint="default"/>
        </w:rPr>
        <w:t>20%</w:t>
      </w:r>
      <w:r>
        <w:rPr/>
        <w:t>以上的差异原因</w:t>
      </w:r>
    </w:p>
    <w:p>
      <w:pPr>
        <w:pStyle w:val="BodyText"/>
        <w:spacing w:line="240" w:lineRule="auto" w:before="103"/>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6"/>
          <w:szCs w:val="26"/>
        </w:rPr>
      </w:pPr>
    </w:p>
    <w:p>
      <w:pPr>
        <w:pStyle w:val="Heading5"/>
        <w:spacing w:line="240" w:lineRule="auto"/>
        <w:ind w:right="0"/>
        <w:jc w:val="both"/>
        <w:rPr>
          <w:b w:val="0"/>
          <w:bCs w:val="0"/>
        </w:rPr>
      </w:pPr>
      <w:r>
        <w:rPr>
          <w:rFonts w:ascii="Times New Roman" w:hAnsi="Times New Roman" w:cs="Times New Roman" w:eastAsia="Times New Roman" w:hint="default"/>
        </w:rPr>
        <w:t>2</w:t>
      </w:r>
      <w:r>
        <w:rPr/>
        <w:t>、主营业务分部报告</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3" w:right="47" w:hanging="16"/>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3" w:right="47" w:hanging="16"/>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56" w:right="48" w:hanging="105"/>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398,323,967.55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285,888,311.82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智慧建筑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305,867,474.82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219,717,161.90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智慧公共安全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35,788,491.64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23,305,273.12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智慧节能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45,596,674.36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32,705,136.98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12,240.78%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11,006.17%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智能产品销售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11,071,326.73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10,160,739.82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439.13%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419.59%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北京区域中心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50,480,652.20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36,468,654.65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长沙区域中心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14,483,912.85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11,660,964.65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6,902.99%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8,266.72%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上海区域中心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73,305,847.27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53,867,939.39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89.84%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深圳区域中心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28,847,855.12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19,988,776.42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成都区域中心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80,899,283.48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55,762,466.02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146,231,851.00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105,818,728.89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4,074,565.63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2,320,781.80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7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3 </w:t>
      </w:r>
      <w:r>
        <w:rPr/>
        <w:t>年按报告期末口径调整后的主营业务数据</w:t>
      </w:r>
    </w:p>
    <w:p>
      <w:pPr>
        <w:pStyle w:val="BodyText"/>
        <w:spacing w:line="240" w:lineRule="auto" w:before="103"/>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3</w:t>
      </w:r>
      <w:r>
        <w:rPr/>
        <w:t>、资产、负债状况分析</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）资产项目重大变动情况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5"/>
        <w:gridCol w:w="1063"/>
        <w:gridCol w:w="798"/>
        <w:gridCol w:w="2917"/>
      </w:tblGrid>
      <w:tr>
        <w:trPr>
          <w:trHeight w:val="38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72" w:hRule="exact"/>
        </w:trPr>
        <w:tc>
          <w:tcPr>
            <w:tcW w:w="1368" w:type="dxa"/>
            <w:vMerge/>
            <w:tcBorders>
              <w:left w:val="single" w:sz="4" w:space="0" w:color="000000"/>
              <w:right w:val="single" w:sz="4" w:space="0" w:color="000000"/>
            </w:tcBorders>
            <w:shd w:val="clear" w:color="auto" w:fill="D3D3D3"/>
          </w:tcPr>
          <w:p>
            <w:pPr/>
          </w:p>
        </w:tc>
        <w:tc>
          <w:tcPr>
            <w:tcW w:w="11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181" w:right="77"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181" w:right="77"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8" w:type="dxa"/>
            <w:vMerge/>
            <w:tcBorders>
              <w:left w:val="single" w:sz="4" w:space="0" w:color="000000"/>
              <w:right w:val="single" w:sz="4" w:space="0" w:color="000000"/>
            </w:tcBorders>
            <w:shd w:val="clear" w:color="auto" w:fill="D3D3D3"/>
          </w:tcPr>
          <w:p>
            <w:pPr/>
          </w:p>
        </w:tc>
        <w:tc>
          <w:tcPr>
            <w:tcW w:w="291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64"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291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323,264,978.4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64,128,909.72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20.31%</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主要系本期募集资金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140,327,207.4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56,445,643.34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17.35%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2"/>
              <w:jc w:val="left"/>
              <w:rPr>
                <w:rFonts w:ascii="宋体" w:hAnsi="宋体" w:cs="宋体" w:eastAsia="宋体" w:hint="default"/>
                <w:sz w:val="18"/>
                <w:szCs w:val="18"/>
              </w:rPr>
            </w:pPr>
            <w:r>
              <w:rPr>
                <w:rFonts w:ascii="宋体" w:hAnsi="宋体" w:cs="宋体" w:eastAsia="宋体" w:hint="default"/>
                <w:sz w:val="18"/>
                <w:szCs w:val="18"/>
              </w:rPr>
              <w:t>主要系公司业务规模扩大及期末已 结算未收款的项目增长所致。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177,601,705.6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21.99%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87,108,131.35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26.77%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-4.78%</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2"/>
                <w:sz w:val="18"/>
                <w:szCs w:val="18"/>
              </w:rPr>
              <w:t>主要系公司业务扩大，未完工项目增</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加所致。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6" w:right="0"/>
              <w:jc w:val="left"/>
              <w:rPr>
                <w:rFonts w:ascii="Times New Roman" w:hAnsi="Times New Roman" w:cs="Times New Roman" w:eastAsia="Times New Roman" w:hint="default"/>
                <w:sz w:val="18"/>
                <w:szCs w:val="18"/>
              </w:rPr>
            </w:pPr>
            <w:r>
              <w:rPr>
                <w:rFonts w:ascii="Times New Roman"/>
                <w:sz w:val="18"/>
              </w:rPr>
              <w:t>88,356,585.53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10.94%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71,724,607.31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-11.16%</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主要系公司新购区域中心房产</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831,800.00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-0.26%</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2"/>
              <w:jc w:val="left"/>
              <w:rPr>
                <w:rFonts w:ascii="宋体" w:hAnsi="宋体" w:cs="宋体" w:eastAsia="宋体" w:hint="default"/>
                <w:sz w:val="18"/>
                <w:szCs w:val="18"/>
              </w:rPr>
            </w:pPr>
            <w:r>
              <w:rPr>
                <w:rFonts w:ascii="宋体" w:hAnsi="宋体" w:cs="宋体" w:eastAsia="宋体" w:hint="default"/>
                <w:sz w:val="18"/>
                <w:szCs w:val="18"/>
              </w:rPr>
              <w:t>主要系天际大厦房产装修项目本期 完工转入固定资产所致。</w:t>
            </w:r>
          </w:p>
        </w:tc>
      </w:tr>
    </w:tbl>
    <w:p>
      <w:pPr>
        <w:spacing w:line="240" w:lineRule="auto" w:before="8"/>
        <w:rPr>
          <w:rFonts w:ascii="宋体" w:hAnsi="宋体" w:cs="宋体" w:eastAsia="宋体" w:hint="default"/>
          <w:sz w:val="19"/>
          <w:szCs w:val="19"/>
        </w:rPr>
      </w:pPr>
    </w:p>
    <w:p>
      <w:pPr>
        <w:pStyle w:val="Heading5"/>
        <w:spacing w:line="240" w:lineRule="auto" w:before="38"/>
        <w:ind w:right="0"/>
        <w:jc w:val="left"/>
        <w:rPr>
          <w:b w:val="0"/>
          <w:bCs w:val="0"/>
        </w:rPr>
      </w:pPr>
      <w:r>
        <w:rPr/>
        <w:t>（</w:t>
      </w:r>
      <w:r>
        <w:rPr>
          <w:rFonts w:ascii="Times New Roman" w:hAnsi="Times New Roman" w:cs="Times New Roman" w:eastAsia="Times New Roman" w:hint="default"/>
        </w:rPr>
        <w:t>2</w:t>
      </w:r>
      <w:r>
        <w:rPr/>
        <w:t>）负债项目重大变动情况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5"/>
        <w:gridCol w:w="1063"/>
        <w:gridCol w:w="798"/>
        <w:gridCol w:w="2917"/>
      </w:tblGrid>
      <w:tr>
        <w:trPr>
          <w:trHeight w:val="38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72" w:hRule="exact"/>
        </w:trPr>
        <w:tc>
          <w:tcPr>
            <w:tcW w:w="1368" w:type="dxa"/>
            <w:vMerge/>
            <w:tcBorders>
              <w:left w:val="single" w:sz="4" w:space="0" w:color="000000"/>
              <w:right w:val="single" w:sz="4" w:space="0" w:color="000000"/>
            </w:tcBorders>
            <w:shd w:val="clear" w:color="auto" w:fill="D3D3D3"/>
          </w:tcPr>
          <w:p>
            <w:pPr/>
          </w:p>
        </w:tc>
        <w:tc>
          <w:tcPr>
            <w:tcW w:w="11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181" w:right="77"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181" w:right="77"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8" w:type="dxa"/>
            <w:vMerge/>
            <w:tcBorders>
              <w:left w:val="single" w:sz="4" w:space="0" w:color="000000"/>
              <w:right w:val="single" w:sz="4" w:space="0" w:color="000000"/>
            </w:tcBorders>
            <w:shd w:val="clear" w:color="auto" w:fill="D3D3D3"/>
          </w:tcPr>
          <w:p>
            <w:pPr/>
          </w:p>
        </w:tc>
        <w:tc>
          <w:tcPr>
            <w:tcW w:w="291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1"/>
              <w:ind w:right="912"/>
              <w:jc w:val="righ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64"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291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6" w:right="0"/>
              <w:jc w:val="left"/>
              <w:rPr>
                <w:rFonts w:ascii="Times New Roman" w:hAnsi="Times New Roman" w:cs="Times New Roman" w:eastAsia="Times New Roman" w:hint="default"/>
                <w:sz w:val="18"/>
                <w:szCs w:val="18"/>
              </w:rPr>
            </w:pPr>
            <w:r>
              <w:rPr>
                <w:rFonts w:ascii="Times New Roman"/>
                <w:sz w:val="18"/>
              </w:rPr>
              <w:t>2,700,000.00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5" w:right="0"/>
              <w:jc w:val="left"/>
              <w:rPr>
                <w:rFonts w:ascii="Times New Roman" w:hAnsi="Times New Roman" w:cs="Times New Roman" w:eastAsia="Times New Roman" w:hint="default"/>
                <w:sz w:val="18"/>
                <w:szCs w:val="18"/>
              </w:rPr>
            </w:pPr>
            <w:r>
              <w:rPr>
                <w:rFonts w:ascii="Times New Roman"/>
                <w:sz w:val="18"/>
              </w:rPr>
              <w:t>0.33%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-4.28%</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02"/>
              <w:jc w:val="right"/>
              <w:rPr>
                <w:rFonts w:ascii="宋体" w:hAnsi="宋体" w:cs="宋体" w:eastAsia="宋体" w:hint="default"/>
                <w:sz w:val="18"/>
                <w:szCs w:val="18"/>
              </w:rPr>
            </w:pPr>
            <w:r>
              <w:rPr>
                <w:rFonts w:ascii="宋体" w:hAnsi="宋体" w:cs="宋体" w:eastAsia="宋体" w:hint="default"/>
                <w:sz w:val="18"/>
                <w:szCs w:val="18"/>
              </w:rPr>
              <w:t>主要系本年银行借款归还</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19,421,355.92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-5.97%</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02"/>
              <w:jc w:val="right"/>
              <w:rPr>
                <w:rFonts w:ascii="宋体" w:hAnsi="宋体" w:cs="宋体" w:eastAsia="宋体" w:hint="default"/>
                <w:sz w:val="18"/>
                <w:szCs w:val="18"/>
              </w:rPr>
            </w:pPr>
            <w:r>
              <w:rPr>
                <w:rFonts w:ascii="宋体" w:hAnsi="宋体" w:cs="宋体" w:eastAsia="宋体" w:hint="default"/>
                <w:sz w:val="18"/>
                <w:szCs w:val="18"/>
              </w:rPr>
              <w:t>主要系本年银行借款归还</w:t>
            </w:r>
          </w:p>
        </w:tc>
      </w:tr>
    </w:tbl>
    <w:p>
      <w:pPr>
        <w:spacing w:after="0" w:line="240" w:lineRule="auto"/>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3"/>
        <w:rPr>
          <w:rFonts w:ascii="宋体" w:hAnsi="宋体" w:cs="宋体" w:eastAsia="宋体" w:hint="default"/>
          <w:sz w:val="25"/>
          <w:szCs w:val="25"/>
        </w:rPr>
      </w:pPr>
    </w:p>
    <w:p>
      <w:pPr>
        <w:pStyle w:val="Heading5"/>
        <w:spacing w:line="240" w:lineRule="auto" w:before="38"/>
        <w:ind w:right="91"/>
        <w:jc w:val="left"/>
        <w:rPr>
          <w:b w:val="0"/>
          <w:bCs w:val="0"/>
        </w:rPr>
      </w:pPr>
      <w:r>
        <w:rPr/>
        <w:t>（</w:t>
      </w:r>
      <w:r>
        <w:rPr>
          <w:rFonts w:ascii="Times New Roman" w:hAnsi="Times New Roman" w:cs="Times New Roman" w:eastAsia="Times New Roman" w:hint="default"/>
        </w:rPr>
        <w:t>3</w:t>
      </w:r>
      <w:r>
        <w:rPr/>
        <w:t>）以公允价值计量的资产和负债</w:t>
      </w:r>
      <w:r>
        <w:rPr>
          <w:b w:val="0"/>
          <w:bCs w:val="0"/>
        </w:rPr>
      </w:r>
    </w:p>
    <w:p>
      <w:pPr>
        <w:spacing w:line="240" w:lineRule="auto" w:before="12"/>
        <w:rPr>
          <w:rFonts w:ascii="宋体" w:hAnsi="宋体" w:cs="宋体" w:eastAsia="宋体" w:hint="default"/>
          <w:b/>
          <w:bCs/>
          <w:sz w:val="26"/>
          <w:szCs w:val="26"/>
        </w:rPr>
      </w:pPr>
    </w:p>
    <w:p>
      <w:pPr>
        <w:pStyle w:val="BodyText"/>
        <w:spacing w:line="357" w:lineRule="auto"/>
        <w:ind w:right="5850" w:firstLine="360"/>
        <w:jc w:val="left"/>
      </w:pPr>
      <w:r>
        <w:rPr/>
        <w:t>无此事项 报告期内公司主要资产计量属性是否发生重大变化</w:t>
      </w:r>
    </w:p>
    <w:p>
      <w:pPr>
        <w:pStyle w:val="BodyText"/>
        <w:spacing w:line="240" w:lineRule="auto" w:before="29"/>
        <w:ind w:left="153" w:right="9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5"/>
        <w:rPr>
          <w:rFonts w:ascii="宋体" w:hAnsi="宋体" w:cs="宋体" w:eastAsia="宋体" w:hint="default"/>
          <w:sz w:val="26"/>
          <w:szCs w:val="26"/>
        </w:rPr>
      </w:pPr>
    </w:p>
    <w:p>
      <w:pPr>
        <w:pStyle w:val="Heading5"/>
        <w:spacing w:line="240" w:lineRule="auto"/>
        <w:ind w:right="91"/>
        <w:jc w:val="left"/>
        <w:rPr>
          <w:b w:val="0"/>
          <w:bCs w:val="0"/>
        </w:rPr>
      </w:pPr>
      <w:r>
        <w:rPr>
          <w:rFonts w:ascii="Times New Roman" w:hAnsi="Times New Roman" w:cs="Times New Roman" w:eastAsia="Times New Roman" w:hint="default"/>
        </w:rPr>
        <w:t>4</w:t>
      </w:r>
      <w:r>
        <w:rPr/>
        <w:t>、公司竞争能力重大变化分析</w:t>
      </w:r>
      <w:r>
        <w:rPr>
          <w:b w:val="0"/>
          <w:bCs w:val="0"/>
        </w:rPr>
      </w:r>
    </w:p>
    <w:p>
      <w:pPr>
        <w:spacing w:line="240" w:lineRule="auto" w:before="12"/>
        <w:rPr>
          <w:rFonts w:ascii="宋体" w:hAnsi="宋体" w:cs="宋体" w:eastAsia="宋体" w:hint="default"/>
          <w:b/>
          <w:bCs/>
          <w:sz w:val="26"/>
          <w:szCs w:val="26"/>
        </w:rPr>
      </w:pPr>
    </w:p>
    <w:p>
      <w:pPr>
        <w:pStyle w:val="BodyText"/>
        <w:spacing w:line="316" w:lineRule="auto"/>
        <w:ind w:right="91" w:firstLine="360"/>
        <w:jc w:val="left"/>
      </w:pPr>
      <w:r>
        <w:rPr/>
        <w:t>2012年3月19日公司成功发行股票并在深圳证券交易所上市，这大大增加了公司的资金实力、品牌优势和吸引优秀人才 </w:t>
      </w:r>
      <w:r>
        <w:rPr>
          <w:spacing w:val="-2"/>
        </w:rPr>
        <w:t>等能力。乘着上市的东风，公司再接再厉，在资质、研发、业务等方面均取得了不错的进展，进一步巩固和提升了公司的竞</w:t>
      </w:r>
      <w:r>
        <w:rPr>
          <w:spacing w:val="-68"/>
        </w:rPr>
        <w:t> </w:t>
      </w:r>
      <w:r>
        <w:rPr>
          <w:spacing w:val="-68"/>
        </w:rPr>
      </w:r>
      <w:r>
        <w:rPr/>
        <w:t>争能力。 1）资质方面。公司在报告期完成了“建筑智能化工程设计与施工壹级”等资质的换证工作，继续保持了行业内领先的资质 </w:t>
      </w:r>
      <w:r>
        <w:rPr>
          <w:spacing w:val="-2"/>
        </w:rPr>
        <w:t>体系，公司完善的资质体系为公司业务领域的扩展提供了坚实的基础条件，报告期内公司全资子公司汉爵科技获得了“机电</w:t>
      </w:r>
      <w:r>
        <w:rPr>
          <w:spacing w:val="-64"/>
        </w:rPr>
        <w:t> </w:t>
      </w:r>
      <w:r>
        <w:rPr>
          <w:spacing w:val="-64"/>
        </w:rPr>
      </w:r>
      <w:r>
        <w:rPr>
          <w:spacing w:val="-4"/>
        </w:rPr>
        <w:t>安装工程施工总承包二级资质”，这是公司往总包方向迈出的第一步，将有利于扩大公司的业务规模，增加公司的盈利能力。</w:t>
      </w:r>
      <w:r>
        <w:rPr>
          <w:spacing w:val="-44"/>
        </w:rPr>
        <w:t> </w:t>
      </w:r>
      <w:r>
        <w:rPr>
          <w:spacing w:val="-44"/>
        </w:rPr>
      </w:r>
      <w:r>
        <w:rPr/>
        <w:t>2）研发方面。公司加大研发投入，报告期新增发明专利1项，实用新型5项，软件著作权25项，计算机软件产品登记18项。</w:t>
      </w:r>
    </w:p>
    <w:p>
      <w:pPr>
        <w:pStyle w:val="BodyText"/>
        <w:spacing w:line="316" w:lineRule="auto" w:before="19"/>
        <w:ind w:right="180"/>
        <w:jc w:val="left"/>
      </w:pPr>
      <w:r>
        <w:rPr/>
        <w:t>3）业务方面。公司加紧实施“区域中心与信息化管理平台建设项目”，报告期内五大区域中心场地、人员开始到位，并布 局了境外市场，形成了覆盖全国各主要城市和境外市场的业务网络。</w:t>
      </w:r>
    </w:p>
    <w:p>
      <w:pPr>
        <w:spacing w:line="240" w:lineRule="auto" w:before="3"/>
        <w:rPr>
          <w:rFonts w:ascii="宋体" w:hAnsi="宋体" w:cs="宋体" w:eastAsia="宋体" w:hint="default"/>
          <w:sz w:val="23"/>
          <w:szCs w:val="23"/>
        </w:rPr>
      </w:pPr>
    </w:p>
    <w:p>
      <w:pPr>
        <w:pStyle w:val="Heading5"/>
        <w:spacing w:line="240" w:lineRule="auto"/>
        <w:ind w:right="91"/>
        <w:jc w:val="left"/>
        <w:rPr>
          <w:b w:val="0"/>
          <w:bCs w:val="0"/>
        </w:rPr>
      </w:pPr>
      <w:r>
        <w:rPr>
          <w:rFonts w:ascii="Times New Roman" w:hAnsi="Times New Roman" w:cs="Times New Roman" w:eastAsia="Times New Roman" w:hint="default"/>
        </w:rPr>
        <w:t>5</w:t>
      </w:r>
      <w:r>
        <w:rPr/>
        <w:t>、投资状况分析</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left="153" w:right="91"/>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0" w:right="19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100"/>
        <w:gridCol w:w="5467"/>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35,047.60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13,298.59</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13,298.59</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bl>
    <w:p>
      <w:pPr>
        <w:pStyle w:val="BodyText"/>
        <w:spacing w:line="240" w:lineRule="auto" w:before="52"/>
        <w:ind w:right="91"/>
        <w:jc w:val="left"/>
      </w:pPr>
      <w:r>
        <w:rPr>
          <w:rFonts w:ascii="Times New Roman" w:hAnsi="Times New Roman" w:cs="Times New Roman" w:eastAsia="Times New Roman" w:hint="default"/>
        </w:rPr>
        <w:t>1</w:t>
      </w:r>
      <w:r>
        <w:rPr/>
        <w:t>、实际募集资金金额、资金到位情况</w:t>
      </w:r>
    </w:p>
    <w:p>
      <w:pPr>
        <w:pStyle w:val="BodyText"/>
        <w:spacing w:line="316" w:lineRule="auto" w:before="101"/>
        <w:ind w:left="153" w:right="191" w:firstLine="360"/>
        <w:jc w:val="both"/>
      </w:pPr>
      <w:r>
        <w:rPr/>
        <w:t>经中国证券监督管理委员会证监许可[2012]226</w:t>
      </w:r>
      <w:r>
        <w:rPr>
          <w:spacing w:val="-51"/>
        </w:rPr>
        <w:t> </w:t>
      </w:r>
      <w:r>
        <w:rPr/>
        <w:t>号文核准，本公司于</w:t>
      </w:r>
      <w:r>
        <w:rPr>
          <w:spacing w:val="-51"/>
        </w:rPr>
        <w:t> </w:t>
      </w:r>
      <w:r>
        <w:rPr/>
        <w:t>2012</w:t>
      </w:r>
      <w:r>
        <w:rPr>
          <w:spacing w:val="-51"/>
        </w:rPr>
        <w:t> </w:t>
      </w:r>
      <w:r>
        <w:rPr/>
        <w:t>年</w:t>
      </w:r>
      <w:r>
        <w:rPr>
          <w:spacing w:val="-51"/>
        </w:rPr>
        <w:t> </w:t>
      </w:r>
      <w:r>
        <w:rPr/>
        <w:t>3</w:t>
      </w:r>
      <w:r>
        <w:rPr>
          <w:spacing w:val="-50"/>
        </w:rPr>
        <w:t> </w:t>
      </w:r>
      <w:r>
        <w:rPr/>
        <w:t>月</w:t>
      </w:r>
      <w:r>
        <w:rPr>
          <w:spacing w:val="-51"/>
        </w:rPr>
        <w:t> </w:t>
      </w:r>
      <w:r>
        <w:rPr/>
        <w:t>12</w:t>
      </w:r>
      <w:r>
        <w:rPr>
          <w:spacing w:val="-51"/>
        </w:rPr>
        <w:t> </w:t>
      </w:r>
      <w:r>
        <w:rPr/>
        <w:t>日由主承销商（保荐人）国信证券</w:t>
      </w:r>
      <w:r>
        <w:rPr/>
        <w:t> 股份有限公司采用网下向询价对象询价配售和网上向社会公众投资者资金申购定价发行相结合的方式发行人民币普通股（A 股）2,200</w:t>
      </w:r>
      <w:r>
        <w:rPr>
          <w:spacing w:val="-47"/>
        </w:rPr>
        <w:t> </w:t>
      </w:r>
      <w:r>
        <w:rPr/>
        <w:t>万股，发行价格为每股人民币</w:t>
      </w:r>
      <w:r>
        <w:rPr>
          <w:spacing w:val="-47"/>
        </w:rPr>
        <w:t> </w:t>
      </w:r>
      <w:r>
        <w:rPr/>
        <w:t>18.00</w:t>
      </w:r>
      <w:r>
        <w:rPr>
          <w:spacing w:val="-47"/>
        </w:rPr>
        <w:t> </w:t>
      </w:r>
      <w:r>
        <w:rPr/>
        <w:t>元，募集资金总额为人民币</w:t>
      </w:r>
      <w:r>
        <w:rPr>
          <w:spacing w:val="-47"/>
        </w:rPr>
        <w:t> </w:t>
      </w:r>
      <w:r>
        <w:rPr/>
        <w:t>396,000,000.00</w:t>
      </w:r>
      <w:r>
        <w:rPr>
          <w:spacing w:val="-47"/>
        </w:rPr>
        <w:t> </w:t>
      </w:r>
      <w:r>
        <w:rPr/>
        <w:t>元，扣除应支付的主承销商承</w:t>
      </w:r>
    </w:p>
    <w:p>
      <w:pPr>
        <w:pStyle w:val="BodyText"/>
        <w:spacing w:line="240" w:lineRule="auto" w:before="19"/>
        <w:ind w:right="91"/>
        <w:jc w:val="left"/>
      </w:pPr>
      <w:r>
        <w:rPr/>
        <w:t>销佣金及保荐费</w:t>
      </w:r>
      <w:r>
        <w:rPr>
          <w:spacing w:val="-46"/>
        </w:rPr>
        <w:t> </w:t>
      </w:r>
      <w:r>
        <w:rPr/>
        <w:t>36,950,000.00</w:t>
      </w:r>
      <w:r>
        <w:rPr>
          <w:spacing w:val="-46"/>
        </w:rPr>
        <w:t> </w:t>
      </w:r>
      <w:r>
        <w:rPr/>
        <w:t>元后，于</w:t>
      </w:r>
      <w:r>
        <w:rPr>
          <w:spacing w:val="-46"/>
        </w:rPr>
        <w:t> </w:t>
      </w:r>
      <w:r>
        <w:rPr/>
        <w:t>2012 年</w:t>
      </w:r>
      <w:r>
        <w:rPr>
          <w:spacing w:val="-46"/>
        </w:rPr>
        <w:t> </w:t>
      </w:r>
      <w:r>
        <w:rPr/>
        <w:t>3 月</w:t>
      </w:r>
      <w:r>
        <w:rPr>
          <w:spacing w:val="-46"/>
        </w:rPr>
        <w:t> </w:t>
      </w:r>
      <w:r>
        <w:rPr/>
        <w:t>12</w:t>
      </w:r>
      <w:r>
        <w:rPr>
          <w:spacing w:val="1"/>
        </w:rPr>
        <w:t> </w:t>
      </w:r>
      <w:r>
        <w:rPr/>
        <w:t>日存入本公司募集资金专用账户</w:t>
      </w:r>
      <w:r>
        <w:rPr>
          <w:spacing w:val="-46"/>
        </w:rPr>
        <w:t> </w:t>
      </w:r>
      <w:r>
        <w:rPr/>
        <w:t>359,050,000.00</w:t>
      </w:r>
      <w:r>
        <w:rPr>
          <w:spacing w:val="-46"/>
        </w:rPr>
        <w:t> </w:t>
      </w:r>
      <w:r>
        <w:rPr/>
        <w:t>元；另扣减其</w:t>
      </w:r>
    </w:p>
    <w:p>
      <w:pPr>
        <w:pStyle w:val="BodyText"/>
        <w:spacing w:line="240" w:lineRule="auto" w:before="76"/>
        <w:ind w:right="91"/>
        <w:jc w:val="left"/>
      </w:pPr>
      <w:r>
        <w:rPr/>
        <w:t>余发行费用</w:t>
      </w:r>
      <w:r>
        <w:rPr>
          <w:spacing w:val="-55"/>
        </w:rPr>
        <w:t> </w:t>
      </w:r>
      <w:r>
        <w:rPr/>
        <w:t>8,574,000.00</w:t>
      </w:r>
      <w:r>
        <w:rPr>
          <w:spacing w:val="-55"/>
        </w:rPr>
        <w:t> </w:t>
      </w:r>
      <w:r>
        <w:rPr>
          <w:spacing w:val="-4"/>
        </w:rPr>
        <w:t>元后，实际募集资金净额为</w:t>
      </w:r>
      <w:r>
        <w:rPr>
          <w:spacing w:val="-55"/>
        </w:rPr>
        <w:t> </w:t>
      </w:r>
      <w:r>
        <w:rPr/>
        <w:t>350,476,000.00</w:t>
      </w:r>
      <w:r>
        <w:rPr>
          <w:spacing w:val="-55"/>
        </w:rPr>
        <w:t> </w:t>
      </w:r>
      <w:r>
        <w:rPr/>
        <w:t>元。以上新股发行的募集资金业经立信会计师事务所</w:t>
      </w:r>
    </w:p>
    <w:p>
      <w:pPr>
        <w:pStyle w:val="BodyText"/>
        <w:spacing w:line="360" w:lineRule="auto" w:before="77"/>
        <w:ind w:right="2527"/>
        <w:jc w:val="left"/>
      </w:pPr>
      <w:r>
        <w:rPr/>
        <w:t>（特殊普通合伙）于</w:t>
      </w:r>
      <w:r>
        <w:rPr>
          <w:spacing w:val="-46"/>
        </w:rPr>
        <w:t> </w:t>
      </w:r>
      <w:r>
        <w:rPr/>
        <w:t>2012</w:t>
      </w:r>
      <w:r>
        <w:rPr>
          <w:spacing w:val="-46"/>
        </w:rPr>
        <w:t> </w:t>
      </w:r>
      <w:r>
        <w:rPr/>
        <w:t>年</w:t>
      </w:r>
      <w:r>
        <w:rPr>
          <w:spacing w:val="-45"/>
        </w:rPr>
        <w:t> </w:t>
      </w:r>
      <w:r>
        <w:rPr/>
        <w:t>3</w:t>
      </w:r>
      <w:r>
        <w:rPr>
          <w:spacing w:val="-46"/>
        </w:rPr>
        <w:t> </w:t>
      </w:r>
      <w:r>
        <w:rPr/>
        <w:t>月</w:t>
      </w:r>
      <w:r>
        <w:rPr>
          <w:spacing w:val="-46"/>
        </w:rPr>
        <w:t> </w:t>
      </w:r>
      <w:r>
        <w:rPr/>
        <w:t>12</w:t>
      </w:r>
      <w:r>
        <w:rPr>
          <w:spacing w:val="-46"/>
        </w:rPr>
        <w:t> </w:t>
      </w:r>
      <w:r>
        <w:rPr/>
        <w:t>日出具的信会师报字(2012)第</w:t>
      </w:r>
      <w:r>
        <w:rPr>
          <w:spacing w:val="-46"/>
        </w:rPr>
        <w:t> </w:t>
      </w:r>
      <w:r>
        <w:rPr/>
        <w:t>110609</w:t>
      </w:r>
      <w:r>
        <w:rPr>
          <w:spacing w:val="-46"/>
        </w:rPr>
        <w:t> </w:t>
      </w:r>
      <w:r>
        <w:rPr/>
        <w:t>号验资报告审验。</w:t>
      </w:r>
      <w:r>
        <w:rPr/>
        <w:t> 2、以前年度已使用情况、本年度使用情况及结余情况</w:t>
      </w:r>
    </w:p>
    <w:p>
      <w:pPr>
        <w:pStyle w:val="BodyText"/>
        <w:spacing w:line="240" w:lineRule="auto" w:before="25"/>
        <w:ind w:left="514" w:right="91"/>
        <w:jc w:val="left"/>
      </w:pPr>
      <w:r>
        <w:rPr/>
        <w:t>2012</w:t>
      </w:r>
      <w:r>
        <w:rPr>
          <w:spacing w:val="-46"/>
        </w:rPr>
        <w:t> </w:t>
      </w:r>
      <w:r>
        <w:rPr/>
        <w:t>年度</w:t>
      </w:r>
      <w:r>
        <w:rPr>
          <w:spacing w:val="-87"/>
        </w:rPr>
        <w:t>，</w:t>
      </w:r>
      <w:r>
        <w:rPr/>
        <w:t>本</w:t>
      </w:r>
      <w:r>
        <w:rPr>
          <w:spacing w:val="1"/>
        </w:rPr>
        <w:t>公</w:t>
      </w:r>
      <w:r>
        <w:rPr/>
        <w:t>司募集资金使用</w:t>
      </w:r>
      <w:r>
        <w:rPr>
          <w:spacing w:val="-46"/>
        </w:rPr>
        <w:t> </w:t>
      </w:r>
      <w:r>
        <w:rPr/>
        <w:t>132,985,920.83</w:t>
      </w:r>
      <w:r>
        <w:rPr>
          <w:spacing w:val="-46"/>
        </w:rPr>
        <w:t> </w:t>
      </w:r>
      <w:r>
        <w:rPr/>
        <w:t>元</w:t>
      </w:r>
      <w:r>
        <w:rPr>
          <w:spacing w:val="-87"/>
        </w:rPr>
        <w:t>，</w:t>
      </w:r>
      <w:r>
        <w:rPr/>
        <w:t>其中</w:t>
      </w:r>
      <w:r>
        <w:rPr>
          <w:spacing w:val="1"/>
        </w:rPr>
        <w:t>本</w:t>
      </w:r>
      <w:r>
        <w:rPr/>
        <w:t>年置换预先已投入募集资金项目的自筹资金</w:t>
      </w:r>
      <w:r>
        <w:rPr>
          <w:spacing w:val="-46"/>
        </w:rPr>
        <w:t> </w:t>
      </w:r>
      <w:r>
        <w:rPr/>
        <w:t>33,954,978.64</w:t>
      </w:r>
    </w:p>
    <w:p>
      <w:pPr>
        <w:pStyle w:val="BodyText"/>
        <w:spacing w:line="240" w:lineRule="auto" w:before="76"/>
        <w:ind w:right="91"/>
        <w:jc w:val="left"/>
      </w:pPr>
      <w:r>
        <w:rPr/>
        <w:t>元，直接投资募集资金项目</w:t>
      </w:r>
      <w:r>
        <w:rPr>
          <w:spacing w:val="-46"/>
        </w:rPr>
        <w:t> </w:t>
      </w:r>
      <w:r>
        <w:rPr/>
        <w:t>13,418,015.53</w:t>
      </w:r>
      <w:r>
        <w:rPr>
          <w:spacing w:val="-46"/>
        </w:rPr>
        <w:t> </w:t>
      </w:r>
      <w:r>
        <w:rPr/>
        <w:t>元，收购四川通普集成系统工程有限责任公司</w:t>
      </w:r>
      <w:r>
        <w:rPr>
          <w:spacing w:val="-46"/>
        </w:rPr>
        <w:t> </w:t>
      </w:r>
      <w:r>
        <w:rPr/>
        <w:t>75%股权支付</w:t>
      </w:r>
      <w:r>
        <w:rPr>
          <w:spacing w:val="-46"/>
        </w:rPr>
        <w:t> </w:t>
      </w:r>
      <w:r>
        <w:rPr/>
        <w:t>10,000,000.00</w:t>
      </w:r>
      <w:r>
        <w:rPr>
          <w:spacing w:val="-46"/>
        </w:rPr>
        <w:t> </w:t>
      </w:r>
      <w:r>
        <w:rPr/>
        <w:t>元，</w:t>
      </w:r>
    </w:p>
    <w:p>
      <w:pPr>
        <w:pStyle w:val="BodyText"/>
        <w:spacing w:line="240" w:lineRule="auto" w:before="76"/>
        <w:ind w:right="91"/>
        <w:jc w:val="left"/>
      </w:pPr>
      <w:r>
        <w:rPr/>
        <w:t>归还银行贷款</w:t>
      </w:r>
      <w:r>
        <w:rPr>
          <w:spacing w:val="-45"/>
        </w:rPr>
        <w:t> </w:t>
      </w:r>
      <w:r>
        <w:rPr/>
        <w:t>17,000,000.00</w:t>
      </w:r>
      <w:r>
        <w:rPr>
          <w:spacing w:val="-45"/>
        </w:rPr>
        <w:t> </w:t>
      </w:r>
      <w:r>
        <w:rPr>
          <w:spacing w:val="-3"/>
        </w:rPr>
        <w:t>元，永久补充流动资金</w:t>
      </w:r>
      <w:r>
        <w:rPr>
          <w:spacing w:val="-45"/>
        </w:rPr>
        <w:t> </w:t>
      </w:r>
      <w:r>
        <w:rPr/>
        <w:t>28,000,000.00</w:t>
      </w:r>
      <w:r>
        <w:rPr>
          <w:spacing w:val="-45"/>
        </w:rPr>
        <w:t> </w:t>
      </w:r>
      <w:r>
        <w:rPr>
          <w:spacing w:val="-3"/>
        </w:rPr>
        <w:t>元，暂时补充流动资金</w:t>
      </w:r>
      <w:r>
        <w:rPr>
          <w:spacing w:val="-45"/>
        </w:rPr>
        <w:t> </w:t>
      </w:r>
      <w:r>
        <w:rPr/>
        <w:t>30,000,000.00</w:t>
      </w:r>
      <w:r>
        <w:rPr>
          <w:spacing w:val="-45"/>
        </w:rPr>
        <w:t> </w:t>
      </w:r>
      <w:r>
        <w:rPr>
          <w:spacing w:val="-4"/>
        </w:rPr>
        <w:t>元，银行手续费</w:t>
      </w:r>
    </w:p>
    <w:p>
      <w:pPr>
        <w:pStyle w:val="BodyText"/>
        <w:spacing w:line="240" w:lineRule="auto" w:before="77"/>
        <w:ind w:right="91"/>
        <w:jc w:val="left"/>
      </w:pPr>
      <w:r>
        <w:rPr/>
        <w:t>支出</w:t>
      </w:r>
      <w:r>
        <w:rPr>
          <w:spacing w:val="-46"/>
        </w:rPr>
        <w:t> </w:t>
      </w:r>
      <w:r>
        <w:rPr/>
        <w:t>628.96</w:t>
      </w:r>
      <w:r>
        <w:rPr>
          <w:spacing w:val="-46"/>
        </w:rPr>
        <w:t> </w:t>
      </w:r>
      <w:r>
        <w:rPr/>
        <w:t>元。</w:t>
      </w:r>
    </w:p>
    <w:p>
      <w:pPr>
        <w:spacing w:line="240" w:lineRule="auto" w:before="8"/>
        <w:rPr>
          <w:rFonts w:ascii="宋体" w:hAnsi="宋体" w:cs="宋体" w:eastAsia="宋体" w:hint="default"/>
          <w:sz w:val="7"/>
          <w:szCs w:val="7"/>
        </w:rPr>
      </w:pPr>
    </w:p>
    <w:p>
      <w:pPr>
        <w:spacing w:line="734" w:lineRule="exact"/>
        <w:ind w:left="144" w:right="0" w:firstLine="0"/>
        <w:rPr>
          <w:rFonts w:ascii="宋体" w:hAnsi="宋体" w:cs="宋体" w:eastAsia="宋体" w:hint="default"/>
          <w:sz w:val="20"/>
          <w:szCs w:val="20"/>
        </w:rPr>
      </w:pPr>
      <w:r>
        <w:rPr>
          <w:rFonts w:ascii="宋体" w:hAnsi="宋体" w:cs="宋体" w:eastAsia="宋体" w:hint="default"/>
          <w:position w:val="-14"/>
          <w:sz w:val="20"/>
          <w:szCs w:val="20"/>
        </w:rPr>
        <w:pict>
          <v:group style="width:481.95pt;height:36.75pt;mso-position-horizontal-relative:char;mso-position-vertical-relative:line" coordorigin="0,0" coordsize="9639,735">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725" coordorigin="10,5" coordsize="2,725">
              <v:shape style="position:absolute;left:10;top:5;width:2;height:725" coordorigin="10,5" coordsize="0,725" path="m10,5l10,730e" filled="false" stroked="true" strokeweight=".48001pt" strokecolor="#000000">
                <v:path arrowok="t"/>
              </v:shape>
            </v:group>
            <v:group style="position:absolute;left:5;top:725;width:9568;height:2" coordorigin="5,725" coordsize="9568,2">
              <v:shape style="position:absolute;left:5;top:725;width:9568;height:2" coordorigin="5,725" coordsize="9568,0" path="m5,725l9572,725e" filled="false" stroked="true" strokeweight=".48001pt" strokecolor="#000000">
                <v:path arrowok="t"/>
              </v:shape>
            </v:group>
            <v:group style="position:absolute;left:9577;top:5;width:2;height:725" coordorigin="9577,5" coordsize="2,725">
              <v:shape style="position:absolute;left:9577;top:5;width:2;height:725" coordorigin="9577,5" coordsize="0,725" path="m9577,5l9577,730e" filled="false" stroked="true" strokeweight=".47998pt" strokecolor="#000000">
                <v:path arrowok="t"/>
              </v:shape>
              <v:shape style="position:absolute;left:0;top:0;width:9639;height:735" type="#_x0000_t202" filled="false" stroked="false">
                <v:textbox inset="0,0,0,0">
                  <w:txbxContent>
                    <w:p>
                      <w:pPr>
                        <w:spacing w:before="67"/>
                        <w:ind w:left="397" w:right="0" w:firstLine="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9"/>
                          <w:sz w:val="18"/>
                          <w:szCs w:val="18"/>
                        </w:rPr>
                        <w:t> </w:t>
                      </w:r>
                      <w:r>
                        <w:rPr>
                          <w:rFonts w:ascii="宋体" w:hAnsi="宋体" w:cs="宋体" w:eastAsia="宋体" w:hint="default"/>
                          <w:sz w:val="18"/>
                          <w:szCs w:val="18"/>
                        </w:rPr>
                        <w:t>2012</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日，公司募集资金专用账户余额为</w:t>
                      </w:r>
                      <w:r>
                        <w:rPr>
                          <w:rFonts w:ascii="宋体" w:hAnsi="宋体" w:cs="宋体" w:eastAsia="宋体" w:hint="default"/>
                          <w:spacing w:val="-49"/>
                          <w:sz w:val="18"/>
                          <w:szCs w:val="18"/>
                        </w:rPr>
                        <w:t> </w:t>
                      </w:r>
                      <w:r>
                        <w:rPr>
                          <w:rFonts w:ascii="宋体" w:hAnsi="宋体" w:cs="宋体" w:eastAsia="宋体" w:hint="default"/>
                          <w:sz w:val="18"/>
                          <w:szCs w:val="18"/>
                        </w:rPr>
                        <w:t>220,143,455.52</w:t>
                      </w:r>
                      <w:r>
                        <w:rPr>
                          <w:rFonts w:ascii="宋体" w:hAnsi="宋体" w:cs="宋体" w:eastAsia="宋体" w:hint="default"/>
                          <w:spacing w:val="-49"/>
                          <w:sz w:val="18"/>
                          <w:szCs w:val="18"/>
                        </w:rPr>
                        <w:t> </w:t>
                      </w:r>
                      <w:r>
                        <w:rPr>
                          <w:rFonts w:ascii="宋体" w:hAnsi="宋体" w:cs="宋体" w:eastAsia="宋体" w:hint="default"/>
                          <w:sz w:val="18"/>
                          <w:szCs w:val="18"/>
                        </w:rPr>
                        <w:t>元，募集资金余额应为</w:t>
                      </w:r>
                      <w:r>
                        <w:rPr>
                          <w:rFonts w:ascii="宋体" w:hAnsi="宋体" w:cs="宋体" w:eastAsia="宋体" w:hint="default"/>
                          <w:spacing w:val="-49"/>
                          <w:sz w:val="18"/>
                          <w:szCs w:val="18"/>
                        </w:rPr>
                        <w:t> </w:t>
                      </w:r>
                      <w:r>
                        <w:rPr>
                          <w:rFonts w:ascii="宋体" w:hAnsi="宋体" w:cs="宋体" w:eastAsia="宋体" w:hint="default"/>
                          <w:sz w:val="18"/>
                          <w:szCs w:val="18"/>
                        </w:rPr>
                        <w:t>217,490,079.17</w:t>
                      </w:r>
                      <w:r>
                        <w:rPr>
                          <w:rFonts w:ascii="宋体" w:hAnsi="宋体" w:cs="宋体" w:eastAsia="宋体" w:hint="default"/>
                          <w:spacing w:val="-48"/>
                          <w:sz w:val="18"/>
                          <w:szCs w:val="18"/>
                        </w:rPr>
                        <w:t> </w:t>
                      </w:r>
                      <w:r>
                        <w:rPr>
                          <w:rFonts w:ascii="宋体" w:hAnsi="宋体" w:cs="宋体" w:eastAsia="宋体" w:hint="default"/>
                          <w:sz w:val="18"/>
                          <w:szCs w:val="18"/>
                        </w:rPr>
                        <w:t>元，</w:t>
                      </w:r>
                    </w:p>
                    <w:p>
                      <w:pPr>
                        <w:spacing w:before="76"/>
                        <w:ind w:left="37" w:right="0" w:firstLine="0"/>
                        <w:jc w:val="left"/>
                        <w:rPr>
                          <w:rFonts w:ascii="宋体" w:hAnsi="宋体" w:cs="宋体" w:eastAsia="宋体" w:hint="default"/>
                          <w:sz w:val="18"/>
                          <w:szCs w:val="18"/>
                        </w:rPr>
                      </w:pPr>
                      <w:r>
                        <w:rPr>
                          <w:rFonts w:ascii="宋体" w:hAnsi="宋体" w:cs="宋体" w:eastAsia="宋体" w:hint="default"/>
                          <w:sz w:val="18"/>
                          <w:szCs w:val="18"/>
                        </w:rPr>
                        <w:t>差异系银行存款利息收入</w:t>
                      </w:r>
                      <w:r>
                        <w:rPr>
                          <w:rFonts w:ascii="宋体" w:hAnsi="宋体" w:cs="宋体" w:eastAsia="宋体" w:hint="default"/>
                          <w:spacing w:val="-46"/>
                          <w:sz w:val="18"/>
                          <w:szCs w:val="18"/>
                        </w:rPr>
                        <w:t> </w:t>
                      </w:r>
                      <w:r>
                        <w:rPr>
                          <w:rFonts w:ascii="宋体" w:hAnsi="宋体" w:cs="宋体" w:eastAsia="宋体" w:hint="default"/>
                          <w:sz w:val="18"/>
                          <w:szCs w:val="18"/>
                        </w:rPr>
                        <w:t>2,653,376.35</w:t>
                      </w:r>
                      <w:r>
                        <w:rPr>
                          <w:rFonts w:ascii="宋体" w:hAnsi="宋体" w:cs="宋体" w:eastAsia="宋体" w:hint="default"/>
                          <w:spacing w:val="-46"/>
                          <w:sz w:val="18"/>
                          <w:szCs w:val="18"/>
                        </w:rPr>
                        <w:t> </w:t>
                      </w:r>
                      <w:r>
                        <w:rPr>
                          <w:rFonts w:ascii="宋体" w:hAnsi="宋体" w:cs="宋体" w:eastAsia="宋体" w:hint="default"/>
                          <w:sz w:val="18"/>
                          <w:szCs w:val="18"/>
                        </w:rPr>
                        <w:t>元。</w:t>
                      </w:r>
                    </w:p>
                  </w:txbxContent>
                </v:textbox>
                <w10:wrap type="none"/>
              </v:shape>
            </v:group>
          </v:group>
        </w:pict>
      </w:r>
      <w:r>
        <w:rPr>
          <w:rFonts w:ascii="宋体" w:hAnsi="宋体" w:cs="宋体" w:eastAsia="宋体" w:hint="default"/>
          <w:position w:val="-14"/>
          <w:sz w:val="20"/>
          <w:szCs w:val="20"/>
        </w:rPr>
      </w:r>
    </w:p>
    <w:p>
      <w:pPr>
        <w:spacing w:after="0" w:line="734" w:lineRule="exact"/>
        <w:rPr>
          <w:rFonts w:ascii="宋体" w:hAnsi="宋体" w:cs="宋体" w:eastAsia="宋体" w:hint="default"/>
          <w:sz w:val="20"/>
          <w:szCs w:val="20"/>
        </w:rPr>
        <w:sectPr>
          <w:pgSz w:w="11910" w:h="16840"/>
          <w:pgMar w:header="747" w:footer="982" w:top="1060" w:bottom="1180" w:left="980" w:right="940"/>
        </w:sectPr>
      </w:pPr>
    </w:p>
    <w:p>
      <w:pPr>
        <w:spacing w:line="240" w:lineRule="auto" w:before="3"/>
        <w:rPr>
          <w:rFonts w:ascii="宋体" w:hAnsi="宋体" w:cs="宋体" w:eastAsia="宋体" w:hint="default"/>
          <w:sz w:val="25"/>
          <w:szCs w:val="25"/>
        </w:rPr>
      </w:pPr>
    </w:p>
    <w:p>
      <w:pPr>
        <w:pStyle w:val="Heading5"/>
        <w:spacing w:line="240" w:lineRule="auto" w:before="38"/>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19" w:right="68"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2"/>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5"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0"/>
              <w:ind w:left="151"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1"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公共安全管理平台建 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7,503.02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7,503.02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2,794.5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2,794.5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区域中心与信息化管 理平台建设项目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4,997.52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4,997.52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1,592.8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12,500.54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12,500.54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4,387.3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4,387.3</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追加投资募集资金</w:t>
            </w:r>
          </w:p>
          <w:p>
            <w:pPr>
              <w:pStyle w:val="TableParagraph"/>
              <w:spacing w:line="302" w:lineRule="auto" w:before="75"/>
              <w:ind w:left="22" w:right="156"/>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区域中心与信息化 管理平台建设项目</w:t>
            </w:r>
            <w:r>
              <w:rPr>
                <w:rFonts w:ascii="Times New Roman" w:hAnsi="Times New Roman" w:cs="Times New Roman" w:eastAsia="Times New Roman" w:hint="default"/>
                <w:sz w:val="18"/>
                <w:szCs w:val="18"/>
              </w:rPr>
              <w:t>”</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5"/>
              <w:jc w:val="left"/>
              <w:rPr>
                <w:rFonts w:ascii="宋体" w:hAnsi="宋体" w:cs="宋体" w:eastAsia="宋体" w:hint="default"/>
                <w:sz w:val="18"/>
                <w:szCs w:val="18"/>
              </w:rPr>
            </w:pPr>
            <w:r>
              <w:rPr>
                <w:rFonts w:ascii="宋体" w:hAnsi="宋体" w:cs="宋体" w:eastAsia="宋体" w:hint="default"/>
                <w:sz w:val="18"/>
                <w:szCs w:val="18"/>
              </w:rPr>
              <w:t>浙江汉爵科技有限公 司增资投资</w:t>
            </w:r>
            <w:r>
              <w:rPr>
                <w:rFonts w:ascii="Times New Roman" w:hAnsi="Times New Roman" w:cs="Times New Roman" w:eastAsia="Times New Roman" w:hint="default"/>
                <w:sz w:val="18"/>
                <w:szCs w:val="18"/>
              </w:rPr>
              <w:t>“</w:t>
            </w:r>
            <w:r>
              <w:rPr>
                <w:rFonts w:ascii="宋体" w:hAnsi="宋体" w:cs="宋体" w:eastAsia="宋体" w:hint="default"/>
                <w:sz w:val="18"/>
                <w:szCs w:val="18"/>
              </w:rPr>
              <w:t>智慧节能</w:t>
            </w: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暖通</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设立全资子公司上海 汉鼎信息技术有限公 司投资</w:t>
            </w:r>
            <w:r>
              <w:rPr>
                <w:rFonts w:ascii="Times New Roman" w:hAnsi="Times New Roman" w:cs="Times New Roman" w:eastAsia="Times New Roman" w:hint="default"/>
                <w:sz w:val="18"/>
                <w:szCs w:val="18"/>
              </w:rPr>
              <w:t>“</w:t>
            </w:r>
            <w:r>
              <w:rPr>
                <w:rFonts w:ascii="宋体" w:hAnsi="宋体" w:cs="宋体" w:eastAsia="宋体" w:hint="default"/>
                <w:sz w:val="18"/>
                <w:szCs w:val="18"/>
              </w:rPr>
              <w:t>智能高清视 频</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both"/>
              <w:rPr>
                <w:rFonts w:ascii="宋体" w:hAnsi="宋体" w:cs="宋体" w:eastAsia="宋体" w:hint="default"/>
                <w:sz w:val="18"/>
                <w:szCs w:val="18"/>
              </w:rPr>
            </w:pPr>
            <w:r>
              <w:rPr>
                <w:rFonts w:ascii="宋体" w:hAnsi="宋体" w:cs="宋体" w:eastAsia="宋体" w:hint="default"/>
                <w:sz w:val="18"/>
                <w:szCs w:val="18"/>
              </w:rPr>
              <w:t>收购四川通普集成系 统工程有限责任公司 </w:t>
            </w:r>
            <w:r>
              <w:rPr>
                <w:rFonts w:ascii="Times New Roman" w:hAnsi="Times New Roman" w:cs="Times New Roman" w:eastAsia="Times New Roman" w:hint="default"/>
                <w:sz w:val="18"/>
                <w:szCs w:val="18"/>
              </w:rPr>
              <w:t>75%</w:t>
            </w:r>
            <w:r>
              <w:rPr>
                <w:rFonts w:ascii="宋体" w:hAnsi="宋体" w:cs="宋体" w:eastAsia="宋体" w:hint="default"/>
                <w:sz w:val="18"/>
                <w:szCs w:val="18"/>
              </w:rPr>
              <w:t>股权</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323.04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tabs>
                <w:tab w:pos="323" w:val="left" w:leader="none"/>
              </w:tabs>
              <w:spacing w:line="240" w:lineRule="auto" w:before="52"/>
              <w:ind w:left="-128" w:right="323"/>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tabs>
                <w:tab w:pos="323" w:val="left" w:leader="none"/>
              </w:tabs>
              <w:spacing w:line="240" w:lineRule="auto" w:before="52"/>
              <w:ind w:left="-128" w:right="323"/>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350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14,450.06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8,911.29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8,911.29</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323.04</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12,850.54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26,950.6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13,298.59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13,298.59</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323.04</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2" w:right="23"/>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1、用于偿还银行贷款、永久性补充流动资金</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r>
        <w:rPr/>
        <w:pict>
          <v:shape style="position:absolute;margin-left:56.459999pt;margin-top:71.999962pt;width:479.1pt;height:695.6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8250"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公司“其他与主营业务相关的营运资金项目”的募集资金共计</w:t>
                        </w:r>
                        <w:r>
                          <w:rPr>
                            <w:rFonts w:ascii="宋体" w:hAnsi="宋体" w:cs="宋体" w:eastAsia="宋体" w:hint="default"/>
                            <w:spacing w:val="-46"/>
                            <w:sz w:val="18"/>
                            <w:szCs w:val="18"/>
                          </w:rPr>
                          <w:t> </w:t>
                        </w:r>
                        <w:r>
                          <w:rPr>
                            <w:rFonts w:ascii="宋体" w:hAnsi="宋体" w:cs="宋体" w:eastAsia="宋体" w:hint="default"/>
                            <w:sz w:val="18"/>
                            <w:szCs w:val="18"/>
                          </w:rPr>
                          <w:t>225,470,600.00</w:t>
                        </w:r>
                        <w:r>
                          <w:rPr>
                            <w:rFonts w:ascii="宋体" w:hAnsi="宋体" w:cs="宋体" w:eastAsia="宋体" w:hint="default"/>
                            <w:spacing w:val="-46"/>
                            <w:sz w:val="18"/>
                            <w:szCs w:val="18"/>
                          </w:rPr>
                          <w:t> </w:t>
                        </w:r>
                        <w:r>
                          <w:rPr>
                            <w:rFonts w:ascii="宋体" w:hAnsi="宋体" w:cs="宋体" w:eastAsia="宋体" w:hint="default"/>
                            <w:sz w:val="18"/>
                            <w:szCs w:val="18"/>
                          </w:rPr>
                          <w:t>元，经</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日公司第一届董事会第二十一次会议和第一届监事会第七次会议决议通过，同意公司使用</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“其他与主营业务相关的营运资金项目”的募集资金</w:t>
                        </w:r>
                        <w:r>
                          <w:rPr>
                            <w:rFonts w:ascii="宋体" w:hAnsi="宋体" w:cs="宋体" w:eastAsia="宋体" w:hint="default"/>
                            <w:spacing w:val="-46"/>
                            <w:sz w:val="18"/>
                            <w:szCs w:val="18"/>
                          </w:rPr>
                          <w:t> </w:t>
                        </w:r>
                        <w:r>
                          <w:rPr>
                            <w:rFonts w:ascii="宋体" w:hAnsi="宋体" w:cs="宋体" w:eastAsia="宋体" w:hint="default"/>
                            <w:sz w:val="18"/>
                            <w:szCs w:val="18"/>
                          </w:rPr>
                          <w:t>17,000,000.00</w:t>
                        </w:r>
                        <w:r>
                          <w:rPr>
                            <w:rFonts w:ascii="宋体" w:hAnsi="宋体" w:cs="宋体" w:eastAsia="宋体" w:hint="default"/>
                            <w:spacing w:val="-46"/>
                            <w:sz w:val="18"/>
                            <w:szCs w:val="18"/>
                          </w:rPr>
                          <w:t> </w:t>
                        </w:r>
                        <w:r>
                          <w:rPr>
                            <w:rFonts w:ascii="宋体" w:hAnsi="宋体" w:cs="宋体" w:eastAsia="宋体" w:hint="default"/>
                            <w:sz w:val="18"/>
                            <w:szCs w:val="18"/>
                          </w:rPr>
                          <w:t>元偿还银行贷款，使用“其他</w:t>
                        </w:r>
                      </w:p>
                      <w:p>
                        <w:pPr>
                          <w:pStyle w:val="TableParagraph"/>
                          <w:spacing w:line="360" w:lineRule="auto" w:before="77"/>
                          <w:ind w:left="22" w:right="564"/>
                          <w:jc w:val="left"/>
                          <w:rPr>
                            <w:rFonts w:ascii="宋体" w:hAnsi="宋体" w:cs="宋体" w:eastAsia="宋体" w:hint="default"/>
                            <w:sz w:val="18"/>
                            <w:szCs w:val="18"/>
                          </w:rPr>
                        </w:pPr>
                        <w:r>
                          <w:rPr>
                            <w:rFonts w:ascii="宋体" w:hAnsi="宋体" w:cs="宋体" w:eastAsia="宋体" w:hint="default"/>
                            <w:sz w:val="18"/>
                            <w:szCs w:val="18"/>
                          </w:rPr>
                          <w:t>与主营业务相关的营运资金项目”的募集资金</w:t>
                        </w:r>
                        <w:r>
                          <w:rPr>
                            <w:rFonts w:ascii="宋体" w:hAnsi="宋体" w:cs="宋体" w:eastAsia="宋体" w:hint="default"/>
                            <w:spacing w:val="-46"/>
                            <w:sz w:val="18"/>
                            <w:szCs w:val="18"/>
                          </w:rPr>
                          <w:t> </w:t>
                        </w:r>
                        <w:r>
                          <w:rPr>
                            <w:rFonts w:ascii="宋体" w:hAnsi="宋体" w:cs="宋体" w:eastAsia="宋体" w:hint="default"/>
                            <w:sz w:val="18"/>
                            <w:szCs w:val="18"/>
                          </w:rPr>
                          <w:t>28,000,000.00</w:t>
                        </w:r>
                        <w:r>
                          <w:rPr>
                            <w:rFonts w:ascii="宋体" w:hAnsi="宋体" w:cs="宋体" w:eastAsia="宋体" w:hint="default"/>
                            <w:spacing w:val="-46"/>
                            <w:sz w:val="18"/>
                            <w:szCs w:val="18"/>
                          </w:rPr>
                          <w:t> </w:t>
                        </w:r>
                        <w:r>
                          <w:rPr>
                            <w:rFonts w:ascii="宋体" w:hAnsi="宋体" w:cs="宋体" w:eastAsia="宋体" w:hint="default"/>
                            <w:sz w:val="18"/>
                            <w:szCs w:val="18"/>
                          </w:rPr>
                          <w:t>元用于永久性补充流动资金。</w:t>
                        </w:r>
                        <w:r>
                          <w:rPr>
                            <w:rFonts w:ascii="宋体" w:hAnsi="宋体" w:cs="宋体" w:eastAsia="宋体" w:hint="default"/>
                            <w:sz w:val="18"/>
                            <w:szCs w:val="18"/>
                          </w:rPr>
                          <w:t> 2、用于追加投资募集资金用途为“区域中心与信息化管理平台建设项目”</w:t>
                        </w:r>
                      </w:p>
                      <w:p>
                        <w:pPr>
                          <w:pStyle w:val="TableParagraph"/>
                          <w:spacing w:line="240" w:lineRule="auto" w:before="25"/>
                          <w:ind w:left="38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6</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8</w:t>
                        </w:r>
                        <w:r>
                          <w:rPr>
                            <w:rFonts w:ascii="宋体" w:hAnsi="宋体" w:cs="宋体" w:eastAsia="宋体" w:hint="default"/>
                            <w:spacing w:val="-54"/>
                            <w:sz w:val="18"/>
                            <w:szCs w:val="18"/>
                          </w:rPr>
                          <w:t> </w:t>
                        </w:r>
                        <w:r>
                          <w:rPr>
                            <w:rFonts w:ascii="宋体" w:hAnsi="宋体" w:cs="宋体" w:eastAsia="宋体" w:hint="default"/>
                            <w:sz w:val="18"/>
                            <w:szCs w:val="18"/>
                          </w:rPr>
                          <w:t>日公司第一届董事会第二十三次会议和第一届监事会第八次会议决议通过，同意</w:t>
                        </w:r>
                      </w:p>
                      <w:p>
                        <w:pPr>
                          <w:pStyle w:val="TableParagraph"/>
                          <w:spacing w:line="338" w:lineRule="auto" w:before="76"/>
                          <w:ind w:left="22" w:right="114"/>
                          <w:jc w:val="left"/>
                          <w:rPr>
                            <w:rFonts w:ascii="宋体" w:hAnsi="宋体" w:cs="宋体" w:eastAsia="宋体" w:hint="default"/>
                            <w:sz w:val="18"/>
                            <w:szCs w:val="18"/>
                          </w:rPr>
                        </w:pPr>
                        <w:r>
                          <w:rPr>
                            <w:rFonts w:ascii="宋体" w:hAnsi="宋体" w:cs="宋体" w:eastAsia="宋体" w:hint="default"/>
                            <w:sz w:val="18"/>
                            <w:szCs w:val="18"/>
                          </w:rPr>
                          <w:t>公司使用“其他与主营业务相关的营运资金项目”的募集资金</w:t>
                        </w:r>
                        <w:r>
                          <w:rPr>
                            <w:rFonts w:ascii="宋体" w:hAnsi="宋体" w:cs="宋体" w:eastAsia="宋体" w:hint="default"/>
                            <w:spacing w:val="-46"/>
                            <w:sz w:val="18"/>
                            <w:szCs w:val="18"/>
                          </w:rPr>
                          <w:t> </w:t>
                        </w:r>
                        <w:r>
                          <w:rPr>
                            <w:rFonts w:ascii="宋体" w:hAnsi="宋体" w:cs="宋体" w:eastAsia="宋体" w:hint="default"/>
                            <w:sz w:val="18"/>
                            <w:szCs w:val="18"/>
                          </w:rPr>
                          <w:t>3,500,000.00</w:t>
                        </w:r>
                        <w:r>
                          <w:rPr>
                            <w:rFonts w:ascii="宋体" w:hAnsi="宋体" w:cs="宋体" w:eastAsia="宋体" w:hint="default"/>
                            <w:spacing w:val="-46"/>
                            <w:sz w:val="18"/>
                            <w:szCs w:val="18"/>
                          </w:rPr>
                          <w:t> </w:t>
                        </w:r>
                        <w:r>
                          <w:rPr>
                            <w:rFonts w:ascii="宋体" w:hAnsi="宋体" w:cs="宋体" w:eastAsia="宋体" w:hint="default"/>
                            <w:sz w:val="18"/>
                            <w:szCs w:val="18"/>
                          </w:rPr>
                          <w:t>元追加投资募集资金</w:t>
                        </w:r>
                        <w:r>
                          <w:rPr>
                            <w:rFonts w:ascii="宋体" w:hAnsi="宋体" w:cs="宋体" w:eastAsia="宋体" w:hint="default"/>
                            <w:sz w:val="18"/>
                            <w:szCs w:val="18"/>
                          </w:rPr>
                          <w:t> 用途为“区域中心与信息化管理平台建设项目”。 3、用于增资浙江汉爵科技有限公司用于投资“智慧节能——暖通”项目</w:t>
                        </w:r>
                      </w:p>
                      <w:p>
                        <w:pPr>
                          <w:pStyle w:val="TableParagraph"/>
                          <w:spacing w:line="319" w:lineRule="auto" w:before="42"/>
                          <w:ind w:left="22" w:right="68" w:firstLine="36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日公司第二届董事会第三次会议和第二届监事会第二次会议决议通过，同意公</w:t>
                        </w:r>
                        <w:r>
                          <w:rPr>
                            <w:rFonts w:ascii="宋体" w:hAnsi="宋体" w:cs="宋体" w:eastAsia="宋体" w:hint="default"/>
                            <w:sz w:val="18"/>
                            <w:szCs w:val="18"/>
                          </w:rPr>
                          <w:t> 司使用“其他与主营业务相关的营运资金项目”的募集资金”28,000,000.00</w:t>
                        </w:r>
                        <w:r>
                          <w:rPr>
                            <w:rFonts w:ascii="宋体" w:hAnsi="宋体" w:cs="宋体" w:eastAsia="宋体" w:hint="default"/>
                            <w:spacing w:val="-46"/>
                            <w:sz w:val="18"/>
                            <w:szCs w:val="18"/>
                          </w:rPr>
                          <w:t> </w:t>
                        </w:r>
                        <w:r>
                          <w:rPr>
                            <w:rFonts w:ascii="宋体" w:hAnsi="宋体" w:cs="宋体" w:eastAsia="宋体" w:hint="default"/>
                            <w:sz w:val="18"/>
                            <w:szCs w:val="18"/>
                          </w:rPr>
                          <w:t>元增资公司全资子公</w:t>
                        </w:r>
                        <w:r>
                          <w:rPr>
                            <w:rFonts w:ascii="宋体" w:hAnsi="宋体" w:cs="宋体" w:eastAsia="宋体" w:hint="default"/>
                            <w:sz w:val="18"/>
                            <w:szCs w:val="18"/>
                          </w:rPr>
                          <w:t> 司浙江汉爵科技有限公司用于投资“智慧节能——暖通”项目，本期该项目实际支出</w:t>
                        </w:r>
                        <w:r>
                          <w:rPr>
                            <w:rFonts w:ascii="宋体" w:hAnsi="宋体" w:cs="宋体" w:eastAsia="宋体" w:hint="default"/>
                            <w:spacing w:val="-46"/>
                            <w:sz w:val="18"/>
                            <w:szCs w:val="18"/>
                          </w:rPr>
                          <w:t> </w:t>
                        </w:r>
                        <w:r>
                          <w:rPr>
                            <w:rFonts w:ascii="宋体" w:hAnsi="宋体" w:cs="宋体" w:eastAsia="宋体" w:hint="default"/>
                            <w:sz w:val="18"/>
                            <w:szCs w:val="18"/>
                          </w:rPr>
                          <w:t>301,310.11</w:t>
                        </w:r>
                        <w:r>
                          <w:rPr>
                            <w:rFonts w:ascii="宋体" w:hAnsi="宋体" w:cs="宋体" w:eastAsia="宋体" w:hint="default"/>
                            <w:sz w:val="18"/>
                            <w:szCs w:val="18"/>
                          </w:rPr>
                          <w:t> 元。</w:t>
                        </w:r>
                      </w:p>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4、用于设立全资子公司上海汉鼎信息技术有限公司</w:t>
                        </w:r>
                      </w:p>
                      <w:p>
                        <w:pPr>
                          <w:pStyle w:val="TableParagraph"/>
                          <w:spacing w:line="240" w:lineRule="auto" w:before="115"/>
                          <w:ind w:left="38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日公司第二届董事会第三次会议和第二届监事会第二次会议决议通过，同意公</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司使用“其他与主营业务相关的营运资金项目”的募集资金</w:t>
                        </w:r>
                        <w:r>
                          <w:rPr>
                            <w:rFonts w:ascii="宋体" w:hAnsi="宋体" w:cs="宋体" w:eastAsia="宋体" w:hint="default"/>
                            <w:spacing w:val="-46"/>
                            <w:sz w:val="18"/>
                            <w:szCs w:val="18"/>
                          </w:rPr>
                          <w:t> </w:t>
                        </w:r>
                        <w:r>
                          <w:rPr>
                            <w:rFonts w:ascii="宋体" w:hAnsi="宋体" w:cs="宋体" w:eastAsia="宋体" w:hint="default"/>
                            <w:sz w:val="18"/>
                            <w:szCs w:val="18"/>
                          </w:rPr>
                          <w:t>20,000,000.00</w:t>
                        </w:r>
                        <w:r>
                          <w:rPr>
                            <w:rFonts w:ascii="宋体" w:hAnsi="宋体" w:cs="宋体" w:eastAsia="宋体" w:hint="default"/>
                            <w:spacing w:val="-46"/>
                            <w:sz w:val="18"/>
                            <w:szCs w:val="18"/>
                          </w:rPr>
                          <w:t> </w:t>
                        </w:r>
                        <w:r>
                          <w:rPr>
                            <w:rFonts w:ascii="宋体" w:hAnsi="宋体" w:cs="宋体" w:eastAsia="宋体" w:hint="default"/>
                            <w:sz w:val="18"/>
                            <w:szCs w:val="18"/>
                          </w:rPr>
                          <w:t>元设立全资子公司上海</w:t>
                        </w:r>
                      </w:p>
                      <w:p>
                        <w:pPr>
                          <w:pStyle w:val="TableParagraph"/>
                          <w:spacing w:line="360" w:lineRule="auto" w:before="77"/>
                          <w:ind w:left="22" w:right="2814"/>
                          <w:jc w:val="left"/>
                          <w:rPr>
                            <w:rFonts w:ascii="宋体" w:hAnsi="宋体" w:cs="宋体" w:eastAsia="宋体" w:hint="default"/>
                            <w:sz w:val="18"/>
                            <w:szCs w:val="18"/>
                          </w:rPr>
                        </w:pPr>
                        <w:r>
                          <w:rPr>
                            <w:rFonts w:ascii="宋体" w:hAnsi="宋体" w:cs="宋体" w:eastAsia="宋体" w:hint="default"/>
                            <w:sz w:val="18"/>
                            <w:szCs w:val="18"/>
                          </w:rPr>
                          <w:t>汉鼎信息技术有限公司，本期该项目实际支出</w:t>
                        </w:r>
                        <w:r>
                          <w:rPr>
                            <w:rFonts w:ascii="宋体" w:hAnsi="宋体" w:cs="宋体" w:eastAsia="宋体" w:hint="default"/>
                            <w:spacing w:val="-46"/>
                            <w:sz w:val="18"/>
                            <w:szCs w:val="18"/>
                          </w:rPr>
                          <w:t> </w:t>
                        </w:r>
                        <w:r>
                          <w:rPr>
                            <w:rFonts w:ascii="宋体" w:hAnsi="宋体" w:cs="宋体" w:eastAsia="宋体" w:hint="default"/>
                            <w:sz w:val="18"/>
                            <w:szCs w:val="18"/>
                          </w:rPr>
                          <w:t>310,987.59</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 5、用于暂时补充流动资金</w:t>
                        </w:r>
                      </w:p>
                      <w:p>
                        <w:pPr>
                          <w:pStyle w:val="TableParagraph"/>
                          <w:spacing w:line="319" w:lineRule="auto" w:before="25"/>
                          <w:ind w:left="22" w:right="21" w:firstLine="360"/>
                          <w:jc w:val="both"/>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10</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24</w:t>
                        </w:r>
                        <w:r>
                          <w:rPr>
                            <w:rFonts w:ascii="宋体" w:hAnsi="宋体" w:cs="宋体" w:eastAsia="宋体" w:hint="default"/>
                            <w:spacing w:val="-54"/>
                            <w:sz w:val="18"/>
                            <w:szCs w:val="18"/>
                          </w:rPr>
                          <w:t> </w:t>
                        </w:r>
                        <w:r>
                          <w:rPr>
                            <w:rFonts w:ascii="宋体" w:hAnsi="宋体" w:cs="宋体" w:eastAsia="宋体" w:hint="default"/>
                            <w:sz w:val="18"/>
                            <w:szCs w:val="18"/>
                          </w:rPr>
                          <w:t>日公司第二届董事会第四次会议和第二届监事会第三次会议决议通过，同意公</w:t>
                        </w:r>
                        <w:r>
                          <w:rPr>
                            <w:rFonts w:ascii="宋体" w:hAnsi="宋体" w:cs="宋体" w:eastAsia="宋体" w:hint="default"/>
                            <w:sz w:val="18"/>
                            <w:szCs w:val="18"/>
                          </w:rPr>
                          <w:t> 司使用“其他与主营业务相关的营运资金”30,000,000.00</w:t>
                        </w:r>
                        <w:r>
                          <w:rPr>
                            <w:rFonts w:ascii="宋体" w:hAnsi="宋体" w:cs="宋体" w:eastAsia="宋体" w:hint="default"/>
                            <w:spacing w:val="-46"/>
                            <w:sz w:val="18"/>
                            <w:szCs w:val="18"/>
                          </w:rPr>
                          <w:t> </w:t>
                        </w:r>
                        <w:r>
                          <w:rPr>
                            <w:rFonts w:ascii="宋体" w:hAnsi="宋体" w:cs="宋体" w:eastAsia="宋体" w:hint="default"/>
                            <w:sz w:val="18"/>
                            <w:szCs w:val="18"/>
                          </w:rPr>
                          <w:t>元暂时补充流动资金，使用期限自公司</w:t>
                        </w:r>
                        <w:r>
                          <w:rPr>
                            <w:rFonts w:ascii="宋体" w:hAnsi="宋体" w:cs="宋体" w:eastAsia="宋体" w:hint="default"/>
                            <w:sz w:val="18"/>
                            <w:szCs w:val="18"/>
                          </w:rPr>
                          <w:t> </w:t>
                        </w:r>
                        <w:r>
                          <w:rPr>
                            <w:rFonts w:ascii="宋体" w:hAnsi="宋体" w:cs="宋体" w:eastAsia="宋体" w:hint="default"/>
                            <w:spacing w:val="-3"/>
                            <w:sz w:val="18"/>
                            <w:szCs w:val="18"/>
                          </w:rPr>
                          <w:t>董事会审议通过该议案之日起不超过六个月，到期公司将以自有资金归还到公司募集资金专用账户</w:t>
                        </w:r>
                      </w:p>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6、用于收购四川通普集成系统工程有限责任公司</w:t>
                        </w:r>
                        <w:r>
                          <w:rPr>
                            <w:rFonts w:ascii="宋体" w:hAnsi="宋体" w:cs="宋体" w:eastAsia="宋体" w:hint="default"/>
                            <w:spacing w:val="-46"/>
                            <w:sz w:val="18"/>
                            <w:szCs w:val="18"/>
                          </w:rPr>
                          <w:t> </w:t>
                        </w:r>
                        <w:r>
                          <w:rPr>
                            <w:rFonts w:ascii="宋体" w:hAnsi="宋体" w:cs="宋体" w:eastAsia="宋体" w:hint="default"/>
                            <w:sz w:val="18"/>
                            <w:szCs w:val="18"/>
                          </w:rPr>
                          <w:t>75%股权</w:t>
                        </w:r>
                      </w:p>
                      <w:p>
                        <w:pPr>
                          <w:pStyle w:val="TableParagraph"/>
                          <w:spacing w:line="319" w:lineRule="auto" w:before="116"/>
                          <w:ind w:left="22" w:right="21" w:firstLine="360"/>
                          <w:jc w:val="both"/>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11</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23</w:t>
                        </w:r>
                        <w:r>
                          <w:rPr>
                            <w:rFonts w:ascii="宋体" w:hAnsi="宋体" w:cs="宋体" w:eastAsia="宋体" w:hint="default"/>
                            <w:spacing w:val="-54"/>
                            <w:sz w:val="18"/>
                            <w:szCs w:val="18"/>
                          </w:rPr>
                          <w:t> </w:t>
                        </w:r>
                        <w:r>
                          <w:rPr>
                            <w:rFonts w:ascii="宋体" w:hAnsi="宋体" w:cs="宋体" w:eastAsia="宋体" w:hint="default"/>
                            <w:sz w:val="18"/>
                            <w:szCs w:val="18"/>
                          </w:rPr>
                          <w:t>日公司第二届董事会第五次会议和第二届监事会第四次会议决议通过，同意公</w:t>
                        </w:r>
                        <w:r>
                          <w:rPr>
                            <w:rFonts w:ascii="宋体" w:hAnsi="宋体" w:cs="宋体" w:eastAsia="宋体" w:hint="default"/>
                            <w:sz w:val="18"/>
                            <w:szCs w:val="18"/>
                          </w:rPr>
                          <w:t> 司使用“其他与主营业务相关的营运资金”18,000,000.00</w:t>
                        </w:r>
                        <w:r>
                          <w:rPr>
                            <w:rFonts w:ascii="宋体" w:hAnsi="宋体" w:cs="宋体" w:eastAsia="宋体" w:hint="default"/>
                            <w:spacing w:val="-46"/>
                            <w:sz w:val="18"/>
                            <w:szCs w:val="18"/>
                          </w:rPr>
                          <w:t> </w:t>
                        </w:r>
                        <w:r>
                          <w:rPr>
                            <w:rFonts w:ascii="宋体" w:hAnsi="宋体" w:cs="宋体" w:eastAsia="宋体" w:hint="default"/>
                            <w:sz w:val="18"/>
                            <w:szCs w:val="18"/>
                          </w:rPr>
                          <w:t>元收购四川通普集成系统工程有限责任</w:t>
                        </w:r>
                        <w:r>
                          <w:rPr>
                            <w:rFonts w:ascii="宋体" w:hAnsi="宋体" w:cs="宋体" w:eastAsia="宋体" w:hint="default"/>
                            <w:sz w:val="18"/>
                            <w:szCs w:val="18"/>
                          </w:rPr>
                          <w:t> 公司</w:t>
                        </w:r>
                        <w:r>
                          <w:rPr>
                            <w:rFonts w:ascii="宋体" w:hAnsi="宋体" w:cs="宋体" w:eastAsia="宋体" w:hint="default"/>
                            <w:spacing w:val="-46"/>
                            <w:sz w:val="18"/>
                            <w:szCs w:val="18"/>
                          </w:rPr>
                          <w:t> </w:t>
                        </w:r>
                        <w:r>
                          <w:rPr>
                            <w:rFonts w:ascii="宋体" w:hAnsi="宋体" w:cs="宋体" w:eastAsia="宋体" w:hint="default"/>
                            <w:sz w:val="18"/>
                            <w:szCs w:val="18"/>
                          </w:rPr>
                          <w:t>75%股权，截至</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日已支付</w:t>
                        </w:r>
                        <w:r>
                          <w:rPr>
                            <w:rFonts w:ascii="宋体" w:hAnsi="宋体" w:cs="宋体" w:eastAsia="宋体" w:hint="default"/>
                            <w:spacing w:val="-46"/>
                            <w:sz w:val="18"/>
                            <w:szCs w:val="18"/>
                          </w:rPr>
                          <w:t> </w:t>
                        </w:r>
                        <w:r>
                          <w:rPr>
                            <w:rFonts w:ascii="宋体" w:hAnsi="宋体" w:cs="宋体" w:eastAsia="宋体" w:hint="default"/>
                            <w:sz w:val="18"/>
                            <w:szCs w:val="18"/>
                          </w:rPr>
                          <w:t>10,000,000.00</w:t>
                        </w:r>
                        <w:r>
                          <w:rPr>
                            <w:rFonts w:ascii="宋体" w:hAnsi="宋体" w:cs="宋体" w:eastAsia="宋体" w:hint="default"/>
                            <w:spacing w:val="-46"/>
                            <w:sz w:val="18"/>
                            <w:szCs w:val="18"/>
                          </w:rPr>
                          <w:t> </w:t>
                        </w:r>
                        <w:r>
                          <w:rPr>
                            <w:rFonts w:ascii="宋体" w:hAnsi="宋体" w:cs="宋体" w:eastAsia="宋体" w:hint="default"/>
                            <w:sz w:val="18"/>
                            <w:szCs w:val="18"/>
                          </w:rPr>
                          <w:t>元。</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058"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年度公司募集资金投资项目利用自筹资金实际已投入的具体情况如下：</w:t>
                        </w:r>
                      </w:p>
                      <w:p>
                        <w:pPr>
                          <w:pStyle w:val="TableParagraph"/>
                          <w:spacing w:line="240" w:lineRule="auto" w:before="117"/>
                          <w:ind w:left="202" w:right="0"/>
                          <w:jc w:val="left"/>
                          <w:rPr>
                            <w:rFonts w:ascii="宋体" w:hAnsi="宋体" w:cs="宋体" w:eastAsia="宋体" w:hint="default"/>
                            <w:sz w:val="18"/>
                            <w:szCs w:val="18"/>
                          </w:rPr>
                        </w:pPr>
                        <w:r>
                          <w:rPr>
                            <w:rFonts w:ascii="宋体" w:hAnsi="宋体" w:cs="宋体" w:eastAsia="宋体" w:hint="default"/>
                            <w:sz w:val="18"/>
                            <w:szCs w:val="18"/>
                          </w:rPr>
                          <w:t>1、公共安全管理平台建设项目实际已投入</w:t>
                        </w:r>
                        <w:r>
                          <w:rPr>
                            <w:rFonts w:ascii="宋体" w:hAnsi="宋体" w:cs="宋体" w:eastAsia="宋体" w:hint="default"/>
                            <w:spacing w:val="-46"/>
                            <w:sz w:val="18"/>
                            <w:szCs w:val="18"/>
                          </w:rPr>
                          <w:t> </w:t>
                        </w:r>
                        <w:r>
                          <w:rPr>
                            <w:rFonts w:ascii="宋体" w:hAnsi="宋体" w:cs="宋体" w:eastAsia="宋体" w:hint="default"/>
                            <w:sz w:val="18"/>
                            <w:szCs w:val="18"/>
                          </w:rPr>
                          <w:t>24,698,738.84</w:t>
                        </w:r>
                        <w:r>
                          <w:rPr>
                            <w:rFonts w:ascii="宋体" w:hAnsi="宋体" w:cs="宋体" w:eastAsia="宋体" w:hint="default"/>
                            <w:spacing w:val="-46"/>
                            <w:sz w:val="18"/>
                            <w:szCs w:val="18"/>
                          </w:rPr>
                          <w:t> </w:t>
                        </w:r>
                        <w:r>
                          <w:rPr>
                            <w:rFonts w:ascii="宋体" w:hAnsi="宋体" w:cs="宋体" w:eastAsia="宋体" w:hint="default"/>
                            <w:sz w:val="18"/>
                            <w:szCs w:val="18"/>
                          </w:rPr>
                          <w:t>元；</w:t>
                        </w:r>
                      </w:p>
                      <w:p>
                        <w:pPr>
                          <w:pStyle w:val="TableParagraph"/>
                          <w:spacing w:line="357" w:lineRule="auto" w:before="116"/>
                          <w:ind w:left="382" w:right="23" w:hanging="180"/>
                          <w:jc w:val="left"/>
                          <w:rPr>
                            <w:rFonts w:ascii="宋体" w:hAnsi="宋体" w:cs="宋体" w:eastAsia="宋体" w:hint="default"/>
                            <w:sz w:val="18"/>
                            <w:szCs w:val="18"/>
                          </w:rPr>
                        </w:pPr>
                        <w:r>
                          <w:rPr>
                            <w:rFonts w:ascii="宋体" w:hAnsi="宋体" w:cs="宋体" w:eastAsia="宋体" w:hint="default"/>
                            <w:sz w:val="18"/>
                            <w:szCs w:val="18"/>
                          </w:rPr>
                          <w:t>2、区域中心与信息化管理平台建设项目</w:t>
                        </w:r>
                        <w:r>
                          <w:rPr>
                            <w:rFonts w:ascii="宋体" w:hAnsi="宋体" w:cs="宋体" w:eastAsia="宋体" w:hint="default"/>
                            <w:spacing w:val="-60"/>
                            <w:sz w:val="18"/>
                            <w:szCs w:val="18"/>
                          </w:rPr>
                          <w:t> </w:t>
                        </w:r>
                        <w:r>
                          <w:rPr>
                            <w:rFonts w:ascii="宋体" w:hAnsi="宋体" w:cs="宋体" w:eastAsia="宋体" w:hint="default"/>
                            <w:sz w:val="18"/>
                            <w:szCs w:val="18"/>
                          </w:rPr>
                          <w:t>实际已投入</w:t>
                        </w:r>
                        <w:r>
                          <w:rPr>
                            <w:rFonts w:ascii="宋体" w:hAnsi="宋体" w:cs="宋体" w:eastAsia="宋体" w:hint="default"/>
                            <w:spacing w:val="-46"/>
                            <w:sz w:val="18"/>
                            <w:szCs w:val="18"/>
                          </w:rPr>
                          <w:t> </w:t>
                        </w:r>
                        <w:r>
                          <w:rPr>
                            <w:rFonts w:ascii="宋体" w:hAnsi="宋体" w:cs="宋体" w:eastAsia="宋体" w:hint="default"/>
                            <w:sz w:val="18"/>
                            <w:szCs w:val="18"/>
                          </w:rPr>
                          <w:t>9,256,239.80</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 立信会计师事务所（特殊普通合伙）对公司以自筹资金先期投入募集资金项目的事项进行了专</w:t>
                        </w:r>
                      </w:p>
                      <w:p>
                        <w:pPr>
                          <w:pStyle w:val="TableParagraph"/>
                          <w:spacing w:line="224"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项审核，并出具了信会师报字[2012]第</w:t>
                        </w:r>
                        <w:r>
                          <w:rPr>
                            <w:rFonts w:ascii="宋体" w:hAnsi="宋体" w:cs="宋体" w:eastAsia="宋体" w:hint="default"/>
                            <w:spacing w:val="-61"/>
                            <w:sz w:val="18"/>
                            <w:szCs w:val="18"/>
                          </w:rPr>
                          <w:t> </w:t>
                        </w:r>
                        <w:r>
                          <w:rPr>
                            <w:rFonts w:ascii="宋体" w:hAnsi="宋体" w:cs="宋体" w:eastAsia="宋体" w:hint="default"/>
                            <w:sz w:val="18"/>
                            <w:szCs w:val="18"/>
                          </w:rPr>
                          <w:t>112362</w:t>
                        </w:r>
                        <w:r>
                          <w:rPr>
                            <w:rFonts w:ascii="宋体" w:hAnsi="宋体" w:cs="宋体" w:eastAsia="宋体" w:hint="default"/>
                            <w:spacing w:val="-61"/>
                            <w:sz w:val="18"/>
                            <w:szCs w:val="18"/>
                          </w:rPr>
                          <w:t> </w:t>
                        </w:r>
                        <w:r>
                          <w:rPr>
                            <w:rFonts w:ascii="宋体" w:hAnsi="宋体" w:cs="宋体" w:eastAsia="宋体" w:hint="default"/>
                            <w:sz w:val="18"/>
                            <w:szCs w:val="18"/>
                          </w:rPr>
                          <w:t>号《汉鼎信息科技股份有限公司以自筹资金预先投入</w:t>
                        </w:r>
                      </w:p>
                      <w:p>
                        <w:pPr>
                          <w:pStyle w:val="TableParagraph"/>
                          <w:spacing w:line="357" w:lineRule="auto" w:before="77"/>
                          <w:ind w:left="382" w:right="23" w:hanging="360"/>
                          <w:jc w:val="left"/>
                          <w:rPr>
                            <w:rFonts w:ascii="宋体" w:hAnsi="宋体" w:cs="宋体" w:eastAsia="宋体" w:hint="default"/>
                            <w:sz w:val="18"/>
                            <w:szCs w:val="18"/>
                          </w:rPr>
                        </w:pPr>
                        <w:r>
                          <w:rPr>
                            <w:rFonts w:ascii="宋体" w:hAnsi="宋体" w:cs="宋体" w:eastAsia="宋体" w:hint="default"/>
                            <w:sz w:val="18"/>
                            <w:szCs w:val="18"/>
                          </w:rPr>
                          <w:t>募投项目的鉴证报告》。 公司第一届董事会第二十一次会议和第一届监事会第七次会议审议通过《关于使用募集资金置</w:t>
                        </w:r>
                      </w:p>
                      <w:p>
                        <w:pPr>
                          <w:pStyle w:val="TableParagraph"/>
                          <w:spacing w:line="224" w:lineRule="exact"/>
                          <w:ind w:left="22" w:right="0"/>
                          <w:jc w:val="left"/>
                          <w:rPr>
                            <w:rFonts w:ascii="宋体" w:hAnsi="宋体" w:cs="宋体" w:eastAsia="宋体" w:hint="default"/>
                            <w:sz w:val="18"/>
                            <w:szCs w:val="18"/>
                          </w:rPr>
                        </w:pPr>
                        <w:r>
                          <w:rPr>
                            <w:rFonts w:ascii="宋体" w:hAnsi="宋体" w:cs="宋体" w:eastAsia="宋体" w:hint="default"/>
                            <w:sz w:val="18"/>
                            <w:szCs w:val="18"/>
                          </w:rPr>
                          <w:t>换预先已投入募集资金投资项目的自筹资金的议案》，同意公司使用募集资金</w:t>
                        </w:r>
                        <w:r>
                          <w:rPr>
                            <w:rFonts w:ascii="宋体" w:hAnsi="宋体" w:cs="宋体" w:eastAsia="宋体" w:hint="default"/>
                            <w:spacing w:val="-46"/>
                            <w:sz w:val="18"/>
                            <w:szCs w:val="18"/>
                          </w:rPr>
                          <w:t> </w:t>
                        </w:r>
                        <w:r>
                          <w:rPr>
                            <w:rFonts w:ascii="宋体" w:hAnsi="宋体" w:cs="宋体" w:eastAsia="宋体" w:hint="default"/>
                            <w:sz w:val="18"/>
                            <w:szCs w:val="18"/>
                          </w:rPr>
                          <w:t>33,954,978.64</w:t>
                        </w:r>
                        <w:r>
                          <w:rPr>
                            <w:rFonts w:ascii="宋体" w:hAnsi="宋体" w:cs="宋体" w:eastAsia="宋体" w:hint="default"/>
                            <w:spacing w:val="-46"/>
                            <w:sz w:val="18"/>
                            <w:szCs w:val="18"/>
                          </w:rPr>
                          <w:t> </w:t>
                        </w:r>
                        <w:r>
                          <w:rPr>
                            <w:rFonts w:ascii="宋体" w:hAnsi="宋体" w:cs="宋体" w:eastAsia="宋体" w:hint="default"/>
                            <w:sz w:val="18"/>
                            <w:szCs w:val="18"/>
                          </w:rPr>
                          <w:t>元置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换预先已投入募集资金投资项目的自筹资金。</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6"/>
                          <w:ind w:left="22" w:right="11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6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日公司第二届董事会第四次会议和第二届监事会第三次会议决议通过，同意公司使</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BodyText"/>
        <w:spacing w:line="240" w:lineRule="auto" w:before="44"/>
        <w:ind w:left="0" w:right="158"/>
        <w:jc w:val="right"/>
      </w:pPr>
      <w:r>
        <w:rPr/>
        <w:t>。</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8"/>
      </w:tblGrid>
      <w:tr>
        <w:trPr>
          <w:trHeight w:val="67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42"/>
              <w:jc w:val="left"/>
              <w:rPr>
                <w:rFonts w:ascii="宋体" w:hAnsi="宋体" w:cs="宋体" w:eastAsia="宋体" w:hint="default"/>
                <w:sz w:val="18"/>
                <w:szCs w:val="18"/>
              </w:rPr>
            </w:pPr>
            <w:r>
              <w:rPr>
                <w:rFonts w:ascii="宋体" w:hAnsi="宋体" w:cs="宋体" w:eastAsia="宋体" w:hint="default"/>
                <w:sz w:val="18"/>
                <w:szCs w:val="18"/>
              </w:rPr>
              <w:t>用</w:t>
            </w:r>
            <w:r>
              <w:rPr>
                <w:rFonts w:ascii="Times New Roman" w:hAnsi="Times New Roman" w:cs="Times New Roman" w:eastAsia="Times New Roman" w:hint="default"/>
                <w:sz w:val="18"/>
                <w:szCs w:val="18"/>
              </w:rPr>
              <w:t>“</w:t>
            </w:r>
            <w:r>
              <w:rPr>
                <w:rFonts w:ascii="宋体" w:hAnsi="宋体" w:cs="宋体" w:eastAsia="宋体" w:hint="default"/>
                <w:sz w:val="18"/>
                <w:szCs w:val="18"/>
              </w:rPr>
              <w:t>其他与主营业务相关的营运资金</w:t>
            </w:r>
            <w:r>
              <w:rPr>
                <w:rFonts w:ascii="Times New Roman" w:hAnsi="Times New Roman" w:cs="Times New Roman" w:eastAsia="Times New Roman" w:hint="default"/>
                <w:sz w:val="18"/>
                <w:szCs w:val="18"/>
              </w:rPr>
              <w:t>”30,000,000.00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元暂时补充流动资金，使用期限自公司董事会审 议通过该议案之日起不超过六个月，到期公司将以自有资金归还到公司募集资金专用账户。</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公司截止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年末尚未使用的募集资金存放在募集资金专户和以定期存款形式存放在募集资金开 户银行。</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8"/>
        <w:rPr>
          <w:rFonts w:ascii="宋体" w:hAnsi="宋体" w:cs="宋体" w:eastAsia="宋体" w:hint="default"/>
          <w:sz w:val="19"/>
          <w:szCs w:val="19"/>
        </w:rPr>
      </w:pPr>
    </w:p>
    <w:p>
      <w:pPr>
        <w:pStyle w:val="Heading5"/>
        <w:spacing w:line="240" w:lineRule="auto" w:before="38"/>
        <w:ind w:right="0"/>
        <w:jc w:val="both"/>
        <w:rPr>
          <w:b w:val="0"/>
          <w:bCs w:val="0"/>
        </w:rPr>
      </w:pPr>
      <w:r>
        <w:rPr>
          <w:rFonts w:ascii="Times New Roman" w:hAnsi="Times New Roman" w:cs="Times New Roman" w:eastAsia="Times New Roman" w:hint="default"/>
        </w:rPr>
        <w:t>6</w:t>
      </w:r>
      <w:r>
        <w:rPr/>
        <w:t>、主要控股参股公司分析</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92" w:firstLine="360"/>
        <w:jc w:val="left"/>
      </w:pPr>
      <w:r>
        <w:rPr>
          <w:spacing w:val="-2"/>
        </w:rPr>
        <w:t>公司全资子公司浙江汉爵科技有限公司，主要经营计算机软件的技术开发及成果转让，节能技术开发，楼宇智能化系统</w:t>
      </w:r>
      <w:r>
        <w:rPr/>
        <w:t> 设备安装等，注册资本</w:t>
      </w:r>
      <w:r>
        <w:rPr>
          <w:spacing w:val="-46"/>
        </w:rPr>
        <w:t> </w:t>
      </w:r>
      <w:r>
        <w:rPr/>
        <w:t>5,000</w:t>
      </w:r>
      <w:r>
        <w:rPr>
          <w:spacing w:val="-46"/>
        </w:rPr>
        <w:t> </w:t>
      </w:r>
      <w:r>
        <w:rPr/>
        <w:t>万元。近年来在软件研发方面加大投入，本年度被认定为国家重点支持领域的高新技术企业，</w:t>
      </w:r>
      <w:r>
        <w:rPr/>
        <w:t> </w:t>
      </w:r>
      <w:r>
        <w:rPr>
          <w:spacing w:val="-2"/>
        </w:rPr>
        <w:t>取得了机电安装工程施工总承包二级资质和环保工程专业承包三级资质，为业务进一步发展垫定了良好的基础。报告期母公</w:t>
      </w:r>
      <w:r>
        <w:rPr>
          <w:spacing w:val="-64"/>
        </w:rPr>
        <w:t> </w:t>
      </w:r>
      <w:r>
        <w:rPr>
          <w:spacing w:val="-64"/>
        </w:rPr>
      </w:r>
      <w:r>
        <w:rPr/>
        <w:t>司对其增资</w:t>
      </w:r>
      <w:r>
        <w:rPr>
          <w:spacing w:val="-42"/>
        </w:rPr>
        <w:t> </w:t>
      </w:r>
      <w:r>
        <w:rPr/>
        <w:t>4,300</w:t>
      </w:r>
      <w:r>
        <w:rPr>
          <w:spacing w:val="-42"/>
        </w:rPr>
        <w:t> </w:t>
      </w:r>
      <w:r>
        <w:rPr>
          <w:spacing w:val="-2"/>
        </w:rPr>
        <w:t>万元，把智慧节能方面的团队、技术、资源等整合到汉爵子公司，以加强其节能领域的研发能力。报告期</w:t>
      </w:r>
    </w:p>
    <w:p>
      <w:pPr>
        <w:pStyle w:val="BodyText"/>
        <w:spacing w:line="240" w:lineRule="auto" w:before="20"/>
        <w:ind w:right="0"/>
        <w:jc w:val="both"/>
      </w:pPr>
      <w:r>
        <w:rPr/>
        <w:t>总资产</w:t>
      </w:r>
      <w:r>
        <w:rPr>
          <w:spacing w:val="-46"/>
        </w:rPr>
        <w:t> </w:t>
      </w:r>
      <w:r>
        <w:rPr/>
        <w:t>5,240.77</w:t>
      </w:r>
      <w:r>
        <w:rPr>
          <w:spacing w:val="-46"/>
        </w:rPr>
        <w:t> </w:t>
      </w:r>
      <w:r>
        <w:rPr/>
        <w:t>万元，净资产</w:t>
      </w:r>
      <w:r>
        <w:rPr>
          <w:spacing w:val="-46"/>
        </w:rPr>
        <w:t> </w:t>
      </w:r>
      <w:r>
        <w:rPr/>
        <w:t>5,100.71</w:t>
      </w:r>
      <w:r>
        <w:rPr>
          <w:spacing w:val="-46"/>
        </w:rPr>
        <w:t> </w:t>
      </w:r>
      <w:r>
        <w:rPr/>
        <w:t>万元，净利润</w:t>
      </w:r>
      <w:r>
        <w:rPr>
          <w:spacing w:val="-46"/>
        </w:rPr>
        <w:t> </w:t>
      </w:r>
      <w:r>
        <w:rPr/>
        <w:t>43.10</w:t>
      </w:r>
      <w:r>
        <w:rPr>
          <w:spacing w:val="-46"/>
        </w:rPr>
        <w:t> </w:t>
      </w:r>
      <w:r>
        <w:rPr/>
        <w:t>万元。</w:t>
      </w:r>
    </w:p>
    <w:p>
      <w:pPr>
        <w:pStyle w:val="BodyText"/>
        <w:spacing w:line="240" w:lineRule="auto" w:before="115"/>
        <w:ind w:left="514" w:right="91"/>
        <w:jc w:val="left"/>
      </w:pPr>
      <w:r>
        <w:rPr/>
        <w:t>公司全资子公司上海汉鼎信息技术有限公司，成立于</w:t>
      </w:r>
      <w:r>
        <w:rPr>
          <w:spacing w:val="-60"/>
        </w:rPr>
        <w:t> </w:t>
      </w:r>
      <w:r>
        <w:rPr/>
        <w:t>2012</w:t>
      </w:r>
      <w:r>
        <w:rPr>
          <w:spacing w:val="-60"/>
        </w:rPr>
        <w:t> </w:t>
      </w:r>
      <w:r>
        <w:rPr/>
        <w:t>年</w:t>
      </w:r>
      <w:r>
        <w:rPr>
          <w:spacing w:val="-60"/>
        </w:rPr>
        <w:t> </w:t>
      </w:r>
      <w:r>
        <w:rPr/>
        <w:t>9</w:t>
      </w:r>
      <w:r>
        <w:rPr>
          <w:spacing w:val="-59"/>
        </w:rPr>
        <w:t> </w:t>
      </w:r>
      <w:r>
        <w:rPr/>
        <w:t>月</w:t>
      </w:r>
      <w:r>
        <w:rPr>
          <w:spacing w:val="-60"/>
        </w:rPr>
        <w:t> </w:t>
      </w:r>
      <w:r>
        <w:rPr/>
        <w:t>29</w:t>
      </w:r>
      <w:r>
        <w:rPr>
          <w:spacing w:val="-60"/>
        </w:rPr>
        <w:t> </w:t>
      </w:r>
      <w:r>
        <w:rPr/>
        <w:t>日，主要进行智能化相关产品及系统的研发和销售</w:t>
      </w:r>
    </w:p>
    <w:p>
      <w:pPr>
        <w:pStyle w:val="BodyText"/>
        <w:spacing w:line="240" w:lineRule="auto" w:before="77"/>
        <w:ind w:right="0"/>
        <w:jc w:val="both"/>
      </w:pPr>
      <w:r>
        <w:rPr/>
        <w:t>等，注册资本</w:t>
      </w:r>
      <w:r>
        <w:rPr>
          <w:spacing w:val="-46"/>
        </w:rPr>
        <w:t> </w:t>
      </w:r>
      <w:r>
        <w:rPr/>
        <w:t>2,000</w:t>
      </w:r>
      <w:r>
        <w:rPr>
          <w:spacing w:val="-46"/>
        </w:rPr>
        <w:t> </w:t>
      </w:r>
      <w:r>
        <w:rPr/>
        <w:t>万元。报告期总资产</w:t>
      </w:r>
      <w:r>
        <w:rPr>
          <w:spacing w:val="-46"/>
        </w:rPr>
        <w:t> </w:t>
      </w:r>
      <w:r>
        <w:rPr/>
        <w:t>1,990.88</w:t>
      </w:r>
      <w:r>
        <w:rPr>
          <w:spacing w:val="-46"/>
        </w:rPr>
        <w:t> </w:t>
      </w:r>
      <w:r>
        <w:rPr/>
        <w:t>万元，净资产</w:t>
      </w:r>
      <w:r>
        <w:rPr>
          <w:spacing w:val="-46"/>
        </w:rPr>
        <w:t> </w:t>
      </w:r>
      <w:r>
        <w:rPr/>
        <w:t>1,976.48</w:t>
      </w:r>
      <w:r>
        <w:rPr>
          <w:spacing w:val="-45"/>
        </w:rPr>
        <w:t> </w:t>
      </w:r>
      <w:r>
        <w:rPr/>
        <w:t>万元，净利润-23.52</w:t>
      </w:r>
      <w:r>
        <w:rPr>
          <w:spacing w:val="-46"/>
        </w:rPr>
        <w:t> </w:t>
      </w:r>
      <w:r>
        <w:rPr/>
        <w:t>万元。</w:t>
      </w:r>
    </w:p>
    <w:p>
      <w:pPr>
        <w:pStyle w:val="BodyText"/>
        <w:spacing w:line="240" w:lineRule="auto" w:before="116"/>
        <w:ind w:left="514" w:right="91"/>
        <w:jc w:val="left"/>
      </w:pPr>
      <w:r>
        <w:rPr/>
        <w:t>公司控股子公司四川通普集成系统工程有限责任公司，经</w:t>
      </w:r>
      <w:r>
        <w:rPr>
          <w:spacing w:val="-46"/>
        </w:rPr>
        <w:t> </w:t>
      </w:r>
      <w:r>
        <w:rPr/>
        <w:t>2012</w:t>
      </w:r>
      <w:r>
        <w:rPr>
          <w:spacing w:val="-46"/>
        </w:rPr>
        <w:t> </w:t>
      </w:r>
      <w:r>
        <w:rPr/>
        <w:t>年</w:t>
      </w:r>
      <w:r>
        <w:rPr>
          <w:spacing w:val="-46"/>
        </w:rPr>
        <w:t> </w:t>
      </w:r>
      <w:r>
        <w:rPr/>
        <w:t>10</w:t>
      </w:r>
      <w:r>
        <w:rPr>
          <w:spacing w:val="-45"/>
        </w:rPr>
        <w:t> </w:t>
      </w:r>
      <w:r>
        <w:rPr/>
        <w:t>月</w:t>
      </w:r>
      <w:r>
        <w:rPr>
          <w:spacing w:val="-46"/>
        </w:rPr>
        <w:t> </w:t>
      </w:r>
      <w:r>
        <w:rPr/>
        <w:t>22</w:t>
      </w:r>
      <w:r>
        <w:rPr>
          <w:spacing w:val="-46"/>
        </w:rPr>
        <w:t> </w:t>
      </w:r>
      <w:r>
        <w:rPr/>
        <w:t>日公司第二届董事会第五次会议审议批准，</w:t>
      </w:r>
    </w:p>
    <w:p>
      <w:pPr>
        <w:pStyle w:val="BodyText"/>
        <w:spacing w:line="240" w:lineRule="auto" w:before="76"/>
        <w:ind w:right="0"/>
        <w:jc w:val="both"/>
      </w:pPr>
      <w:r>
        <w:rPr/>
        <w:t>公司收购其</w:t>
      </w:r>
      <w:r>
        <w:rPr>
          <w:spacing w:val="-46"/>
        </w:rPr>
        <w:t> </w:t>
      </w:r>
      <w:r>
        <w:rPr/>
        <w:t>75%的股权，主要经营建筑智能化工程专业承包，注册资本</w:t>
      </w:r>
      <w:r>
        <w:rPr>
          <w:spacing w:val="-46"/>
        </w:rPr>
        <w:t> </w:t>
      </w:r>
      <w:r>
        <w:rPr/>
        <w:t>1,000</w:t>
      </w:r>
      <w:r>
        <w:rPr>
          <w:spacing w:val="-46"/>
        </w:rPr>
        <w:t> </w:t>
      </w:r>
      <w:r>
        <w:rPr/>
        <w:t>万元。报告期总资产</w:t>
      </w:r>
      <w:r>
        <w:rPr>
          <w:spacing w:val="-46"/>
        </w:rPr>
        <w:t> </w:t>
      </w:r>
      <w:r>
        <w:rPr/>
        <w:t>4,933.95</w:t>
      </w:r>
      <w:r>
        <w:rPr>
          <w:spacing w:val="-46"/>
        </w:rPr>
        <w:t> </w:t>
      </w:r>
      <w:r>
        <w:rPr/>
        <w:t>万元，净资产</w:t>
      </w:r>
    </w:p>
    <w:p>
      <w:pPr>
        <w:pStyle w:val="BodyText"/>
        <w:spacing w:line="240" w:lineRule="auto" w:before="77"/>
        <w:ind w:right="0"/>
        <w:jc w:val="both"/>
      </w:pPr>
      <w:r>
        <w:rPr/>
        <w:t>1,909.64</w:t>
      </w:r>
      <w:r>
        <w:rPr>
          <w:spacing w:val="-46"/>
        </w:rPr>
        <w:t> </w:t>
      </w:r>
      <w:r>
        <w:rPr/>
        <w:t>万元，净利润</w:t>
      </w:r>
      <w:r>
        <w:rPr>
          <w:spacing w:val="-46"/>
        </w:rPr>
        <w:t> </w:t>
      </w:r>
      <w:r>
        <w:rPr/>
        <w:t>822.97</w:t>
      </w:r>
      <w:r>
        <w:rPr>
          <w:spacing w:val="-46"/>
        </w:rPr>
        <w:t> </w:t>
      </w:r>
      <w:r>
        <w:rPr/>
        <w:t>万元。</w:t>
      </w:r>
    </w:p>
    <w:p>
      <w:pPr>
        <w:spacing w:line="240" w:lineRule="auto" w:before="13"/>
        <w:rPr>
          <w:rFonts w:ascii="宋体" w:hAnsi="宋体" w:cs="宋体" w:eastAsia="宋体" w:hint="default"/>
          <w:sz w:val="24"/>
          <w:szCs w:val="24"/>
        </w:rPr>
      </w:pPr>
    </w:p>
    <w:p>
      <w:pPr>
        <w:pStyle w:val="Heading2"/>
        <w:spacing w:line="240" w:lineRule="auto"/>
        <w:ind w:right="0"/>
        <w:jc w:val="both"/>
        <w:rPr>
          <w:b w:val="0"/>
          <w:bCs w:val="0"/>
        </w:rPr>
      </w:pPr>
      <w:r>
        <w:rPr/>
        <w:t>三、公司未来发展的展望</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4" w:right="7380"/>
        <w:jc w:val="left"/>
      </w:pPr>
      <w:r>
        <w:rPr/>
        <w:t>（一）行业格局和趋势 1、建筑智能化及智慧城市</w:t>
      </w:r>
    </w:p>
    <w:p>
      <w:pPr>
        <w:pStyle w:val="BodyText"/>
        <w:spacing w:line="319" w:lineRule="auto" w:before="26"/>
        <w:ind w:right="191" w:firstLine="360"/>
        <w:jc w:val="both"/>
      </w:pPr>
      <w:r>
        <w:rPr/>
        <w:t>过去十年间，中国建筑业得到高速发展，我国建筑业总产值由</w:t>
      </w:r>
      <w:r>
        <w:rPr>
          <w:spacing w:val="-46"/>
        </w:rPr>
        <w:t> </w:t>
      </w:r>
      <w:r>
        <w:rPr/>
        <w:t>2003</w:t>
      </w:r>
      <w:r>
        <w:rPr>
          <w:spacing w:val="-46"/>
        </w:rPr>
        <w:t> </w:t>
      </w:r>
      <w:r>
        <w:rPr/>
        <w:t>年的</w:t>
      </w:r>
      <w:r>
        <w:rPr>
          <w:spacing w:val="-46"/>
        </w:rPr>
        <w:t> </w:t>
      </w:r>
      <w:r>
        <w:rPr/>
        <w:t>21865.5</w:t>
      </w:r>
      <w:r>
        <w:rPr>
          <w:spacing w:val="-46"/>
        </w:rPr>
        <w:t> </w:t>
      </w:r>
      <w:r>
        <w:rPr/>
        <w:t>亿元，快速增长到</w:t>
      </w:r>
      <w:r>
        <w:rPr>
          <w:spacing w:val="-46"/>
        </w:rPr>
        <w:t> </w:t>
      </w:r>
      <w:r>
        <w:rPr/>
        <w:t>2012</w:t>
      </w:r>
      <w:r>
        <w:rPr>
          <w:spacing w:val="-46"/>
        </w:rPr>
        <w:t> </w:t>
      </w:r>
      <w:r>
        <w:rPr/>
        <w:t>年的</w:t>
      </w:r>
      <w:r>
        <w:rPr>
          <w:spacing w:val="-46"/>
        </w:rPr>
        <w:t> </w:t>
      </w:r>
      <w:r>
        <w:rPr/>
        <w:t>135303</w:t>
      </w:r>
      <w:r>
        <w:rPr/>
        <w:t> 亿元，十年间市场容量扩大了</w:t>
      </w:r>
      <w:r>
        <w:rPr>
          <w:spacing w:val="-46"/>
        </w:rPr>
        <w:t> </w:t>
      </w:r>
      <w:r>
        <w:rPr/>
        <w:t>6.18</w:t>
      </w:r>
      <w:r>
        <w:rPr>
          <w:spacing w:val="-46"/>
        </w:rPr>
        <w:t> </w:t>
      </w:r>
      <w:r>
        <w:rPr/>
        <w:t>倍，保持着</w:t>
      </w:r>
      <w:r>
        <w:rPr>
          <w:spacing w:val="-46"/>
        </w:rPr>
        <w:t> </w:t>
      </w:r>
      <w:r>
        <w:rPr/>
        <w:t>20%的年平均增长率。随着智能技术的广泛应用，建筑智能化在整个建筑行</w:t>
      </w:r>
      <w:r>
        <w:rPr/>
        <w:t> </w:t>
      </w:r>
      <w:r>
        <w:rPr>
          <w:spacing w:val="-2"/>
        </w:rPr>
        <w:t>业所占比重不断提高，全国建筑智能化行业市场容量在近年来，表现出强势增长态势，正处在由千亿级市场向万亿级市场跃</w:t>
      </w:r>
      <w:r>
        <w:rPr>
          <w:spacing w:val="-66"/>
        </w:rPr>
        <w:t> </w:t>
      </w:r>
      <w:r>
        <w:rPr>
          <w:spacing w:val="-66"/>
        </w:rPr>
      </w:r>
      <w:r>
        <w:rPr/>
        <w:t>进的过程中，市场机遇众多。</w:t>
      </w:r>
    </w:p>
    <w:p>
      <w:pPr>
        <w:pStyle w:val="BodyText"/>
        <w:spacing w:line="316" w:lineRule="auto" w:before="56"/>
        <w:ind w:right="190" w:firstLine="360"/>
        <w:jc w:val="both"/>
      </w:pPr>
      <w:r>
        <w:rPr>
          <w:spacing w:val="-2"/>
        </w:rPr>
        <w:t>智慧城市是通过综合运用现代科学技术、整合信息资源、统筹业务应用系统，加强城市规划、建设和管理的新模式。目</w:t>
      </w:r>
      <w:r>
        <w:rPr/>
        <w:t> </w:t>
      </w:r>
      <w:r>
        <w:rPr>
          <w:spacing w:val="-2"/>
        </w:rPr>
        <w:t>前，由国家住房和城乡建设部牵头，正在积极推进我国智慧城市建设。未来十年，将是中国新型城镇化建设的十年，同时也</w:t>
      </w:r>
      <w:r>
        <w:rPr>
          <w:spacing w:val="-66"/>
        </w:rPr>
        <w:t> </w:t>
      </w:r>
      <w:r>
        <w:rPr>
          <w:spacing w:val="-66"/>
        </w:rPr>
      </w:r>
      <w:r>
        <w:rPr/>
        <w:t>是智慧城市大发展的十年。2013</w:t>
      </w:r>
      <w:r>
        <w:rPr>
          <w:spacing w:val="-54"/>
        </w:rPr>
        <w:t> </w:t>
      </w:r>
      <w:r>
        <w:rPr/>
        <w:t>年</w:t>
      </w:r>
      <w:r>
        <w:rPr>
          <w:spacing w:val="-54"/>
        </w:rPr>
        <w:t> </w:t>
      </w:r>
      <w:r>
        <w:rPr/>
        <w:t>1</w:t>
      </w:r>
      <w:r>
        <w:rPr>
          <w:spacing w:val="-53"/>
        </w:rPr>
        <w:t> </w:t>
      </w:r>
      <w:r>
        <w:rPr/>
        <w:t>月</w:t>
      </w:r>
      <w:r>
        <w:rPr>
          <w:spacing w:val="-54"/>
        </w:rPr>
        <w:t> </w:t>
      </w:r>
      <w:r>
        <w:rPr/>
        <w:t>29</w:t>
      </w:r>
      <w:r>
        <w:rPr>
          <w:spacing w:val="-53"/>
        </w:rPr>
        <w:t> </w:t>
      </w:r>
      <w:r>
        <w:rPr/>
        <w:t>日，国家住房和城乡建设部宣布首批国家智慧城市试点启动，首批确定了国家智</w:t>
      </w:r>
    </w:p>
    <w:p>
      <w:pPr>
        <w:pStyle w:val="BodyText"/>
        <w:spacing w:line="316" w:lineRule="auto" w:before="19"/>
        <w:ind w:right="190"/>
        <w:jc w:val="both"/>
      </w:pPr>
      <w:r>
        <w:rPr/>
        <w:t>慧城市试点共计</w:t>
      </w:r>
      <w:r>
        <w:rPr>
          <w:spacing w:val="-46"/>
        </w:rPr>
        <w:t> </w:t>
      </w:r>
      <w:r>
        <w:rPr/>
        <w:t>90</w:t>
      </w:r>
      <w:r>
        <w:rPr>
          <w:spacing w:val="-46"/>
        </w:rPr>
        <w:t> </w:t>
      </w:r>
      <w:r>
        <w:rPr/>
        <w:t>个。国家开发银行将在“十二五”的后</w:t>
      </w:r>
      <w:r>
        <w:rPr>
          <w:spacing w:val="-46"/>
        </w:rPr>
        <w:t> </w:t>
      </w:r>
      <w:r>
        <w:rPr/>
        <w:t>3</w:t>
      </w:r>
      <w:r>
        <w:rPr>
          <w:spacing w:val="-46"/>
        </w:rPr>
        <w:t> </w:t>
      </w:r>
      <w:r>
        <w:rPr/>
        <w:t>年内，提供不低于</w:t>
      </w:r>
      <w:r>
        <w:rPr>
          <w:spacing w:val="-46"/>
        </w:rPr>
        <w:t> </w:t>
      </w:r>
      <w:r>
        <w:rPr/>
        <w:t>800</w:t>
      </w:r>
      <w:r>
        <w:rPr>
          <w:spacing w:val="-45"/>
        </w:rPr>
        <w:t> </w:t>
      </w:r>
      <w:r>
        <w:rPr/>
        <w:t>亿元的投融资额度支持中国智慧城市建</w:t>
      </w:r>
      <w:r>
        <w:rPr/>
        <w:t> </w:t>
      </w:r>
      <w:r>
        <w:rPr>
          <w:spacing w:val="-2"/>
        </w:rPr>
        <w:t>设，为智慧城市的快速发展提供国家级的资金保证。目前我国几乎所有的一线城市和大部分二线城市都已提出了建设智慧城</w:t>
      </w:r>
      <w:r>
        <w:rPr>
          <w:spacing w:val="-64"/>
        </w:rPr>
        <w:t> </w:t>
      </w:r>
      <w:r>
        <w:rPr>
          <w:spacing w:val="-64"/>
        </w:rPr>
      </w:r>
      <w:r>
        <w:rPr/>
        <w:t>市的构想，部分三四线城市加入创建智慧城市行列。全国开展智慧城市建设的城市总数已超过</w:t>
      </w:r>
      <w:r>
        <w:rPr>
          <w:spacing w:val="-71"/>
        </w:rPr>
        <w:t> </w:t>
      </w:r>
      <w:r>
        <w:rPr/>
        <w:t>150</w:t>
      </w:r>
      <w:r>
        <w:rPr>
          <w:spacing w:val="-71"/>
        </w:rPr>
        <w:t> </w:t>
      </w:r>
      <w:r>
        <w:rPr>
          <w:spacing w:val="-3"/>
        </w:rPr>
        <w:t>个，预计“十二五”期间</w:t>
      </w:r>
    </w:p>
    <w:p>
      <w:pPr>
        <w:pStyle w:val="BodyText"/>
        <w:spacing w:line="357" w:lineRule="auto" w:before="20"/>
        <w:ind w:left="514" w:right="7560" w:hanging="360"/>
        <w:jc w:val="left"/>
      </w:pPr>
      <w:r>
        <w:rPr/>
        <w:t>投资总规模有望达</w:t>
      </w:r>
      <w:r>
        <w:rPr>
          <w:spacing w:val="-46"/>
        </w:rPr>
        <w:t> </w:t>
      </w:r>
      <w:r>
        <w:rPr/>
        <w:t>5000</w:t>
      </w:r>
      <w:r>
        <w:rPr>
          <w:spacing w:val="-46"/>
        </w:rPr>
        <w:t> </w:t>
      </w:r>
      <w:r>
        <w:rPr/>
        <w:t>亿。</w:t>
      </w:r>
      <w:r>
        <w:rPr/>
        <w:t> 2、公共安全管理智能化</w:t>
      </w:r>
    </w:p>
    <w:p>
      <w:pPr>
        <w:pStyle w:val="BodyText"/>
        <w:spacing w:line="319" w:lineRule="auto" w:before="26"/>
        <w:ind w:right="101" w:firstLine="360"/>
        <w:jc w:val="both"/>
      </w:pPr>
      <w:r>
        <w:rPr>
          <w:spacing w:val="-1"/>
        </w:rPr>
        <w:t>自然灾害防灾减灾任务重，市场庞大。民政部、国家减灾委员会办公室发布的《2012</w:t>
      </w:r>
      <w:r>
        <w:rPr>
          <w:spacing w:val="-35"/>
        </w:rPr>
        <w:t> </w:t>
      </w:r>
      <w:r>
        <w:rPr>
          <w:spacing w:val="-1"/>
        </w:rPr>
        <w:t>年全国自然灾害基本情况》显示，</w:t>
      </w:r>
      <w:r>
        <w:rPr/>
        <w:t> 2012</w:t>
      </w:r>
      <w:r>
        <w:rPr>
          <w:spacing w:val="-46"/>
        </w:rPr>
        <w:t> </w:t>
      </w:r>
      <w:r>
        <w:rPr/>
        <w:t>年，各类自然灾害共造成</w:t>
      </w:r>
      <w:r>
        <w:rPr>
          <w:spacing w:val="-46"/>
        </w:rPr>
        <w:t> </w:t>
      </w:r>
      <w:r>
        <w:rPr/>
        <w:t>2.9</w:t>
      </w:r>
      <w:r>
        <w:rPr>
          <w:spacing w:val="-46"/>
        </w:rPr>
        <w:t> </w:t>
      </w:r>
      <w:r>
        <w:rPr/>
        <w:t>亿人次受灾，直接经济损失</w:t>
      </w:r>
      <w:r>
        <w:rPr>
          <w:spacing w:val="-46"/>
        </w:rPr>
        <w:t> </w:t>
      </w:r>
      <w:r>
        <w:rPr/>
        <w:t>4185.5</w:t>
      </w:r>
      <w:r>
        <w:rPr>
          <w:spacing w:val="-45"/>
        </w:rPr>
        <w:t> </w:t>
      </w:r>
      <w:r>
        <w:rPr/>
        <w:t>亿元。《国家综合防灾减灾规划（2011—2015</w:t>
      </w:r>
      <w:r>
        <w:rPr>
          <w:spacing w:val="-46"/>
        </w:rPr>
        <w:t> </w:t>
      </w:r>
      <w:r>
        <w:rPr/>
        <w:t>年）》</w:t>
      </w:r>
      <w:r>
        <w:rPr/>
        <w:t> 强调预防为主，“十二五”期间，我国将加快自然灾害监测预警体系建设，完善自然灾害监测网络。</w:t>
      </w:r>
    </w:p>
    <w:p>
      <w:pPr>
        <w:spacing w:after="0" w:line="319"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9" w:lineRule="auto" w:before="44"/>
        <w:ind w:left="153" w:right="101" w:firstLine="360"/>
        <w:jc w:val="both"/>
      </w:pPr>
      <w:r>
        <w:rPr>
          <w:spacing w:val="-4"/>
        </w:rPr>
        <w:t>社会安全管理智能化建设投入不断加大。当前，各级政府对社会安全管理技术需求不断提高，以监控前端的数字高清化、</w:t>
      </w:r>
      <w:r>
        <w:rPr/>
        <w:t> 联网平台建设、视频图像信息整合与共享等新的需求，促使社会安全管理智能化建设高速增长。</w:t>
      </w:r>
    </w:p>
    <w:p>
      <w:pPr>
        <w:pStyle w:val="BodyText"/>
        <w:spacing w:line="319" w:lineRule="auto" w:before="55"/>
        <w:ind w:left="153" w:right="190" w:firstLine="360"/>
        <w:jc w:val="both"/>
      </w:pPr>
      <w:r>
        <w:rPr>
          <w:spacing w:val="-5"/>
        </w:rPr>
        <w:t>安全生产形势依然严峻。据国家安监总局统计，我国仍处于生产安全事故易发多发的特殊时期，事故总量仍然较大，2012</w:t>
      </w:r>
      <w:r>
        <w:rPr/>
        <w:t> 年全国发生各类事故约</w:t>
      </w:r>
      <w:r>
        <w:rPr>
          <w:spacing w:val="-46"/>
        </w:rPr>
        <w:t> </w:t>
      </w:r>
      <w:r>
        <w:rPr/>
        <w:t>33.7</w:t>
      </w:r>
      <w:r>
        <w:rPr>
          <w:spacing w:val="-45"/>
        </w:rPr>
        <w:t> </w:t>
      </w:r>
      <w:r>
        <w:rPr/>
        <w:t>万起，死亡</w:t>
      </w:r>
      <w:r>
        <w:rPr>
          <w:spacing w:val="-46"/>
        </w:rPr>
        <w:t> </w:t>
      </w:r>
      <w:r>
        <w:rPr/>
        <w:t>7</w:t>
      </w:r>
      <w:r>
        <w:rPr>
          <w:spacing w:val="-45"/>
        </w:rPr>
        <w:t> </w:t>
      </w:r>
      <w:r>
        <w:rPr/>
        <w:t>万人。平均每天大约发生各类事故</w:t>
      </w:r>
      <w:r>
        <w:rPr>
          <w:spacing w:val="-46"/>
        </w:rPr>
        <w:t> </w:t>
      </w:r>
      <w:r>
        <w:rPr/>
        <w:t>950</w:t>
      </w:r>
      <w:r>
        <w:rPr>
          <w:spacing w:val="-46"/>
        </w:rPr>
        <w:t> </w:t>
      </w:r>
      <w:r>
        <w:rPr/>
        <w:t>起，大约</w:t>
      </w:r>
      <w:r>
        <w:rPr>
          <w:spacing w:val="-46"/>
        </w:rPr>
        <w:t> </w:t>
      </w:r>
      <w:r>
        <w:rPr/>
        <w:t>200</w:t>
      </w:r>
      <w:r>
        <w:rPr>
          <w:spacing w:val="-46"/>
        </w:rPr>
        <w:t> </w:t>
      </w:r>
      <w:r>
        <w:rPr/>
        <w:t>人在事故中丧生。重特大事</w:t>
      </w:r>
      <w:r>
        <w:rPr/>
        <w:t> </w:t>
      </w:r>
      <w:r>
        <w:rPr>
          <w:spacing w:val="-2"/>
        </w:rPr>
        <w:t>故尚未得到有效遏制。《安全生产“十二五”规划》提出国家推广应用煤矿及非煤矿山井下安全避险“六大系统”，危险化</w:t>
      </w:r>
      <w:r>
        <w:rPr>
          <w:spacing w:val="-65"/>
        </w:rPr>
        <w:t> </w:t>
      </w:r>
      <w:r>
        <w:rPr>
          <w:spacing w:val="-65"/>
        </w:rPr>
      </w:r>
      <w:r>
        <w:rPr>
          <w:spacing w:val="-2"/>
        </w:rPr>
        <w:t>学品、烟花爆竹、民用爆炸物品在线监测系统，推动应用物联网技术，实现对电梯等特种设备的实时监测等等安全生产管理</w:t>
      </w:r>
      <w:r>
        <w:rPr>
          <w:spacing w:val="-66"/>
        </w:rPr>
        <w:t> </w:t>
      </w:r>
      <w:r>
        <w:rPr>
          <w:spacing w:val="-66"/>
        </w:rPr>
      </w:r>
      <w:r>
        <w:rPr/>
        <w:t>智能化建设。</w:t>
      </w:r>
    </w:p>
    <w:p>
      <w:pPr>
        <w:pStyle w:val="BodyText"/>
        <w:spacing w:line="319" w:lineRule="auto" w:before="56"/>
        <w:ind w:left="153" w:right="190" w:firstLine="360"/>
        <w:jc w:val="both"/>
      </w:pPr>
      <w:r>
        <w:rPr>
          <w:spacing w:val="-2"/>
        </w:rPr>
        <w:t>公共卫生重大疾病防控、食品药品安全等形势依然严峻。《国务院关于加强食品安全工作的决定》指出当前我国食品安</w:t>
      </w:r>
      <w:r>
        <w:rPr/>
        <w:t> </w:t>
      </w:r>
      <w:r>
        <w:rPr>
          <w:spacing w:val="-2"/>
        </w:rPr>
        <w:t>全的基础仍然薄弱，违法违规行为时有发生，提出加快食品安全信息化建设，加快建设功能完善的食品安全信息平台，加快</w:t>
      </w:r>
      <w:r>
        <w:rPr>
          <w:spacing w:val="-66"/>
        </w:rPr>
        <w:t> </w:t>
      </w:r>
      <w:r>
        <w:rPr>
          <w:spacing w:val="-66"/>
        </w:rPr>
      </w:r>
      <w:r>
        <w:rPr>
          <w:spacing w:val="-2"/>
        </w:rPr>
        <w:t>推进食品安全电子追溯系统建设，建立统一的追溯手段和技术平台。《国家药品安全“十二五”规划》提出推进国家药品电</w:t>
      </w:r>
      <w:r>
        <w:rPr>
          <w:spacing w:val="-65"/>
        </w:rPr>
        <w:t> </w:t>
      </w:r>
      <w:r>
        <w:rPr>
          <w:spacing w:val="-65"/>
        </w:rPr>
      </w:r>
      <w:r>
        <w:rPr/>
        <w:t>子监管体系建设，完善覆盖全品种、全过程、可追溯的药品电子监管体系。</w:t>
      </w:r>
    </w:p>
    <w:p>
      <w:pPr>
        <w:pStyle w:val="BodyText"/>
        <w:spacing w:line="357" w:lineRule="auto" w:before="56"/>
        <w:ind w:left="513" w:right="2431"/>
        <w:jc w:val="left"/>
      </w:pPr>
      <w:r>
        <w:rPr/>
        <w:t>公共安全管理智能化市场受益于国家持续加大对公共安全管理投入，市场空间不断加大。 3、智慧节能</w:t>
      </w:r>
    </w:p>
    <w:p>
      <w:pPr>
        <w:pStyle w:val="BodyText"/>
        <w:spacing w:line="319" w:lineRule="auto" w:before="28"/>
        <w:ind w:left="153" w:right="199" w:firstLine="360"/>
        <w:jc w:val="both"/>
      </w:pPr>
      <w:r>
        <w:rPr/>
        <w:t>节能减排产业被定义为国家级战略产业。2012</w:t>
      </w:r>
      <w:r>
        <w:rPr>
          <w:spacing w:val="-46"/>
        </w:rPr>
        <w:t> </w:t>
      </w:r>
      <w:r>
        <w:rPr/>
        <w:t>年</w:t>
      </w:r>
      <w:r>
        <w:rPr>
          <w:spacing w:val="-46"/>
        </w:rPr>
        <w:t> </w:t>
      </w:r>
      <w:r>
        <w:rPr/>
        <w:t>8</w:t>
      </w:r>
      <w:r>
        <w:rPr>
          <w:spacing w:val="-45"/>
        </w:rPr>
        <w:t> </w:t>
      </w:r>
      <w:r>
        <w:rPr/>
        <w:t>月</w:t>
      </w:r>
      <w:r>
        <w:rPr>
          <w:spacing w:val="-46"/>
        </w:rPr>
        <w:t> </w:t>
      </w:r>
      <w:r>
        <w:rPr/>
        <w:t>6</w:t>
      </w:r>
      <w:r>
        <w:rPr>
          <w:spacing w:val="-46"/>
        </w:rPr>
        <w:t> </w:t>
      </w:r>
      <w:r>
        <w:rPr/>
        <w:t>日，国务院印发《节能减排“十二五”规划》对工业、建筑、</w:t>
      </w:r>
      <w:r>
        <w:rPr/>
        <w:t> 交通等行业提出了节能减排的具体指标，为节能服务创造了巨大的市场。2012</w:t>
      </w:r>
      <w:r>
        <w:rPr>
          <w:spacing w:val="-46"/>
        </w:rPr>
        <w:t> </w:t>
      </w:r>
      <w:r>
        <w:rPr/>
        <w:t>年中央财政安排近千亿元节能减排和可再生</w:t>
      </w:r>
      <w:r>
        <w:rPr/>
        <w:t> 能源专项资金，扶持中国的节能减排产业。《2012</w:t>
      </w:r>
      <w:r>
        <w:rPr>
          <w:spacing w:val="-46"/>
        </w:rPr>
        <w:t> </w:t>
      </w:r>
      <w:r>
        <w:rPr/>
        <w:t>年度中国节能服务产业发展报告》显示，2012</w:t>
      </w:r>
      <w:r>
        <w:rPr>
          <w:spacing w:val="-46"/>
        </w:rPr>
        <w:t> </w:t>
      </w:r>
      <w:r>
        <w:rPr/>
        <w:t>年中国节能服务产业总产</w:t>
      </w:r>
      <w:r>
        <w:rPr/>
        <w:t> 值达</w:t>
      </w:r>
      <w:r>
        <w:rPr>
          <w:spacing w:val="-46"/>
        </w:rPr>
        <w:t> </w:t>
      </w:r>
      <w:r>
        <w:rPr/>
        <w:t>1653.37</w:t>
      </w:r>
      <w:r>
        <w:rPr>
          <w:spacing w:val="-45"/>
        </w:rPr>
        <w:t> </w:t>
      </w:r>
      <w:r>
        <w:rPr/>
        <w:t>亿元，比</w:t>
      </w:r>
      <w:r>
        <w:rPr>
          <w:spacing w:val="-46"/>
        </w:rPr>
        <w:t> </w:t>
      </w:r>
      <w:r>
        <w:rPr/>
        <w:t>2011</w:t>
      </w:r>
      <w:r>
        <w:rPr>
          <w:spacing w:val="-45"/>
        </w:rPr>
        <w:t> </w:t>
      </w:r>
      <w:r>
        <w:rPr/>
        <w:t>年增长</w:t>
      </w:r>
      <w:r>
        <w:rPr>
          <w:spacing w:val="-46"/>
        </w:rPr>
        <w:t> </w:t>
      </w:r>
      <w:r>
        <w:rPr/>
        <w:t>32.24%，节能服务产业增长速度远高于同期</w:t>
      </w:r>
      <w:r>
        <w:rPr>
          <w:spacing w:val="-46"/>
        </w:rPr>
        <w:t> </w:t>
      </w:r>
      <w:r>
        <w:rPr/>
        <w:t>GDP</w:t>
      </w:r>
      <w:r>
        <w:rPr>
          <w:spacing w:val="-45"/>
        </w:rPr>
        <w:t> </w:t>
      </w:r>
      <w:r>
        <w:rPr/>
        <w:t>增速。</w:t>
      </w:r>
    </w:p>
    <w:p>
      <w:pPr>
        <w:pStyle w:val="BodyText"/>
        <w:spacing w:line="357" w:lineRule="auto" w:before="56"/>
        <w:ind w:left="513" w:right="91"/>
        <w:jc w:val="left"/>
      </w:pPr>
      <w:r>
        <w:rPr/>
        <w:t>（二）公司发展战略 </w:t>
      </w:r>
      <w:r>
        <w:rPr>
          <w:spacing w:val="-2"/>
        </w:rPr>
        <w:t>在传统业务方面，公司秉承“客户需求至上”的经营理念，继续专注于为建筑、公共安全管理等领域提供优质的智能化</w:t>
      </w:r>
    </w:p>
    <w:p>
      <w:pPr>
        <w:pStyle w:val="BodyText"/>
        <w:spacing w:line="224" w:lineRule="exact"/>
        <w:ind w:left="153" w:right="0"/>
        <w:jc w:val="both"/>
      </w:pPr>
      <w:r>
        <w:rPr/>
        <w:t>综合解决方案。公司将通过加大研发投入，进一步提升公司的技术水平，加速开发技术领先、适应市场需求的解决方案，积</w:t>
      </w:r>
    </w:p>
    <w:p>
      <w:pPr>
        <w:pStyle w:val="BodyText"/>
        <w:spacing w:line="319" w:lineRule="auto" w:before="76"/>
        <w:ind w:left="153" w:right="190"/>
        <w:jc w:val="both"/>
      </w:pPr>
      <w:r>
        <w:rPr>
          <w:spacing w:val="-2"/>
        </w:rPr>
        <w:t>极进行产品研发，通过向产业链上游的发展，进一步提高公司竞争力和盈利能力。继续区域市场拓展，完成业务范围覆盖全</w:t>
      </w:r>
      <w:r>
        <w:rPr>
          <w:spacing w:val="-66"/>
        </w:rPr>
        <w:t> </w:t>
      </w:r>
      <w:r>
        <w:rPr>
          <w:spacing w:val="-66"/>
        </w:rPr>
      </w:r>
      <w:r>
        <w:rPr>
          <w:spacing w:val="-2"/>
        </w:rPr>
        <w:t>国的目标。积极拓展国际市场业务，在阿尔及利亚项目实施经验积累的基础上，不断扩大境外业务的范围，由智能化劳务服</w:t>
      </w:r>
      <w:r>
        <w:rPr>
          <w:spacing w:val="-66"/>
        </w:rPr>
        <w:t> </w:t>
      </w:r>
      <w:r>
        <w:rPr>
          <w:spacing w:val="-66"/>
        </w:rPr>
      </w:r>
      <w:r>
        <w:rPr/>
        <w:t>务扩大到包括智能化产品服务，由阿尔及利亚扩大到其他地域，使境外业务成为公司重要的利润增长点。</w:t>
      </w:r>
    </w:p>
    <w:p>
      <w:pPr>
        <w:pStyle w:val="BodyText"/>
        <w:spacing w:line="357" w:lineRule="auto" w:before="58"/>
        <w:ind w:left="513" w:right="91"/>
        <w:jc w:val="left"/>
      </w:pPr>
      <w:r>
        <w:rPr/>
        <w:t>在创新业务方面，公司重点发展智慧节能和智慧高清领域。 </w:t>
      </w:r>
      <w:r>
        <w:rPr>
          <w:spacing w:val="-2"/>
        </w:rPr>
        <w:t>除内函式发展外，公司还将借助资本市场力量，通过投资并购整合方式，以实现快速巩固扩大市场，延伸业务领域或完</w:t>
      </w:r>
    </w:p>
    <w:p>
      <w:pPr>
        <w:pStyle w:val="BodyText"/>
        <w:spacing w:line="225" w:lineRule="exact"/>
        <w:ind w:left="153" w:right="0"/>
        <w:jc w:val="both"/>
      </w:pPr>
      <w:r>
        <w:rPr/>
        <w:t>善产业链，提高公司竞争能力和盈利能力。</w:t>
      </w:r>
    </w:p>
    <w:p>
      <w:pPr>
        <w:pStyle w:val="BodyText"/>
        <w:spacing w:line="240" w:lineRule="auto" w:before="116"/>
        <w:ind w:left="513" w:right="91"/>
        <w:jc w:val="left"/>
      </w:pPr>
      <w:r>
        <w:rPr/>
        <w:t>（三）经营计划</w:t>
      </w:r>
    </w:p>
    <w:p>
      <w:pPr>
        <w:pStyle w:val="BodyText"/>
        <w:spacing w:line="240" w:lineRule="auto" w:before="117"/>
        <w:ind w:left="513" w:right="91"/>
        <w:jc w:val="left"/>
      </w:pPr>
      <w:r>
        <w:rPr/>
        <w:t>公司围绕发展战略，制定了</w:t>
      </w:r>
      <w:r>
        <w:rPr>
          <w:spacing w:val="-46"/>
        </w:rPr>
        <w:t> </w:t>
      </w:r>
      <w:r>
        <w:rPr/>
        <w:t>2013</w:t>
      </w:r>
      <w:r>
        <w:rPr>
          <w:spacing w:val="-46"/>
        </w:rPr>
        <w:t> </w:t>
      </w:r>
      <w:r>
        <w:rPr/>
        <w:t>年营业收入和净利润均稳步增长的经营目标。</w:t>
      </w:r>
    </w:p>
    <w:p>
      <w:pPr>
        <w:pStyle w:val="BodyText"/>
        <w:spacing w:line="319" w:lineRule="auto" w:before="115"/>
        <w:ind w:left="153" w:right="191" w:firstLine="360"/>
        <w:jc w:val="both"/>
      </w:pPr>
      <w:r>
        <w:rPr/>
        <w:t>为此，公司计划</w:t>
      </w:r>
      <w:r>
        <w:rPr>
          <w:spacing w:val="-46"/>
        </w:rPr>
        <w:t> </w:t>
      </w:r>
      <w:r>
        <w:rPr/>
        <w:t>2013</w:t>
      </w:r>
      <w:r>
        <w:rPr>
          <w:spacing w:val="-46"/>
        </w:rPr>
        <w:t> </w:t>
      </w:r>
      <w:r>
        <w:rPr/>
        <w:t>年将重点实施已承诺的募集资金投资项目，外向市场争取订单，内向企业加强管理。在公共安全</w:t>
      </w:r>
      <w:r>
        <w:rPr/>
        <w:t> </w:t>
      </w:r>
      <w:r>
        <w:rPr>
          <w:spacing w:val="-2"/>
        </w:rPr>
        <w:t>管理领域，依托研发成果的逐步转化，在平安城市和自然灾害预警及应急指挥方面拓展市场。区域拓展方面在今年锁定的目</w:t>
      </w:r>
      <w:r>
        <w:rPr>
          <w:spacing w:val="-66"/>
        </w:rPr>
        <w:t> </w:t>
      </w:r>
      <w:r>
        <w:rPr>
          <w:spacing w:val="-66"/>
        </w:rPr>
      </w:r>
      <w:r>
        <w:rPr>
          <w:spacing w:val="-2"/>
        </w:rPr>
        <w:t>标城市重点突破。实现境外市场业务量成长为公司重要组成部分并试水智能化产品服务。创新业务方面，在智慧节能和智慧</w:t>
      </w:r>
      <w:r>
        <w:rPr>
          <w:spacing w:val="-66"/>
        </w:rPr>
        <w:t> </w:t>
      </w:r>
      <w:r>
        <w:rPr>
          <w:spacing w:val="-66"/>
        </w:rPr>
      </w:r>
      <w:r>
        <w:rPr/>
        <w:t>高清上加大技术研发和市场拓展。</w:t>
      </w:r>
    </w:p>
    <w:p>
      <w:pPr>
        <w:pStyle w:val="BodyText"/>
        <w:spacing w:line="319" w:lineRule="auto" w:before="55"/>
        <w:ind w:left="153" w:right="191" w:firstLine="360"/>
        <w:jc w:val="both"/>
      </w:pPr>
      <w:r>
        <w:rPr>
          <w:spacing w:val="-2"/>
        </w:rPr>
        <w:t>公司特别提醒投资者：该经营计划并不构成公司对投资者的业绩承诺，投资者对此应保持足够的风险意识，应当理解经</w:t>
      </w:r>
      <w:r>
        <w:rPr/>
        <w:t> 营计划与业绩承诺之间的差异。</w:t>
      </w:r>
    </w:p>
    <w:p>
      <w:pPr>
        <w:pStyle w:val="BodyText"/>
        <w:spacing w:line="319" w:lineRule="auto" w:before="56"/>
        <w:ind w:left="153" w:right="191" w:firstLine="360"/>
        <w:jc w:val="both"/>
      </w:pPr>
      <w:r>
        <w:rPr>
          <w:spacing w:val="-2"/>
        </w:rPr>
        <w:t>公司发行新股募集到的资金，为公司研发投入、区域拓展等提供了保障。合作银行授予公司的信用额度能够支持公司计</w:t>
      </w:r>
      <w:r>
        <w:rPr/>
        <w:t> 划内项目的实施所必要的流动资金需求。</w:t>
      </w:r>
    </w:p>
    <w:p>
      <w:pPr>
        <w:pStyle w:val="BodyText"/>
        <w:spacing w:line="357" w:lineRule="auto" w:before="56"/>
        <w:ind w:left="513" w:right="7651"/>
        <w:jc w:val="left"/>
      </w:pPr>
      <w:r>
        <w:rPr/>
        <w:t>（四）可能面对的风险 1、行业政策风险</w:t>
      </w:r>
    </w:p>
    <w:p>
      <w:pPr>
        <w:pStyle w:val="BodyText"/>
        <w:spacing w:line="319" w:lineRule="auto" w:before="28"/>
        <w:ind w:left="153" w:right="188" w:firstLine="360"/>
        <w:jc w:val="both"/>
      </w:pPr>
      <w:r>
        <w:rPr>
          <w:spacing w:val="-2"/>
        </w:rPr>
        <w:t>如果智能化下游行业的产业政策导向发生变更，导致下游行业发展放缓，可能对本公司的发展环境和市场需求造成不利</w:t>
      </w:r>
      <w:r>
        <w:rPr/>
        <w:t> </w:t>
      </w:r>
      <w:r>
        <w:rPr>
          <w:spacing w:val="-2"/>
        </w:rPr>
        <w:t>影响。应对措施：在人力成本上升、能源稀缺、经济转型和结构升级的背景下，国内智能化技术应用领域在不断扩展，公司</w:t>
      </w:r>
      <w:r>
        <w:rPr>
          <w:spacing w:val="-68"/>
        </w:rPr>
        <w:t> </w:t>
      </w:r>
      <w:r>
        <w:rPr>
          <w:spacing w:val="-68"/>
        </w:rPr>
      </w:r>
      <w:r>
        <w:rPr>
          <w:spacing w:val="-2"/>
        </w:rPr>
        <w:t>在巩固建筑智能化主营业务的同时，紧紧把握国家政策导向，增加投入公共安全领域、智慧节能领域，加强区域拓展和海外</w:t>
      </w:r>
      <w:r>
        <w:rPr>
          <w:spacing w:val="-66"/>
        </w:rPr>
        <w:t> </w:t>
      </w:r>
      <w:r>
        <w:rPr>
          <w:spacing w:val="-66"/>
        </w:rPr>
      </w:r>
      <w:r>
        <w:rPr/>
        <w:t>市场拓展，形成多领域、多地城业务布局，化解政策变化带来的风险。</w:t>
      </w:r>
    </w:p>
    <w:p>
      <w:pPr>
        <w:spacing w:after="0" w:line="319" w:lineRule="auto"/>
        <w:jc w:val="both"/>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357" w:lineRule="auto" w:before="44"/>
        <w:ind w:left="513" w:right="91"/>
        <w:jc w:val="left"/>
      </w:pPr>
      <w:r>
        <w:rPr/>
        <w:t>2、成长性风险 </w:t>
      </w:r>
      <w:r>
        <w:rPr>
          <w:spacing w:val="-2"/>
        </w:rPr>
        <w:t>如果公司发生对智能化行业的技术发展方向、下游行业对智能化技术的实际需求判断失误或市场开拓不同步等情形，将</w:t>
      </w:r>
    </w:p>
    <w:p>
      <w:pPr>
        <w:pStyle w:val="BodyText"/>
        <w:spacing w:line="224" w:lineRule="exact"/>
        <w:ind w:left="153" w:right="0"/>
        <w:jc w:val="left"/>
      </w:pPr>
      <w:r>
        <w:rPr/>
        <w:t>对公司的快速成长造成不利影响。应对措施：公司制定了研发项目立项审批制度，只有紧跟市场需要、得到下游客户认同、</w:t>
      </w:r>
    </w:p>
    <w:p>
      <w:pPr>
        <w:pStyle w:val="BodyText"/>
        <w:spacing w:line="319" w:lineRule="auto" w:before="76"/>
        <w:ind w:left="153" w:right="91"/>
        <w:jc w:val="left"/>
      </w:pPr>
      <w:r>
        <w:rPr>
          <w:spacing w:val="-2"/>
        </w:rPr>
        <w:t>契合政策支持导向的项目才能获准立项，力求在最大程度上保证技术研发成果快速转化并达到接单状态，成为公司新的利润</w:t>
      </w:r>
      <w:r>
        <w:rPr>
          <w:spacing w:val="-64"/>
        </w:rPr>
        <w:t> </w:t>
      </w:r>
      <w:r>
        <w:rPr>
          <w:spacing w:val="-64"/>
        </w:rPr>
      </w:r>
      <w:r>
        <w:rPr/>
        <w:t>增长点。</w:t>
      </w:r>
    </w:p>
    <w:p>
      <w:pPr>
        <w:pStyle w:val="BodyText"/>
        <w:spacing w:line="357" w:lineRule="auto" w:before="58"/>
        <w:ind w:left="513" w:right="91"/>
        <w:jc w:val="left"/>
      </w:pPr>
      <w:r>
        <w:rPr/>
        <w:t>3、市场竞争风险 </w:t>
      </w:r>
      <w:r>
        <w:rPr>
          <w:spacing w:val="-4"/>
        </w:rPr>
        <w:t>随着智能化技术的不断发展及行业内管理的日益规范，智能化行业进入壁垒日益提高，对智能化行业内企业技术、资质、</w:t>
      </w:r>
    </w:p>
    <w:p>
      <w:pPr>
        <w:pStyle w:val="BodyText"/>
        <w:spacing w:line="224" w:lineRule="exact"/>
        <w:ind w:left="153" w:right="0"/>
        <w:jc w:val="left"/>
      </w:pPr>
      <w:r>
        <w:rPr/>
        <w:t>规模和资金实力等方面的要求不断提高。如果行业内更多的企业取得高等级资质，则将加剧智能化行业的竞争激烈程度，从</w:t>
      </w:r>
    </w:p>
    <w:p>
      <w:pPr>
        <w:pStyle w:val="BodyText"/>
        <w:spacing w:line="319" w:lineRule="auto" w:before="76"/>
        <w:ind w:left="153" w:right="91"/>
        <w:jc w:val="left"/>
      </w:pPr>
      <w:r>
        <w:rPr>
          <w:spacing w:val="-4"/>
        </w:rPr>
        <w:t>而影响公司的市场份额和项目获利水平。应对措施：完善资质体系，除继续保持从事智能化工程设计施工所需的最高资质外，</w:t>
      </w:r>
      <w:r>
        <w:rPr>
          <w:spacing w:val="-44"/>
        </w:rPr>
        <w:t> </w:t>
      </w:r>
      <w:r>
        <w:rPr>
          <w:spacing w:val="-44"/>
        </w:rPr>
      </w:r>
      <w:r>
        <w:rPr>
          <w:spacing w:val="-2"/>
        </w:rPr>
        <w:t>本报告期公司全资子公司汉爵科技获得了机电安装工程施工总承包二级资质，这是公司往总包方向迈出的第一步，将有利于</w:t>
      </w:r>
      <w:r>
        <w:rPr>
          <w:spacing w:val="-64"/>
        </w:rPr>
        <w:t> </w:t>
      </w:r>
      <w:r>
        <w:rPr>
          <w:spacing w:val="-64"/>
        </w:rPr>
      </w:r>
      <w:r>
        <w:rPr>
          <w:spacing w:val="-4"/>
        </w:rPr>
        <w:t>扩大公司的业务规模，增加公司的盈利能力。借上市给公司带来的资金、知名度等有利条件，加大研发投入，保持技术领先，</w:t>
      </w:r>
      <w:r>
        <w:rPr>
          <w:spacing w:val="-44"/>
        </w:rPr>
        <w:t> </w:t>
      </w:r>
      <w:r>
        <w:rPr>
          <w:spacing w:val="-44"/>
        </w:rPr>
      </w:r>
      <w:r>
        <w:rPr/>
        <w:t>提高品牌识别度，抢占市场先机，维持公司的竞争优势。</w:t>
      </w:r>
    </w:p>
    <w:p>
      <w:pPr>
        <w:spacing w:line="240" w:lineRule="auto" w:before="6"/>
        <w:rPr>
          <w:rFonts w:ascii="宋体" w:hAnsi="宋体" w:cs="宋体" w:eastAsia="宋体" w:hint="default"/>
          <w:sz w:val="20"/>
          <w:szCs w:val="20"/>
        </w:rPr>
      </w:pPr>
    </w:p>
    <w:p>
      <w:pPr>
        <w:pStyle w:val="Heading2"/>
        <w:spacing w:line="240" w:lineRule="auto"/>
        <w:ind w:right="91"/>
        <w:jc w:val="left"/>
        <w:rPr>
          <w:b w:val="0"/>
          <w:bCs w:val="0"/>
        </w:rPr>
      </w:pPr>
      <w:r>
        <w:rPr/>
        <w:t>四、董事会对会计师事务所本报告期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left="514" w:right="91"/>
        <w:jc w:val="left"/>
      </w:pPr>
      <w:r>
        <w:rPr/>
        <w:t>无此事项</w:t>
      </w:r>
    </w:p>
    <w:p>
      <w:pPr>
        <w:spacing w:line="240" w:lineRule="auto" w:before="13"/>
        <w:rPr>
          <w:rFonts w:ascii="宋体" w:hAnsi="宋体" w:cs="宋体" w:eastAsia="宋体" w:hint="default"/>
          <w:sz w:val="24"/>
          <w:szCs w:val="24"/>
        </w:rPr>
      </w:pPr>
    </w:p>
    <w:p>
      <w:pPr>
        <w:pStyle w:val="Heading2"/>
        <w:spacing w:line="240" w:lineRule="auto"/>
        <w:ind w:right="91"/>
        <w:jc w:val="left"/>
        <w:rPr>
          <w:b w:val="0"/>
          <w:bCs w:val="0"/>
        </w:rPr>
      </w:pPr>
      <w:r>
        <w:rPr/>
        <w:t>五、董事会关于报告期会计政策、会计估计变更或重要前期差错更正的说明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91"/>
        <w:jc w:val="left"/>
      </w:pPr>
      <w:r>
        <w:rPr/>
        <w:t>无此事项</w:t>
      </w:r>
    </w:p>
    <w:p>
      <w:pPr>
        <w:spacing w:line="240" w:lineRule="auto" w:before="13"/>
        <w:rPr>
          <w:rFonts w:ascii="宋体" w:hAnsi="宋体" w:cs="宋体" w:eastAsia="宋体" w:hint="default"/>
          <w:sz w:val="24"/>
          <w:szCs w:val="24"/>
        </w:rPr>
      </w:pPr>
    </w:p>
    <w:p>
      <w:pPr>
        <w:pStyle w:val="Heading2"/>
        <w:spacing w:line="240" w:lineRule="auto"/>
        <w:ind w:right="91"/>
        <w:jc w:val="left"/>
        <w:rPr>
          <w:b w:val="0"/>
          <w:bCs w:val="0"/>
        </w:rPr>
      </w:pPr>
      <w:r>
        <w:rPr/>
        <w:t>六、公司利润分配及分红派息情况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1"/>
        <w:jc w:val="left"/>
      </w:pPr>
      <w:r>
        <w:rPr/>
        <w:t>报告期内利润分配政策特别是现金分红政策的制定、执行或调整情况</w:t>
      </w:r>
    </w:p>
    <w:p>
      <w:pPr>
        <w:pStyle w:val="BodyText"/>
        <w:spacing w:line="304" w:lineRule="auto" w:before="116"/>
        <w:ind w:right="188" w:firstLine="36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月</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日召开公司</w:t>
      </w:r>
      <w:r>
        <w:rPr>
          <w:spacing w:val="-4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年度股东大会审议通过《关于公司本次公开发行人民币普通股股票前滚存利润的分配政 </w:t>
      </w:r>
      <w:r>
        <w:rPr>
          <w:spacing w:val="-2"/>
        </w:rPr>
        <w:t>策的议案》，决定截至公司首次公开发行股票前的滚存利润由公司公开发行后的新老股东按持股比例共享。经深圳证券交易</w:t>
      </w:r>
      <w:r>
        <w:rPr>
          <w:spacing w:val="-66"/>
        </w:rPr>
        <w:t> </w:t>
      </w:r>
      <w:r>
        <w:rPr>
          <w:spacing w:val="-66"/>
        </w:rPr>
      </w:r>
      <w:r>
        <w:rPr/>
        <w:t>所</w:t>
      </w:r>
      <w:r>
        <w:rPr>
          <w:rFonts w:ascii="Times New Roman" w:hAnsi="Times New Roman" w:cs="Times New Roman" w:eastAsia="Times New Roman" w:hint="default"/>
        </w:rPr>
        <w:t>“</w:t>
      </w:r>
      <w:r>
        <w:rPr/>
        <w:t>深证上</w:t>
      </w:r>
      <w:r>
        <w:rPr>
          <w:rFonts w:ascii="Times New Roman" w:hAnsi="Times New Roman" w:cs="Times New Roman" w:eastAsia="Times New Roman" w:hint="default"/>
        </w:rPr>
        <w:t>[2012]58</w:t>
      </w:r>
      <w:r>
        <w:rPr>
          <w:rFonts w:ascii="Times New Roman" w:hAnsi="Times New Roman" w:cs="Times New Roman" w:eastAsia="Times New Roman" w:hint="default"/>
          <w:spacing w:val="-11"/>
        </w:rPr>
        <w:t> </w:t>
      </w:r>
      <w:r>
        <w:rPr/>
        <w:t>号</w:t>
      </w:r>
      <w:r>
        <w:rPr>
          <w:rFonts w:ascii="Times New Roman" w:hAnsi="Times New Roman" w:cs="Times New Roman" w:eastAsia="Times New Roman" w:hint="default"/>
        </w:rPr>
        <w:t>”</w:t>
      </w:r>
      <w:r>
        <w:rPr/>
        <w:t>文批准，本公司发行的人民币普通股股票于</w:t>
      </w:r>
      <w:r>
        <w:rPr>
          <w:spacing w:val="-4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月</w:t>
      </w:r>
      <w:r>
        <w:rPr>
          <w:spacing w:val="-48"/>
        </w:rPr>
        <w:t> </w:t>
      </w:r>
      <w:r>
        <w:rPr>
          <w:rFonts w:ascii="Times New Roman" w:hAnsi="Times New Roman" w:cs="Times New Roman" w:eastAsia="Times New Roman" w:hint="default"/>
        </w:rPr>
        <w:t>19</w:t>
      </w:r>
      <w:r>
        <w:rPr>
          <w:rFonts w:ascii="Times New Roman" w:hAnsi="Times New Roman" w:cs="Times New Roman" w:eastAsia="Times New Roman" w:hint="default"/>
          <w:spacing w:val="-11"/>
        </w:rPr>
        <w:t> </w:t>
      </w:r>
      <w:r>
        <w:rPr/>
        <w:t>日在深圳证券交易所创业板上市。根据中 </w:t>
      </w:r>
      <w:r>
        <w:rPr>
          <w:spacing w:val="-4"/>
        </w:rPr>
        <w:t>国证监会《关于进一步落实上市公司现金分红有关事项的通知》（证监发</w:t>
      </w:r>
      <w:r>
        <w:rPr>
          <w:rFonts w:ascii="Times New Roman" w:hAnsi="Times New Roman" w:cs="Times New Roman" w:eastAsia="Times New Roman" w:hint="default"/>
          <w:spacing w:val="-4"/>
        </w:rPr>
        <w:t>[2012]37</w:t>
      </w:r>
      <w:r>
        <w:rPr>
          <w:rFonts w:ascii="Times New Roman" w:hAnsi="Times New Roman" w:cs="Times New Roman" w:eastAsia="Times New Roman" w:hint="default"/>
        </w:rPr>
        <w:t> </w:t>
      </w:r>
      <w:r>
        <w:rPr>
          <w:spacing w:val="-6"/>
        </w:rPr>
        <w:t>号）等相关文件的精神，公司已于</w:t>
      </w:r>
      <w:r>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 </w:t>
      </w:r>
      <w:r>
        <w:rPr>
          <w:rFonts w:ascii="Times New Roman" w:hAnsi="Times New Roman" w:cs="Times New Roman" w:eastAsia="Times New Roman" w:hint="default"/>
        </w:rPr>
        <w:t>8</w:t>
      </w:r>
      <w:r>
        <w:rPr>
          <w:rFonts w:ascii="Times New Roman" w:hAnsi="Times New Roman" w:cs="Times New Roman" w:eastAsia="Times New Roman" w:hint="default"/>
          <w:spacing w:val="22"/>
        </w:rPr>
        <w:t> </w:t>
      </w:r>
      <w:r>
        <w:rPr/>
        <w:t>月</w:t>
      </w:r>
      <w:r>
        <w:rPr>
          <w:spacing w:val="-50"/>
        </w:rPr>
        <w:t> </w:t>
      </w:r>
      <w:r>
        <w:rPr>
          <w:rFonts w:ascii="Times New Roman" w:hAnsi="Times New Roman" w:cs="Times New Roman" w:eastAsia="Times New Roman" w:hint="default"/>
        </w:rPr>
        <w:t>23</w:t>
      </w:r>
      <w:r>
        <w:rPr>
          <w:rFonts w:ascii="Times New Roman" w:hAnsi="Times New Roman" w:cs="Times New Roman" w:eastAsia="Times New Roman" w:hint="default"/>
          <w:spacing w:val="-12"/>
        </w:rPr>
        <w:t> </w:t>
      </w:r>
      <w:r>
        <w:rPr/>
        <w:t>日召开了第二届董事会第三次会议，审议通过《关于修改公司章程的议案》，并提交于</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2"/>
        </w:rPr>
        <w:t> </w:t>
      </w:r>
      <w:r>
        <w:rPr/>
        <w:t>年</w:t>
      </w:r>
      <w:r>
        <w:rPr>
          <w:spacing w:val="-50"/>
        </w:rPr>
        <w:t> </w:t>
      </w:r>
      <w:r>
        <w:rPr>
          <w:rFonts w:ascii="Times New Roman" w:hAnsi="Times New Roman" w:cs="Times New Roman" w:eastAsia="Times New Roman" w:hint="default"/>
        </w:rPr>
        <w:t>11</w:t>
      </w:r>
      <w:r>
        <w:rPr>
          <w:rFonts w:ascii="Times New Roman" w:hAnsi="Times New Roman" w:cs="Times New Roman" w:eastAsia="Times New Roman" w:hint="default"/>
          <w:spacing w:val="-12"/>
        </w:rPr>
        <w:t> </w:t>
      </w:r>
      <w:r>
        <w:rPr/>
        <w:t>月</w:t>
      </w:r>
      <w:r>
        <w:rPr>
          <w:spacing w:val="-50"/>
        </w:rPr>
        <w:t> </w:t>
      </w:r>
      <w:r>
        <w:rPr>
          <w:rFonts w:ascii="Times New Roman" w:hAnsi="Times New Roman" w:cs="Times New Roman" w:eastAsia="Times New Roman" w:hint="default"/>
        </w:rPr>
        <w:t>13</w:t>
      </w:r>
      <w:r>
        <w:rPr>
          <w:rFonts w:ascii="Times New Roman" w:hAnsi="Times New Roman" w:cs="Times New Roman" w:eastAsia="Times New Roman" w:hint="default"/>
          <w:spacing w:val="-12"/>
        </w:rPr>
        <w:t> </w:t>
      </w:r>
      <w:r>
        <w:rPr/>
        <w:t>日召开的公</w:t>
      </w:r>
    </w:p>
    <w:p>
      <w:pPr>
        <w:pStyle w:val="BodyText"/>
        <w:spacing w:line="309" w:lineRule="auto" w:before="9"/>
        <w:ind w:left="153" w:right="206"/>
        <w:jc w:val="left"/>
      </w:pPr>
      <w:r>
        <w:rPr/>
        <w:t>司</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年第二次临时股东大会审议通过。该议案中对现金分红的条款进行了修订，修订后的条款进一步明确了现金分红的 标准、比例以及审议程序，同时也体现了对中小股东意见的充分重视。具体修订情况请见巨潮资讯网： </w:t>
      </w:r>
      <w:r>
        <w:rPr>
          <w:rFonts w:ascii="Times New Roman" w:hAnsi="Times New Roman" w:cs="Times New Roman" w:eastAsia="Times New Roman" w:hint="default"/>
          <w:color w:val="0000FF"/>
        </w:rPr>
      </w:r>
      <w:hyperlink r:id="rId12">
        <w:r>
          <w:rPr>
            <w:rFonts w:ascii="Times New Roman" w:hAnsi="Times New Roman" w:cs="Times New Roman" w:eastAsia="Times New Roman" w:hint="default"/>
            <w:color w:val="0000FF"/>
            <w:u w:val="single" w:color="0000FF"/>
          </w:rPr>
          <w:t>http://www.cninfo.com.cn/finalpage/2012-08-25/61479360.PDF</w:t>
        </w:r>
        <w:r>
          <w:rPr>
            <w:rFonts w:ascii="Times New Roman" w:hAnsi="Times New Roman" w:cs="Times New Roman" w:eastAsia="Times New Roman" w:hint="default"/>
            <w:color w:val="0000FF"/>
          </w:rPr>
        </w:r>
      </w:hyperlink>
      <w:r>
        <w:rPr/>
        <w:t>。</w:t>
      </w:r>
    </w:p>
    <w:p>
      <w:pPr>
        <w:spacing w:line="240" w:lineRule="auto" w:before="0"/>
        <w:rPr>
          <w:rFonts w:ascii="宋体" w:hAnsi="宋体" w:cs="宋体" w:eastAsia="宋体" w:hint="default"/>
          <w:sz w:val="18"/>
          <w:szCs w:val="18"/>
        </w:rPr>
      </w:pPr>
    </w:p>
    <w:p>
      <w:pPr>
        <w:pStyle w:val="BodyText"/>
        <w:spacing w:line="240" w:lineRule="auto" w:before="160"/>
        <w:ind w:left="153" w:right="91"/>
        <w:jc w:val="left"/>
      </w:pPr>
      <w:r>
        <w:rPr/>
        <w:t>公司报告期利润分配预案及资本公积金转增股本预案与公司章程和分红管理办法等的相关规定一致</w:t>
      </w:r>
    </w:p>
    <w:p>
      <w:pPr>
        <w:pStyle w:val="BodyText"/>
        <w:spacing w:line="348" w:lineRule="auto" w:before="117"/>
        <w:ind w:right="33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p>
      <w:pPr>
        <w:spacing w:line="240" w:lineRule="auto" w:before="0"/>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87,000,000.00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40"/>
        </w:sectPr>
      </w:pPr>
    </w:p>
    <w:p>
      <w:pPr>
        <w:spacing w:line="240" w:lineRule="auto" w:before="2"/>
        <w:rPr>
          <w:rFonts w:ascii="宋体" w:hAnsi="宋体" w:cs="宋体" w:eastAsia="宋体" w:hint="default"/>
          <w:sz w:val="28"/>
          <w:szCs w:val="28"/>
        </w:rPr>
      </w:pPr>
    </w:p>
    <w:p>
      <w:pPr>
        <w:spacing w:line="2383" w:lineRule="exact"/>
        <w:ind w:left="144" w:right="0" w:firstLine="0"/>
        <w:rPr>
          <w:rFonts w:ascii="宋体" w:hAnsi="宋体" w:cs="宋体" w:eastAsia="宋体" w:hint="default"/>
          <w:sz w:val="20"/>
          <w:szCs w:val="20"/>
        </w:rPr>
      </w:pPr>
      <w:r>
        <w:rPr>
          <w:rFonts w:ascii="宋体" w:hAnsi="宋体" w:cs="宋体" w:eastAsia="宋体" w:hint="default"/>
          <w:position w:val="-47"/>
          <w:sz w:val="20"/>
          <w:szCs w:val="20"/>
        </w:rPr>
        <w:pict>
          <v:group style="width:479.35pt;height:119.2pt;mso-position-horizontal-relative:char;mso-position-vertical-relative:line" coordorigin="0,0" coordsize="9587,2384">
            <v:group style="position:absolute;left:9550;top:14;width:23;height:393" coordorigin="9550,14" coordsize="23,393">
              <v:shape style="position:absolute;left:9550;top:14;width:23;height:393" coordorigin="9550,14" coordsize="23,393" path="m9550,407l9572,407,9572,14,9550,14,9550,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9513;height:393" coordorigin="37,14" coordsize="9513,393">
              <v:shape style="position:absolute;left:37;top:14;width:9513;height:393" coordorigin="37,14" coordsize="9513,393" path="m37,407l9550,407,9550,14,37,14,37,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7998pt" strokecolor="#000000">
                <v:path arrowok="t"/>
              </v:shape>
            </v:group>
            <v:group style="position:absolute;left:10;top:5;width:2;height:2374" coordorigin="10,5" coordsize="2,2374">
              <v:shape style="position:absolute;left:10;top:5;width:2;height:2374" coordorigin="10,5" coordsize="0,2374" path="m10,5l10,2378e" filled="false" stroked="true" strokeweight=".48001pt" strokecolor="#000000">
                <v:path arrowok="t"/>
              </v:shape>
            </v:group>
            <v:group style="position:absolute;left:5;top:2374;width:9568;height:2" coordorigin="5,2374" coordsize="9568,2">
              <v:shape style="position:absolute;left:5;top:2374;width:9568;height:2" coordorigin="5,2374" coordsize="9568,0" path="m5,2374l9572,2374e" filled="false" stroked="true" strokeweight=".47998pt" strokecolor="#000000">
                <v:path arrowok="t"/>
              </v:shape>
            </v:group>
            <v:group style="position:absolute;left:9577;top:5;width:2;height:2374" coordorigin="9577,5" coordsize="2,2374">
              <v:shape style="position:absolute;left:9577;top:5;width:2;height:2374" coordorigin="9577,5" coordsize="0,2374" path="m9577,5l9577,2378e" filled="false" stroked="true" strokeweight=".47998pt" strokecolor="#000000">
                <v:path arrowok="t"/>
              </v:shape>
              <v:shape style="position:absolute;left:10;top:10;width:9568;height:402" type="#_x0000_t202" filled="false" stroked="false">
                <v:textbox inset="0,0,0,0">
                  <w:txbxContent>
                    <w:p>
                      <w:pPr>
                        <w:spacing w:before="56"/>
                        <w:ind w:left="3073" w:right="0" w:firstLine="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xbxContent>
                </v:textbox>
                <w10:wrap type="none"/>
              </v:shape>
              <v:shape style="position:absolute;left:10;top:412;width:9568;height:1962" type="#_x0000_t202" filled="false" stroked="false">
                <v:textbox inset="0,0,0,0">
                  <w:txbxContent>
                    <w:p>
                      <w:pPr>
                        <w:spacing w:before="56"/>
                        <w:ind w:left="27" w:right="0" w:firstLine="0"/>
                        <w:jc w:val="left"/>
                        <w:rPr>
                          <w:rFonts w:ascii="宋体" w:hAnsi="宋体" w:cs="宋体" w:eastAsia="宋体" w:hint="default"/>
                          <w:sz w:val="18"/>
                          <w:szCs w:val="18"/>
                        </w:rPr>
                      </w:pPr>
                      <w:r>
                        <w:rPr>
                          <w:rFonts w:ascii="宋体" w:hAnsi="宋体" w:cs="宋体" w:eastAsia="宋体" w:hint="default"/>
                          <w:sz w:val="18"/>
                          <w:szCs w:val="18"/>
                        </w:rPr>
                        <w:t>根据立信会计师事务所的审计认定：2012</w:t>
                      </w:r>
                      <w:r>
                        <w:rPr>
                          <w:rFonts w:ascii="宋体" w:hAnsi="宋体" w:cs="宋体" w:eastAsia="宋体" w:hint="default"/>
                          <w:spacing w:val="-46"/>
                          <w:sz w:val="18"/>
                          <w:szCs w:val="18"/>
                        </w:rPr>
                        <w:t> </w:t>
                      </w:r>
                      <w:r>
                        <w:rPr>
                          <w:rFonts w:ascii="宋体" w:hAnsi="宋体" w:cs="宋体" w:eastAsia="宋体" w:hint="default"/>
                          <w:sz w:val="18"/>
                          <w:szCs w:val="18"/>
                        </w:rPr>
                        <w:t>年度公司实现净利润 52,172,045.85</w:t>
                      </w:r>
                      <w:r>
                        <w:rPr>
                          <w:rFonts w:ascii="宋体" w:hAnsi="宋体" w:cs="宋体" w:eastAsia="宋体" w:hint="default"/>
                          <w:spacing w:val="-46"/>
                          <w:sz w:val="18"/>
                          <w:szCs w:val="18"/>
                        </w:rPr>
                        <w:t> </w:t>
                      </w:r>
                      <w:r>
                        <w:rPr>
                          <w:rFonts w:ascii="宋体" w:hAnsi="宋体" w:cs="宋体" w:eastAsia="宋体" w:hint="default"/>
                          <w:sz w:val="18"/>
                          <w:szCs w:val="18"/>
                        </w:rPr>
                        <w:t>元(母公司净利润)，根据《公司章程》及</w:t>
                      </w:r>
                    </w:p>
                    <w:p>
                      <w:pPr>
                        <w:spacing w:before="76"/>
                        <w:ind w:left="27" w:right="0" w:firstLine="0"/>
                        <w:jc w:val="left"/>
                        <w:rPr>
                          <w:rFonts w:ascii="宋体" w:hAnsi="宋体" w:cs="宋体" w:eastAsia="宋体" w:hint="default"/>
                          <w:sz w:val="18"/>
                          <w:szCs w:val="18"/>
                        </w:rPr>
                      </w:pPr>
                      <w:r>
                        <w:rPr>
                          <w:rFonts w:ascii="宋体" w:hAnsi="宋体" w:cs="宋体" w:eastAsia="宋体" w:hint="default"/>
                          <w:sz w:val="18"/>
                          <w:szCs w:val="18"/>
                        </w:rPr>
                        <w:t>《公司法》规定，提取法定盈余公积</w:t>
                      </w:r>
                      <w:r>
                        <w:rPr>
                          <w:rFonts w:ascii="宋体" w:hAnsi="宋体" w:cs="宋体" w:eastAsia="宋体" w:hint="default"/>
                          <w:spacing w:val="-46"/>
                          <w:sz w:val="18"/>
                          <w:szCs w:val="18"/>
                        </w:rPr>
                        <w:t> </w:t>
                      </w:r>
                      <w:r>
                        <w:rPr>
                          <w:rFonts w:ascii="宋体" w:hAnsi="宋体" w:cs="宋体" w:eastAsia="宋体" w:hint="default"/>
                          <w:sz w:val="18"/>
                          <w:szCs w:val="18"/>
                        </w:rPr>
                        <w:t>5,217,204.59</w:t>
                      </w:r>
                      <w:r>
                        <w:rPr>
                          <w:rFonts w:ascii="宋体" w:hAnsi="宋体" w:cs="宋体" w:eastAsia="宋体" w:hint="default"/>
                          <w:spacing w:val="-46"/>
                          <w:sz w:val="18"/>
                          <w:szCs w:val="18"/>
                        </w:rPr>
                        <w:t> </w:t>
                      </w:r>
                      <w:r>
                        <w:rPr>
                          <w:rFonts w:ascii="宋体" w:hAnsi="宋体" w:cs="宋体" w:eastAsia="宋体" w:hint="default"/>
                          <w:sz w:val="18"/>
                          <w:szCs w:val="18"/>
                        </w:rPr>
                        <w:t>元，加年初未分配利润</w:t>
                      </w:r>
                      <w:r>
                        <w:rPr>
                          <w:rFonts w:ascii="宋体" w:hAnsi="宋体" w:cs="宋体" w:eastAsia="宋体" w:hint="default"/>
                          <w:spacing w:val="-46"/>
                          <w:sz w:val="18"/>
                          <w:szCs w:val="18"/>
                        </w:rPr>
                        <w:t> </w:t>
                      </w:r>
                      <w:r>
                        <w:rPr>
                          <w:rFonts w:ascii="宋体" w:hAnsi="宋体" w:cs="宋体" w:eastAsia="宋体" w:hint="default"/>
                          <w:sz w:val="18"/>
                          <w:szCs w:val="18"/>
                        </w:rPr>
                        <w:t>87,629,765.68</w:t>
                      </w:r>
                      <w:r>
                        <w:rPr>
                          <w:rFonts w:ascii="宋体" w:hAnsi="宋体" w:cs="宋体" w:eastAsia="宋体" w:hint="default"/>
                          <w:spacing w:val="-46"/>
                          <w:sz w:val="18"/>
                          <w:szCs w:val="18"/>
                        </w:rPr>
                        <w:t> </w:t>
                      </w:r>
                      <w:r>
                        <w:rPr>
                          <w:rFonts w:ascii="宋体" w:hAnsi="宋体" w:cs="宋体" w:eastAsia="宋体" w:hint="default"/>
                          <w:sz w:val="18"/>
                          <w:szCs w:val="18"/>
                        </w:rPr>
                        <w:t>元，减本期分配股东利润</w:t>
                      </w:r>
                    </w:p>
                    <w:p>
                      <w:pPr>
                        <w:spacing w:before="76"/>
                        <w:ind w:left="27" w:right="0" w:firstLine="0"/>
                        <w:jc w:val="left"/>
                        <w:rPr>
                          <w:rFonts w:ascii="宋体" w:hAnsi="宋体" w:cs="宋体" w:eastAsia="宋体" w:hint="default"/>
                          <w:sz w:val="18"/>
                          <w:szCs w:val="18"/>
                        </w:rPr>
                      </w:pPr>
                      <w:r>
                        <w:rPr>
                          <w:rFonts w:ascii="宋体" w:hAnsi="宋体" w:cs="宋体" w:eastAsia="宋体" w:hint="default"/>
                          <w:sz w:val="18"/>
                          <w:szCs w:val="18"/>
                        </w:rPr>
                        <w:t>8,700,000.00</w:t>
                      </w:r>
                      <w:r>
                        <w:rPr>
                          <w:rFonts w:ascii="宋体" w:hAnsi="宋体" w:cs="宋体" w:eastAsia="宋体" w:hint="default"/>
                          <w:spacing w:val="-46"/>
                          <w:sz w:val="18"/>
                          <w:szCs w:val="18"/>
                        </w:rPr>
                        <w:t> </w:t>
                      </w:r>
                      <w:r>
                        <w:rPr>
                          <w:rFonts w:ascii="宋体" w:hAnsi="宋体" w:cs="宋体" w:eastAsia="宋体" w:hint="default"/>
                          <w:sz w:val="18"/>
                          <w:szCs w:val="18"/>
                        </w:rPr>
                        <w:t>元，因此</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年度可供股东分配的利润为</w:t>
                      </w:r>
                      <w:r>
                        <w:rPr>
                          <w:rFonts w:ascii="宋体" w:hAnsi="宋体" w:cs="宋体" w:eastAsia="宋体" w:hint="default"/>
                          <w:spacing w:val="-46"/>
                          <w:sz w:val="18"/>
                          <w:szCs w:val="18"/>
                        </w:rPr>
                        <w:t> </w:t>
                      </w:r>
                      <w:r>
                        <w:rPr>
                          <w:rFonts w:ascii="宋体" w:hAnsi="宋体" w:cs="宋体" w:eastAsia="宋体" w:hint="default"/>
                          <w:sz w:val="18"/>
                          <w:szCs w:val="18"/>
                        </w:rPr>
                        <w:t>125,884,606.94</w:t>
                      </w:r>
                      <w:r>
                        <w:rPr>
                          <w:rFonts w:ascii="宋体" w:hAnsi="宋体" w:cs="宋体" w:eastAsia="宋体" w:hint="default"/>
                          <w:spacing w:val="-46"/>
                          <w:sz w:val="18"/>
                          <w:szCs w:val="18"/>
                        </w:rPr>
                        <w:t> </w:t>
                      </w:r>
                      <w:r>
                        <w:rPr>
                          <w:rFonts w:ascii="宋体" w:hAnsi="宋体" w:cs="宋体" w:eastAsia="宋体" w:hint="default"/>
                          <w:sz w:val="18"/>
                          <w:szCs w:val="18"/>
                        </w:rPr>
                        <w:t>元。本年度利润分配预案为：1、以</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spacing w:before="76"/>
                        <w:ind w:left="27" w:right="0"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日止公司总股本</w:t>
                      </w:r>
                      <w:r>
                        <w:rPr>
                          <w:rFonts w:ascii="宋体" w:hAnsi="宋体" w:cs="宋体" w:eastAsia="宋体" w:hint="default"/>
                          <w:spacing w:val="-46"/>
                          <w:sz w:val="18"/>
                          <w:szCs w:val="18"/>
                        </w:rPr>
                        <w:t> </w:t>
                      </w:r>
                      <w:r>
                        <w:rPr>
                          <w:rFonts w:ascii="宋体" w:hAnsi="宋体" w:cs="宋体" w:eastAsia="宋体" w:hint="default"/>
                          <w:sz w:val="18"/>
                          <w:szCs w:val="18"/>
                        </w:rPr>
                        <w:t>87,000,000 股为基数，向全体股东每</w:t>
                      </w:r>
                      <w:r>
                        <w:rPr>
                          <w:rFonts w:ascii="宋体" w:hAnsi="宋体" w:cs="宋体" w:eastAsia="宋体" w:hint="default"/>
                          <w:spacing w:val="-46"/>
                          <w:sz w:val="18"/>
                          <w:szCs w:val="18"/>
                        </w:rPr>
                        <w:t> </w:t>
                      </w:r>
                      <w:r>
                        <w:rPr>
                          <w:rFonts w:ascii="宋体" w:hAnsi="宋体" w:cs="宋体" w:eastAsia="宋体" w:hint="default"/>
                          <w:sz w:val="18"/>
                          <w:szCs w:val="18"/>
                        </w:rPr>
                        <w:t>10 股派发现金股利</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元人民币（含税）；2、进行资本公积</w:t>
                      </w:r>
                    </w:p>
                    <w:p>
                      <w:pPr>
                        <w:spacing w:before="76"/>
                        <w:ind w:left="27" w:right="0" w:firstLine="0"/>
                        <w:jc w:val="left"/>
                        <w:rPr>
                          <w:rFonts w:ascii="宋体" w:hAnsi="宋体" w:cs="宋体" w:eastAsia="宋体" w:hint="default"/>
                          <w:sz w:val="18"/>
                          <w:szCs w:val="18"/>
                        </w:rPr>
                      </w:pPr>
                      <w:r>
                        <w:rPr>
                          <w:rFonts w:ascii="宋体" w:hAnsi="宋体" w:cs="宋体" w:eastAsia="宋体" w:hint="default"/>
                          <w:sz w:val="18"/>
                          <w:szCs w:val="18"/>
                        </w:rPr>
                        <w:t>金转增股本，以</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日止公司总股本</w:t>
                      </w:r>
                      <w:r>
                        <w:rPr>
                          <w:rFonts w:ascii="宋体" w:hAnsi="宋体" w:cs="宋体" w:eastAsia="宋体" w:hint="default"/>
                          <w:spacing w:val="-46"/>
                          <w:sz w:val="18"/>
                          <w:szCs w:val="18"/>
                        </w:rPr>
                        <w:t> </w:t>
                      </w:r>
                      <w:r>
                        <w:rPr>
                          <w:rFonts w:ascii="宋体" w:hAnsi="宋体" w:cs="宋体" w:eastAsia="宋体" w:hint="default"/>
                          <w:sz w:val="18"/>
                          <w:szCs w:val="18"/>
                        </w:rPr>
                        <w:t>87,000,000 股为基数，向全体股东每</w:t>
                      </w:r>
                      <w:r>
                        <w:rPr>
                          <w:rFonts w:ascii="宋体" w:hAnsi="宋体" w:cs="宋体" w:eastAsia="宋体" w:hint="default"/>
                          <w:spacing w:val="-46"/>
                          <w:sz w:val="18"/>
                          <w:szCs w:val="18"/>
                        </w:rPr>
                        <w:t> </w:t>
                      </w:r>
                      <w:r>
                        <w:rPr>
                          <w:rFonts w:ascii="宋体" w:hAnsi="宋体" w:cs="宋体" w:eastAsia="宋体" w:hint="default"/>
                          <w:sz w:val="18"/>
                          <w:szCs w:val="18"/>
                        </w:rPr>
                        <w:t>10 股转增</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股，共计转增</w:t>
                      </w:r>
                    </w:p>
                    <w:p>
                      <w:pPr>
                        <w:spacing w:before="77"/>
                        <w:ind w:left="27" w:right="0" w:firstLine="0"/>
                        <w:jc w:val="left"/>
                        <w:rPr>
                          <w:rFonts w:ascii="宋体" w:hAnsi="宋体" w:cs="宋体" w:eastAsia="宋体" w:hint="default"/>
                          <w:sz w:val="18"/>
                          <w:szCs w:val="18"/>
                        </w:rPr>
                      </w:pPr>
                      <w:r>
                        <w:rPr>
                          <w:rFonts w:ascii="宋体" w:hAnsi="宋体" w:cs="宋体" w:eastAsia="宋体" w:hint="default"/>
                          <w:sz w:val="18"/>
                          <w:szCs w:val="18"/>
                        </w:rPr>
                        <w:t>104,400,000</w:t>
                      </w:r>
                      <w:r>
                        <w:rPr>
                          <w:rFonts w:ascii="宋体" w:hAnsi="宋体" w:cs="宋体" w:eastAsia="宋体" w:hint="default"/>
                          <w:spacing w:val="-46"/>
                          <w:sz w:val="18"/>
                          <w:szCs w:val="18"/>
                        </w:rPr>
                        <w:t> </w:t>
                      </w:r>
                      <w:r>
                        <w:rPr>
                          <w:rFonts w:ascii="宋体" w:hAnsi="宋体" w:cs="宋体" w:eastAsia="宋体" w:hint="default"/>
                          <w:sz w:val="18"/>
                          <w:szCs w:val="18"/>
                        </w:rPr>
                        <w:t>股，转增后公司总股本将增加至</w:t>
                      </w:r>
                      <w:r>
                        <w:rPr>
                          <w:rFonts w:ascii="宋体" w:hAnsi="宋体" w:cs="宋体" w:eastAsia="宋体" w:hint="default"/>
                          <w:spacing w:val="-46"/>
                          <w:sz w:val="18"/>
                          <w:szCs w:val="18"/>
                        </w:rPr>
                        <w:t> </w:t>
                      </w:r>
                      <w:r>
                        <w:rPr>
                          <w:rFonts w:ascii="宋体" w:hAnsi="宋体" w:cs="宋体" w:eastAsia="宋体" w:hint="default"/>
                          <w:sz w:val="18"/>
                          <w:szCs w:val="18"/>
                        </w:rPr>
                        <w:t>191,400,000</w:t>
                      </w:r>
                      <w:r>
                        <w:rPr>
                          <w:rFonts w:ascii="宋体" w:hAnsi="宋体" w:cs="宋体" w:eastAsia="宋体" w:hint="default"/>
                          <w:spacing w:val="-46"/>
                          <w:sz w:val="18"/>
                          <w:szCs w:val="18"/>
                        </w:rPr>
                        <w:t> </w:t>
                      </w:r>
                      <w:r>
                        <w:rPr>
                          <w:rFonts w:ascii="宋体" w:hAnsi="宋体" w:cs="宋体" w:eastAsia="宋体" w:hint="default"/>
                          <w:sz w:val="18"/>
                          <w:szCs w:val="18"/>
                        </w:rPr>
                        <w:t>股。该预案尚需提请公司</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年度股东大会审议。</w:t>
                      </w:r>
                    </w:p>
                  </w:txbxContent>
                </v:textbox>
                <w10:wrap type="none"/>
              </v:shape>
            </v:group>
          </v:group>
        </w:pict>
      </w:r>
      <w:r>
        <w:rPr>
          <w:rFonts w:ascii="宋体" w:hAnsi="宋体" w:cs="宋体" w:eastAsia="宋体" w:hint="default"/>
          <w:position w:val="-47"/>
          <w:sz w:val="20"/>
          <w:szCs w:val="20"/>
        </w:rPr>
      </w:r>
    </w:p>
    <w:p>
      <w:pPr>
        <w:pStyle w:val="BodyText"/>
        <w:spacing w:line="338" w:lineRule="auto" w:before="46"/>
        <w:ind w:right="4052"/>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 1、2012年度利润分配和资本公积金转增股本预案</w:t>
      </w:r>
    </w:p>
    <w:p>
      <w:pPr>
        <w:pStyle w:val="BodyText"/>
        <w:spacing w:line="316" w:lineRule="auto" w:before="2"/>
        <w:ind w:right="191"/>
        <w:jc w:val="both"/>
      </w:pPr>
      <w:r>
        <w:rPr/>
        <w:t>公司拟以公司总股本87,000,000股为基数，向全体股东每10股派发现金股利1元人民币（含税）；同时进行资本公积金转增 </w:t>
      </w:r>
      <w:r>
        <w:rPr>
          <w:spacing w:val="-2"/>
        </w:rPr>
        <w:t>股本，以公司总股本87,000,000</w:t>
      </w:r>
      <w:r>
        <w:rPr>
          <w:spacing w:val="43"/>
        </w:rPr>
        <w:t> </w:t>
      </w:r>
      <w:r>
        <w:rPr>
          <w:spacing w:val="-2"/>
        </w:rPr>
        <w:t>股为基数向全体股东每10股转增12股，共计转增104,400,000股，转增后公司总股本将增加</w:t>
      </w:r>
      <w:r>
        <w:rPr>
          <w:spacing w:val="-86"/>
        </w:rPr>
        <w:t> </w:t>
      </w:r>
      <w:r>
        <w:rPr>
          <w:spacing w:val="-86"/>
        </w:rPr>
      </w:r>
      <w:r>
        <w:rPr/>
        <w:t>至191,400,000股。该预案尚需提请公司2012年度股东大会审议。</w:t>
      </w:r>
    </w:p>
    <w:p>
      <w:pPr>
        <w:pStyle w:val="BodyText"/>
        <w:spacing w:line="240" w:lineRule="auto" w:before="19"/>
        <w:ind w:right="91"/>
        <w:jc w:val="left"/>
      </w:pPr>
      <w:r>
        <w:rPr/>
        <w:t>2、2011年度利润分配情况</w:t>
      </w:r>
    </w:p>
    <w:p>
      <w:pPr>
        <w:pStyle w:val="BodyText"/>
        <w:spacing w:line="316" w:lineRule="auto" w:before="76"/>
        <w:ind w:right="91"/>
        <w:jc w:val="left"/>
      </w:pPr>
      <w:r>
        <w:rPr>
          <w:spacing w:val="-2"/>
        </w:rPr>
        <w:t>2011年3月9日召开的2010年度股东大会审议批准：截至公司首次公开发行股票前的滚存利润由公司公开发行后的新老股东按</w:t>
      </w:r>
      <w:r>
        <w:rPr>
          <w:spacing w:val="-54"/>
        </w:rPr>
        <w:t> </w:t>
      </w:r>
      <w:r>
        <w:rPr>
          <w:spacing w:val="-54"/>
        </w:rPr>
      </w:r>
      <w:r>
        <w:rPr>
          <w:spacing w:val="-2"/>
        </w:rPr>
        <w:t>持股比例共享。2012年11月13日召开的2012年第二次临时股东大会审议批准：以2012年6月30日总股本87,000,000股为基数，</w:t>
      </w:r>
      <w:r>
        <w:rPr>
          <w:spacing w:val="-34"/>
        </w:rPr>
        <w:t> </w:t>
      </w:r>
      <w:r>
        <w:rPr>
          <w:spacing w:val="-34"/>
        </w:rPr>
      </w:r>
      <w:r>
        <w:rPr/>
        <w:t>向全体股东每10股派发现金股利1元人民币（含税）。</w:t>
      </w:r>
    </w:p>
    <w:p>
      <w:pPr>
        <w:pStyle w:val="BodyText"/>
        <w:spacing w:line="240" w:lineRule="auto" w:before="19"/>
        <w:ind w:right="91"/>
        <w:jc w:val="left"/>
      </w:pPr>
      <w:r>
        <w:rPr/>
        <w:t>3、2010年度利润分配情况</w:t>
      </w:r>
    </w:p>
    <w:p>
      <w:pPr>
        <w:pStyle w:val="BodyText"/>
        <w:spacing w:line="240" w:lineRule="auto" w:before="76"/>
        <w:ind w:right="91"/>
        <w:jc w:val="left"/>
      </w:pPr>
      <w:r>
        <w:rPr/>
        <w:t>2011年2月16日召开的2011年第一次临时股东大会审议批准：以2010年12月31日总股本65,000,000股为基数，向全体股东每</w:t>
      </w:r>
    </w:p>
    <w:p>
      <w:pPr>
        <w:pStyle w:val="BodyText"/>
        <w:spacing w:line="240" w:lineRule="auto" w:before="76"/>
        <w:ind w:right="91"/>
        <w:jc w:val="left"/>
      </w:pPr>
      <w:r>
        <w:rPr/>
        <w:t>10股派发现金股利1元人民币（含税）。</w:t>
      </w:r>
    </w:p>
    <w:p>
      <w:pPr>
        <w:spacing w:line="240" w:lineRule="auto" w:before="5"/>
        <w:rPr>
          <w:rFonts w:ascii="宋体" w:hAnsi="宋体" w:cs="宋体" w:eastAsia="宋体" w:hint="default"/>
          <w:sz w:val="29"/>
          <w:szCs w:val="29"/>
        </w:rPr>
      </w:pPr>
    </w:p>
    <w:p>
      <w:pPr>
        <w:pStyle w:val="BodyText"/>
        <w:spacing w:line="240" w:lineRule="auto" w:before="44"/>
        <w:ind w:right="91"/>
        <w:jc w:val="left"/>
      </w:pPr>
      <w:r>
        <w:rPr/>
        <w:t>公司近三年现金分红情况表</w:t>
      </w:r>
    </w:p>
    <w:p>
      <w:pPr>
        <w:pStyle w:val="BodyText"/>
        <w:spacing w:line="240" w:lineRule="auto" w:before="117"/>
        <w:ind w:left="0" w:right="189"/>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161" w:hRule="exact"/>
        </w:trPr>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90" w:right="109"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5" w:right="34"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2" w:hRule="exact"/>
        </w:trPr>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3" w:type="dxa"/>
            <w:vMerge/>
            <w:tcBorders>
              <w:left w:val="single" w:sz="4" w:space="0" w:color="000000"/>
              <w:right w:val="single" w:sz="4" w:space="0" w:color="000000"/>
            </w:tcBorders>
            <w:shd w:val="clear" w:color="auto" w:fill="D3D3D3"/>
          </w:tcPr>
          <w:p>
            <w:pPr/>
          </w:p>
        </w:tc>
        <w:tc>
          <w:tcPr>
            <w:tcW w:w="2392" w:type="dxa"/>
            <w:vMerge/>
            <w:tcBorders>
              <w:left w:val="single" w:sz="4" w:space="0" w:color="000000"/>
              <w:right w:val="single" w:sz="4" w:space="0" w:color="000000"/>
            </w:tcBorders>
            <w:shd w:val="clear" w:color="auto" w:fill="D3D3D3"/>
          </w:tcPr>
          <w:p>
            <w:pP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55,598,274.01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52,366,260.19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33,607,997.42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19.34%</w:t>
            </w:r>
          </w:p>
        </w:tc>
      </w:tr>
    </w:tbl>
    <w:p>
      <w:pPr>
        <w:pStyle w:val="BodyText"/>
        <w:spacing w:line="240" w:lineRule="auto" w:before="51"/>
        <w:ind w:right="91"/>
        <w:jc w:val="left"/>
      </w:pPr>
      <w:r>
        <w:rPr/>
        <w:t>公司报告期内盈利且母公司未分配利润为正但未提出现金红利分配预案</w:t>
      </w:r>
    </w:p>
    <w:p>
      <w:pPr>
        <w:pStyle w:val="BodyText"/>
        <w:spacing w:line="240" w:lineRule="auto" w:before="117"/>
        <w:ind w:left="153" w:right="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91"/>
        <w:jc w:val="left"/>
        <w:rPr>
          <w:b w:val="0"/>
          <w:bCs w:val="0"/>
        </w:rPr>
      </w:pPr>
      <w:r>
        <w:rPr/>
        <w:t>七、内幕信息知情人管理制度的建立和执行情况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88" w:firstLine="360"/>
        <w:jc w:val="both"/>
      </w:pPr>
      <w:r>
        <w:rPr>
          <w:spacing w:val="-2"/>
        </w:rPr>
        <w:t>为了规范公司的内幕信息管理，加强内幕信息保密工作，维护信息披露公开、公平、公正原则，根据《中华人民共和国</w:t>
      </w:r>
      <w:r>
        <w:rPr/>
        <w:t> </w:t>
      </w:r>
      <w:r>
        <w:rPr>
          <w:spacing w:val="-2"/>
        </w:rPr>
        <w:t>公司法》、《中华人民共和国证券法》、《上市公司信息披露管理办法》、《深圳证券交易所创业板股票上市规则》等有关</w:t>
      </w:r>
      <w:r>
        <w:rPr>
          <w:spacing w:val="-68"/>
        </w:rPr>
        <w:t> </w:t>
      </w:r>
      <w:r>
        <w:rPr>
          <w:spacing w:val="-68"/>
        </w:rPr>
      </w:r>
      <w:r>
        <w:rPr>
          <w:spacing w:val="-2"/>
        </w:rPr>
        <w:t>法律、法规、规范性文件及《上市公司建立内幕信息知情人登记管理制度的规定》、《公司章程》等有关规定，公司制定了</w:t>
      </w:r>
    </w:p>
    <w:p>
      <w:pPr>
        <w:pStyle w:val="BodyText"/>
        <w:spacing w:line="316" w:lineRule="auto" w:before="19"/>
        <w:ind w:right="91"/>
        <w:jc w:val="left"/>
      </w:pPr>
      <w:r>
        <w:rPr>
          <w:spacing w:val="-2"/>
        </w:rPr>
        <w:t>《内幕信息知情人登记管理制度》、《重大事项内部报告制度》、《董事、监事和高级管理人员所持公司股份及其变动管理</w:t>
      </w:r>
      <w:r>
        <w:rPr>
          <w:spacing w:val="-64"/>
        </w:rPr>
        <w:t> </w:t>
      </w:r>
      <w:r>
        <w:rPr>
          <w:spacing w:val="-64"/>
        </w:rPr>
      </w:r>
      <w:r>
        <w:rPr/>
        <w:t>制度》、《外部信息使用人管理制度》。</w:t>
      </w:r>
    </w:p>
    <w:p>
      <w:pPr>
        <w:pStyle w:val="BodyText"/>
        <w:spacing w:line="316" w:lineRule="auto" w:before="19"/>
        <w:ind w:right="108" w:firstLine="360"/>
        <w:jc w:val="both"/>
      </w:pPr>
      <w:r>
        <w:rPr/>
        <w:t>为了进一步完善内幕信息管理制度，根据《创业板上市公司规范运作指引》等相关规定，对《重大事项内部报告制度》 进行了修订，并经2012年5月18日召开的公司第一届董事会第二十二次会议审议通过。</w:t>
      </w:r>
    </w:p>
    <w:p>
      <w:pPr>
        <w:pStyle w:val="BodyText"/>
        <w:spacing w:line="316" w:lineRule="auto" w:before="19"/>
        <w:ind w:right="190" w:firstLine="360"/>
        <w:jc w:val="both"/>
      </w:pPr>
      <w:r>
        <w:rPr>
          <w:spacing w:val="-2"/>
        </w:rPr>
        <w:t>《内幕信息知情人登记管理制度》、《重大事项内部报告制度》（2012年</w:t>
      </w:r>
      <w:r>
        <w:rPr>
          <w:spacing w:val="18"/>
        </w:rPr>
        <w:t> </w:t>
      </w:r>
      <w:r>
        <w:rPr>
          <w:spacing w:val="-2"/>
        </w:rPr>
        <w:t>5月）、《董事、监事和高级管理人员所持公</w:t>
      </w:r>
      <w:r>
        <w:rPr/>
        <w:t> </w:t>
      </w:r>
      <w:r>
        <w:rPr>
          <w:spacing w:val="4"/>
        </w:rPr>
        <w:t>司股份及其变动管理制度》、《外部信息使用人管理制度》详见</w:t>
      </w:r>
      <w:r>
        <w:rPr>
          <w:spacing w:val="38"/>
        </w:rPr>
        <w:t> </w:t>
      </w:r>
      <w:r>
        <w:rPr>
          <w:spacing w:val="4"/>
        </w:rPr>
        <w:t>2012年5月21日中国证监会指定的创业板信息披露网站</w:t>
      </w:r>
    </w:p>
    <w:p>
      <w:pPr>
        <w:pStyle w:val="BodyText"/>
        <w:spacing w:line="240" w:lineRule="auto" w:before="19"/>
        <w:ind w:right="91"/>
        <w:jc w:val="left"/>
      </w:pPr>
      <w:hyperlink r:id="rId11">
        <w:r>
          <w:rPr/>
          <w:t>（ www.cninfo.com.cn）。</w:t>
        </w:r>
      </w:hyperlink>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3" w:right="150" w:firstLine="360"/>
        <w:jc w:val="both"/>
      </w:pPr>
      <w:r>
        <w:rPr>
          <w:spacing w:val="-2"/>
        </w:rPr>
        <w:t>报告期公司严格执行了上述制度，未发生内幕信息知情人买卖本公司股票及其衍生品种的情况；公司及相关人员未发生</w:t>
      </w:r>
      <w:r>
        <w:rPr/>
        <w:t> 因内幕信息知情人登记管理制度执行或涉嫌内幕交易被监管部门采取监管措施及行政处罚的情况。</w:t>
      </w:r>
    </w:p>
    <w:p>
      <w:pPr>
        <w:pStyle w:val="BodyText"/>
        <w:spacing w:line="316" w:lineRule="auto" w:before="19"/>
        <w:ind w:left="153" w:right="151" w:firstLine="360"/>
        <w:jc w:val="both"/>
      </w:pPr>
      <w:r>
        <w:rPr>
          <w:spacing w:val="-2"/>
        </w:rPr>
        <w:t>报告期内，公司董事会组织相关人员展开专项学习和讨论，以确保真实、准确、完整、及时、公平的披露所有对本公司</w:t>
      </w:r>
      <w:r>
        <w:rPr/>
        <w:t> </w:t>
      </w:r>
      <w:r>
        <w:rPr>
          <w:spacing w:val="-2"/>
        </w:rPr>
        <w:t>股票及其衍生品种交易价格可能产生较大影响的信息。公司将继续遵守有关信息披露的法律规定并严格执行本公司信息披露</w:t>
      </w:r>
      <w:r>
        <w:rPr>
          <w:spacing w:val="-64"/>
        </w:rPr>
        <w:t> </w:t>
      </w:r>
      <w:r>
        <w:rPr>
          <w:spacing w:val="-64"/>
        </w:rPr>
      </w:r>
      <w:r>
        <w:rPr/>
        <w:t>事务管理制度，组织有关信息披露规定的专题培训和深化学习，不断提高公司信息披露的质量和水平。</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r>
        <w:rPr/>
        <w:pict>
          <v:shape style="position:absolute;margin-left:370.920288pt;margin-top:68.675934pt;width:164pt;height:362.85pt;mso-position-horizontal-relative:page;mso-position-vertical-relative:paragraph;z-index:-721000"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1"/>
                    <w:rPr>
                      <w:rFonts w:ascii="宋体" w:hAnsi="宋体" w:cs="宋体" w:eastAsia="宋体" w:hint="default"/>
                      <w:b/>
                      <w:bCs/>
                      <w:sz w:val="25"/>
                      <w:szCs w:val="25"/>
                    </w:rPr>
                  </w:pPr>
                </w:p>
                <w:p>
                  <w:pPr>
                    <w:pStyle w:val="BodyText"/>
                    <w:spacing w:line="240" w:lineRule="auto"/>
                    <w:ind w:left="0" w:right="0"/>
                    <w:jc w:val="left"/>
                  </w:pPr>
                  <w:r>
                    <w:rPr/>
                    <w:t>有限责任公司、</w:t>
                  </w:r>
                </w:p>
              </w:txbxContent>
            </v:textbox>
            <w10:wrap type="none"/>
          </v:shape>
        </w:pict>
      </w:r>
      <w:r>
        <w:rPr/>
        <w:pict>
          <v:group style="position:absolute;margin-left:431.040009pt;margin-top:68.675934pt;width:103.9pt;height:362.85pt;mso-position-horizontal-relative:page;mso-position-vertical-relative:paragraph;z-index:-720976" coordorigin="8621,1374" coordsize="2078,7257">
            <v:group style="position:absolute;left:8621;top:1374;width:2078;height:7257" coordorigin="8621,1374" coordsize="2078,7257">
              <v:shape style="position:absolute;left:8621;top:1374;width:2078;height:7257" coordorigin="8621,1374" coordsize="2078,7257" path="m8621,8630l10698,8630,10698,1374,8621,1374,8621,8630xe" filled="true" fillcolor="#ffffff" stroked="false">
                <v:path arrowok="t"/>
                <v:fill type="solid"/>
              </v:shape>
            </v:group>
            <v:group style="position:absolute;left:8644;top:4650;width:2032;height:353" coordorigin="8644,4650" coordsize="2032,353">
              <v:shape style="position:absolute;left:8644;top:4650;width:2032;height:353" coordorigin="8644,4650" coordsize="2032,353" path="m8644,5002l10675,5002,10675,4650,8644,4650,8644,5002xe" filled="true" fillcolor="#ffffff" stroked="false">
                <v:path arrowok="t"/>
                <v:fill type="solid"/>
              </v:shape>
            </v:group>
            <v:group style="position:absolute;left:8644;top:5002;width:2032;height:352" coordorigin="8644,5002" coordsize="2032,352">
              <v:shape style="position:absolute;left:8644;top:5002;width:2032;height:352" coordorigin="8644,5002" coordsize="2032,352" path="m8644,5354l10675,5354,10675,5002,8644,5002,8644,5354xe" filled="true" fillcolor="#ffffff" stroked="false">
                <v:path arrowok="t"/>
                <v:fill type="solid"/>
              </v:shape>
            </v:group>
            <w10:wrap type="none"/>
          </v:group>
        </w:pict>
      </w:r>
      <w:r>
        <w:rPr/>
        <w:t>八、报告期内接待调研、沟通、采访等活动登记表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6"/>
        <w:gridCol w:w="1498"/>
        <w:gridCol w:w="1496"/>
        <w:gridCol w:w="2087"/>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383"/>
              <w:jc w:val="right"/>
              <w:rPr>
                <w:rFonts w:ascii="宋体" w:hAnsi="宋体" w:cs="宋体" w:eastAsia="宋体" w:hint="default"/>
                <w:sz w:val="18"/>
                <w:szCs w:val="18"/>
              </w:rPr>
            </w:pPr>
            <w:r>
              <w:rPr>
                <w:rFonts w:ascii="宋体" w:hAnsi="宋体" w:cs="宋体" w:eastAsia="宋体" w:hint="default"/>
                <w:sz w:val="18"/>
                <w:szCs w:val="18"/>
              </w:rPr>
              <w:t>接待地点</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58" w:right="47"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358"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方正证券股份有限</w:t>
            </w:r>
          </w:p>
        </w:tc>
        <w:tc>
          <w:tcPr>
            <w:tcW w:w="208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公司、上海尚雅投</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资管理有限公司、</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信诚基金管理有限</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公司、国投瑞银基</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金管理有限公司、</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中银国际证券有限</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责任公司、易方达</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基金管理有限公</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司、海富通基金管</w:t>
            </w:r>
          </w:p>
        </w:tc>
        <w:tc>
          <w:tcPr>
            <w:tcW w:w="208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2" w:right="-14"/>
              <w:jc w:val="center"/>
              <w:rPr>
                <w:rFonts w:ascii="宋体" w:hAnsi="宋体" w:cs="宋体" w:eastAsia="宋体" w:hint="default"/>
                <w:sz w:val="18"/>
                <w:szCs w:val="18"/>
              </w:rPr>
            </w:pPr>
            <w:r>
              <w:rPr>
                <w:rFonts w:ascii="宋体" w:hAnsi="宋体" w:cs="宋体" w:eastAsia="宋体" w:hint="default"/>
                <w:spacing w:val="7"/>
                <w:sz w:val="18"/>
                <w:szCs w:val="18"/>
              </w:rPr>
              <w:t>2012年</w:t>
            </w:r>
            <w:r>
              <w:rPr>
                <w:rFonts w:ascii="宋体" w:hAnsi="宋体" w:cs="宋体" w:eastAsia="宋体" w:hint="default"/>
                <w:spacing w:val="-53"/>
                <w:sz w:val="18"/>
                <w:szCs w:val="18"/>
              </w:rPr>
              <w:t> </w:t>
            </w:r>
            <w:r>
              <w:rPr>
                <w:rFonts w:ascii="宋体" w:hAnsi="宋体" w:cs="宋体" w:eastAsia="宋体" w:hint="default"/>
                <w:spacing w:val="12"/>
                <w:sz w:val="18"/>
                <w:szCs w:val="18"/>
              </w:rPr>
              <w:t>05月</w:t>
            </w:r>
            <w:r>
              <w:rPr>
                <w:rFonts w:ascii="宋体" w:hAnsi="宋体" w:cs="宋体" w:eastAsia="宋体" w:hint="default"/>
                <w:spacing w:val="-53"/>
                <w:sz w:val="18"/>
                <w:szCs w:val="18"/>
              </w:rPr>
              <w:t> </w:t>
            </w:r>
            <w:r>
              <w:rPr>
                <w:rFonts w:ascii="宋体" w:hAnsi="宋体" w:cs="宋体" w:eastAsia="宋体" w:hint="default"/>
                <w:spacing w:val="11"/>
                <w:sz w:val="18"/>
                <w:szCs w:val="18"/>
              </w:rPr>
              <w:t>09日</w:t>
            </w:r>
            <w:r>
              <w:rPr>
                <w:rFonts w:ascii="宋体" w:hAnsi="宋体" w:cs="宋体" w:eastAsia="宋体" w:hint="default"/>
                <w:spacing w:val="-54"/>
                <w:sz w:val="18"/>
                <w:szCs w:val="18"/>
              </w:rPr>
              <w:t> </w:t>
            </w:r>
            <w:r>
              <w:rPr>
                <w:rFonts w:ascii="宋体" w:hAnsi="宋体" w:cs="宋体" w:eastAsia="宋体" w:hint="default"/>
                <w:sz w:val="18"/>
                <w:szCs w:val="18"/>
              </w:rPr>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383"/>
              <w:jc w:val="right"/>
              <w:rPr>
                <w:rFonts w:ascii="宋体" w:hAnsi="宋体" w:cs="宋体" w:eastAsia="宋体" w:hint="default"/>
                <w:sz w:val="18"/>
                <w:szCs w:val="18"/>
              </w:rPr>
            </w:pPr>
            <w:r>
              <w:rPr>
                <w:rFonts w:ascii="宋体" w:hAnsi="宋体" w:cs="宋体" w:eastAsia="宋体" w:hint="default"/>
                <w:sz w:val="18"/>
                <w:szCs w:val="18"/>
              </w:rPr>
              <w:t>公司大会议室</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理有限公司、民生 证券有限责任公 司、中信证券（浙</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公司日常经营及未来计划 等</w:t>
            </w: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南方基金管理有限</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公司、国泰基金管</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理有限公司、申万</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菱信基金管理有限</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公司、上海归富投</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资管理有限公司、</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天治基金管理有限</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30"/>
                <w:sz w:val="18"/>
                <w:szCs w:val="18"/>
              </w:rPr>
              <w:t> </w:t>
            </w:r>
            <w:r>
              <w:rPr>
                <w:rFonts w:ascii="宋体" w:hAnsi="宋体" w:cs="宋体" w:eastAsia="宋体" w:hint="default"/>
                <w:sz w:val="18"/>
                <w:szCs w:val="18"/>
              </w:rPr>
              <w:t>公司日常经</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营及未来计划等</w:t>
            </w:r>
          </w:p>
        </w:tc>
        <w:tc>
          <w:tcPr>
            <w:tcW w:w="2087"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农银汇理基金管理</w:t>
            </w:r>
          </w:p>
        </w:tc>
        <w:tc>
          <w:tcPr>
            <w:tcW w:w="208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有限公司、中信证</w:t>
            </w:r>
          </w:p>
        </w:tc>
        <w:tc>
          <w:tcPr>
            <w:tcW w:w="2087"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14"/>
              <w:jc w:val="center"/>
              <w:rPr>
                <w:rFonts w:ascii="宋体" w:hAnsi="宋体" w:cs="宋体" w:eastAsia="宋体" w:hint="default"/>
                <w:sz w:val="18"/>
                <w:szCs w:val="18"/>
              </w:rPr>
            </w:pPr>
            <w:r>
              <w:rPr>
                <w:rFonts w:ascii="宋体" w:hAnsi="宋体" w:cs="宋体" w:eastAsia="宋体" w:hint="default"/>
                <w:spacing w:val="7"/>
                <w:sz w:val="18"/>
                <w:szCs w:val="18"/>
              </w:rPr>
              <w:t>2012年</w:t>
            </w:r>
            <w:r>
              <w:rPr>
                <w:rFonts w:ascii="宋体" w:hAnsi="宋体" w:cs="宋体" w:eastAsia="宋体" w:hint="default"/>
                <w:spacing w:val="-53"/>
                <w:sz w:val="18"/>
                <w:szCs w:val="18"/>
              </w:rPr>
              <w:t> </w:t>
            </w:r>
            <w:r>
              <w:rPr>
                <w:rFonts w:ascii="宋体" w:hAnsi="宋体" w:cs="宋体" w:eastAsia="宋体" w:hint="default"/>
                <w:spacing w:val="12"/>
                <w:sz w:val="18"/>
                <w:szCs w:val="18"/>
              </w:rPr>
              <w:t>05月</w:t>
            </w:r>
            <w:r>
              <w:rPr>
                <w:rFonts w:ascii="宋体" w:hAnsi="宋体" w:cs="宋体" w:eastAsia="宋体" w:hint="default"/>
                <w:spacing w:val="-53"/>
                <w:sz w:val="18"/>
                <w:szCs w:val="18"/>
              </w:rPr>
              <w:t> </w:t>
            </w:r>
            <w:r>
              <w:rPr>
                <w:rFonts w:ascii="宋体" w:hAnsi="宋体" w:cs="宋体" w:eastAsia="宋体" w:hint="default"/>
                <w:spacing w:val="11"/>
                <w:sz w:val="18"/>
                <w:szCs w:val="18"/>
              </w:rPr>
              <w:t>29日</w:t>
            </w:r>
            <w:r>
              <w:rPr>
                <w:rFonts w:ascii="宋体" w:hAnsi="宋体" w:cs="宋体" w:eastAsia="宋体" w:hint="default"/>
                <w:spacing w:val="-54"/>
                <w:sz w:val="18"/>
                <w:szCs w:val="18"/>
              </w:rPr>
              <w:t> </w:t>
            </w:r>
            <w:r>
              <w:rPr>
                <w:rFonts w:ascii="宋体" w:hAnsi="宋体" w:cs="宋体" w:eastAsia="宋体" w:hint="default"/>
                <w:sz w:val="18"/>
                <w:szCs w:val="18"/>
              </w:rPr>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383"/>
              <w:jc w:val="right"/>
              <w:rPr>
                <w:rFonts w:ascii="宋体" w:hAnsi="宋体" w:cs="宋体" w:eastAsia="宋体" w:hint="default"/>
                <w:sz w:val="18"/>
                <w:szCs w:val="18"/>
              </w:rPr>
            </w:pPr>
            <w:r>
              <w:rPr>
                <w:rFonts w:ascii="宋体" w:hAnsi="宋体" w:cs="宋体" w:eastAsia="宋体" w:hint="default"/>
                <w:sz w:val="18"/>
                <w:szCs w:val="18"/>
              </w:rPr>
              <w:t>公司大会议室</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券股份有限公司、 中信建投证券股份</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公司订单情况等</w:t>
            </w:r>
          </w:p>
        </w:tc>
      </w:tr>
      <w:tr>
        <w:trPr>
          <w:trHeight w:val="313"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有限公司、中银基</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金管理有限公司</w:t>
            </w:r>
          </w:p>
        </w:tc>
        <w:tc>
          <w:tcPr>
            <w:tcW w:w="2087"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14"/>
              <w:jc w:val="center"/>
              <w:rPr>
                <w:rFonts w:ascii="宋体" w:hAnsi="宋体" w:cs="宋体" w:eastAsia="宋体" w:hint="default"/>
                <w:sz w:val="18"/>
                <w:szCs w:val="18"/>
              </w:rPr>
            </w:pPr>
            <w:r>
              <w:rPr>
                <w:rFonts w:ascii="宋体" w:hAnsi="宋体" w:cs="宋体" w:eastAsia="宋体" w:hint="default"/>
                <w:spacing w:val="7"/>
                <w:sz w:val="18"/>
                <w:szCs w:val="18"/>
              </w:rPr>
              <w:t>2012年</w:t>
            </w:r>
            <w:r>
              <w:rPr>
                <w:rFonts w:ascii="宋体" w:hAnsi="宋体" w:cs="宋体" w:eastAsia="宋体" w:hint="default"/>
                <w:spacing w:val="-53"/>
                <w:sz w:val="18"/>
                <w:szCs w:val="18"/>
              </w:rPr>
              <w:t> </w:t>
            </w:r>
            <w:r>
              <w:rPr>
                <w:rFonts w:ascii="宋体" w:hAnsi="宋体" w:cs="宋体" w:eastAsia="宋体" w:hint="default"/>
                <w:spacing w:val="12"/>
                <w:sz w:val="18"/>
                <w:szCs w:val="18"/>
              </w:rPr>
              <w:t>06月</w:t>
            </w:r>
            <w:r>
              <w:rPr>
                <w:rFonts w:ascii="宋体" w:hAnsi="宋体" w:cs="宋体" w:eastAsia="宋体" w:hint="default"/>
                <w:spacing w:val="-53"/>
                <w:sz w:val="18"/>
                <w:szCs w:val="18"/>
              </w:rPr>
              <w:t> </w:t>
            </w:r>
            <w:r>
              <w:rPr>
                <w:rFonts w:ascii="宋体" w:hAnsi="宋体" w:cs="宋体" w:eastAsia="宋体" w:hint="default"/>
                <w:spacing w:val="11"/>
                <w:sz w:val="18"/>
                <w:szCs w:val="18"/>
              </w:rPr>
              <w:t>06日</w:t>
            </w:r>
            <w:r>
              <w:rPr>
                <w:rFonts w:ascii="宋体" w:hAnsi="宋体" w:cs="宋体" w:eastAsia="宋体" w:hint="default"/>
                <w:spacing w:val="-54"/>
                <w:sz w:val="18"/>
                <w:szCs w:val="18"/>
              </w:rPr>
              <w:t> </w:t>
            </w:r>
            <w:r>
              <w:rPr>
                <w:rFonts w:ascii="宋体" w:hAnsi="宋体" w:cs="宋体" w:eastAsia="宋体" w:hint="default"/>
                <w:sz w:val="18"/>
                <w:szCs w:val="18"/>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383"/>
              <w:jc w:val="right"/>
              <w:rPr>
                <w:rFonts w:ascii="宋体" w:hAnsi="宋体" w:cs="宋体" w:eastAsia="宋体" w:hint="default"/>
                <w:sz w:val="18"/>
                <w:szCs w:val="18"/>
              </w:rPr>
            </w:pPr>
            <w:r>
              <w:rPr>
                <w:rFonts w:ascii="宋体" w:hAnsi="宋体" w:cs="宋体" w:eastAsia="宋体" w:hint="default"/>
                <w:sz w:val="18"/>
                <w:szCs w:val="18"/>
              </w:rPr>
              <w:t>公司大会议室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华夏基金管理有限 公司、厦门证券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市场占有率、行业资质情 况等</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14"/>
              <w:jc w:val="center"/>
              <w:rPr>
                <w:rFonts w:ascii="宋体" w:hAnsi="宋体" w:cs="宋体" w:eastAsia="宋体" w:hint="default"/>
                <w:sz w:val="18"/>
                <w:szCs w:val="18"/>
              </w:rPr>
            </w:pPr>
            <w:r>
              <w:rPr>
                <w:rFonts w:ascii="宋体" w:hAnsi="宋体" w:cs="宋体" w:eastAsia="宋体" w:hint="default"/>
                <w:spacing w:val="7"/>
                <w:sz w:val="18"/>
                <w:szCs w:val="18"/>
              </w:rPr>
              <w:t>2012年</w:t>
            </w:r>
            <w:r>
              <w:rPr>
                <w:rFonts w:ascii="宋体" w:hAnsi="宋体" w:cs="宋体" w:eastAsia="宋体" w:hint="default"/>
                <w:spacing w:val="-53"/>
                <w:sz w:val="18"/>
                <w:szCs w:val="18"/>
              </w:rPr>
              <w:t> </w:t>
            </w:r>
            <w:r>
              <w:rPr>
                <w:rFonts w:ascii="宋体" w:hAnsi="宋体" w:cs="宋体" w:eastAsia="宋体" w:hint="default"/>
                <w:spacing w:val="12"/>
                <w:sz w:val="18"/>
                <w:szCs w:val="18"/>
              </w:rPr>
              <w:t>06月</w:t>
            </w:r>
            <w:r>
              <w:rPr>
                <w:rFonts w:ascii="宋体" w:hAnsi="宋体" w:cs="宋体" w:eastAsia="宋体" w:hint="default"/>
                <w:spacing w:val="-53"/>
                <w:sz w:val="18"/>
                <w:szCs w:val="18"/>
              </w:rPr>
              <w:t> </w:t>
            </w:r>
            <w:r>
              <w:rPr>
                <w:rFonts w:ascii="宋体" w:hAnsi="宋体" w:cs="宋体" w:eastAsia="宋体" w:hint="default"/>
                <w:spacing w:val="11"/>
                <w:sz w:val="18"/>
                <w:szCs w:val="18"/>
              </w:rPr>
              <w:t>13日</w:t>
            </w:r>
            <w:r>
              <w:rPr>
                <w:rFonts w:ascii="宋体" w:hAnsi="宋体" w:cs="宋体" w:eastAsia="宋体" w:hint="default"/>
                <w:spacing w:val="-54"/>
                <w:sz w:val="18"/>
                <w:szCs w:val="18"/>
              </w:rPr>
              <w:t> </w:t>
            </w:r>
            <w:r>
              <w:rPr>
                <w:rFonts w:ascii="宋体" w:hAnsi="宋体" w:cs="宋体" w:eastAsia="宋体" w:hint="default"/>
                <w:sz w:val="18"/>
                <w:szCs w:val="18"/>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383"/>
              <w:jc w:val="right"/>
              <w:rPr>
                <w:rFonts w:ascii="宋体" w:hAnsi="宋体" w:cs="宋体" w:eastAsia="宋体" w:hint="default"/>
                <w:sz w:val="18"/>
                <w:szCs w:val="18"/>
              </w:rPr>
            </w:pPr>
            <w:r>
              <w:rPr>
                <w:rFonts w:ascii="宋体" w:hAnsi="宋体" w:cs="宋体" w:eastAsia="宋体" w:hint="default"/>
                <w:sz w:val="18"/>
                <w:szCs w:val="18"/>
              </w:rPr>
              <w:t>公司大会议室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3"/>
              <w:jc w:val="left"/>
              <w:rPr>
                <w:rFonts w:ascii="宋体" w:hAnsi="宋体" w:cs="宋体" w:eastAsia="宋体" w:hint="default"/>
                <w:sz w:val="18"/>
                <w:szCs w:val="18"/>
              </w:rPr>
            </w:pPr>
            <w:r>
              <w:rPr>
                <w:rFonts w:ascii="宋体" w:hAnsi="宋体" w:cs="宋体" w:eastAsia="宋体" w:hint="default"/>
                <w:sz w:val="18"/>
                <w:szCs w:val="18"/>
              </w:rPr>
              <w:t>第一创业证券有限 责任公司、瑞银证</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行业趋势、发展战略、订 单执行情况等</w:t>
            </w:r>
          </w:p>
        </w:tc>
      </w:tr>
    </w:tbl>
    <w:p>
      <w:pPr>
        <w:spacing w:after="0" w:line="319"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6"/>
        <w:gridCol w:w="1498"/>
        <w:gridCol w:w="1496"/>
        <w:gridCol w:w="2087"/>
      </w:tblGrid>
      <w:tr>
        <w:trPr>
          <w:trHeight w:val="1922" w:hRule="exact"/>
        </w:trPr>
        <w:tc>
          <w:tcPr>
            <w:tcW w:w="149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券有限责任公司、 申银万国证券研究 所有限公司、万家 基金管理有限公 司、广发证券股份 有限公司</w:t>
            </w:r>
          </w:p>
        </w:tc>
        <w:tc>
          <w:tcPr>
            <w:tcW w:w="208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宋体" w:hAnsi="宋体" w:cs="宋体" w:eastAsia="宋体" w:hint="default"/>
                <w:sz w:val="18"/>
                <w:szCs w:val="18"/>
              </w:rPr>
            </w:pPr>
            <w:r>
              <w:rPr>
                <w:rFonts w:ascii="宋体" w:hAnsi="宋体" w:cs="宋体" w:eastAsia="宋体" w:hint="default"/>
                <w:spacing w:val="7"/>
                <w:sz w:val="18"/>
                <w:szCs w:val="18"/>
              </w:rPr>
              <w:t>2012年</w:t>
            </w:r>
            <w:r>
              <w:rPr>
                <w:rFonts w:ascii="宋体" w:hAnsi="宋体" w:cs="宋体" w:eastAsia="宋体" w:hint="default"/>
                <w:spacing w:val="-53"/>
                <w:sz w:val="18"/>
                <w:szCs w:val="18"/>
              </w:rPr>
              <w:t> </w:t>
            </w:r>
            <w:r>
              <w:rPr>
                <w:rFonts w:ascii="宋体" w:hAnsi="宋体" w:cs="宋体" w:eastAsia="宋体" w:hint="default"/>
                <w:spacing w:val="12"/>
                <w:sz w:val="18"/>
                <w:szCs w:val="18"/>
              </w:rPr>
              <w:t>07月</w:t>
            </w:r>
            <w:r>
              <w:rPr>
                <w:rFonts w:ascii="宋体" w:hAnsi="宋体" w:cs="宋体" w:eastAsia="宋体" w:hint="default"/>
                <w:spacing w:val="-53"/>
                <w:sz w:val="18"/>
                <w:szCs w:val="18"/>
              </w:rPr>
              <w:t> </w:t>
            </w:r>
            <w:r>
              <w:rPr>
                <w:rFonts w:ascii="宋体" w:hAnsi="宋体" w:cs="宋体" w:eastAsia="宋体" w:hint="default"/>
                <w:spacing w:val="11"/>
                <w:sz w:val="18"/>
                <w:szCs w:val="18"/>
              </w:rPr>
              <w:t>20日</w:t>
            </w:r>
            <w:r>
              <w:rPr>
                <w:rFonts w:ascii="宋体" w:hAnsi="宋体" w:cs="宋体" w:eastAsia="宋体" w:hint="default"/>
                <w:spacing w:val="-54"/>
                <w:sz w:val="18"/>
                <w:szCs w:val="18"/>
              </w:rPr>
              <w:t> </w:t>
            </w:r>
            <w:r>
              <w:rPr>
                <w:rFonts w:ascii="宋体" w:hAnsi="宋体" w:cs="宋体" w:eastAsia="宋体" w:hint="default"/>
                <w:sz w:val="18"/>
                <w:szCs w:val="18"/>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公司大会议室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易方达基金管理有 限公司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公司经营情况、人才情况 情况等</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宋体" w:hAnsi="宋体" w:cs="宋体" w:eastAsia="宋体" w:hint="default"/>
                <w:sz w:val="18"/>
                <w:szCs w:val="18"/>
              </w:rPr>
            </w:pPr>
            <w:r>
              <w:rPr>
                <w:rFonts w:ascii="宋体" w:hAnsi="宋体" w:cs="宋体" w:eastAsia="宋体" w:hint="default"/>
                <w:spacing w:val="7"/>
                <w:sz w:val="18"/>
                <w:szCs w:val="18"/>
              </w:rPr>
              <w:t>2012年</w:t>
            </w:r>
            <w:r>
              <w:rPr>
                <w:rFonts w:ascii="宋体" w:hAnsi="宋体" w:cs="宋体" w:eastAsia="宋体" w:hint="default"/>
                <w:spacing w:val="-53"/>
                <w:sz w:val="18"/>
                <w:szCs w:val="18"/>
              </w:rPr>
              <w:t> </w:t>
            </w:r>
            <w:r>
              <w:rPr>
                <w:rFonts w:ascii="宋体" w:hAnsi="宋体" w:cs="宋体" w:eastAsia="宋体" w:hint="default"/>
                <w:spacing w:val="12"/>
                <w:sz w:val="18"/>
                <w:szCs w:val="18"/>
              </w:rPr>
              <w:t>07月</w:t>
            </w:r>
            <w:r>
              <w:rPr>
                <w:rFonts w:ascii="宋体" w:hAnsi="宋体" w:cs="宋体" w:eastAsia="宋体" w:hint="default"/>
                <w:spacing w:val="-53"/>
                <w:sz w:val="18"/>
                <w:szCs w:val="18"/>
              </w:rPr>
              <w:t> </w:t>
            </w:r>
            <w:r>
              <w:rPr>
                <w:rFonts w:ascii="宋体" w:hAnsi="宋体" w:cs="宋体" w:eastAsia="宋体" w:hint="default"/>
                <w:spacing w:val="11"/>
                <w:sz w:val="18"/>
                <w:szCs w:val="18"/>
              </w:rPr>
              <w:t>24日</w:t>
            </w:r>
            <w:r>
              <w:rPr>
                <w:rFonts w:ascii="宋体" w:hAnsi="宋体" w:cs="宋体" w:eastAsia="宋体" w:hint="default"/>
                <w:spacing w:val="-54"/>
                <w:sz w:val="18"/>
                <w:szCs w:val="18"/>
              </w:rPr>
              <w:t> </w:t>
            </w:r>
            <w:r>
              <w:rPr>
                <w:rFonts w:ascii="宋体" w:hAnsi="宋体" w:cs="宋体" w:eastAsia="宋体" w:hint="default"/>
                <w:sz w:val="18"/>
                <w:szCs w:val="18"/>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公司大会议室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民生证券有限公司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合同签订情况、行业竞争 情况等</w:t>
            </w:r>
          </w:p>
        </w:tc>
      </w:tr>
      <w:tr>
        <w:trPr>
          <w:trHeight w:val="1034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宋体" w:hAnsi="宋体" w:cs="宋体" w:eastAsia="宋体" w:hint="default"/>
                <w:sz w:val="18"/>
                <w:szCs w:val="18"/>
              </w:rPr>
            </w:pPr>
            <w:r>
              <w:rPr>
                <w:rFonts w:ascii="宋体" w:hAnsi="宋体" w:cs="宋体" w:eastAsia="宋体" w:hint="default"/>
                <w:spacing w:val="7"/>
                <w:sz w:val="18"/>
                <w:szCs w:val="18"/>
              </w:rPr>
              <w:t>2012年</w:t>
            </w:r>
            <w:r>
              <w:rPr>
                <w:rFonts w:ascii="宋体" w:hAnsi="宋体" w:cs="宋体" w:eastAsia="宋体" w:hint="default"/>
                <w:spacing w:val="-53"/>
                <w:sz w:val="18"/>
                <w:szCs w:val="18"/>
              </w:rPr>
              <w:t> </w:t>
            </w:r>
            <w:r>
              <w:rPr>
                <w:rFonts w:ascii="宋体" w:hAnsi="宋体" w:cs="宋体" w:eastAsia="宋体" w:hint="default"/>
                <w:spacing w:val="12"/>
                <w:sz w:val="18"/>
                <w:szCs w:val="18"/>
              </w:rPr>
              <w:t>08月</w:t>
            </w:r>
            <w:r>
              <w:rPr>
                <w:rFonts w:ascii="宋体" w:hAnsi="宋体" w:cs="宋体" w:eastAsia="宋体" w:hint="default"/>
                <w:spacing w:val="-53"/>
                <w:sz w:val="18"/>
                <w:szCs w:val="18"/>
              </w:rPr>
              <w:t> </w:t>
            </w:r>
            <w:r>
              <w:rPr>
                <w:rFonts w:ascii="宋体" w:hAnsi="宋体" w:cs="宋体" w:eastAsia="宋体" w:hint="default"/>
                <w:spacing w:val="11"/>
                <w:sz w:val="18"/>
                <w:szCs w:val="18"/>
              </w:rPr>
              <w:t>30日</w:t>
            </w:r>
            <w:r>
              <w:rPr>
                <w:rFonts w:ascii="宋体" w:hAnsi="宋体" w:cs="宋体" w:eastAsia="宋体" w:hint="default"/>
                <w:spacing w:val="-54"/>
                <w:sz w:val="18"/>
                <w:szCs w:val="18"/>
              </w:rPr>
              <w:t> </w:t>
            </w:r>
            <w:r>
              <w:rPr>
                <w:rFonts w:ascii="宋体" w:hAnsi="宋体" w:cs="宋体" w:eastAsia="宋体" w:hint="default"/>
                <w:sz w:val="18"/>
                <w:szCs w:val="18"/>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公司大会议室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中信证券（浙江） 有限责任公司、广 发证券股份有限公 司、长安基金管理 有限公司、上海世 诚投资管理有限公 司、上海原君投资 管理有限公司、第 一创业证券股份有 限公司、万家基金 管理有限公司、国 泰君安证券有限责 任公司、国都证券 有限责任公司、华 富基金管理有限公 司、民生证券有限 责任公司、浙商证 券有限责任公司、 兴业证券股份有限 公司、天风证券有 限责任公司、深圳 展博投资管理有限 公司、上海万丰友 方投资管理有限公 司、鸿商产业控股 集团、杭州银河投 资管理有限公司、 中山证券有限责任 公司、浙商基金管 理有限公司、中国 通用技术集团投资 管理有限公司、华 宝兴业基金管理有</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72"/>
              <w:jc w:val="left"/>
              <w:rPr>
                <w:rFonts w:ascii="宋体" w:hAnsi="宋体" w:cs="宋体" w:eastAsia="宋体" w:hint="default"/>
                <w:sz w:val="18"/>
                <w:szCs w:val="18"/>
              </w:rPr>
            </w:pPr>
            <w:r>
              <w:rPr>
                <w:rFonts w:ascii="宋体" w:hAnsi="宋体" w:cs="宋体" w:eastAsia="宋体" w:hint="default"/>
                <w:sz w:val="18"/>
                <w:szCs w:val="18"/>
              </w:rPr>
              <w:t>公司经营情况、行业竞争 情况、合同签订情况等</w:t>
            </w:r>
          </w:p>
        </w:tc>
      </w:tr>
    </w:tbl>
    <w:p>
      <w:pPr>
        <w:spacing w:after="0" w:line="319"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6"/>
        <w:gridCol w:w="1498"/>
        <w:gridCol w:w="1496"/>
        <w:gridCol w:w="2087"/>
      </w:tblGrid>
      <w:tr>
        <w:trPr>
          <w:trHeight w:val="317" w:hRule="exact"/>
        </w:trPr>
        <w:tc>
          <w:tcPr>
            <w:tcW w:w="1494" w:type="dxa"/>
            <w:vMerge w:val="restart"/>
            <w:tcBorders>
              <w:top w:val="single" w:sz="4" w:space="0" w:color="000000"/>
              <w:left w:val="single" w:sz="4" w:space="0" w:color="000000"/>
              <w:right w:val="single" w:sz="4" w:space="0" w:color="000000"/>
            </w:tcBorders>
          </w:tcPr>
          <w:p>
            <w:pPr/>
          </w:p>
        </w:tc>
        <w:tc>
          <w:tcPr>
            <w:tcW w:w="1498" w:type="dxa"/>
            <w:vMerge w:val="restart"/>
            <w:tcBorders>
              <w:top w:val="single" w:sz="4" w:space="0" w:color="000000"/>
              <w:left w:val="single" w:sz="4" w:space="0" w:color="000000"/>
              <w:right w:val="single" w:sz="4" w:space="0" w:color="000000"/>
            </w:tcBorders>
          </w:tcPr>
          <w:p>
            <w:pPr/>
          </w:p>
        </w:tc>
        <w:tc>
          <w:tcPr>
            <w:tcW w:w="1496" w:type="dxa"/>
            <w:vMerge w:val="restart"/>
            <w:tcBorders>
              <w:top w:val="single" w:sz="4" w:space="0" w:color="000000"/>
              <w:left w:val="single" w:sz="4" w:space="0" w:color="000000"/>
              <w:right w:val="single" w:sz="4" w:space="0" w:color="000000"/>
            </w:tcBorders>
          </w:tcPr>
          <w:p>
            <w:pPr/>
          </w:p>
        </w:tc>
        <w:tc>
          <w:tcPr>
            <w:tcW w:w="1498" w:type="dxa"/>
            <w:vMerge w:val="restart"/>
            <w:tcBorders>
              <w:top w:val="single" w:sz="4" w:space="0" w:color="000000"/>
              <w:left w:val="single" w:sz="4" w:space="0" w:color="000000"/>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限公司、华林证券</w:t>
            </w:r>
          </w:p>
        </w:tc>
        <w:tc>
          <w:tcPr>
            <w:tcW w:w="2087" w:type="dxa"/>
            <w:vMerge w:val="restart"/>
            <w:tcBorders>
              <w:top w:val="single" w:sz="4" w:space="0" w:color="000000"/>
              <w:left w:val="single" w:sz="4" w:space="0" w:color="000000"/>
              <w:right w:val="single" w:sz="4" w:space="0" w:color="000000"/>
            </w:tcBorders>
          </w:tcPr>
          <w:p>
            <w:pPr/>
          </w:p>
        </w:tc>
      </w:tr>
      <w:tr>
        <w:trPr>
          <w:trHeight w:val="312"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6"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有限责任公司、中</w:t>
            </w:r>
          </w:p>
        </w:tc>
        <w:tc>
          <w:tcPr>
            <w:tcW w:w="2087" w:type="dxa"/>
            <w:vMerge/>
            <w:tcBorders>
              <w:left w:val="single" w:sz="4" w:space="0" w:color="000000"/>
              <w:right w:val="single" w:sz="4" w:space="0" w:color="000000"/>
            </w:tcBorders>
          </w:tcPr>
          <w:p>
            <w:pPr/>
          </w:p>
        </w:tc>
      </w:tr>
      <w:tr>
        <w:trPr>
          <w:trHeight w:val="312"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6"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国建银投资证券有</w:t>
            </w:r>
          </w:p>
        </w:tc>
        <w:tc>
          <w:tcPr>
            <w:tcW w:w="2087" w:type="dxa"/>
            <w:vMerge/>
            <w:tcBorders>
              <w:left w:val="single" w:sz="4" w:space="0" w:color="000000"/>
              <w:right w:val="single" w:sz="4" w:space="0" w:color="000000"/>
            </w:tcBorders>
          </w:tcPr>
          <w:p>
            <w:pPr/>
          </w:p>
        </w:tc>
      </w:tr>
      <w:tr>
        <w:trPr>
          <w:trHeight w:val="312"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6"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限责任公司、宝盈</w:t>
            </w:r>
          </w:p>
        </w:tc>
        <w:tc>
          <w:tcPr>
            <w:tcW w:w="2087" w:type="dxa"/>
            <w:vMerge/>
            <w:tcBorders>
              <w:left w:val="single" w:sz="4" w:space="0" w:color="000000"/>
              <w:right w:val="single" w:sz="4" w:space="0" w:color="000000"/>
            </w:tcBorders>
          </w:tcPr>
          <w:p>
            <w:pPr/>
          </w:p>
        </w:tc>
      </w:tr>
      <w:tr>
        <w:trPr>
          <w:trHeight w:val="312"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6"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基金管理有限公</w:t>
            </w:r>
          </w:p>
        </w:tc>
        <w:tc>
          <w:tcPr>
            <w:tcW w:w="2087" w:type="dxa"/>
            <w:vMerge/>
            <w:tcBorders>
              <w:left w:val="single" w:sz="4" w:space="0" w:color="000000"/>
              <w:right w:val="single" w:sz="4" w:space="0" w:color="000000"/>
            </w:tcBorders>
          </w:tcPr>
          <w:p>
            <w:pPr/>
          </w:p>
        </w:tc>
      </w:tr>
      <w:tr>
        <w:trPr>
          <w:trHeight w:val="312"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6"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司、国泰基金管理</w:t>
            </w:r>
          </w:p>
        </w:tc>
        <w:tc>
          <w:tcPr>
            <w:tcW w:w="2087" w:type="dxa"/>
            <w:vMerge/>
            <w:tcBorders>
              <w:left w:val="single" w:sz="4" w:space="0" w:color="000000"/>
              <w:right w:val="single" w:sz="4" w:space="0" w:color="000000"/>
            </w:tcBorders>
          </w:tcPr>
          <w:p>
            <w:pPr/>
          </w:p>
        </w:tc>
      </w:tr>
      <w:tr>
        <w:trPr>
          <w:trHeight w:val="312"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6"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有限公司、上海呈</w:t>
            </w:r>
          </w:p>
        </w:tc>
        <w:tc>
          <w:tcPr>
            <w:tcW w:w="2087" w:type="dxa"/>
            <w:vMerge/>
            <w:tcBorders>
              <w:left w:val="single" w:sz="4" w:space="0" w:color="000000"/>
              <w:right w:val="single" w:sz="4" w:space="0" w:color="000000"/>
            </w:tcBorders>
          </w:tcPr>
          <w:p>
            <w:pPr/>
          </w:p>
        </w:tc>
      </w:tr>
      <w:tr>
        <w:trPr>
          <w:trHeight w:val="313"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6"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瑞投资管理有限公</w:t>
            </w:r>
          </w:p>
        </w:tc>
        <w:tc>
          <w:tcPr>
            <w:tcW w:w="2087" w:type="dxa"/>
            <w:vMerge/>
            <w:tcBorders>
              <w:left w:val="single" w:sz="4" w:space="0" w:color="000000"/>
              <w:right w:val="single" w:sz="4" w:space="0" w:color="000000"/>
            </w:tcBorders>
          </w:tcPr>
          <w:p>
            <w:pPr/>
          </w:p>
        </w:tc>
      </w:tr>
      <w:tr>
        <w:trPr>
          <w:trHeight w:val="357" w:hRule="exact"/>
        </w:trPr>
        <w:tc>
          <w:tcPr>
            <w:tcW w:w="1494" w:type="dxa"/>
            <w:vMerge/>
            <w:tcBorders>
              <w:left w:val="single" w:sz="4" w:space="0" w:color="000000"/>
              <w:bottom w:val="single" w:sz="4" w:space="0" w:color="000000"/>
              <w:right w:val="single" w:sz="4" w:space="0" w:color="000000"/>
            </w:tcBorders>
          </w:tcPr>
          <w:p>
            <w:pPr/>
          </w:p>
        </w:tc>
        <w:tc>
          <w:tcPr>
            <w:tcW w:w="1498" w:type="dxa"/>
            <w:vMerge/>
            <w:tcBorders>
              <w:left w:val="single" w:sz="4" w:space="0" w:color="000000"/>
              <w:bottom w:val="single" w:sz="4" w:space="0" w:color="000000"/>
              <w:right w:val="single" w:sz="4" w:space="0" w:color="000000"/>
            </w:tcBorders>
          </w:tcPr>
          <w:p>
            <w:pPr/>
          </w:p>
        </w:tc>
        <w:tc>
          <w:tcPr>
            <w:tcW w:w="1496" w:type="dxa"/>
            <w:vMerge/>
            <w:tcBorders>
              <w:left w:val="single" w:sz="4" w:space="0" w:color="000000"/>
              <w:bottom w:val="single" w:sz="4" w:space="0" w:color="000000"/>
              <w:right w:val="single" w:sz="4" w:space="0" w:color="000000"/>
            </w:tcBorders>
          </w:tcPr>
          <w:p>
            <w:pPr/>
          </w:p>
        </w:tc>
        <w:tc>
          <w:tcPr>
            <w:tcW w:w="1498" w:type="dxa"/>
            <w:vMerge/>
            <w:tcBorders>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087" w:type="dxa"/>
            <w:vMerge/>
            <w:tcBorders>
              <w:left w:val="single" w:sz="4" w:space="0" w:color="000000"/>
              <w:bottom w:val="single" w:sz="4" w:space="0" w:color="000000"/>
              <w:right w:val="single" w:sz="4" w:space="0" w:color="000000"/>
            </w:tcBorders>
          </w:tcPr>
          <w:p>
            <w:pP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宋体" w:hAnsi="宋体" w:cs="宋体" w:eastAsia="宋体" w:hint="default"/>
                <w:sz w:val="18"/>
                <w:szCs w:val="18"/>
              </w:rPr>
            </w:pPr>
            <w:r>
              <w:rPr>
                <w:rFonts w:ascii="宋体" w:hAnsi="宋体" w:cs="宋体" w:eastAsia="宋体" w:hint="default"/>
                <w:spacing w:val="7"/>
                <w:sz w:val="18"/>
                <w:szCs w:val="18"/>
              </w:rPr>
              <w:t>2012年</w:t>
            </w:r>
            <w:r>
              <w:rPr>
                <w:rFonts w:ascii="宋体" w:hAnsi="宋体" w:cs="宋体" w:eastAsia="宋体" w:hint="default"/>
                <w:spacing w:val="-53"/>
                <w:sz w:val="18"/>
                <w:szCs w:val="18"/>
              </w:rPr>
              <w:t> </w:t>
            </w:r>
            <w:r>
              <w:rPr>
                <w:rFonts w:ascii="宋体" w:hAnsi="宋体" w:cs="宋体" w:eastAsia="宋体" w:hint="default"/>
                <w:spacing w:val="12"/>
                <w:sz w:val="18"/>
                <w:szCs w:val="18"/>
              </w:rPr>
              <w:t>11月</w:t>
            </w:r>
            <w:r>
              <w:rPr>
                <w:rFonts w:ascii="宋体" w:hAnsi="宋体" w:cs="宋体" w:eastAsia="宋体" w:hint="default"/>
                <w:spacing w:val="-53"/>
                <w:sz w:val="18"/>
                <w:szCs w:val="18"/>
              </w:rPr>
              <w:t> </w:t>
            </w:r>
            <w:r>
              <w:rPr>
                <w:rFonts w:ascii="宋体" w:hAnsi="宋体" w:cs="宋体" w:eastAsia="宋体" w:hint="default"/>
                <w:spacing w:val="11"/>
                <w:sz w:val="18"/>
                <w:szCs w:val="18"/>
              </w:rPr>
              <w:t>01日</w:t>
            </w:r>
            <w:r>
              <w:rPr>
                <w:rFonts w:ascii="宋体" w:hAnsi="宋体" w:cs="宋体" w:eastAsia="宋体" w:hint="default"/>
                <w:spacing w:val="-54"/>
                <w:sz w:val="18"/>
                <w:szCs w:val="18"/>
              </w:rPr>
              <w:t> </w:t>
            </w:r>
            <w:r>
              <w:rPr>
                <w:rFonts w:ascii="宋体" w:hAnsi="宋体" w:cs="宋体" w:eastAsia="宋体" w:hint="default"/>
                <w:sz w:val="18"/>
                <w:szCs w:val="18"/>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公司大会议室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广发证券股份有限 公司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市场状况、行业竞争情况 等</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宋体" w:hAnsi="宋体" w:cs="宋体" w:eastAsia="宋体" w:hint="default"/>
                <w:sz w:val="18"/>
                <w:szCs w:val="18"/>
              </w:rPr>
            </w:pPr>
            <w:r>
              <w:rPr>
                <w:rFonts w:ascii="宋体" w:hAnsi="宋体" w:cs="宋体" w:eastAsia="宋体" w:hint="default"/>
                <w:spacing w:val="7"/>
                <w:sz w:val="18"/>
                <w:szCs w:val="18"/>
              </w:rPr>
              <w:t>2012年</w:t>
            </w:r>
            <w:r>
              <w:rPr>
                <w:rFonts w:ascii="宋体" w:hAnsi="宋体" w:cs="宋体" w:eastAsia="宋体" w:hint="default"/>
                <w:spacing w:val="-53"/>
                <w:sz w:val="18"/>
                <w:szCs w:val="18"/>
              </w:rPr>
              <w:t> </w:t>
            </w:r>
            <w:r>
              <w:rPr>
                <w:rFonts w:ascii="宋体" w:hAnsi="宋体" w:cs="宋体" w:eastAsia="宋体" w:hint="default"/>
                <w:spacing w:val="12"/>
                <w:sz w:val="18"/>
                <w:szCs w:val="18"/>
              </w:rPr>
              <w:t>11月</w:t>
            </w:r>
            <w:r>
              <w:rPr>
                <w:rFonts w:ascii="宋体" w:hAnsi="宋体" w:cs="宋体" w:eastAsia="宋体" w:hint="default"/>
                <w:spacing w:val="-53"/>
                <w:sz w:val="18"/>
                <w:szCs w:val="18"/>
              </w:rPr>
              <w:t> </w:t>
            </w:r>
            <w:r>
              <w:rPr>
                <w:rFonts w:ascii="宋体" w:hAnsi="宋体" w:cs="宋体" w:eastAsia="宋体" w:hint="default"/>
                <w:spacing w:val="11"/>
                <w:sz w:val="18"/>
                <w:szCs w:val="18"/>
              </w:rPr>
              <w:t>09日</w:t>
            </w:r>
            <w:r>
              <w:rPr>
                <w:rFonts w:ascii="宋体" w:hAnsi="宋体" w:cs="宋体" w:eastAsia="宋体" w:hint="default"/>
                <w:spacing w:val="-54"/>
                <w:sz w:val="18"/>
                <w:szCs w:val="18"/>
              </w:rPr>
              <w:t> </w:t>
            </w:r>
            <w:r>
              <w:rPr>
                <w:rFonts w:ascii="宋体" w:hAnsi="宋体" w:cs="宋体" w:eastAsia="宋体" w:hint="default"/>
                <w:sz w:val="18"/>
                <w:szCs w:val="18"/>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公司大会议室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中国银河投资管理 有限公司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订单签订情况、行业竞争 情况等</w:t>
            </w:r>
          </w:p>
        </w:tc>
      </w:tr>
      <w:tr>
        <w:trPr>
          <w:trHeight w:val="357"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国金通用基金管理</w:t>
            </w:r>
          </w:p>
        </w:tc>
        <w:tc>
          <w:tcPr>
            <w:tcW w:w="2087"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hAnsi="宋体" w:cs="宋体" w:eastAsia="宋体" w:hint="default"/>
                <w:spacing w:val="7"/>
                <w:sz w:val="18"/>
                <w:szCs w:val="18"/>
              </w:rPr>
              <w:t>2012年</w:t>
            </w:r>
            <w:r>
              <w:rPr>
                <w:rFonts w:ascii="宋体" w:hAnsi="宋体" w:cs="宋体" w:eastAsia="宋体" w:hint="default"/>
                <w:spacing w:val="-53"/>
                <w:sz w:val="18"/>
                <w:szCs w:val="18"/>
              </w:rPr>
              <w:t> </w:t>
            </w:r>
            <w:r>
              <w:rPr>
                <w:rFonts w:ascii="宋体" w:hAnsi="宋体" w:cs="宋体" w:eastAsia="宋体" w:hint="default"/>
                <w:spacing w:val="12"/>
                <w:sz w:val="18"/>
                <w:szCs w:val="18"/>
              </w:rPr>
              <w:t>11月</w:t>
            </w:r>
            <w:r>
              <w:rPr>
                <w:rFonts w:ascii="宋体" w:hAnsi="宋体" w:cs="宋体" w:eastAsia="宋体" w:hint="default"/>
                <w:spacing w:val="-53"/>
                <w:sz w:val="18"/>
                <w:szCs w:val="18"/>
              </w:rPr>
              <w:t> </w:t>
            </w:r>
            <w:r>
              <w:rPr>
                <w:rFonts w:ascii="宋体" w:hAnsi="宋体" w:cs="宋体" w:eastAsia="宋体" w:hint="default"/>
                <w:spacing w:val="11"/>
                <w:sz w:val="18"/>
                <w:szCs w:val="18"/>
              </w:rPr>
              <w:t>15日</w:t>
            </w:r>
            <w:r>
              <w:rPr>
                <w:rFonts w:ascii="宋体" w:hAnsi="宋体" w:cs="宋体" w:eastAsia="宋体" w:hint="default"/>
                <w:spacing w:val="-54"/>
                <w:sz w:val="18"/>
                <w:szCs w:val="18"/>
              </w:rPr>
              <w:t> </w:t>
            </w:r>
            <w:r>
              <w:rPr>
                <w:rFonts w:ascii="宋体" w:hAnsi="宋体" w:cs="宋体" w:eastAsia="宋体" w:hint="default"/>
                <w:sz w:val="18"/>
                <w:szCs w:val="18"/>
              </w:rPr>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公司大会议室</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有限公司、民生加 银基金管理有限公</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公司经营情况等</w:t>
            </w:r>
          </w:p>
        </w:tc>
      </w:tr>
      <w:tr>
        <w:trPr>
          <w:trHeight w:val="357"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08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国信证券股份有限</w:t>
            </w:r>
          </w:p>
        </w:tc>
        <w:tc>
          <w:tcPr>
            <w:tcW w:w="2087"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hAnsi="宋体" w:cs="宋体" w:eastAsia="宋体" w:hint="default"/>
                <w:spacing w:val="7"/>
                <w:sz w:val="18"/>
                <w:szCs w:val="18"/>
              </w:rPr>
              <w:t>2012年</w:t>
            </w:r>
            <w:r>
              <w:rPr>
                <w:rFonts w:ascii="宋体" w:hAnsi="宋体" w:cs="宋体" w:eastAsia="宋体" w:hint="default"/>
                <w:spacing w:val="-53"/>
                <w:sz w:val="18"/>
                <w:szCs w:val="18"/>
              </w:rPr>
              <w:t> </w:t>
            </w:r>
            <w:r>
              <w:rPr>
                <w:rFonts w:ascii="宋体" w:hAnsi="宋体" w:cs="宋体" w:eastAsia="宋体" w:hint="default"/>
                <w:spacing w:val="12"/>
                <w:sz w:val="18"/>
                <w:szCs w:val="18"/>
              </w:rPr>
              <w:t>12月</w:t>
            </w:r>
            <w:r>
              <w:rPr>
                <w:rFonts w:ascii="宋体" w:hAnsi="宋体" w:cs="宋体" w:eastAsia="宋体" w:hint="default"/>
                <w:spacing w:val="-53"/>
                <w:sz w:val="18"/>
                <w:szCs w:val="18"/>
              </w:rPr>
              <w:t> </w:t>
            </w:r>
            <w:r>
              <w:rPr>
                <w:rFonts w:ascii="宋体" w:hAnsi="宋体" w:cs="宋体" w:eastAsia="宋体" w:hint="default"/>
                <w:spacing w:val="11"/>
                <w:sz w:val="18"/>
                <w:szCs w:val="18"/>
              </w:rPr>
              <w:t>20日</w:t>
            </w:r>
            <w:r>
              <w:rPr>
                <w:rFonts w:ascii="宋体" w:hAnsi="宋体" w:cs="宋体" w:eastAsia="宋体" w:hint="default"/>
                <w:spacing w:val="-54"/>
                <w:sz w:val="18"/>
                <w:szCs w:val="18"/>
              </w:rPr>
              <w:t> </w:t>
            </w:r>
            <w:r>
              <w:rPr>
                <w:rFonts w:ascii="宋体" w:hAnsi="宋体" w:cs="宋体" w:eastAsia="宋体" w:hint="default"/>
                <w:sz w:val="18"/>
                <w:szCs w:val="18"/>
              </w:rPr>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公司大会议室</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公司、华泰证券股 份有限公司、上海</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72"/>
              <w:jc w:val="left"/>
              <w:rPr>
                <w:rFonts w:ascii="宋体" w:hAnsi="宋体" w:cs="宋体" w:eastAsia="宋体" w:hint="default"/>
                <w:sz w:val="18"/>
                <w:szCs w:val="18"/>
              </w:rPr>
            </w:pPr>
            <w:r>
              <w:rPr>
                <w:rFonts w:ascii="宋体" w:hAnsi="宋体" w:cs="宋体" w:eastAsia="宋体" w:hint="default"/>
                <w:sz w:val="18"/>
                <w:szCs w:val="18"/>
              </w:rPr>
              <w:t>公司经营情况、订单签订 情况等</w:t>
            </w:r>
          </w:p>
        </w:tc>
      </w:tr>
      <w:tr>
        <w:trPr>
          <w:trHeight w:val="356"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国际信托有限公司</w:t>
            </w:r>
          </w:p>
        </w:tc>
        <w:tc>
          <w:tcPr>
            <w:tcW w:w="208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493"/>
        <w:jc w:val="center"/>
        <w:rPr>
          <w:b w:val="0"/>
          <w:bCs w:val="0"/>
        </w:rPr>
      </w:pPr>
      <w:bookmarkStart w:name="_TOC_250005" w:id="5"/>
      <w:r>
        <w:rPr/>
        <w:t>第五节</w:t>
      </w:r>
      <w:r>
        <w:rPr>
          <w:spacing w:val="-1"/>
        </w:rPr>
        <w:t> </w:t>
      </w:r>
      <w:r>
        <w:rPr/>
        <w:t>重要事项</w:t>
      </w:r>
      <w:bookmarkEnd w:id="5"/>
      <w:r>
        <w:rPr>
          <w:b w:val="0"/>
          <w:bCs w:val="0"/>
        </w:rPr>
      </w:r>
    </w:p>
    <w:p>
      <w:pPr>
        <w:spacing w:line="240" w:lineRule="auto" w:before="0"/>
        <w:rPr>
          <w:rFonts w:ascii="黑体" w:hAnsi="黑体" w:cs="黑体" w:eastAsia="黑体" w:hint="default"/>
          <w:b/>
          <w:bCs/>
          <w:sz w:val="20"/>
          <w:szCs w:val="20"/>
        </w:rPr>
      </w:pPr>
    </w:p>
    <w:p>
      <w:pPr>
        <w:spacing w:line="240" w:lineRule="auto" w:before="12"/>
        <w:rPr>
          <w:rFonts w:ascii="黑体" w:hAnsi="黑体" w:cs="黑体" w:eastAsia="黑体" w:hint="default"/>
          <w:b/>
          <w:bCs/>
          <w:sz w:val="16"/>
          <w:szCs w:val="16"/>
        </w:rPr>
      </w:pPr>
    </w:p>
    <w:p>
      <w:pPr>
        <w:pStyle w:val="Heading2"/>
        <w:spacing w:line="240" w:lineRule="auto" w:before="26"/>
        <w:ind w:right="0"/>
        <w:jc w:val="left"/>
        <w:rPr>
          <w:b w:val="0"/>
          <w:bCs w:val="0"/>
        </w:rPr>
      </w:pPr>
      <w:r>
        <w:rPr/>
        <w:t>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8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二、上市公司发生控股股东及其关联方非经营性占用资金情况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5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会计师事务所对资金占用的专项审核意见</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三、破产重整相关事项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95" w:right="8689"/>
        <w:jc w:val="center"/>
      </w:pPr>
      <w:r>
        <w:rPr/>
        <w:t>无此事项</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四、资产交易事项</w:t>
      </w:r>
      <w:r>
        <w:rPr>
          <w:b w:val="0"/>
          <w:bCs w:val="0"/>
        </w:rPr>
      </w:r>
    </w:p>
    <w:p>
      <w:pPr>
        <w:spacing w:line="240" w:lineRule="auto" w:before="4"/>
        <w:rPr>
          <w:rFonts w:ascii="宋体" w:hAnsi="宋体" w:cs="宋体" w:eastAsia="宋体" w:hint="default"/>
          <w:b/>
          <w:bCs/>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736"/>
        <w:gridCol w:w="736"/>
        <w:gridCol w:w="737"/>
        <w:gridCol w:w="736"/>
        <w:gridCol w:w="737"/>
        <w:gridCol w:w="734"/>
        <w:gridCol w:w="737"/>
        <w:gridCol w:w="734"/>
        <w:gridCol w:w="736"/>
        <w:gridCol w:w="736"/>
        <w:gridCol w:w="736"/>
        <w:gridCol w:w="736"/>
        <w:gridCol w:w="736"/>
      </w:tblGrid>
      <w:tr>
        <w:trPr>
          <w:trHeight w:val="4145" w:hRule="exact"/>
        </w:trPr>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316" w:lineRule="auto"/>
              <w:ind w:left="92" w:right="91"/>
              <w:jc w:val="center"/>
              <w:rPr>
                <w:rFonts w:ascii="宋体" w:hAnsi="宋体" w:cs="宋体" w:eastAsia="宋体" w:hint="default"/>
                <w:sz w:val="18"/>
                <w:szCs w:val="18"/>
              </w:rPr>
            </w:pPr>
            <w:r>
              <w:rPr>
                <w:rFonts w:ascii="宋体" w:hAnsi="宋体" w:cs="宋体" w:eastAsia="宋体" w:hint="default"/>
                <w:sz w:val="18"/>
                <w:szCs w:val="18"/>
              </w:rPr>
              <w:t>交易对 方或最 终控制 方</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被收购 或置入 资产</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3" w:right="91"/>
              <w:jc w:val="both"/>
              <w:rPr>
                <w:rFonts w:ascii="宋体" w:hAnsi="宋体" w:cs="宋体" w:eastAsia="宋体" w:hint="default"/>
                <w:sz w:val="18"/>
                <w:szCs w:val="18"/>
              </w:rPr>
            </w:pPr>
            <w:r>
              <w:rPr>
                <w:rFonts w:ascii="宋体" w:hAnsi="宋体" w:cs="宋体" w:eastAsia="宋体" w:hint="default"/>
                <w:sz w:val="18"/>
                <w:szCs w:val="18"/>
              </w:rPr>
              <w:t>自购买 日起至 报告期 末为上 市公司 贡献的 净利润</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319" w:lineRule="auto" w:before="76"/>
              <w:ind w:left="23" w:right="-17" w:firstLine="69"/>
              <w:jc w:val="both"/>
              <w:rPr>
                <w:rFonts w:ascii="宋体" w:hAnsi="宋体" w:cs="宋体" w:eastAsia="宋体" w:hint="default"/>
                <w:sz w:val="18"/>
                <w:szCs w:val="18"/>
              </w:rPr>
            </w:pPr>
            <w:r>
              <w:rPr>
                <w:rFonts w:ascii="宋体" w:hAnsi="宋体" w:cs="宋体" w:eastAsia="宋体" w:hint="default"/>
                <w:sz w:val="18"/>
                <w:szCs w:val="18"/>
              </w:rPr>
              <w:t>（适用 于非同 一控制 下的企 业合并）</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19" w:hanging="41"/>
              <w:jc w:val="center"/>
              <w:rPr>
                <w:rFonts w:ascii="宋体" w:hAnsi="宋体" w:cs="宋体" w:eastAsia="宋体" w:hint="default"/>
                <w:sz w:val="18"/>
                <w:szCs w:val="18"/>
              </w:rPr>
            </w:pPr>
            <w:r>
              <w:rPr>
                <w:rFonts w:ascii="宋体" w:hAnsi="宋体" w:cs="宋体" w:eastAsia="宋体" w:hint="default"/>
                <w:sz w:val="18"/>
                <w:szCs w:val="18"/>
              </w:rPr>
              <w:t>自本期 初至报 告期末 为上市 公司贡 献的净 </w:t>
            </w:r>
            <w:r>
              <w:rPr>
                <w:rFonts w:ascii="宋体" w:hAnsi="宋体" w:cs="宋体" w:eastAsia="宋体" w:hint="default"/>
                <w:spacing w:val="-11"/>
                <w:sz w:val="18"/>
                <w:szCs w:val="18"/>
              </w:rPr>
              <w:t>利润（万</w:t>
            </w:r>
            <w:r>
              <w:rPr>
                <w:rFonts w:ascii="宋体" w:hAnsi="宋体" w:cs="宋体" w:eastAsia="宋体" w:hint="default"/>
                <w:sz w:val="18"/>
                <w:szCs w:val="18"/>
              </w:rPr>
              <w:t> </w:t>
            </w:r>
            <w:r>
              <w:rPr>
                <w:rFonts w:ascii="宋体" w:hAnsi="宋体" w:cs="宋体" w:eastAsia="宋体" w:hint="default"/>
                <w:spacing w:val="-11"/>
                <w:sz w:val="18"/>
                <w:szCs w:val="18"/>
              </w:rPr>
              <w:t>元）（适</w:t>
            </w:r>
            <w:r>
              <w:rPr>
                <w:rFonts w:ascii="宋体" w:hAnsi="宋体" w:cs="宋体" w:eastAsia="宋体" w:hint="default"/>
                <w:sz w:val="18"/>
                <w:szCs w:val="18"/>
              </w:rPr>
              <w:t> 用于同 一控制 下的企 业合并）</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6" w:lineRule="auto"/>
              <w:ind w:left="92" w:right="92"/>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6" w:lineRule="auto"/>
              <w:ind w:left="92" w:right="90"/>
              <w:jc w:val="both"/>
              <w:rPr>
                <w:rFonts w:ascii="宋体" w:hAnsi="宋体" w:cs="宋体" w:eastAsia="宋体" w:hint="default"/>
                <w:sz w:val="18"/>
                <w:szCs w:val="18"/>
              </w:rPr>
            </w:pPr>
            <w:r>
              <w:rPr>
                <w:rFonts w:ascii="宋体" w:hAnsi="宋体" w:cs="宋体" w:eastAsia="宋体" w:hint="default"/>
                <w:sz w:val="18"/>
                <w:szCs w:val="18"/>
              </w:rPr>
              <w:t>资产收 购定价 原则</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92" w:right="91"/>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93" w:right="90"/>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92" w:right="91"/>
              <w:jc w:val="both"/>
              <w:rPr>
                <w:rFonts w:ascii="Times New Roman" w:hAnsi="Times New Roman" w:cs="Times New Roman" w:eastAsia="Times New Roman" w:hint="default"/>
                <w:sz w:val="18"/>
                <w:szCs w:val="18"/>
              </w:rPr>
            </w:pPr>
            <w:r>
              <w:rPr>
                <w:rFonts w:ascii="宋体" w:hAnsi="宋体" w:cs="宋体" w:eastAsia="宋体" w:hint="default"/>
                <w:sz w:val="18"/>
                <w:szCs w:val="18"/>
              </w:rPr>
              <w:t>该资产 为上市 公司贡 献的净 利润占 利润总 额的比 例</w:t>
            </w:r>
            <w:r>
              <w:rPr>
                <w:rFonts w:ascii="Times New Roman" w:hAnsi="Times New Roman" w:cs="Times New Roman" w:eastAsia="Times New Roman" w:hint="default"/>
                <w:sz w:val="18"/>
                <w:szCs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16" w:lineRule="auto"/>
              <w:ind w:left="22" w:right="-17" w:hanging="41"/>
              <w:jc w:val="center"/>
              <w:rPr>
                <w:rFonts w:ascii="宋体" w:hAnsi="宋体" w:cs="宋体" w:eastAsia="宋体" w:hint="default"/>
                <w:sz w:val="18"/>
                <w:szCs w:val="18"/>
              </w:rPr>
            </w:pPr>
            <w:r>
              <w:rPr>
                <w:rFonts w:ascii="宋体" w:hAnsi="宋体" w:cs="宋体" w:eastAsia="宋体" w:hint="default"/>
                <w:sz w:val="18"/>
                <w:szCs w:val="18"/>
              </w:rPr>
              <w:t>与交易 对方的 关联关 </w:t>
            </w:r>
            <w:r>
              <w:rPr>
                <w:rFonts w:ascii="宋体" w:hAnsi="宋体" w:cs="宋体" w:eastAsia="宋体" w:hint="default"/>
                <w:spacing w:val="-11"/>
                <w:sz w:val="18"/>
                <w:szCs w:val="18"/>
              </w:rPr>
              <w:t>系（适用</w:t>
            </w:r>
            <w:r>
              <w:rPr>
                <w:rFonts w:ascii="宋体" w:hAnsi="宋体" w:cs="宋体" w:eastAsia="宋体" w:hint="default"/>
                <w:sz w:val="18"/>
                <w:szCs w:val="18"/>
              </w:rPr>
              <w:t> 关联交 易情形）</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临时公 告披露 日期</w:t>
            </w:r>
          </w:p>
        </w:tc>
      </w:tr>
      <w:tr>
        <w:trPr>
          <w:trHeight w:val="1339"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
              <w:jc w:val="both"/>
              <w:rPr>
                <w:rFonts w:ascii="宋体" w:hAnsi="宋体" w:cs="宋体" w:eastAsia="宋体" w:hint="default"/>
                <w:sz w:val="18"/>
                <w:szCs w:val="18"/>
              </w:rPr>
            </w:pPr>
            <w:r>
              <w:rPr>
                <w:rFonts w:ascii="宋体" w:hAnsi="宋体" w:cs="宋体" w:eastAsia="宋体" w:hint="default"/>
                <w:sz w:val="18"/>
                <w:szCs w:val="18"/>
              </w:rPr>
              <w:t>黄门马、 </w:t>
            </w:r>
            <w:r>
              <w:rPr>
                <w:rFonts w:ascii="宋体" w:hAnsi="宋体" w:cs="宋体" w:eastAsia="宋体" w:hint="default"/>
                <w:spacing w:val="-11"/>
                <w:sz w:val="18"/>
                <w:szCs w:val="18"/>
              </w:rPr>
              <w:t>马纲、徐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1"/>
                <w:sz w:val="18"/>
                <w:szCs w:val="18"/>
              </w:rPr>
              <w:t>文跃、张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勇</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146"/>
              <w:jc w:val="left"/>
              <w:rPr>
                <w:rFonts w:ascii="Times New Roman" w:hAnsi="Times New Roman" w:cs="Times New Roman" w:eastAsia="Times New Roman" w:hint="default"/>
                <w:sz w:val="18"/>
                <w:szCs w:val="18"/>
              </w:rPr>
            </w:pPr>
            <w:r>
              <w:rPr>
                <w:rFonts w:ascii="宋体" w:hAnsi="宋体" w:cs="宋体" w:eastAsia="宋体" w:hint="default"/>
                <w:sz w:val="18"/>
                <w:szCs w:val="18"/>
              </w:rPr>
              <w:t>四川通 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的股权</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2012/12/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1,800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323.04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2" w:right="161"/>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5.81%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pStyle w:val="BodyText"/>
        <w:spacing w:line="357" w:lineRule="auto" w:before="51"/>
        <w:ind w:left="513" w:right="0" w:hanging="360"/>
        <w:jc w:val="left"/>
      </w:pPr>
      <w:r>
        <w:rPr/>
        <w:t>收购资产情况说明 </w:t>
      </w:r>
      <w:r>
        <w:rPr>
          <w:spacing w:val="-2"/>
        </w:rPr>
        <w:t>根据2012年11月20日公司与黄门马、马纲、徐文跃和张勇签署的《股权转让协议书》，公司拟以1800万元受让四川通普</w:t>
      </w:r>
    </w:p>
    <w:p>
      <w:pPr>
        <w:pStyle w:val="BodyText"/>
        <w:spacing w:line="224" w:lineRule="exact"/>
        <w:ind w:left="153" w:right="0"/>
        <w:jc w:val="left"/>
      </w:pPr>
      <w:r>
        <w:rPr/>
        <w:t>75%股权。公司于2012 年11月30日支付股权转让款1,000万元，并办理了相应的财产权交接手续。在《股权转让协议书》中</w:t>
      </w:r>
    </w:p>
    <w:p>
      <w:pPr>
        <w:pStyle w:val="BodyText"/>
        <w:spacing w:line="240" w:lineRule="auto" w:before="76"/>
        <w:ind w:left="153" w:right="0"/>
        <w:jc w:val="left"/>
      </w:pPr>
      <w:r>
        <w:rPr/>
        <w:t>被收购方承诺：四川通普在2012年、2013年、2014年经审计的净利润不低于800万元、900万元、1350万元。经立信事务所审</w:t>
      </w:r>
    </w:p>
    <w:p>
      <w:pPr>
        <w:spacing w:after="0" w:line="24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left"/>
      </w:pPr>
      <w:r>
        <w:rPr/>
        <w:t>计，四川通普2012年净利润为822.97万元，完成了业绩承诺。</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五、公司股权激励的实施情况及其影响</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95" w:right="8689"/>
        <w:jc w:val="center"/>
      </w:pPr>
      <w:r>
        <w:rPr/>
        <w:t>无此事项</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六、重大关联交易</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95" w:right="8689"/>
        <w:jc w:val="center"/>
      </w:pPr>
      <w:r>
        <w:rPr/>
        <w:t>无此事项</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七、重大合同及其履行情况</w:t>
      </w:r>
      <w:r>
        <w:rPr>
          <w:b w:val="0"/>
          <w:bCs w:val="0"/>
        </w:rPr>
      </w:r>
    </w:p>
    <w:p>
      <w:pPr>
        <w:spacing w:line="240" w:lineRule="auto" w:before="4"/>
        <w:rPr>
          <w:rFonts w:ascii="宋体" w:hAnsi="宋体" w:cs="宋体" w:eastAsia="宋体" w:hint="default"/>
          <w:b/>
          <w:bCs/>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1</w:t>
      </w:r>
      <w:r>
        <w:rPr/>
        <w:t>、为公司带来的利润达到公司本期利润总额</w:t>
      </w:r>
      <w:r>
        <w:rPr>
          <w:spacing w:val="-53"/>
        </w:rPr>
        <w:t> </w:t>
      </w:r>
      <w:r>
        <w:rPr>
          <w:rFonts w:ascii="Times New Roman" w:hAnsi="Times New Roman" w:cs="Times New Roman" w:eastAsia="Times New Roman" w:hint="default"/>
        </w:rPr>
        <w:t>10</w:t>
      </w:r>
      <w:r>
        <w:rPr/>
        <w:t>％以上（含</w:t>
      </w:r>
      <w:r>
        <w:rPr>
          <w:spacing w:val="-54"/>
        </w:rPr>
        <w:t> </w:t>
      </w:r>
      <w:r>
        <w:rPr>
          <w:rFonts w:ascii="Times New Roman" w:hAnsi="Times New Roman" w:cs="Times New Roman" w:eastAsia="Times New Roman" w:hint="default"/>
        </w:rPr>
        <w:t>10</w:t>
      </w:r>
      <w:r>
        <w:rPr/>
        <w:t>％）的托管、承包、租赁事项</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托管情况说明</w:t>
      </w:r>
    </w:p>
    <w:p>
      <w:pPr>
        <w:pStyle w:val="BodyText"/>
        <w:spacing w:line="240" w:lineRule="auto" w:before="117"/>
        <w:ind w:right="0"/>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2"/>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t>承包情况说明</w:t>
      </w:r>
    </w:p>
    <w:p>
      <w:pPr>
        <w:pStyle w:val="BodyText"/>
        <w:spacing w:line="240" w:lineRule="auto" w:before="116"/>
        <w:ind w:right="0"/>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3"/>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t>租赁情况说明</w:t>
      </w:r>
    </w:p>
    <w:p>
      <w:pPr>
        <w:pStyle w:val="BodyText"/>
        <w:spacing w:line="240" w:lineRule="auto" w:before="116"/>
        <w:ind w:right="0"/>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3"/>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left="495" w:right="8689"/>
        <w:jc w:val="center"/>
      </w:pPr>
      <w:r>
        <w:rPr/>
        <w:t>无此事项</w:t>
      </w:r>
    </w:p>
    <w:p>
      <w:pPr>
        <w:spacing w:line="240" w:lineRule="auto" w:before="0"/>
        <w:rPr>
          <w:rFonts w:ascii="宋体" w:hAnsi="宋体" w:cs="宋体" w:eastAsia="宋体" w:hint="default"/>
          <w:sz w:val="18"/>
          <w:szCs w:val="18"/>
        </w:rPr>
      </w:pPr>
    </w:p>
    <w:p>
      <w:pPr>
        <w:pStyle w:val="Heading5"/>
        <w:spacing w:line="240" w:lineRule="auto" w:before="123"/>
        <w:ind w:right="0"/>
        <w:jc w:val="left"/>
        <w:rPr>
          <w:b w:val="0"/>
          <w:bCs w:val="0"/>
        </w:rPr>
      </w:pPr>
      <w:r>
        <w:rPr>
          <w:rFonts w:ascii="Times New Roman" w:hAnsi="Times New Roman" w:cs="Times New Roman" w:eastAsia="Times New Roman" w:hint="default"/>
        </w:rPr>
        <w:t>3</w:t>
      </w:r>
      <w:r>
        <w:rPr/>
        <w:t>、报告期内或报告期继续发生的委托理财情况</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495" w:right="8689"/>
        <w:jc w:val="center"/>
      </w:pPr>
      <w:r>
        <w:rPr/>
        <w:t>无此事项</w:t>
      </w:r>
    </w:p>
    <w:p>
      <w:pPr>
        <w:spacing w:after="0" w:line="240" w:lineRule="auto"/>
        <w:jc w:val="center"/>
        <w:sectPr>
          <w:pgSz w:w="11910" w:h="16840"/>
          <w:pgMar w:header="747" w:footer="982" w:top="1060" w:bottom="1180" w:left="980" w:right="980"/>
        </w:sectPr>
      </w:pPr>
    </w:p>
    <w:p>
      <w:pPr>
        <w:spacing w:line="240" w:lineRule="auto" w:before="1"/>
        <w:rPr>
          <w:rFonts w:ascii="宋体" w:hAnsi="宋体" w:cs="宋体" w:eastAsia="宋体" w:hint="default"/>
          <w:sz w:val="25"/>
          <w:szCs w:val="25"/>
        </w:rPr>
      </w:pPr>
      <w:r>
        <w:rPr/>
        <w:pict>
          <v:shape style="position:absolute;margin-left:247.199402pt;margin-top:447.959991pt;width:96.5pt;height:314pt;mso-position-horizontal-relative:page;mso-position-vertical-relative:page;z-index:-720952"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2"/>
                    <w:rPr>
                      <w:rFonts w:ascii="宋体" w:hAnsi="宋体" w:cs="宋体" w:eastAsia="宋体" w:hint="default"/>
                      <w:b/>
                      <w:bCs/>
                      <w:sz w:val="20"/>
                      <w:szCs w:val="20"/>
                    </w:rPr>
                  </w:pPr>
                </w:p>
                <w:p>
                  <w:pPr>
                    <w:pStyle w:val="BodyText"/>
                    <w:spacing w:line="240" w:lineRule="auto"/>
                    <w:ind w:left="0" w:right="0"/>
                    <w:jc w:val="left"/>
                  </w:pPr>
                  <w:r>
                    <w:rPr/>
                    <w:t>孙宏亮、</w:t>
                  </w:r>
                </w:p>
              </w:txbxContent>
            </v:textbox>
            <w10:wrap type="none"/>
          </v:shape>
        </w:pict>
      </w:r>
      <w:r>
        <w:rPr/>
        <w:pict>
          <v:group style="position:absolute;margin-left:280.320007pt;margin-top:447.959991pt;width:63.4pt;height:314pt;mso-position-horizontal-relative:page;mso-position-vertical-relative:page;z-index:-720928" coordorigin="5606,8959" coordsize="1268,6280">
            <v:group style="position:absolute;left:5606;top:8959;width:1268;height:6280" coordorigin="5606,8959" coordsize="1268,6280">
              <v:shape style="position:absolute;left:5606;top:8959;width:1268;height:6280" coordorigin="5606,8959" coordsize="1268,6280" path="m5606,15239l6874,15239,6874,8959,5606,8959,5606,15239xe" filled="true" fillcolor="#ffffff" stroked="false">
                <v:path arrowok="t"/>
                <v:fill type="solid"/>
              </v:shape>
            </v:group>
            <v:group style="position:absolute;left:5630;top:9719;width:1221;height:353" coordorigin="5630,9719" coordsize="1221,353">
              <v:shape style="position:absolute;left:5630;top:9719;width:1221;height:353" coordorigin="5630,9719" coordsize="1221,353" path="m5630,10072l6851,10072,6851,9719,5630,9719,5630,10072xe" filled="true" fillcolor="#ffffff" stroked="false">
                <v:path arrowok="t"/>
                <v:fill type="solid"/>
              </v:shape>
            </v:group>
            <v:group style="position:absolute;left:5630;top:10072;width:1221;height:312" coordorigin="5630,10072" coordsize="1221,312">
              <v:shape style="position:absolute;left:5630;top:10072;width:1221;height:312" coordorigin="5630,10072" coordsize="1221,312" path="m5630,10384l6851,10384,6851,10072,5630,10072,5630,10384xe" filled="true" fillcolor="#ffffff" stroked="false">
                <v:path arrowok="t"/>
                <v:fill type="solid"/>
              </v:shape>
            </v:group>
            <v:group style="position:absolute;left:5630;top:10384;width:1221;height:312" coordorigin="5630,10384" coordsize="1221,312">
              <v:shape style="position:absolute;left:5630;top:10384;width:1221;height:312" coordorigin="5630,10384" coordsize="1221,312" path="m5630,10696l6851,10696,6851,10384,5630,10384,5630,10696xe" filled="true" fillcolor="#ffffff" stroked="false">
                <v:path arrowok="t"/>
                <v:fill type="solid"/>
              </v:shape>
            </v:group>
            <v:group style="position:absolute;left:5630;top:10696;width:1221;height:312" coordorigin="5630,10696" coordsize="1221,312">
              <v:shape style="position:absolute;left:5630;top:10696;width:1221;height:312" coordorigin="5630,10696" coordsize="1221,312" path="m5630,11008l6851,11008,6851,10696,5630,10696,5630,11008xe" filled="true" fillcolor="#ffffff" stroked="false">
                <v:path arrowok="t"/>
                <v:fill type="solid"/>
              </v:shape>
            </v:group>
            <v:group style="position:absolute;left:5630;top:11008;width:1221;height:312" coordorigin="5630,11008" coordsize="1221,312">
              <v:shape style="position:absolute;left:5630;top:11008;width:1221;height:312" coordorigin="5630,11008" coordsize="1221,312" path="m5630,11320l6851,11320,6851,11008,5630,11008,5630,11320xe" filled="true" fillcolor="#ffffff" stroked="false">
                <v:path arrowok="t"/>
                <v:fill type="solid"/>
              </v:shape>
            </v:group>
            <v:group style="position:absolute;left:5630;top:11320;width:1221;height:312" coordorigin="5630,11320" coordsize="1221,312">
              <v:shape style="position:absolute;left:5630;top:11320;width:1221;height:312" coordorigin="5630,11320" coordsize="1221,312" path="m5630,11632l6851,11632,6851,11320,5630,11320,5630,11632xe" filled="true" fillcolor="#ffffff" stroked="false">
                <v:path arrowok="t"/>
                <v:fill type="solid"/>
              </v:shape>
            </v:group>
            <v:group style="position:absolute;left:5630;top:11632;width:1221;height:312" coordorigin="5630,11632" coordsize="1221,312">
              <v:shape style="position:absolute;left:5630;top:11632;width:1221;height:312" coordorigin="5630,11632" coordsize="1221,312" path="m5630,11944l6851,11944,6851,11632,5630,11632,5630,11944xe" filled="true" fillcolor="#ffffff" stroked="false">
                <v:path arrowok="t"/>
                <v:fill type="solid"/>
              </v:shape>
            </v:group>
            <v:group style="position:absolute;left:5630;top:11944;width:1221;height:312" coordorigin="5630,11944" coordsize="1221,312">
              <v:shape style="position:absolute;left:5630;top:11944;width:1221;height:312" coordorigin="5630,11944" coordsize="1221,312" path="m5630,12256l6851,12256,6851,11944,5630,11944,5630,12256xe" filled="true" fillcolor="#ffffff" stroked="false">
                <v:path arrowok="t"/>
                <v:fill type="solid"/>
              </v:shape>
            </v:group>
            <v:group style="position:absolute;left:5630;top:12256;width:1221;height:312" coordorigin="5630,12256" coordsize="1221,312">
              <v:shape style="position:absolute;left:5630;top:12256;width:1221;height:312" coordorigin="5630,12256" coordsize="1221,312" path="m5630,12568l6851,12568,6851,12256,5630,12256,5630,12568xe" filled="true" fillcolor="#ffffff" stroked="false">
                <v:path arrowok="t"/>
                <v:fill type="solid"/>
              </v:shape>
            </v:group>
            <v:group style="position:absolute;left:5630;top:12568;width:1221;height:312" coordorigin="5630,12568" coordsize="1221,312">
              <v:shape style="position:absolute;left:5630;top:12568;width:1221;height:312" coordorigin="5630,12568" coordsize="1221,312" path="m5630,12880l6851,12880,6851,12568,5630,12568,5630,12880xe" filled="true" fillcolor="#ffffff" stroked="false">
                <v:path arrowok="t"/>
                <v:fill type="solid"/>
              </v:shape>
            </v:group>
            <v:group style="position:absolute;left:5630;top:12880;width:1221;height:312" coordorigin="5630,12880" coordsize="1221,312">
              <v:shape style="position:absolute;left:5630;top:12880;width:1221;height:312" coordorigin="5630,12880" coordsize="1221,312" path="m5630,13192l6851,13192,6851,12880,5630,12880,5630,13192xe" filled="true" fillcolor="#ffffff" stroked="false">
                <v:path arrowok="t"/>
                <v:fill type="solid"/>
              </v:shape>
            </v:group>
            <v:group style="position:absolute;left:5630;top:13192;width:1221;height:312" coordorigin="5630,13192" coordsize="1221,312">
              <v:shape style="position:absolute;left:5630;top:13192;width:1221;height:312" coordorigin="5630,13192" coordsize="1221,312" path="m5630,13504l6851,13504,6851,13192,5630,13192,5630,13504xe" filled="true" fillcolor="#ffffff" stroked="false">
                <v:path arrowok="t"/>
                <v:fill type="solid"/>
              </v:shape>
            </v:group>
            <v:group style="position:absolute;left:5630;top:13504;width:1221;height:312" coordorigin="5630,13504" coordsize="1221,312">
              <v:shape style="position:absolute;left:5630;top:13504;width:1221;height:312" coordorigin="5630,13504" coordsize="1221,312" path="m5630,13816l6851,13816,6851,13504,5630,13504,5630,13816xe" filled="true" fillcolor="#ffffff" stroked="false">
                <v:path arrowok="t"/>
                <v:fill type="solid"/>
              </v:shape>
            </v:group>
            <v:group style="position:absolute;left:5630;top:13816;width:1221;height:312" coordorigin="5630,13816" coordsize="1221,312">
              <v:shape style="position:absolute;left:5630;top:13816;width:1221;height:312" coordorigin="5630,13816" coordsize="1221,312" path="m5630,14128l6851,14128,6851,13816,5630,13816,5630,14128xe" filled="true" fillcolor="#ffffff" stroked="false">
                <v:path arrowok="t"/>
                <v:fill type="solid"/>
              </v:shape>
            </v:group>
            <v:group style="position:absolute;left:5630;top:14128;width:1221;height:352" coordorigin="5630,14128" coordsize="1221,352">
              <v:shape style="position:absolute;left:5630;top:14128;width:1221;height:352" coordorigin="5630,14128" coordsize="1221,352" path="m5630,14479l6851,14479,6851,14128,5630,14128,5630,14479xe" filled="true" fillcolor="#ffffff" stroked="false">
                <v:path arrowok="t"/>
                <v:fill type="solid"/>
              </v:shape>
            </v:group>
            <w10:wrap type="none"/>
          </v:group>
        </w:pict>
      </w:r>
    </w:p>
    <w:p>
      <w:pPr>
        <w:pStyle w:val="Heading5"/>
        <w:spacing w:line="240" w:lineRule="auto" w:before="38"/>
        <w:ind w:right="0"/>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t>报告期末衍生品投资的持仓情况</w:t>
      </w:r>
    </w:p>
    <w:p>
      <w:pPr>
        <w:pStyle w:val="BodyText"/>
        <w:spacing w:line="240" w:lineRule="auto" w:before="116"/>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495" w:right="8689"/>
        <w:jc w:val="center"/>
      </w:pPr>
      <w:r>
        <w:rPr/>
        <w:t>无此事项</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八、承诺事项履行情况</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1</w:t>
      </w:r>
      <w:r>
        <w:rPr/>
        <w:t>、公司或持股</w:t>
      </w:r>
      <w:r>
        <w:rPr>
          <w:spacing w:val="-55"/>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194"/>
        <w:gridCol w:w="1273"/>
        <w:gridCol w:w="1278"/>
        <w:gridCol w:w="1277"/>
        <w:gridCol w:w="1277"/>
        <w:gridCol w:w="12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承诺人</w:t>
            </w:r>
          </w:p>
        </w:tc>
        <w:tc>
          <w:tcPr>
            <w:tcW w:w="1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4"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3194" w:type="dxa"/>
            <w:tcBorders>
              <w:top w:val="single" w:sz="4" w:space="0" w:color="000000"/>
              <w:left w:val="single" w:sz="4" w:space="0" w:color="000000"/>
              <w:bottom w:val="nil" w:sz="6" w:space="0" w:color="auto"/>
              <w:right w:val="single" w:sz="4" w:space="0" w:color="000000"/>
            </w:tcBorders>
          </w:tcPr>
          <w:p>
            <w:pPr/>
          </w:p>
        </w:tc>
        <w:tc>
          <w:tcPr>
            <w:tcW w:w="1273" w:type="dxa"/>
            <w:tcBorders>
              <w:top w:val="single" w:sz="4" w:space="0" w:color="000000"/>
              <w:left w:val="single" w:sz="4" w:space="0" w:color="000000"/>
              <w:bottom w:val="nil" w:sz="6" w:space="0" w:color="auto"/>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四川通普在</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6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年、2013</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31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黄门马、马纲、 徐文跃、张勇</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5"/>
              <w:jc w:val="left"/>
              <w:rPr>
                <w:rFonts w:ascii="宋体" w:hAnsi="宋体" w:cs="宋体" w:eastAsia="宋体" w:hint="default"/>
                <w:sz w:val="18"/>
                <w:szCs w:val="18"/>
              </w:rPr>
            </w:pPr>
            <w:r>
              <w:rPr>
                <w:rFonts w:ascii="宋体" w:hAnsi="宋体" w:cs="宋体" w:eastAsia="宋体" w:hint="default"/>
                <w:spacing w:val="-14"/>
                <w:sz w:val="18"/>
                <w:szCs w:val="18"/>
              </w:rPr>
              <w:t>年、2014</w:t>
            </w:r>
            <w:r>
              <w:rPr>
                <w:rFonts w:ascii="宋体" w:hAnsi="宋体" w:cs="宋体" w:eastAsia="宋体" w:hint="default"/>
                <w:spacing w:val="-46"/>
                <w:sz w:val="18"/>
                <w:szCs w:val="18"/>
              </w:rPr>
              <w:t> </w:t>
            </w:r>
            <w:r>
              <w:rPr>
                <w:rFonts w:ascii="宋体" w:hAnsi="宋体" w:cs="宋体" w:eastAsia="宋体" w:hint="default"/>
                <w:sz w:val="18"/>
                <w:szCs w:val="18"/>
              </w:rPr>
              <w:t>年经审</w:t>
            </w:r>
            <w:r>
              <w:rPr>
                <w:rFonts w:ascii="宋体" w:hAnsi="宋体" w:cs="宋体" w:eastAsia="宋体" w:hint="default"/>
                <w:sz w:val="18"/>
                <w:szCs w:val="18"/>
              </w:rPr>
              <w:t> 计的净利润不 低于</w:t>
            </w:r>
            <w:r>
              <w:rPr>
                <w:rFonts w:ascii="宋体" w:hAnsi="宋体" w:cs="宋体" w:eastAsia="宋体" w:hint="default"/>
                <w:spacing w:val="-46"/>
                <w:sz w:val="18"/>
                <w:szCs w:val="18"/>
              </w:rPr>
              <w:t> </w:t>
            </w:r>
            <w:r>
              <w:rPr>
                <w:rFonts w:ascii="宋体" w:hAnsi="宋体" w:cs="宋体" w:eastAsia="宋体" w:hint="default"/>
                <w:sz w:val="18"/>
                <w:szCs w:val="18"/>
              </w:rPr>
              <w:t>800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6"/>
                <w:sz w:val="18"/>
                <w:szCs w:val="18"/>
              </w:rPr>
              <w:t>2012年</w:t>
            </w:r>
            <w:r>
              <w:rPr>
                <w:rFonts w:ascii="宋体" w:hAnsi="宋体" w:cs="宋体" w:eastAsia="宋体" w:hint="default"/>
                <w:spacing w:val="-54"/>
                <w:sz w:val="18"/>
                <w:szCs w:val="18"/>
              </w:rPr>
              <w:t> </w:t>
            </w:r>
            <w:r>
              <w:rPr>
                <w:rFonts w:ascii="宋体" w:hAnsi="宋体" w:cs="宋体" w:eastAsia="宋体" w:hint="default"/>
                <w:spacing w:val="11"/>
                <w:sz w:val="18"/>
                <w:szCs w:val="18"/>
              </w:rPr>
              <w:t>11月</w:t>
            </w:r>
            <w:r>
              <w:rPr>
                <w:rFonts w:ascii="宋体" w:hAnsi="宋体" w:cs="宋体" w:eastAsia="宋体" w:hint="default"/>
                <w:spacing w:val="-54"/>
                <w:sz w:val="18"/>
                <w:szCs w:val="18"/>
              </w:rPr>
              <w:t> </w:t>
            </w:r>
            <w:r>
              <w:rPr>
                <w:rFonts w:ascii="宋体" w:hAnsi="宋体" w:cs="宋体" w:eastAsia="宋体" w:hint="default"/>
                <w:sz w:val="18"/>
                <w:szCs w:val="18"/>
              </w:rPr>
              <w:t>20</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宋体" w:hAnsi="宋体" w:cs="宋体" w:eastAsia="宋体" w:hint="default"/>
                <w:sz w:val="18"/>
                <w:szCs w:val="18"/>
              </w:rPr>
              <w:t>2014</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年</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55"/>
              <w:jc w:val="both"/>
              <w:rPr>
                <w:rFonts w:ascii="宋体" w:hAnsi="宋体" w:cs="宋体" w:eastAsia="宋体" w:hint="default"/>
                <w:sz w:val="18"/>
                <w:szCs w:val="18"/>
              </w:rPr>
            </w:pPr>
            <w:r>
              <w:rPr>
                <w:rFonts w:ascii="宋体" w:hAnsi="宋体" w:cs="宋体" w:eastAsia="宋体" w:hint="default"/>
                <w:sz w:val="18"/>
                <w:szCs w:val="18"/>
              </w:rPr>
              <w:t>承诺人在报告 期内履行了承 诺</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900</w:t>
            </w:r>
            <w:r>
              <w:rPr>
                <w:rFonts w:ascii="宋体" w:hAnsi="宋体" w:cs="宋体" w:eastAsia="宋体" w:hint="default"/>
                <w:spacing w:val="-46"/>
                <w:sz w:val="18"/>
                <w:szCs w:val="18"/>
              </w:rPr>
              <w:t> </w:t>
            </w:r>
            <w:r>
              <w:rPr>
                <w:rFonts w:ascii="宋体" w:hAnsi="宋体" w:cs="宋体" w:eastAsia="宋体" w:hint="default"/>
                <w:sz w:val="18"/>
                <w:szCs w:val="18"/>
              </w:rPr>
              <w:t>万元、1350</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3194" w:type="dxa"/>
            <w:tcBorders>
              <w:top w:val="nil" w:sz="6" w:space="0" w:color="auto"/>
              <w:left w:val="single" w:sz="4" w:space="0" w:color="000000"/>
              <w:bottom w:val="single" w:sz="4" w:space="0" w:color="000000"/>
              <w:right w:val="single" w:sz="4" w:space="0" w:color="000000"/>
            </w:tcBorders>
          </w:tcPr>
          <w:p>
            <w:pPr/>
          </w:p>
        </w:tc>
        <w:tc>
          <w:tcPr>
            <w:tcW w:w="1273" w:type="dxa"/>
            <w:tcBorders>
              <w:top w:val="nil" w:sz="6" w:space="0" w:color="auto"/>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资产置换时所作承诺</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3194" w:type="dxa"/>
            <w:tcBorders>
              <w:top w:val="single" w:sz="4" w:space="0" w:color="000000"/>
              <w:left w:val="single" w:sz="4" w:space="0" w:color="000000"/>
              <w:bottom w:val="nil" w:sz="6" w:space="0" w:color="auto"/>
              <w:right w:val="single" w:sz="4" w:space="0" w:color="000000"/>
            </w:tcBorders>
          </w:tcPr>
          <w:p>
            <w:pPr/>
          </w:p>
        </w:tc>
        <w:tc>
          <w:tcPr>
            <w:tcW w:w="127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吴艳、王麒诚、</w:t>
            </w:r>
          </w:p>
        </w:tc>
        <w:tc>
          <w:tcPr>
            <w:tcW w:w="1278"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6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浙江汉鼎宇佑</w:t>
            </w:r>
          </w:p>
        </w:tc>
        <w:tc>
          <w:tcPr>
            <w:tcW w:w="1278"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4992" w:hRule="exact"/>
        </w:trPr>
        <w:tc>
          <w:tcPr>
            <w:tcW w:w="31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发行时所作承诺</w:t>
            </w: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实业控股集团 </w:t>
            </w:r>
            <w:r>
              <w:rPr>
                <w:rFonts w:ascii="宋体" w:hAnsi="宋体" w:cs="宋体" w:eastAsia="宋体" w:hint="default"/>
                <w:spacing w:val="-6"/>
                <w:sz w:val="18"/>
                <w:szCs w:val="18"/>
              </w:rPr>
              <w:t>有限公司、上海</w:t>
            </w:r>
            <w:r>
              <w:rPr>
                <w:rFonts w:ascii="宋体" w:hAnsi="宋体" w:cs="宋体" w:eastAsia="宋体" w:hint="default"/>
                <w:sz w:val="18"/>
                <w:szCs w:val="18"/>
              </w:rPr>
              <w:t> 雅银股权投资 </w:t>
            </w:r>
            <w:r>
              <w:rPr>
                <w:rFonts w:ascii="宋体" w:hAnsi="宋体" w:cs="宋体" w:eastAsia="宋体" w:hint="default"/>
                <w:spacing w:val="-6"/>
                <w:sz w:val="18"/>
                <w:szCs w:val="18"/>
              </w:rPr>
              <w:t>合伙企业（有限</w:t>
            </w:r>
            <w:r>
              <w:rPr>
                <w:rFonts w:ascii="宋体" w:hAnsi="宋体" w:cs="宋体" w:eastAsia="宋体" w:hint="default"/>
                <w:sz w:val="18"/>
                <w:szCs w:val="18"/>
              </w:rPr>
              <w:t> </w:t>
            </w:r>
            <w:r>
              <w:rPr>
                <w:rFonts w:ascii="宋体" w:hAnsi="宋体" w:cs="宋体" w:eastAsia="宋体" w:hint="default"/>
                <w:spacing w:val="-17"/>
                <w:sz w:val="18"/>
                <w:szCs w:val="18"/>
              </w:rPr>
              <w:t>合伙）、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杭州都城实业 </w:t>
            </w:r>
            <w:r>
              <w:rPr>
                <w:rFonts w:ascii="宋体" w:hAnsi="宋体" w:cs="宋体" w:eastAsia="宋体" w:hint="default"/>
                <w:spacing w:val="-6"/>
                <w:sz w:val="18"/>
                <w:szCs w:val="18"/>
              </w:rPr>
              <w:t>有限公司、杭州</w:t>
            </w:r>
            <w:r>
              <w:rPr>
                <w:rFonts w:ascii="宋体" w:hAnsi="宋体" w:cs="宋体" w:eastAsia="宋体" w:hint="default"/>
                <w:sz w:val="18"/>
                <w:szCs w:val="18"/>
              </w:rPr>
              <w:t> 金永信润禾创 业投资合伙企 业(有限合伙)、 浙江城建建设 集团有限公司、 蒲彩萍、周亚 </w:t>
            </w:r>
            <w:r>
              <w:rPr>
                <w:rFonts w:ascii="宋体" w:hAnsi="宋体" w:cs="宋体" w:eastAsia="宋体" w:hint="default"/>
                <w:spacing w:val="-7"/>
                <w:sz w:val="18"/>
                <w:szCs w:val="18"/>
              </w:rPr>
              <w:t>刚、徐了然、王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艳、王维山、王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丽平、深圳市创</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3" w:right="-16"/>
              <w:jc w:val="left"/>
              <w:rPr>
                <w:rFonts w:ascii="宋体" w:hAnsi="宋体" w:cs="宋体" w:eastAsia="宋体" w:hint="default"/>
                <w:sz w:val="18"/>
                <w:szCs w:val="18"/>
              </w:rPr>
            </w:pPr>
            <w:r>
              <w:rPr>
                <w:rFonts w:ascii="宋体" w:hAnsi="宋体" w:cs="宋体" w:eastAsia="宋体" w:hint="default"/>
                <w:spacing w:val="-6"/>
                <w:sz w:val="18"/>
                <w:szCs w:val="18"/>
              </w:rPr>
              <w:t>一、所持股份自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愿锁定的承诺； </w:t>
            </w:r>
            <w:r>
              <w:rPr>
                <w:rFonts w:ascii="宋体" w:hAnsi="宋体" w:cs="宋体" w:eastAsia="宋体" w:hint="default"/>
                <w:spacing w:val="-6"/>
                <w:sz w:val="18"/>
                <w:szCs w:val="18"/>
              </w:rPr>
              <w:t>二、避免同业竞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争的承诺；三、 浙江汉鼎宇佑 实业控股集团 有限公司避免 同业竞争的承 </w:t>
            </w:r>
            <w:r>
              <w:rPr>
                <w:rFonts w:ascii="宋体" w:hAnsi="宋体" w:cs="宋体" w:eastAsia="宋体" w:hint="default"/>
                <w:spacing w:val="-6"/>
                <w:sz w:val="18"/>
                <w:szCs w:val="18"/>
              </w:rPr>
              <w:t>诺；四、避免关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联交易及相关 </w:t>
            </w:r>
            <w:r>
              <w:rPr>
                <w:rFonts w:ascii="宋体" w:hAnsi="宋体" w:cs="宋体" w:eastAsia="宋体" w:hint="default"/>
                <w:spacing w:val="-6"/>
                <w:sz w:val="18"/>
                <w:szCs w:val="18"/>
              </w:rPr>
              <w:t>的承诺；五、关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于补税的承诺； </w:t>
            </w:r>
            <w:r>
              <w:rPr>
                <w:rFonts w:ascii="宋体" w:hAnsi="宋体" w:cs="宋体" w:eastAsia="宋体" w:hint="default"/>
                <w:spacing w:val="-6"/>
                <w:sz w:val="18"/>
                <w:szCs w:val="18"/>
              </w:rPr>
              <w:t>六、关于社保和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公积金缴纳的 承诺。</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6"/>
                <w:sz w:val="18"/>
                <w:szCs w:val="18"/>
              </w:rPr>
              <w:t>2012年</w:t>
            </w:r>
            <w:r>
              <w:rPr>
                <w:rFonts w:ascii="宋体" w:hAnsi="宋体" w:cs="宋体" w:eastAsia="宋体" w:hint="default"/>
                <w:spacing w:val="-54"/>
                <w:sz w:val="18"/>
                <w:szCs w:val="18"/>
              </w:rPr>
              <w:t> </w:t>
            </w:r>
            <w:r>
              <w:rPr>
                <w:rFonts w:ascii="宋体" w:hAnsi="宋体" w:cs="宋体" w:eastAsia="宋体" w:hint="default"/>
                <w:spacing w:val="11"/>
                <w:sz w:val="18"/>
                <w:szCs w:val="18"/>
              </w:rPr>
              <w:t>03月</w:t>
            </w:r>
            <w:r>
              <w:rPr>
                <w:rFonts w:ascii="宋体" w:hAnsi="宋体" w:cs="宋体" w:eastAsia="宋体" w:hint="default"/>
                <w:spacing w:val="-54"/>
                <w:sz w:val="18"/>
                <w:szCs w:val="18"/>
              </w:rPr>
              <w:t> </w:t>
            </w:r>
            <w:r>
              <w:rPr>
                <w:rFonts w:ascii="宋体" w:hAnsi="宋体" w:cs="宋体" w:eastAsia="宋体" w:hint="default"/>
                <w:sz w:val="18"/>
                <w:szCs w:val="18"/>
              </w:rPr>
              <w:t>19</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2"/>
                <w:szCs w:val="22"/>
              </w:rPr>
            </w:pPr>
          </w:p>
          <w:p>
            <w:pPr>
              <w:pStyle w:val="TableParagraph"/>
              <w:spacing w:line="316" w:lineRule="auto"/>
              <w:ind w:left="22" w:right="73"/>
              <w:jc w:val="both"/>
              <w:rPr>
                <w:rFonts w:ascii="宋体" w:hAnsi="宋体" w:cs="宋体" w:eastAsia="宋体" w:hint="default"/>
                <w:sz w:val="18"/>
                <w:szCs w:val="18"/>
              </w:rPr>
            </w:pPr>
            <w:r>
              <w:rPr>
                <w:rFonts w:ascii="宋体" w:hAnsi="宋体" w:cs="宋体" w:eastAsia="宋体" w:hint="default"/>
                <w:sz w:val="18"/>
                <w:szCs w:val="18"/>
              </w:rPr>
              <w:t>所持股份自愿 锁定的承诺分 别为</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w:t>
            </w:r>
          </w:p>
          <w:p>
            <w:pPr>
              <w:pStyle w:val="TableParagraph"/>
              <w:spacing w:line="319" w:lineRule="auto" w:before="19"/>
              <w:ind w:left="22" w:right="20"/>
              <w:jc w:val="both"/>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个月及自公</w:t>
            </w:r>
            <w:r>
              <w:rPr>
                <w:rFonts w:ascii="宋体" w:hAnsi="宋体" w:cs="宋体" w:eastAsia="宋体" w:hint="default"/>
                <w:sz w:val="18"/>
                <w:szCs w:val="18"/>
              </w:rPr>
              <w:t> 司完成本公司 对其增资的工 商变更登记之 日（2010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z w:val="18"/>
                <w:szCs w:val="18"/>
              </w:rPr>
              <w:t> </w:t>
            </w:r>
            <w:r>
              <w:rPr>
                <w:rFonts w:ascii="宋体" w:hAnsi="宋体" w:cs="宋体" w:eastAsia="宋体" w:hint="default"/>
                <w:spacing w:val="22"/>
                <w:sz w:val="18"/>
                <w:szCs w:val="18"/>
              </w:rPr>
              <w:t>月8</w:t>
            </w:r>
            <w:r>
              <w:rPr>
                <w:rFonts w:ascii="宋体" w:hAnsi="宋体" w:cs="宋体" w:eastAsia="宋体" w:hint="default"/>
                <w:spacing w:val="-46"/>
                <w:sz w:val="18"/>
                <w:szCs w:val="18"/>
              </w:rPr>
              <w:t> </w:t>
            </w:r>
            <w:r>
              <w:rPr>
                <w:rFonts w:ascii="宋体" w:hAnsi="宋体" w:cs="宋体" w:eastAsia="宋体" w:hint="default"/>
                <w:spacing w:val="-8"/>
                <w:sz w:val="18"/>
                <w:szCs w:val="18"/>
              </w:rPr>
              <w:t>日）起三十</w:t>
            </w:r>
            <w:r>
              <w:rPr>
                <w:rFonts w:ascii="宋体" w:hAnsi="宋体" w:cs="宋体" w:eastAsia="宋体" w:hint="default"/>
                <w:sz w:val="18"/>
                <w:szCs w:val="18"/>
              </w:rPr>
              <w:t> </w:t>
            </w:r>
            <w:r>
              <w:rPr>
                <w:rFonts w:ascii="宋体" w:hAnsi="宋体" w:cs="宋体" w:eastAsia="宋体" w:hint="default"/>
                <w:spacing w:val="-6"/>
                <w:sz w:val="18"/>
                <w:szCs w:val="18"/>
              </w:rPr>
              <w:t>六个月；其余承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诺为长期。</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35"/>
              <w:ind w:left="22" w:right="155"/>
              <w:jc w:val="both"/>
              <w:rPr>
                <w:rFonts w:ascii="宋体" w:hAnsi="宋体" w:cs="宋体" w:eastAsia="宋体" w:hint="default"/>
                <w:sz w:val="18"/>
                <w:szCs w:val="18"/>
              </w:rPr>
            </w:pPr>
            <w:r>
              <w:rPr>
                <w:rFonts w:ascii="宋体" w:hAnsi="宋体" w:cs="宋体" w:eastAsia="宋体" w:hint="default"/>
                <w:sz w:val="18"/>
                <w:szCs w:val="18"/>
              </w:rPr>
              <w:t>各承诺人在报 告期内均履行 了相关承诺</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新投资集团有</w:t>
            </w:r>
          </w:p>
        </w:tc>
        <w:tc>
          <w:tcPr>
            <w:tcW w:w="1278"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3194" w:type="dxa"/>
            <w:tcBorders>
              <w:top w:val="nil" w:sz="6" w:space="0" w:color="auto"/>
              <w:left w:val="single" w:sz="4" w:space="0" w:color="000000"/>
              <w:bottom w:val="single" w:sz="4" w:space="0" w:color="000000"/>
              <w:right w:val="single" w:sz="4" w:space="0" w:color="000000"/>
            </w:tcBorders>
          </w:tcPr>
          <w:p>
            <w:pPr/>
          </w:p>
        </w:tc>
        <w:tc>
          <w:tcPr>
            <w:tcW w:w="127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限公司、浙江红</w:t>
            </w:r>
          </w:p>
        </w:tc>
        <w:tc>
          <w:tcPr>
            <w:tcW w:w="1278"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1273"/>
        <w:gridCol w:w="1278"/>
        <w:gridCol w:w="1277"/>
        <w:gridCol w:w="1277"/>
        <w:gridCol w:w="1268"/>
      </w:tblGrid>
      <w:tr>
        <w:trPr>
          <w:trHeight w:val="1298" w:hRule="exact"/>
        </w:trPr>
        <w:tc>
          <w:tcPr>
            <w:tcW w:w="3194"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土创业投资有 </w:t>
            </w:r>
            <w:r>
              <w:rPr>
                <w:rFonts w:ascii="宋体" w:hAnsi="宋体" w:cs="宋体" w:eastAsia="宋体" w:hint="default"/>
                <w:spacing w:val="-6"/>
                <w:sz w:val="18"/>
                <w:szCs w:val="18"/>
              </w:rPr>
              <w:t>限公司、杭州红</w:t>
            </w:r>
            <w:r>
              <w:rPr>
                <w:rFonts w:ascii="宋体" w:hAnsi="宋体" w:cs="宋体" w:eastAsia="宋体" w:hint="default"/>
                <w:sz w:val="18"/>
                <w:szCs w:val="18"/>
              </w:rPr>
              <w:t> 土创业投资有 限公司</w:t>
            </w: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是否就导致的同业竞争和关联交易问题 作出承诺</w:t>
            </w:r>
          </w:p>
        </w:tc>
        <w:tc>
          <w:tcPr>
            <w:tcW w:w="63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63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各承诺人在报告期内均履行了相关承诺</w:t>
            </w:r>
          </w:p>
        </w:tc>
      </w:tr>
    </w:tbl>
    <w:p>
      <w:pPr>
        <w:spacing w:line="240" w:lineRule="auto" w:before="8"/>
        <w:rPr>
          <w:rFonts w:ascii="宋体" w:hAnsi="宋体" w:cs="宋体" w:eastAsia="宋体" w:hint="default"/>
          <w:b/>
          <w:bCs/>
          <w:sz w:val="19"/>
          <w:szCs w:val="19"/>
        </w:rPr>
      </w:pPr>
    </w:p>
    <w:p>
      <w:pPr>
        <w:pStyle w:val="Heading5"/>
        <w:spacing w:line="271" w:lineRule="auto" w:before="38"/>
        <w:ind w:right="130"/>
        <w:jc w:val="left"/>
        <w:rPr>
          <w:b w:val="0"/>
          <w:bCs w:val="0"/>
        </w:rPr>
      </w:pPr>
      <w:r>
        <w:rPr>
          <w:rFonts w:ascii="Times New Roman" w:hAnsi="Times New Roman" w:cs="Times New Roman" w:eastAsia="Times New Roman" w:hint="default"/>
          <w:spacing w:val="-2"/>
        </w:rPr>
        <w:t>2</w:t>
      </w:r>
      <w:r>
        <w:rPr>
          <w:spacing w:val="-2"/>
        </w:rPr>
        <w:t>、公司资产或项目存在盈利预测，且报告期仍处在盈利预测期间，公司就资产或项目达到原盈利预测及其原因</w:t>
      </w:r>
      <w:r>
        <w:rPr>
          <w:w w:val="99"/>
        </w:rPr>
        <w:t> </w:t>
      </w:r>
      <w:r>
        <w:rPr/>
        <w:t>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left="495" w:right="8689"/>
        <w:jc w:val="center"/>
      </w:pPr>
      <w:r>
        <w:rPr/>
        <w:t>无此事项</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九、聘任、解聘会计师事务所情况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五年</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李惠丰、洪建良</w:t>
            </w:r>
          </w:p>
        </w:tc>
      </w:tr>
    </w:tbl>
    <w:p>
      <w:pPr>
        <w:pStyle w:val="BodyText"/>
        <w:spacing w:line="240" w:lineRule="auto" w:before="51"/>
        <w:ind w:right="0"/>
        <w:jc w:val="left"/>
      </w:pPr>
      <w:r>
        <w:rPr/>
        <w:t>是否改聘会计师事务所</w:t>
      </w:r>
    </w:p>
    <w:p>
      <w:pPr>
        <w:pStyle w:val="BodyText"/>
        <w:spacing w:line="240" w:lineRule="auto" w:before="117"/>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left="153" w:right="133"/>
        <w:jc w:val="left"/>
        <w:rPr>
          <w:b w:val="0"/>
          <w:bCs w:val="0"/>
        </w:rPr>
      </w:pPr>
      <w:r>
        <w:rPr/>
        <w:t>十、上市公司及其董事、监事、高级管理人员、公司股东、实际控制人和收购人处罚及整改</w:t>
      </w:r>
      <w:r>
        <w:rPr>
          <w:spacing w:val="1"/>
          <w:w w:val="99"/>
        </w:rPr>
        <w:t> </w:t>
      </w:r>
      <w:r>
        <w:rPr/>
        <w:t>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45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上市公司及其子公司是否被列入环保部门公布的污染严重企业名单</w:t>
      </w:r>
    </w:p>
    <w:p>
      <w:pPr>
        <w:pStyle w:val="BodyText"/>
        <w:spacing w:line="340" w:lineRule="auto" w:before="42"/>
        <w:ind w:right="56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上市公司及其子公司是否存在其他重大社会安全问题</w:t>
      </w:r>
    </w:p>
    <w:p>
      <w:pPr>
        <w:pStyle w:val="BodyText"/>
        <w:spacing w:line="338" w:lineRule="auto" w:before="40"/>
        <w:ind w:right="77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报告期内是否被行政处罚</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十一、公司股东及其一致行动人在报告期提出或实施股份增持计划的情况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无此事项</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十二、</w:t>
      </w:r>
      <w:r>
        <w:rPr>
          <w:rFonts w:ascii="Times New Roman" w:hAnsi="Times New Roman" w:cs="Times New Roman" w:eastAsia="Times New Roman" w:hint="default"/>
        </w:rPr>
        <w:t>2012 </w:t>
      </w:r>
      <w:r>
        <w:rPr/>
        <w:t>年董事、监事、高级管理人员、持股</w:t>
      </w:r>
      <w:r>
        <w:rPr>
          <w:spacing w:val="-66"/>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left="514" w:right="0"/>
        <w:jc w:val="left"/>
      </w:pPr>
      <w:r>
        <w:rPr/>
        <w:t>无此事项</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十三、违规对外担保情况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0"/>
        <w:jc w:val="left"/>
      </w:pPr>
      <w:r>
        <w:rPr/>
        <w:t>无此情况</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十四、年度报告披露后面临暂停上市和终止上市情况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无此情况</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十五、其他重大事项的说明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874" w:right="0"/>
        <w:jc w:val="left"/>
      </w:pPr>
      <w:r>
        <w:rPr/>
        <w:t>无此情况</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_TOC_250004" w:id="6"/>
      <w:r>
        <w:rPr/>
        <w:t>第六节</w:t>
      </w:r>
      <w:r>
        <w:rPr>
          <w:spacing w:val="-12"/>
        </w:rPr>
        <w:t> </w:t>
      </w:r>
      <w:r>
        <w:rPr/>
        <w:t>股份变动及股东情况</w:t>
      </w:r>
      <w:bookmarkEnd w:id="6"/>
      <w:r>
        <w:rPr>
          <w:b w:val="0"/>
          <w:bCs w:val="0"/>
        </w:rPr>
      </w:r>
    </w:p>
    <w:p>
      <w:pPr>
        <w:spacing w:line="240" w:lineRule="auto" w:before="0"/>
        <w:rPr>
          <w:rFonts w:ascii="黑体" w:hAnsi="黑体" w:cs="黑体" w:eastAsia="黑体" w:hint="default"/>
          <w:b/>
          <w:bCs/>
          <w:sz w:val="20"/>
          <w:szCs w:val="20"/>
        </w:rPr>
      </w:pPr>
    </w:p>
    <w:p>
      <w:pPr>
        <w:spacing w:line="240" w:lineRule="auto" w:before="12"/>
        <w:rPr>
          <w:rFonts w:ascii="黑体" w:hAnsi="黑体" w:cs="黑体" w:eastAsia="黑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4"/>
        <w:rPr>
          <w:rFonts w:ascii="宋体" w:hAnsi="宋体" w:cs="宋体" w:eastAsia="宋体" w:hint="default"/>
          <w:b/>
          <w:bCs/>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2032"/>
        <w:gridCol w:w="845"/>
        <w:gridCol w:w="844"/>
        <w:gridCol w:w="844"/>
        <w:gridCol w:w="844"/>
        <w:gridCol w:w="842"/>
        <w:gridCol w:w="844"/>
        <w:gridCol w:w="842"/>
        <w:gridCol w:w="815"/>
        <w:gridCol w:w="814"/>
      </w:tblGrid>
      <w:tr>
        <w:trPr>
          <w:trHeight w:val="402" w:hRule="exact"/>
        </w:trPr>
        <w:tc>
          <w:tcPr>
            <w:tcW w:w="2032" w:type="dxa"/>
            <w:vMerge w:val="restart"/>
            <w:tcBorders>
              <w:top w:val="single" w:sz="4" w:space="0" w:color="000000"/>
              <w:left w:val="single" w:sz="4" w:space="0" w:color="000000"/>
              <w:right w:val="single" w:sz="4" w:space="0" w:color="000000"/>
            </w:tcBorders>
            <w:shd w:val="clear" w:color="auto" w:fill="D3D3D3"/>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6"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1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6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3" w:hRule="exact"/>
        </w:trPr>
        <w:tc>
          <w:tcPr>
            <w:tcW w:w="2032" w:type="dxa"/>
            <w:vMerge/>
            <w:tcBorders>
              <w:left w:val="single" w:sz="4" w:space="0" w:color="000000"/>
              <w:bottom w:val="single" w:sz="4" w:space="0" w:color="000000"/>
              <w:right w:val="single" w:sz="4" w:space="0" w:color="000000"/>
            </w:tcBorders>
            <w:shd w:val="clear" w:color="auto" w:fill="D3D3D3"/>
          </w:tcPr>
          <w:p>
            <w:pPr/>
          </w:p>
        </w:tc>
        <w:tc>
          <w:tcPr>
            <w:tcW w:w="8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发行新股</w:t>
            </w: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26" w:right="5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85"/>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4,400,000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-4,400,000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74.71%</w:t>
            </w:r>
          </w:p>
        </w:tc>
      </w:tr>
      <w:tr>
        <w:trPr>
          <w:trHeight w:val="402"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2,200,000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-2,200,000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98.62%</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2,200,000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-2,200,000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73.68%</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24,800,00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38.16%</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2,200,000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-2,200,000</w:t>
            </w:r>
          </w:p>
        </w:tc>
        <w:tc>
          <w:tcPr>
            <w:tcW w:w="842"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24,800,00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28.51%</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39,300,00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60.46%</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39,300,00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45.17%</w:t>
            </w:r>
          </w:p>
        </w:tc>
      </w:tr>
      <w:tr>
        <w:trPr>
          <w:trHeight w:val="402"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900,000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1.38%</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1.03%</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17,600,00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4,400,000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25.29%</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17,600,00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4,400,000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25.29%</w:t>
            </w:r>
          </w:p>
        </w:tc>
      </w:tr>
      <w:tr>
        <w:trPr>
          <w:trHeight w:val="402"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357" w:lineRule="auto" w:before="51"/>
        <w:ind w:left="514" w:right="220" w:hanging="360"/>
        <w:jc w:val="left"/>
      </w:pPr>
      <w:r>
        <w:rPr/>
        <w:t>股份变动的原因 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[2012]226</w:t>
      </w:r>
      <w:r>
        <w:rPr/>
        <w:t>号</w:t>
      </w:r>
      <w:r>
        <w:rPr>
          <w:rFonts w:ascii="Times New Roman" w:hAnsi="Times New Roman" w:cs="Times New Roman" w:eastAsia="Times New Roman" w:hint="default"/>
        </w:rPr>
        <w:t>”</w:t>
      </w:r>
      <w:r>
        <w:rPr/>
        <w:t>文核准，采用网下向配售对象询价配售和网上向社会公众投资者定</w:t>
      </w:r>
    </w:p>
    <w:p>
      <w:pPr>
        <w:pStyle w:val="BodyText"/>
        <w:spacing w:line="214" w:lineRule="exact"/>
        <w:ind w:right="0"/>
        <w:jc w:val="left"/>
      </w:pPr>
      <w:r>
        <w:rPr/>
        <w:t>价发行相结合的方式首次向社会公开发行人民币普通股（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2,200</w:t>
      </w:r>
      <w:r>
        <w:rPr/>
        <w:t>万股，每股面值为人民币</w:t>
      </w:r>
      <w:r>
        <w:rPr>
          <w:rFonts w:ascii="Times New Roman" w:hAnsi="Times New Roman" w:cs="Times New Roman" w:eastAsia="Times New Roman" w:hint="default"/>
        </w:rPr>
        <w:t>1.00</w:t>
      </w:r>
      <w:r>
        <w:rPr/>
        <w:t>元，每股发行价格为人民</w:t>
      </w:r>
    </w:p>
    <w:p>
      <w:pPr>
        <w:pStyle w:val="BodyText"/>
        <w:spacing w:line="300" w:lineRule="auto" w:before="63"/>
        <w:ind w:left="153" w:right="131"/>
        <w:jc w:val="left"/>
      </w:pPr>
      <w:r>
        <w:rPr/>
        <w:t>币</w:t>
      </w:r>
      <w:r>
        <w:rPr>
          <w:rFonts w:ascii="Times New Roman" w:hAnsi="Times New Roman" w:cs="Times New Roman" w:eastAsia="Times New Roman" w:hint="default"/>
        </w:rPr>
        <w:t>18.00</w:t>
      </w:r>
      <w:r>
        <w:rPr/>
        <w:t>元，其中网下配售</w:t>
      </w:r>
      <w:r>
        <w:rPr>
          <w:rFonts w:ascii="Times New Roman" w:hAnsi="Times New Roman" w:cs="Times New Roman" w:eastAsia="Times New Roman" w:hint="default"/>
        </w:rPr>
        <w:t>440</w:t>
      </w:r>
      <w:r>
        <w:rPr/>
        <w:t>万股，网上定价发行</w:t>
      </w:r>
      <w:r>
        <w:rPr>
          <w:rFonts w:ascii="Times New Roman" w:hAnsi="Times New Roman" w:cs="Times New Roman" w:eastAsia="Times New Roman" w:hint="default"/>
        </w:rPr>
        <w:t>1,760</w:t>
      </w:r>
      <w:r>
        <w:rPr/>
        <w:t>万股。经深圳证券交易所</w:t>
      </w:r>
      <w:r>
        <w:rPr>
          <w:rFonts w:ascii="Times New Roman" w:hAnsi="Times New Roman" w:cs="Times New Roman" w:eastAsia="Times New Roman" w:hint="default"/>
        </w:rPr>
        <w:t>“</w:t>
      </w:r>
      <w:r>
        <w:rPr/>
        <w:t>深证上</w:t>
      </w:r>
      <w:r>
        <w:rPr>
          <w:rFonts w:ascii="Times New Roman" w:hAnsi="Times New Roman" w:cs="Times New Roman" w:eastAsia="Times New Roman" w:hint="default"/>
        </w:rPr>
        <w:t>[2012]58</w:t>
      </w:r>
      <w:r>
        <w:rPr/>
        <w:t>号</w:t>
      </w:r>
      <w:r>
        <w:rPr>
          <w:rFonts w:ascii="Times New Roman" w:hAnsi="Times New Roman" w:cs="Times New Roman" w:eastAsia="Times New Roman" w:hint="default"/>
        </w:rPr>
        <w:t>”</w:t>
      </w:r>
      <w:r>
        <w:rPr/>
        <w:t>文批准，本公司发行的 人民币普通股股票已于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日在深圳证券交易所创业板上市。发行后公司总股本由</w:t>
      </w:r>
      <w:r>
        <w:rPr>
          <w:rFonts w:ascii="Times New Roman" w:hAnsi="Times New Roman" w:cs="Times New Roman" w:eastAsia="Times New Roman" w:hint="default"/>
        </w:rPr>
        <w:t>6500</w:t>
      </w:r>
      <w:r>
        <w:rPr/>
        <w:t>万股增加到</w:t>
      </w:r>
      <w:r>
        <w:rPr>
          <w:rFonts w:ascii="Times New Roman" w:hAnsi="Times New Roman" w:cs="Times New Roman" w:eastAsia="Times New Roman" w:hint="default"/>
        </w:rPr>
        <w:t>8700</w:t>
      </w:r>
      <w:r>
        <w:rPr/>
        <w:t>万股。</w:t>
      </w:r>
    </w:p>
    <w:p>
      <w:pPr>
        <w:spacing w:after="0" w:line="30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00" w:lineRule="auto" w:before="44"/>
        <w:ind w:left="153" w:right="159" w:firstLine="360"/>
        <w:jc w:val="both"/>
      </w:pPr>
      <w:r>
        <w:rPr/>
        <w:t>根据《证券发行与承销管理办法》的有关规定</w:t>
      </w:r>
      <w:r>
        <w:rPr>
          <w:rFonts w:ascii="Times New Roman" w:hAnsi="Times New Roman" w:cs="Times New Roman" w:eastAsia="Times New Roman" w:hint="default"/>
        </w:rPr>
        <w:t>,</w:t>
      </w:r>
      <w:r>
        <w:rPr/>
        <w:t>网下配售的股票自公司首次网上向社会公众投资者公开发行的股票在深 圳证券交易所上市交易之日（即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日）起</w:t>
      </w:r>
      <w:r>
        <w:rPr>
          <w:rFonts w:ascii="Times New Roman" w:hAnsi="Times New Roman" w:cs="Times New Roman" w:eastAsia="Times New Roman" w:hint="default"/>
        </w:rPr>
        <w:t>,</w:t>
      </w:r>
      <w:r>
        <w:rPr/>
        <w:t>锁定</w:t>
      </w:r>
      <w:r>
        <w:rPr>
          <w:rFonts w:ascii="Times New Roman" w:hAnsi="Times New Roman" w:cs="Times New Roman" w:eastAsia="Times New Roman" w:hint="default"/>
        </w:rPr>
        <w:t>3</w:t>
      </w:r>
      <w:r>
        <w:rPr/>
        <w:t>个月后方可上市流通。锁定期届满</w:t>
      </w:r>
      <w:r>
        <w:rPr>
          <w:rFonts w:ascii="Times New Roman" w:hAnsi="Times New Roman" w:cs="Times New Roman" w:eastAsia="Times New Roman" w:hint="default"/>
        </w:rPr>
        <w:t>,</w:t>
      </w:r>
      <w:r>
        <w:rPr/>
        <w:t>公司向深圳证券交易所提出申 请，经交易所批准后该部分股票于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日起开始上市流通。</w:t>
      </w:r>
    </w:p>
    <w:p>
      <w:pPr>
        <w:pStyle w:val="BodyText"/>
        <w:spacing w:line="240" w:lineRule="auto" w:before="53"/>
        <w:ind w:left="153" w:right="0"/>
        <w:jc w:val="left"/>
      </w:pPr>
      <w:r>
        <w:rPr/>
        <w:t>股份变动的批准情况</w:t>
      </w:r>
    </w:p>
    <w:p>
      <w:pPr>
        <w:pStyle w:val="BodyText"/>
        <w:spacing w:line="338" w:lineRule="auto" w:before="117"/>
        <w:ind w:left="513" w:right="221"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[2012]226</w:t>
      </w:r>
      <w:r>
        <w:rPr/>
        <w:t>号</w:t>
      </w:r>
      <w:r>
        <w:rPr>
          <w:rFonts w:ascii="Times New Roman" w:hAnsi="Times New Roman" w:cs="Times New Roman" w:eastAsia="Times New Roman" w:hint="default"/>
        </w:rPr>
        <w:t>”</w:t>
      </w:r>
      <w:r>
        <w:rPr/>
        <w:t>文核准，采用网下向配售对象询价配售和网上向社会公众投资者定</w:t>
      </w:r>
    </w:p>
    <w:p>
      <w:pPr>
        <w:pStyle w:val="BodyText"/>
        <w:spacing w:line="230" w:lineRule="exact"/>
        <w:ind w:right="0"/>
        <w:jc w:val="left"/>
      </w:pPr>
      <w:r>
        <w:rPr/>
        <w:t>价发行相结合的方式首次向社会公开发行人民币普通股（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2,200</w:t>
      </w:r>
      <w:r>
        <w:rPr/>
        <w:t>万股。经深圳证券交易所</w:t>
      </w:r>
      <w:r>
        <w:rPr>
          <w:rFonts w:ascii="Times New Roman" w:hAnsi="Times New Roman" w:cs="Times New Roman" w:eastAsia="Times New Roman" w:hint="default"/>
        </w:rPr>
        <w:t>“</w:t>
      </w:r>
      <w:r>
        <w:rPr/>
        <w:t>深证上</w:t>
      </w:r>
      <w:r>
        <w:rPr>
          <w:rFonts w:ascii="Times New Roman" w:hAnsi="Times New Roman" w:cs="Times New Roman" w:eastAsia="Times New Roman" w:hint="default"/>
        </w:rPr>
        <w:t>[2012]58</w:t>
      </w:r>
      <w:r>
        <w:rPr/>
        <w:t>号</w:t>
      </w:r>
      <w:r>
        <w:rPr>
          <w:rFonts w:ascii="Times New Roman" w:hAnsi="Times New Roman" w:cs="Times New Roman" w:eastAsia="Times New Roman" w:hint="default"/>
        </w:rPr>
        <w:t>”</w:t>
      </w:r>
      <w:r>
        <w:rPr/>
        <w:t>文批准，</w:t>
      </w:r>
    </w:p>
    <w:p>
      <w:pPr>
        <w:pStyle w:val="BodyText"/>
        <w:spacing w:line="340" w:lineRule="auto" w:before="63"/>
        <w:ind w:right="3200"/>
        <w:jc w:val="left"/>
      </w:pPr>
      <w:r>
        <w:rPr/>
        <w:t>本公司发行的人民币普通股股票已于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日在深圳证券交易所创业板上市。 股份变动的过户情况</w:t>
      </w:r>
    </w:p>
    <w:p>
      <w:pPr>
        <w:pStyle w:val="BodyText"/>
        <w:spacing w:line="302" w:lineRule="auto" w:before="40"/>
        <w:ind w:right="149" w:firstLine="360"/>
        <w:jc w:val="both"/>
      </w:pPr>
      <w:r>
        <w:rPr>
          <w:spacing w:val="-2"/>
        </w:rPr>
        <w:t>公司首次发行的人民币普通股（</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2,200</w:t>
      </w:r>
      <w:r>
        <w:rPr>
          <w:spacing w:val="-2"/>
        </w:rPr>
        <w:t>万股，已全部在中国证券登记结算有限责任公司深圳分公司办理了证券登记</w:t>
      </w:r>
      <w:r>
        <w:rPr/>
        <w:t> 手续。</w:t>
      </w:r>
    </w:p>
    <w:p>
      <w:pPr>
        <w:pStyle w:val="BodyText"/>
        <w:spacing w:line="240" w:lineRule="auto" w:before="69"/>
        <w:ind w:right="0"/>
        <w:jc w:val="left"/>
      </w:pPr>
      <w:r>
        <w:rPr/>
        <w:t>股份变动对最近一年和最近一期基本每股收益和稀释每股收益、归属于公司普通股股东的每股净资产等财务指标的影响</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713"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87"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37"/>
              <w:jc w:val="righ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4"/>
              <w:jc w:val="both"/>
              <w:rPr>
                <w:rFonts w:ascii="宋体" w:hAnsi="宋体" w:cs="宋体" w:eastAsia="宋体" w:hint="default"/>
                <w:sz w:val="18"/>
                <w:szCs w:val="18"/>
              </w:rPr>
            </w:pPr>
            <w:r>
              <w:rPr>
                <w:rFonts w:ascii="宋体" w:hAnsi="宋体" w:cs="宋体" w:eastAsia="宋体" w:hint="default"/>
                <w:sz w:val="18"/>
                <w:szCs w:val="18"/>
              </w:rPr>
              <w:t>浙江汉鼎宇佑实 业控股集团有限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4"/>
              <w:jc w:val="left"/>
              <w:rPr>
                <w:rFonts w:ascii="宋体" w:hAnsi="宋体" w:cs="宋体" w:eastAsia="宋体" w:hint="default"/>
                <w:sz w:val="18"/>
                <w:szCs w:val="18"/>
              </w:rPr>
            </w:pPr>
            <w:r>
              <w:rPr>
                <w:rFonts w:ascii="宋体" w:hAnsi="宋体" w:cs="宋体" w:eastAsia="宋体" w:hint="default"/>
                <w:sz w:val="18"/>
                <w:szCs w:val="18"/>
              </w:rPr>
              <w:t>杭州都城实业有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4"/>
              <w:jc w:val="left"/>
              <w:rPr>
                <w:rFonts w:ascii="宋体" w:hAnsi="宋体" w:cs="宋体" w:eastAsia="宋体" w:hint="default"/>
                <w:sz w:val="18"/>
                <w:szCs w:val="18"/>
              </w:rPr>
            </w:pPr>
            <w:r>
              <w:rPr>
                <w:rFonts w:ascii="宋体" w:hAnsi="宋体" w:cs="宋体" w:eastAsia="宋体" w:hint="default"/>
                <w:sz w:val="18"/>
                <w:szCs w:val="18"/>
              </w:rPr>
              <w:t>杭州红土创业投 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2,360,000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2,360,000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4"/>
              <w:jc w:val="both"/>
              <w:rPr>
                <w:rFonts w:ascii="宋体" w:hAnsi="宋体" w:cs="宋体" w:eastAsia="宋体" w:hint="default"/>
                <w:sz w:val="18"/>
                <w:szCs w:val="18"/>
              </w:rPr>
            </w:pPr>
            <w:r>
              <w:rPr>
                <w:rFonts w:ascii="宋体" w:hAnsi="宋体" w:cs="宋体" w:eastAsia="宋体" w:hint="default"/>
                <w:sz w:val="18"/>
                <w:szCs w:val="18"/>
              </w:rPr>
              <w:t>上海雅银股权投 资合伙企业（有 限合伙）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4"/>
              <w:jc w:val="both"/>
              <w:rPr>
                <w:rFonts w:ascii="Times New Roman" w:hAnsi="Times New Roman" w:cs="Times New Roman" w:eastAsia="Times New Roman" w:hint="default"/>
                <w:sz w:val="18"/>
                <w:szCs w:val="18"/>
              </w:rPr>
            </w:pPr>
            <w:r>
              <w:rPr>
                <w:rFonts w:ascii="宋体" w:hAnsi="宋体" w:cs="宋体" w:eastAsia="宋体" w:hint="default"/>
                <w:sz w:val="18"/>
                <w:szCs w:val="18"/>
              </w:rPr>
              <w:t>杭州金永信润禾 创业投资合伙企 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4"/>
              <w:jc w:val="left"/>
              <w:rPr>
                <w:rFonts w:ascii="宋体" w:hAnsi="宋体" w:cs="宋体" w:eastAsia="宋体" w:hint="default"/>
                <w:sz w:val="18"/>
                <w:szCs w:val="18"/>
              </w:rPr>
            </w:pPr>
            <w:r>
              <w:rPr>
                <w:rFonts w:ascii="宋体" w:hAnsi="宋体" w:cs="宋体" w:eastAsia="宋体" w:hint="default"/>
                <w:sz w:val="18"/>
                <w:szCs w:val="18"/>
              </w:rPr>
              <w:t>深圳市创新投资 集团有限公司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4"/>
              <w:jc w:val="left"/>
              <w:rPr>
                <w:rFonts w:ascii="宋体" w:hAnsi="宋体" w:cs="宋体" w:eastAsia="宋体" w:hint="default"/>
                <w:sz w:val="18"/>
                <w:szCs w:val="18"/>
              </w:rPr>
            </w:pPr>
            <w:r>
              <w:rPr>
                <w:rFonts w:ascii="宋体" w:hAnsi="宋体" w:cs="宋体" w:eastAsia="宋体" w:hint="default"/>
                <w:sz w:val="18"/>
                <w:szCs w:val="18"/>
              </w:rPr>
              <w:t>浙江红土创业投 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4"/>
              <w:jc w:val="left"/>
              <w:rPr>
                <w:rFonts w:ascii="宋体" w:hAnsi="宋体" w:cs="宋体" w:eastAsia="宋体" w:hint="default"/>
                <w:sz w:val="18"/>
                <w:szCs w:val="18"/>
              </w:rPr>
            </w:pPr>
            <w:r>
              <w:rPr>
                <w:rFonts w:ascii="宋体" w:hAnsi="宋体" w:cs="宋体" w:eastAsia="宋体" w:hint="default"/>
                <w:sz w:val="18"/>
                <w:szCs w:val="18"/>
              </w:rPr>
              <w:t>浙江城建建设集 团有限公司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蒲彩萍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362" w:hRule="exact"/>
        </w:trPr>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周亚刚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孙宏亮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王丽平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王维山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徐了然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both"/>
              <w:rPr>
                <w:rFonts w:ascii="宋体" w:hAnsi="宋体" w:cs="宋体" w:eastAsia="宋体" w:hint="default"/>
                <w:sz w:val="18"/>
                <w:szCs w:val="18"/>
              </w:rPr>
            </w:pPr>
            <w:r>
              <w:rPr>
                <w:rFonts w:ascii="宋体" w:hAnsi="宋体" w:cs="宋体" w:eastAsia="宋体" w:hint="default"/>
                <w:sz w:val="18"/>
                <w:szCs w:val="18"/>
              </w:rPr>
              <w:t>中国工商银行－ 南方广利回报债 券型证券投资基 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网下配售股份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both"/>
              <w:rPr>
                <w:rFonts w:ascii="宋体" w:hAnsi="宋体" w:cs="宋体" w:eastAsia="宋体" w:hint="default"/>
                <w:sz w:val="18"/>
                <w:szCs w:val="18"/>
              </w:rPr>
            </w:pPr>
            <w:r>
              <w:rPr>
                <w:rFonts w:ascii="宋体" w:hAnsi="宋体" w:cs="宋体" w:eastAsia="宋体" w:hint="default"/>
                <w:sz w:val="18"/>
                <w:szCs w:val="18"/>
              </w:rPr>
              <w:t>中国工商银行－ 富国天利增长债 券投资基金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网下配售股份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东航集团财务有 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网下配售股份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国泰君安证券股 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网下配售股份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65,000,000</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二、证券发行与上市情况</w:t>
      </w:r>
      <w:r>
        <w:rPr>
          <w:b w:val="0"/>
          <w:bCs w:val="0"/>
        </w:rPr>
      </w:r>
    </w:p>
    <w:p>
      <w:pPr>
        <w:spacing w:line="240" w:lineRule="auto" w:before="4"/>
        <w:rPr>
          <w:rFonts w:ascii="宋体" w:hAnsi="宋体" w:cs="宋体" w:eastAsia="宋体" w:hint="default"/>
          <w:b/>
          <w:bCs/>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1</w:t>
      </w:r>
      <w:r>
        <w:rPr/>
        <w:t>、报告期内证券发行情况</w:t>
      </w:r>
      <w:r>
        <w:rPr>
          <w:b w:val="0"/>
          <w:bCs w:val="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368"/>
        <w:gridCol w:w="1366"/>
        <w:gridCol w:w="1368"/>
        <w:gridCol w:w="1367"/>
        <w:gridCol w:w="1368"/>
        <w:gridCol w:w="1367"/>
        <w:gridCol w:w="136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07" w:right="48"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99" w:right="47" w:hanging="450"/>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汉鼎股份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22,000,000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22,000,000</w:t>
            </w:r>
          </w:p>
        </w:tc>
        <w:tc>
          <w:tcPr>
            <w:tcW w:w="136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513" w:right="221" w:hanging="360"/>
        <w:jc w:val="left"/>
      </w:pPr>
      <w:r>
        <w:rPr/>
        <w:t>证券发行情况的说明 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[2012]226</w:t>
      </w:r>
      <w:r>
        <w:rPr/>
        <w:t>号</w:t>
      </w:r>
      <w:r>
        <w:rPr>
          <w:rFonts w:ascii="Times New Roman" w:hAnsi="Times New Roman" w:cs="Times New Roman" w:eastAsia="Times New Roman" w:hint="default"/>
        </w:rPr>
        <w:t>”</w:t>
      </w:r>
      <w:r>
        <w:rPr/>
        <w:t>文核准，采用网下向配售对象询价配售和网上向社会公众投资者定</w:t>
      </w:r>
    </w:p>
    <w:p>
      <w:pPr>
        <w:pStyle w:val="BodyText"/>
        <w:spacing w:line="214" w:lineRule="exact"/>
        <w:ind w:right="0"/>
        <w:jc w:val="left"/>
      </w:pPr>
      <w:r>
        <w:rPr/>
        <w:t>价发行相结合的方式首次向社会公开发行人民币普通股（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2,200</w:t>
      </w:r>
      <w:r>
        <w:rPr/>
        <w:t>万股，每股面值为人民币</w:t>
      </w:r>
      <w:r>
        <w:rPr>
          <w:rFonts w:ascii="Times New Roman" w:hAnsi="Times New Roman" w:cs="Times New Roman" w:eastAsia="Times New Roman" w:hint="default"/>
        </w:rPr>
        <w:t>1.00</w:t>
      </w:r>
      <w:r>
        <w:rPr/>
        <w:t>元，每股发行价格为人民</w:t>
      </w:r>
    </w:p>
    <w:p>
      <w:pPr>
        <w:pStyle w:val="BodyText"/>
        <w:spacing w:line="300" w:lineRule="auto" w:before="63"/>
        <w:ind w:left="153" w:right="131"/>
        <w:jc w:val="left"/>
      </w:pPr>
      <w:r>
        <w:rPr/>
        <w:t>币</w:t>
      </w:r>
      <w:r>
        <w:rPr>
          <w:rFonts w:ascii="Times New Roman" w:hAnsi="Times New Roman" w:cs="Times New Roman" w:eastAsia="Times New Roman" w:hint="default"/>
        </w:rPr>
        <w:t>18.00</w:t>
      </w:r>
      <w:r>
        <w:rPr/>
        <w:t>元，其中网下配售</w:t>
      </w:r>
      <w:r>
        <w:rPr>
          <w:rFonts w:ascii="Times New Roman" w:hAnsi="Times New Roman" w:cs="Times New Roman" w:eastAsia="Times New Roman" w:hint="default"/>
        </w:rPr>
        <w:t>440</w:t>
      </w:r>
      <w:r>
        <w:rPr/>
        <w:t>万股，网上定价发行</w:t>
      </w:r>
      <w:r>
        <w:rPr>
          <w:rFonts w:ascii="Times New Roman" w:hAnsi="Times New Roman" w:cs="Times New Roman" w:eastAsia="Times New Roman" w:hint="default"/>
        </w:rPr>
        <w:t>1,760</w:t>
      </w:r>
      <w:r>
        <w:rPr/>
        <w:t>万股。经深圳证券交易所</w:t>
      </w:r>
      <w:r>
        <w:rPr>
          <w:rFonts w:ascii="Times New Roman" w:hAnsi="Times New Roman" w:cs="Times New Roman" w:eastAsia="Times New Roman" w:hint="default"/>
        </w:rPr>
        <w:t>“</w:t>
      </w:r>
      <w:r>
        <w:rPr/>
        <w:t>深证上</w:t>
      </w:r>
      <w:r>
        <w:rPr>
          <w:rFonts w:ascii="Times New Roman" w:hAnsi="Times New Roman" w:cs="Times New Roman" w:eastAsia="Times New Roman" w:hint="default"/>
        </w:rPr>
        <w:t>[2012]58</w:t>
      </w:r>
      <w:r>
        <w:rPr/>
        <w:t>号</w:t>
      </w:r>
      <w:r>
        <w:rPr>
          <w:rFonts w:ascii="Times New Roman" w:hAnsi="Times New Roman" w:cs="Times New Roman" w:eastAsia="Times New Roman" w:hint="default"/>
        </w:rPr>
        <w:t>”</w:t>
      </w:r>
      <w:r>
        <w:rPr/>
        <w:t>文批准，本公司发行的 人民币普通股股票已于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日在深圳证券交易所创业板上市。发行后公司总股本由</w:t>
      </w:r>
      <w:r>
        <w:rPr>
          <w:rFonts w:ascii="Times New Roman" w:hAnsi="Times New Roman" w:cs="Times New Roman" w:eastAsia="Times New Roman" w:hint="default"/>
        </w:rPr>
        <w:t>6500</w:t>
      </w:r>
      <w:r>
        <w:rPr/>
        <w:t>万股增加到</w:t>
      </w:r>
      <w:r>
        <w:rPr>
          <w:rFonts w:ascii="Times New Roman" w:hAnsi="Times New Roman" w:cs="Times New Roman" w:eastAsia="Times New Roman" w:hint="default"/>
        </w:rPr>
        <w:t>8700</w:t>
      </w:r>
      <w:r>
        <w:rPr/>
        <w:t>万股。</w:t>
      </w:r>
    </w:p>
    <w:p>
      <w:pPr>
        <w:spacing w:after="0" w:line="30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5"/>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1"/>
        <w:rPr>
          <w:rFonts w:ascii="宋体" w:hAnsi="宋体" w:cs="宋体" w:eastAsia="宋体" w:hint="default"/>
          <w:b/>
          <w:bCs/>
          <w:sz w:val="26"/>
          <w:szCs w:val="26"/>
        </w:rPr>
      </w:pPr>
    </w:p>
    <w:p>
      <w:pPr>
        <w:pStyle w:val="BodyText"/>
        <w:spacing w:line="300" w:lineRule="auto"/>
        <w:ind w:left="153" w:right="0" w:firstLine="360"/>
        <w:jc w:val="left"/>
      </w:pPr>
      <w:r>
        <w:rPr>
          <w:spacing w:val="-2"/>
        </w:rPr>
        <w:t>报告期内公司发行新股2200万股，发行后公司总股本由</w:t>
      </w:r>
      <w:r>
        <w:rPr>
          <w:rFonts w:ascii="Times New Roman" w:hAnsi="Times New Roman" w:cs="Times New Roman" w:eastAsia="Times New Roman" w:hint="default"/>
          <w:spacing w:val="-2"/>
        </w:rPr>
        <w:t>6500</w:t>
      </w:r>
      <w:r>
        <w:rPr>
          <w:spacing w:val="-2"/>
        </w:rPr>
        <w:t>万股增加到</w:t>
      </w:r>
      <w:r>
        <w:rPr>
          <w:rFonts w:ascii="Times New Roman" w:hAnsi="Times New Roman" w:cs="Times New Roman" w:eastAsia="Times New Roman" w:hint="default"/>
          <w:spacing w:val="-2"/>
        </w:rPr>
        <w:t>8700</w:t>
      </w:r>
      <w:r>
        <w:rPr>
          <w:spacing w:val="-2"/>
        </w:rPr>
        <w:t>万股。报告期末限售股份6500万元，无限售</w:t>
      </w:r>
      <w:r>
        <w:rPr/>
        <w:t> 股份2200万股。</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r>
        <w:rPr/>
        <w:t>三、股东和实际控制人情况</w:t>
      </w:r>
      <w:r>
        <w:rPr>
          <w:b w:val="0"/>
          <w:bCs w:val="0"/>
        </w:rPr>
      </w:r>
    </w:p>
    <w:p>
      <w:pPr>
        <w:spacing w:line="240" w:lineRule="auto" w:before="4"/>
        <w:rPr>
          <w:rFonts w:ascii="宋体" w:hAnsi="宋体" w:cs="宋体" w:eastAsia="宋体" w:hint="default"/>
          <w:b/>
          <w:bCs/>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362"/>
        <w:gridCol w:w="1368"/>
        <w:gridCol w:w="1368"/>
        <w:gridCol w:w="1368"/>
        <w:gridCol w:w="1368"/>
        <w:gridCol w:w="1368"/>
        <w:gridCol w:w="1368"/>
      </w:tblGrid>
      <w:tr>
        <w:trPr>
          <w:trHeight w:val="403" w:hRule="exact"/>
        </w:trPr>
        <w:tc>
          <w:tcPr>
            <w:tcW w:w="27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2,786</w:t>
            </w:r>
          </w:p>
        </w:tc>
        <w:tc>
          <w:tcPr>
            <w:tcW w:w="41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个交易日末的股东总数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3,313</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3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持股数量</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227" w:right="48" w:hanging="180"/>
              <w:jc w:val="left"/>
              <w:rPr>
                <w:rFonts w:ascii="宋体" w:hAnsi="宋体" w:cs="宋体" w:eastAsia="宋体" w:hint="default"/>
                <w:sz w:val="18"/>
                <w:szCs w:val="18"/>
              </w:rPr>
            </w:pPr>
            <w:r>
              <w:rPr>
                <w:rFonts w:ascii="宋体" w:hAnsi="宋体" w:cs="宋体" w:eastAsia="宋体" w:hint="default"/>
                <w:sz w:val="18"/>
                <w:szCs w:val="18"/>
              </w:rPr>
              <w:t>持有有限售条件 的股份数量</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401" w:hRule="exact"/>
        </w:trPr>
        <w:tc>
          <w:tcPr>
            <w:tcW w:w="1362"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9,000,000</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7"/>
              <w:jc w:val="both"/>
              <w:rPr>
                <w:rFonts w:ascii="宋体" w:hAnsi="宋体" w:cs="宋体" w:eastAsia="宋体" w:hint="default"/>
                <w:sz w:val="18"/>
                <w:szCs w:val="18"/>
              </w:rPr>
            </w:pPr>
            <w:r>
              <w:rPr>
                <w:rFonts w:ascii="宋体" w:hAnsi="宋体" w:cs="宋体" w:eastAsia="宋体" w:hint="default"/>
                <w:sz w:val="18"/>
                <w:szCs w:val="18"/>
              </w:rPr>
              <w:t>浙江汉鼎宇佑实 业控股集团有限 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6,300,000</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7"/>
              <w:jc w:val="left"/>
              <w:rPr>
                <w:rFonts w:ascii="宋体" w:hAnsi="宋体" w:cs="宋体" w:eastAsia="宋体" w:hint="default"/>
                <w:sz w:val="18"/>
                <w:szCs w:val="18"/>
              </w:rPr>
            </w:pPr>
            <w:r>
              <w:rPr>
                <w:rFonts w:ascii="宋体" w:hAnsi="宋体" w:cs="宋体" w:eastAsia="宋体" w:hint="default"/>
                <w:sz w:val="18"/>
                <w:szCs w:val="18"/>
              </w:rPr>
              <w:t>杭州都城实业有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7"/>
              <w:jc w:val="left"/>
              <w:rPr>
                <w:rFonts w:ascii="宋体" w:hAnsi="宋体" w:cs="宋体" w:eastAsia="宋体" w:hint="default"/>
                <w:sz w:val="18"/>
                <w:szCs w:val="18"/>
              </w:rPr>
            </w:pPr>
            <w:r>
              <w:rPr>
                <w:rFonts w:ascii="宋体" w:hAnsi="宋体" w:cs="宋体" w:eastAsia="宋体" w:hint="default"/>
                <w:sz w:val="18"/>
                <w:szCs w:val="18"/>
              </w:rPr>
              <w:t>杭州红土创业投 资有限公司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2,360,000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7"/>
              <w:jc w:val="both"/>
              <w:rPr>
                <w:rFonts w:ascii="宋体" w:hAnsi="宋体" w:cs="宋体" w:eastAsia="宋体" w:hint="default"/>
                <w:sz w:val="18"/>
                <w:szCs w:val="18"/>
              </w:rPr>
            </w:pPr>
            <w:r>
              <w:rPr>
                <w:rFonts w:ascii="宋体" w:hAnsi="宋体" w:cs="宋体" w:eastAsia="宋体" w:hint="default"/>
                <w:sz w:val="18"/>
                <w:szCs w:val="18"/>
              </w:rPr>
              <w:t>中国工商银行－ 中银收益混合型 证券投资基金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2,163,476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2,163,476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7"/>
              <w:jc w:val="both"/>
              <w:rPr>
                <w:rFonts w:ascii="宋体" w:hAnsi="宋体" w:cs="宋体" w:eastAsia="宋体" w:hint="default"/>
                <w:sz w:val="18"/>
                <w:szCs w:val="18"/>
              </w:rPr>
            </w:pPr>
            <w:r>
              <w:rPr>
                <w:rFonts w:ascii="宋体" w:hAnsi="宋体" w:cs="宋体" w:eastAsia="宋体" w:hint="default"/>
                <w:sz w:val="18"/>
                <w:szCs w:val="18"/>
              </w:rPr>
              <w:t>上海雅银股权投 资合伙企业（有 限合伙）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7"/>
              <w:jc w:val="both"/>
              <w:rPr>
                <w:rFonts w:ascii="Times New Roman" w:hAnsi="Times New Roman" w:cs="Times New Roman" w:eastAsia="Times New Roman" w:hint="default"/>
                <w:sz w:val="18"/>
                <w:szCs w:val="18"/>
              </w:rPr>
            </w:pPr>
            <w:r>
              <w:rPr>
                <w:rFonts w:ascii="宋体" w:hAnsi="宋体" w:cs="宋体" w:eastAsia="宋体" w:hint="default"/>
                <w:sz w:val="18"/>
                <w:szCs w:val="18"/>
              </w:rPr>
              <w:t>杭州金永信润禾 创业投资合伙企 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1,400,000</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7"/>
              <w:jc w:val="left"/>
              <w:rPr>
                <w:rFonts w:ascii="宋体" w:hAnsi="宋体" w:cs="宋体" w:eastAsia="宋体" w:hint="default"/>
                <w:sz w:val="18"/>
                <w:szCs w:val="18"/>
              </w:rPr>
            </w:pPr>
            <w:r>
              <w:rPr>
                <w:rFonts w:ascii="宋体" w:hAnsi="宋体" w:cs="宋体" w:eastAsia="宋体" w:hint="default"/>
                <w:sz w:val="18"/>
                <w:szCs w:val="18"/>
              </w:rPr>
              <w:t>深圳市创新投资 集团有限公司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1,820,000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7"/>
              <w:jc w:val="left"/>
              <w:rPr>
                <w:rFonts w:ascii="宋体" w:hAnsi="宋体" w:cs="宋体" w:eastAsia="宋体" w:hint="default"/>
                <w:sz w:val="18"/>
                <w:szCs w:val="18"/>
              </w:rPr>
            </w:pPr>
            <w:r>
              <w:rPr>
                <w:rFonts w:ascii="宋体" w:hAnsi="宋体" w:cs="宋体" w:eastAsia="宋体" w:hint="default"/>
                <w:sz w:val="18"/>
                <w:szCs w:val="18"/>
              </w:rPr>
              <w:t>浙江红土创业投 资有限公司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1,820,000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7"/>
              <w:jc w:val="both"/>
              <w:rPr>
                <w:rFonts w:ascii="宋体" w:hAnsi="宋体" w:cs="宋体" w:eastAsia="宋体" w:hint="default"/>
                <w:sz w:val="18"/>
                <w:szCs w:val="18"/>
              </w:rPr>
            </w:pPr>
            <w:r>
              <w:rPr>
                <w:rFonts w:ascii="宋体" w:hAnsi="宋体" w:cs="宋体" w:eastAsia="宋体" w:hint="default"/>
                <w:sz w:val="18"/>
                <w:szCs w:val="18"/>
              </w:rPr>
              <w:t>中国建设银行－ 信诚盛世蓝筹股 票型证券投资基 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1,074,019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1,074,019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4"/>
          <w:szCs w:val="14"/>
        </w:rPr>
      </w:pPr>
    </w:p>
    <w:p>
      <w:pPr>
        <w:pStyle w:val="BodyText"/>
        <w:spacing w:line="240" w:lineRule="auto" w:before="44"/>
        <w:ind w:left="0" w:right="158"/>
        <w:jc w:val="right"/>
      </w:pPr>
      <w:r>
        <w:rPr/>
        <w:pict>
          <v:shape style="position:absolute;margin-left:56.459999pt;margin-top:-435.787933pt;width:479.25pt;height:455.5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30"/>
                    <w:gridCol w:w="4104"/>
                    <w:gridCol w:w="1368"/>
                    <w:gridCol w:w="1368"/>
                  </w:tblGrid>
                  <w:tr>
                    <w:trPr>
                      <w:trHeight w:val="402"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7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56"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730" w:type="dxa"/>
                        <w:vMerge/>
                        <w:tcBorders>
                          <w:left w:val="single" w:sz="4" w:space="0" w:color="000000"/>
                          <w:bottom w:val="single" w:sz="4" w:space="0" w:color="000000"/>
                          <w:right w:val="single" w:sz="4" w:space="0" w:color="000000"/>
                        </w:tcBorders>
                        <w:shd w:val="clear" w:color="auto" w:fill="D3D3D3"/>
                      </w:tcPr>
                      <w:p>
                        <w:pPr/>
                      </w:p>
                    </w:tc>
                    <w:tc>
                      <w:tcPr>
                        <w:tcW w:w="4104"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18"/>
                          <w:jc w:val="righ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5"/>
                          <w:jc w:val="left"/>
                          <w:rPr>
                            <w:rFonts w:ascii="宋体" w:hAnsi="宋体" w:cs="宋体" w:eastAsia="宋体" w:hint="default"/>
                            <w:sz w:val="18"/>
                            <w:szCs w:val="18"/>
                          </w:rPr>
                        </w:pPr>
                        <w:r>
                          <w:rPr>
                            <w:rFonts w:ascii="宋体" w:hAnsi="宋体" w:cs="宋体" w:eastAsia="宋体" w:hint="default"/>
                            <w:sz w:val="18"/>
                            <w:szCs w:val="18"/>
                          </w:rPr>
                          <w:t>中国工商银行－中银收益混合型 证券投资基金</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2,163,476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2,163,476</w:t>
                        </w:r>
                      </w:p>
                    </w:tc>
                  </w:tr>
                  <w:tr>
                    <w:trPr>
                      <w:trHeight w:val="714"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5"/>
                          <w:jc w:val="left"/>
                          <w:rPr>
                            <w:rFonts w:ascii="宋体" w:hAnsi="宋体" w:cs="宋体" w:eastAsia="宋体" w:hint="default"/>
                            <w:sz w:val="18"/>
                            <w:szCs w:val="18"/>
                          </w:rPr>
                        </w:pPr>
                        <w:r>
                          <w:rPr>
                            <w:rFonts w:ascii="宋体" w:hAnsi="宋体" w:cs="宋体" w:eastAsia="宋体" w:hint="default"/>
                            <w:sz w:val="18"/>
                            <w:szCs w:val="18"/>
                          </w:rPr>
                          <w:t>中国建设银行－信诚盛世蓝筹股 票型证券投资基金</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1,074,019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1,074,019</w:t>
                        </w:r>
                      </w:p>
                    </w:tc>
                  </w:tr>
                  <w:tr>
                    <w:trPr>
                      <w:trHeight w:val="714"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5"/>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中国银行－华夏行业精选股票型 证券投资基金</w:t>
                        </w:r>
                        <w:r>
                          <w:rPr>
                            <w:rFonts w:ascii="Times New Roman" w:hAnsi="Times New Roman" w:cs="Times New Roman" w:eastAsia="Times New Roman" w:hint="default"/>
                            <w:sz w:val="18"/>
                            <w:szCs w:val="18"/>
                          </w:rPr>
                          <w:t>(LOF)</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849,105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849,105</w:t>
                        </w:r>
                      </w:p>
                    </w:tc>
                  </w:tr>
                  <w:tr>
                    <w:trPr>
                      <w:trHeight w:val="714"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5"/>
                          <w:jc w:val="left"/>
                          <w:rPr>
                            <w:rFonts w:ascii="宋体" w:hAnsi="宋体" w:cs="宋体" w:eastAsia="宋体" w:hint="default"/>
                            <w:sz w:val="18"/>
                            <w:szCs w:val="18"/>
                          </w:rPr>
                        </w:pPr>
                        <w:r>
                          <w:rPr>
                            <w:rFonts w:ascii="宋体" w:hAnsi="宋体" w:cs="宋体" w:eastAsia="宋体" w:hint="default"/>
                            <w:sz w:val="18"/>
                            <w:szCs w:val="18"/>
                          </w:rPr>
                          <w:t>中国建设银行－华宝兴业新兴产 业股票型证券投资基金</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659,349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659,349</w:t>
                        </w:r>
                      </w:p>
                    </w:tc>
                  </w:tr>
                  <w:tr>
                    <w:trPr>
                      <w:trHeight w:val="714"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5"/>
                          <w:jc w:val="left"/>
                          <w:rPr>
                            <w:rFonts w:ascii="宋体" w:hAnsi="宋体" w:cs="宋体" w:eastAsia="宋体" w:hint="default"/>
                            <w:sz w:val="18"/>
                            <w:szCs w:val="18"/>
                          </w:rPr>
                        </w:pPr>
                        <w:r>
                          <w:rPr>
                            <w:rFonts w:ascii="宋体" w:hAnsi="宋体" w:cs="宋体" w:eastAsia="宋体" w:hint="default"/>
                            <w:sz w:val="18"/>
                            <w:szCs w:val="18"/>
                          </w:rPr>
                          <w:t>中国工商银行－中银中国精选混 合型开放式证券投资基金</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592,214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592,214</w:t>
                        </w:r>
                      </w:p>
                    </w:tc>
                  </w:tr>
                  <w:tr>
                    <w:trPr>
                      <w:trHeight w:val="358" w:hRule="exact"/>
                    </w:trPr>
                    <w:tc>
                      <w:tcPr>
                        <w:tcW w:w="27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招商银行股份有限公司－中银蓝</w:t>
                        </w:r>
                      </w:p>
                    </w:tc>
                    <w:tc>
                      <w:tcPr>
                        <w:tcW w:w="4104"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27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筹精选灵活配置混合型证券投资</w:t>
                        </w:r>
                      </w:p>
                    </w:tc>
                    <w:tc>
                      <w:tcPr>
                        <w:tcW w:w="4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580,584</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580,584</w:t>
                        </w:r>
                      </w:p>
                    </w:tc>
                  </w:tr>
                  <w:tr>
                    <w:trPr>
                      <w:trHeight w:val="352" w:hRule="exact"/>
                    </w:trPr>
                    <w:tc>
                      <w:tcPr>
                        <w:tcW w:w="27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4104"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兴和证券投资基金</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538,934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538,934</w:t>
                        </w:r>
                      </w:p>
                    </w:tc>
                  </w:tr>
                  <w:tr>
                    <w:trPr>
                      <w:trHeight w:val="714"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5"/>
                          <w:jc w:val="left"/>
                          <w:rPr>
                            <w:rFonts w:ascii="宋体" w:hAnsi="宋体" w:cs="宋体" w:eastAsia="宋体" w:hint="default"/>
                            <w:sz w:val="18"/>
                            <w:szCs w:val="18"/>
                          </w:rPr>
                        </w:pPr>
                        <w:r>
                          <w:rPr>
                            <w:rFonts w:ascii="宋体" w:hAnsi="宋体" w:cs="宋体" w:eastAsia="宋体" w:hint="default"/>
                            <w:sz w:val="18"/>
                            <w:szCs w:val="18"/>
                          </w:rPr>
                          <w:t>中国建设银行－华宝兴业行业精 选股票型证券投资基金</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w:t>
                        </w:r>
                      </w:p>
                    </w:tc>
                  </w:tr>
                  <w:tr>
                    <w:trPr>
                      <w:trHeight w:val="714"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5"/>
                          <w:jc w:val="left"/>
                          <w:rPr>
                            <w:rFonts w:ascii="宋体" w:hAnsi="宋体" w:cs="宋体" w:eastAsia="宋体" w:hint="default"/>
                            <w:sz w:val="18"/>
                            <w:szCs w:val="18"/>
                          </w:rPr>
                        </w:pPr>
                        <w:r>
                          <w:rPr>
                            <w:rFonts w:ascii="宋体" w:hAnsi="宋体" w:cs="宋体" w:eastAsia="宋体" w:hint="default"/>
                            <w:sz w:val="18"/>
                            <w:szCs w:val="18"/>
                          </w:rPr>
                          <w:t>招商银行股份有限公司－上投摩 根行业轮动股票型证券投资基金</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w:t>
                        </w:r>
                      </w:p>
                    </w:tc>
                  </w:tr>
                  <w:tr>
                    <w:trPr>
                      <w:trHeight w:val="714" w:hRule="exact"/>
                    </w:trPr>
                    <w:tc>
                      <w:tcPr>
                        <w:tcW w:w="2730" w:type="dxa"/>
                        <w:tcBorders>
                          <w:top w:val="single" w:sz="4" w:space="0" w:color="000000"/>
                          <w:left w:val="single" w:sz="4" w:space="0" w:color="000000"/>
                          <w:bottom w:val="single" w:sz="12" w:space="0" w:color="D3D3D3"/>
                          <w:right w:val="single" w:sz="4" w:space="0" w:color="000000"/>
                        </w:tcBorders>
                      </w:tcPr>
                      <w:p>
                        <w:pPr>
                          <w:pStyle w:val="TableParagraph"/>
                          <w:spacing w:line="319" w:lineRule="auto" w:before="51"/>
                          <w:ind w:left="22" w:right="175"/>
                          <w:jc w:val="left"/>
                          <w:rPr>
                            <w:rFonts w:ascii="宋体" w:hAnsi="宋体" w:cs="宋体" w:eastAsia="宋体" w:hint="default"/>
                            <w:sz w:val="18"/>
                            <w:szCs w:val="18"/>
                          </w:rPr>
                        </w:pPr>
                        <w:r>
                          <w:rPr>
                            <w:rFonts w:ascii="宋体" w:hAnsi="宋体" w:cs="宋体" w:eastAsia="宋体" w:hint="default"/>
                            <w:sz w:val="18"/>
                            <w:szCs w:val="18"/>
                          </w:rPr>
                          <w:t>中国建设银行－上投摩根双息平 衡混合型证券投资基金</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480,000</w:t>
                        </w:r>
                      </w:p>
                    </w:tc>
                  </w:tr>
                  <w:tr>
                    <w:trPr>
                      <w:trHeight w:val="378" w:hRule="exact"/>
                    </w:trPr>
                    <w:tc>
                      <w:tcPr>
                        <w:tcW w:w="273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w:t>
                        </w:r>
                      </w:p>
                    </w:tc>
                    <w:tc>
                      <w:tcPr>
                        <w:tcW w:w="6840" w:type="dxa"/>
                        <w:gridSpan w:val="3"/>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名股东中，吴艳与汉鼎集团的实际控制人王麒诚系夫妻关系；</w:t>
                        </w:r>
                      </w:p>
                    </w:tc>
                  </w:tr>
                  <w:tr>
                    <w:trPr>
                      <w:trHeight w:val="377" w:hRule="exact"/>
                    </w:trPr>
                    <w:tc>
                      <w:tcPr>
                        <w:tcW w:w="273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6840" w:type="dxa"/>
                        <w:gridSpan w:val="3"/>
                        <w:tcBorders>
                          <w:top w:val="nil" w:sz="6" w:space="0" w:color="auto"/>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、公司前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名无限售条件股东之间，未知是否存在关联，也未知是否属于一致行动人</w:t>
                        </w:r>
                      </w:p>
                    </w:tc>
                  </w:tr>
                </w:tbl>
                <w:p>
                  <w:pPr/>
                </w:p>
              </w:txbxContent>
            </v:textbox>
            <w10:wrap type="none"/>
          </v:shape>
        </w:pict>
      </w:r>
      <w:r>
        <w:rPr/>
        <w:t>。</w:t>
      </w:r>
    </w:p>
    <w:p>
      <w:pPr>
        <w:spacing w:line="240" w:lineRule="auto" w:before="6"/>
        <w:rPr>
          <w:rFonts w:ascii="宋体" w:hAnsi="宋体" w:cs="宋体" w:eastAsia="宋体" w:hint="default"/>
          <w:sz w:val="28"/>
          <w:szCs w:val="28"/>
        </w:rPr>
      </w:pPr>
    </w:p>
    <w:p>
      <w:pPr>
        <w:pStyle w:val="Heading5"/>
        <w:spacing w:line="240" w:lineRule="auto" w:before="38"/>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12"/>
        <w:rPr>
          <w:rFonts w:ascii="宋体" w:hAnsi="宋体" w:cs="宋体" w:eastAsia="宋体" w:hint="default"/>
          <w:b/>
          <w:bCs/>
          <w:sz w:val="26"/>
          <w:szCs w:val="26"/>
        </w:rPr>
      </w:pPr>
    </w:p>
    <w:p>
      <w:pPr>
        <w:pStyle w:val="BodyText"/>
        <w:spacing w:line="338" w:lineRule="auto"/>
        <w:ind w:left="513" w:right="0" w:hanging="360"/>
        <w:jc w:val="left"/>
      </w:pPr>
      <w:r>
        <w:rPr/>
        <w:t>公司控股股东吴艳女士持有汉鼎股份</w:t>
      </w:r>
      <w:r>
        <w:rPr>
          <w:spacing w:val="-17"/>
        </w:rPr>
        <w:t> </w:t>
      </w:r>
      <w:r>
        <w:rPr>
          <w:rFonts w:ascii="Times New Roman" w:hAnsi="Times New Roman" w:cs="Times New Roman" w:eastAsia="Times New Roman" w:hint="default"/>
        </w:rPr>
        <w:t>43.10%</w:t>
      </w:r>
      <w:r>
        <w:rPr/>
        <w:t>的股份。 </w:t>
      </w:r>
      <w:r>
        <w:rPr>
          <w:spacing w:val="-2"/>
        </w:rPr>
        <w:t>吴艳，现任本公司董事长，硕士，经济师。曾获得杭州市下城区关爱员工优秀企业家、杭州市下城区优秀企业家、第三</w:t>
      </w:r>
    </w:p>
    <w:p>
      <w:pPr>
        <w:pStyle w:val="BodyText"/>
        <w:spacing w:line="240" w:lineRule="auto" w:before="4"/>
        <w:ind w:left="153" w:right="0"/>
        <w:jc w:val="left"/>
      </w:pPr>
      <w:r>
        <w:rPr/>
        <w:t>届杭州市下城区十大杰出青年、浙江省建筑装饰行业优秀企业家、</w:t>
      </w:r>
      <w:r>
        <w:rPr>
          <w:rFonts w:ascii="Times New Roman" w:hAnsi="Times New Roman" w:cs="Times New Roman" w:eastAsia="Times New Roman" w:hint="default"/>
        </w:rPr>
        <w:t>2011</w:t>
      </w:r>
      <w:r>
        <w:rPr/>
        <w:t>年智能建筑工程先进个人等称号。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7"/>
          <w:szCs w:val="17"/>
        </w:rPr>
      </w:pPr>
    </w:p>
    <w:p>
      <w:pPr>
        <w:pStyle w:val="Heading5"/>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11"/>
        <w:rPr>
          <w:rFonts w:ascii="宋体" w:hAnsi="宋体" w:cs="宋体" w:eastAsia="宋体" w:hint="default"/>
          <w:b/>
          <w:bCs/>
          <w:sz w:val="26"/>
          <w:szCs w:val="26"/>
        </w:rPr>
      </w:pPr>
    </w:p>
    <w:p>
      <w:pPr>
        <w:pStyle w:val="BodyText"/>
        <w:spacing w:line="302" w:lineRule="auto"/>
        <w:ind w:right="136" w:firstLine="360"/>
        <w:jc w:val="left"/>
      </w:pPr>
      <w:r>
        <w:rPr/>
        <w:t>吴艳、王麒诚夫妇为公司的实际控制人。吴艳女士持有汉鼎股份</w:t>
      </w:r>
      <w:r>
        <w:rPr>
          <w:spacing w:val="-11"/>
        </w:rPr>
        <w:t> </w:t>
      </w:r>
      <w:r>
        <w:rPr>
          <w:rFonts w:ascii="Times New Roman" w:hAnsi="Times New Roman" w:cs="Times New Roman" w:eastAsia="Times New Roman" w:hint="default"/>
        </w:rPr>
        <w:t>43.10%</w:t>
      </w:r>
      <w:r>
        <w:rPr/>
        <w:t>的股份，王麒诚先生不直接持有公司股份，系 持有本公司</w:t>
      </w:r>
      <w:r>
        <w:rPr>
          <w:rFonts w:ascii="Times New Roman" w:hAnsi="Times New Roman" w:cs="Times New Roman" w:eastAsia="Times New Roman" w:hint="default"/>
        </w:rPr>
        <w:t>5%</w:t>
      </w:r>
      <w:r>
        <w:rPr/>
        <w:t>以上股东汉鼎集团的实际控制人，与公司控股股东吴艳系夫妻关系。</w:t>
      </w:r>
    </w:p>
    <w:p>
      <w:pPr>
        <w:pStyle w:val="BodyText"/>
        <w:spacing w:line="319" w:lineRule="auto" w:before="50"/>
        <w:ind w:right="0" w:firstLine="360"/>
        <w:jc w:val="left"/>
      </w:pPr>
      <w:r>
        <w:rPr>
          <w:spacing w:val="-2"/>
        </w:rPr>
        <w:t>吴艳，现任本公司董事长，硕士，经济师。曾获得杭州市下城区关爱员工优秀企业家、杭州市下城区优秀企业家、第三</w:t>
      </w:r>
      <w:r>
        <w:rPr/>
        <w:t> 届杭州市下城区十大杰出青年、浙江省建筑装饰行业优秀企业家、</w:t>
      </w:r>
      <w:r>
        <w:rPr>
          <w:rFonts w:ascii="Times New Roman" w:hAnsi="Times New Roman" w:cs="Times New Roman" w:eastAsia="Times New Roman" w:hint="default"/>
        </w:rPr>
        <w:t>2011</w:t>
      </w:r>
      <w:r>
        <w:rPr/>
        <w:t>年智能建筑工程先进个人等称号。</w:t>
      </w:r>
    </w:p>
    <w:p>
      <w:pPr>
        <w:pStyle w:val="BodyText"/>
        <w:spacing w:line="240" w:lineRule="auto" w:before="35"/>
        <w:ind w:left="514" w:right="0"/>
        <w:jc w:val="left"/>
      </w:pPr>
      <w:r>
        <w:rPr/>
        <w:t>王麒诚，</w:t>
      </w:r>
      <w:r>
        <w:rPr>
          <w:spacing w:val="19"/>
        </w:rPr>
        <w:t> </w:t>
      </w:r>
      <w:r>
        <w:rPr/>
        <w:t>现任本公司董事、总经理，公司创始人，</w:t>
      </w:r>
      <w:r>
        <w:rPr>
          <w:rFonts w:ascii="Times New Roman" w:hAnsi="Times New Roman" w:cs="Times New Roman" w:eastAsia="Times New Roman" w:hint="default"/>
        </w:rPr>
        <w:t>EMBA</w:t>
      </w:r>
      <w:r>
        <w:rPr/>
        <w:t>在读，工程师，浙江汉鼎宇佑实业控股集团有限公司执行董</w:t>
      </w:r>
    </w:p>
    <w:p>
      <w:pPr>
        <w:spacing w:after="0" w:line="24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02" w:lineRule="auto" w:before="44"/>
        <w:ind w:left="153" w:right="0"/>
        <w:jc w:val="left"/>
      </w:pPr>
      <w:r>
        <w:rPr>
          <w:spacing w:val="-2"/>
        </w:rPr>
        <w:t>事。曾获得</w:t>
      </w:r>
      <w:r>
        <w:rPr>
          <w:rFonts w:ascii="Times New Roman" w:hAnsi="Times New Roman" w:cs="Times New Roman" w:eastAsia="Times New Roman" w:hint="default"/>
          <w:spacing w:val="-2"/>
        </w:rPr>
        <w:t>2011</w:t>
      </w:r>
      <w:r>
        <w:rPr>
          <w:spacing w:val="-2"/>
        </w:rPr>
        <w:t>年智能建筑产品创新先进个人、浙江省软件行业协会第三届常务理事、杭州大学生创业学院创业导师、全国</w:t>
      </w:r>
      <w:r>
        <w:rPr>
          <w:spacing w:val="-62"/>
        </w:rPr>
        <w:t> </w:t>
      </w:r>
      <w:r>
        <w:rPr>
          <w:spacing w:val="-62"/>
        </w:rPr>
      </w:r>
      <w:r>
        <w:rPr/>
        <w:t>建筑装饰行业优秀企业家等称号。</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pStyle w:val="BodyText"/>
        <w:spacing w:line="240" w:lineRule="auto"/>
        <w:ind w:right="0"/>
        <w:jc w:val="left"/>
      </w:pPr>
      <w:r>
        <w:rPr/>
        <w:t>公司与实际控制人之间的产权及控制关系的方框图</w:t>
      </w:r>
    </w:p>
    <w:p>
      <w:pPr>
        <w:spacing w:line="240" w:lineRule="auto" w:before="9"/>
        <w:rPr>
          <w:rFonts w:ascii="宋体" w:hAnsi="宋体" w:cs="宋体" w:eastAsia="宋体" w:hint="default"/>
          <w:sz w:val="20"/>
          <w:szCs w:val="20"/>
        </w:rPr>
      </w:pPr>
    </w:p>
    <w:p>
      <w:pPr>
        <w:spacing w:line="4662" w:lineRule="exact"/>
        <w:ind w:left="950" w:right="0" w:firstLine="0"/>
        <w:rPr>
          <w:rFonts w:ascii="宋体" w:hAnsi="宋体" w:cs="宋体" w:eastAsia="宋体" w:hint="default"/>
          <w:sz w:val="20"/>
          <w:szCs w:val="20"/>
        </w:rPr>
      </w:pPr>
      <w:r>
        <w:rPr>
          <w:rFonts w:ascii="宋体" w:hAnsi="宋体" w:cs="宋体" w:eastAsia="宋体" w:hint="default"/>
          <w:position w:val="-92"/>
          <w:sz w:val="20"/>
          <w:szCs w:val="20"/>
        </w:rPr>
        <w:drawing>
          <wp:inline distT="0" distB="0" distL="0" distR="0">
            <wp:extent cx="5102983" cy="296037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3" cstate="print"/>
                    <a:stretch>
                      <a:fillRect/>
                    </a:stretch>
                  </pic:blipFill>
                  <pic:spPr>
                    <a:xfrm>
                      <a:off x="0" y="0"/>
                      <a:ext cx="5102983" cy="2960370"/>
                    </a:xfrm>
                    <a:prstGeom prst="rect">
                      <a:avLst/>
                    </a:prstGeom>
                  </pic:spPr>
                </pic:pic>
              </a:graphicData>
            </a:graphic>
          </wp:inline>
        </w:drawing>
      </w:r>
      <w:r>
        <w:rPr>
          <w:rFonts w:ascii="宋体" w:hAnsi="宋体" w:cs="宋体" w:eastAsia="宋体" w:hint="default"/>
          <w:position w:val="-92"/>
          <w:sz w:val="20"/>
          <w:szCs w:val="20"/>
        </w:rPr>
      </w:r>
    </w:p>
    <w:p>
      <w:pPr>
        <w:spacing w:line="240" w:lineRule="auto" w:before="0"/>
        <w:rPr>
          <w:rFonts w:ascii="宋体" w:hAnsi="宋体" w:cs="宋体" w:eastAsia="宋体" w:hint="default"/>
          <w:sz w:val="17"/>
          <w:szCs w:val="17"/>
        </w:rPr>
      </w:pPr>
    </w:p>
    <w:p>
      <w:pPr>
        <w:pStyle w:val="BodyText"/>
        <w:spacing w:line="240" w:lineRule="auto"/>
        <w:ind w:right="0"/>
        <w:jc w:val="left"/>
      </w:pPr>
      <w:r>
        <w:rPr/>
        <w:t>实际控制人通过信托或其他资产管理方式控制公司</w:t>
      </w:r>
    </w:p>
    <w:p>
      <w:pPr>
        <w:spacing w:line="240" w:lineRule="auto" w:before="0"/>
        <w:rPr>
          <w:rFonts w:ascii="宋体" w:hAnsi="宋体" w:cs="宋体" w:eastAsia="宋体" w:hint="default"/>
          <w:sz w:val="18"/>
          <w:szCs w:val="18"/>
        </w:rPr>
      </w:pPr>
    </w:p>
    <w:p>
      <w:pPr>
        <w:pStyle w:val="Heading5"/>
        <w:spacing w:line="240" w:lineRule="auto" w:before="123"/>
        <w:ind w:right="0"/>
        <w:jc w:val="left"/>
        <w:rPr>
          <w:b w:val="0"/>
          <w:bCs w:val="0"/>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不适用</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left="153" w:right="0"/>
        <w:jc w:val="left"/>
        <w:rPr>
          <w:b w:val="0"/>
          <w:bCs w:val="0"/>
        </w:rPr>
      </w:pPr>
      <w:r>
        <w:rPr>
          <w:rFonts w:ascii="Times New Roman" w:hAnsi="Times New Roman" w:cs="Times New Roman" w:eastAsia="Times New Roman" w:hint="default"/>
        </w:rPr>
        <w:t>4</w:t>
      </w:r>
      <w:r>
        <w:rPr/>
        <w:t>、其他持股在</w:t>
      </w:r>
      <w:r>
        <w:rPr>
          <w:spacing w:val="-54"/>
        </w:rPr>
        <w:t> </w:t>
      </w:r>
      <w:r>
        <w:rPr>
          <w:rFonts w:ascii="Times New Roman" w:hAnsi="Times New Roman" w:cs="Times New Roman" w:eastAsia="Times New Roman" w:hint="default"/>
        </w:rPr>
        <w:t>10%</w:t>
      </w:r>
      <w:r>
        <w:rPr/>
        <w:t>以上的法人股东</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495" w:right="8689"/>
        <w:jc w:val="center"/>
      </w:pPr>
      <w:r>
        <w:rPr/>
        <w:t>无此事项</w:t>
      </w:r>
    </w:p>
    <w:p>
      <w:pPr>
        <w:spacing w:line="240" w:lineRule="auto" w:before="0"/>
        <w:rPr>
          <w:rFonts w:ascii="宋体" w:hAnsi="宋体" w:cs="宋体" w:eastAsia="宋体" w:hint="default"/>
          <w:sz w:val="18"/>
          <w:szCs w:val="18"/>
        </w:rPr>
      </w:pPr>
    </w:p>
    <w:p>
      <w:pPr>
        <w:pStyle w:val="Heading5"/>
        <w:spacing w:line="240" w:lineRule="auto" w:before="123"/>
        <w:ind w:right="0"/>
        <w:jc w:val="left"/>
        <w:rPr>
          <w:b w:val="0"/>
          <w:bCs w:val="0"/>
        </w:rPr>
      </w:pPr>
      <w:r>
        <w:rPr>
          <w:rFonts w:ascii="Times New Roman" w:hAnsi="Times New Roman" w:cs="Times New Roman" w:eastAsia="Times New Roman" w:hint="default"/>
        </w:rPr>
        <w:t>5</w:t>
      </w:r>
      <w:r>
        <w:rPr/>
        <w:t>、前</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名有限售条件股东持股数量及限售条件</w:t>
      </w:r>
      <w:r>
        <w:rPr>
          <w:b w:val="0"/>
          <w:bCs w:val="0"/>
        </w:rPr>
      </w:r>
    </w:p>
    <w:p>
      <w:pPr>
        <w:spacing w:line="240" w:lineRule="auto" w:before="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01" w:right="53" w:hanging="450"/>
              <w:jc w:val="left"/>
              <w:rPr>
                <w:rFonts w:ascii="宋体" w:hAnsi="宋体" w:cs="宋体" w:eastAsia="宋体" w:hint="default"/>
                <w:sz w:val="18"/>
                <w:szCs w:val="18"/>
              </w:rPr>
            </w:pPr>
            <w:r>
              <w:rPr>
                <w:rFonts w:ascii="宋体" w:hAnsi="宋体" w:cs="宋体" w:eastAsia="宋体" w:hint="default"/>
                <w:sz w:val="18"/>
                <w:szCs w:val="18"/>
              </w:rPr>
              <w:t>持有的有限售条件股份 数量（股）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91" w:right="50"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首发前个人类限售股</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浙江汉鼎宇佑实业控股 集团有限公司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首发前机构类限售股</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杭州都城实业有限公司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首发前机构类限售股</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杭州红土创业投资有限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首发前机构类限售股</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上海雅银股权投资合伙 企业（有限合伙）</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首发前机构类限售股</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Times New Roman" w:hAnsi="Times New Roman" w:cs="Times New Roman" w:eastAsia="Times New Roman" w:hint="default"/>
                <w:sz w:val="18"/>
                <w:szCs w:val="18"/>
              </w:rPr>
            </w:pPr>
            <w:r>
              <w:rPr>
                <w:rFonts w:ascii="宋体" w:hAnsi="宋体" w:cs="宋体" w:eastAsia="宋体" w:hint="default"/>
                <w:sz w:val="18"/>
                <w:szCs w:val="18"/>
              </w:rPr>
              <w:t>杭州金永信润禾创业投 资合伙企业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首发前机构类限售股</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深圳市创新投资集团有 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首发前机构类限售股</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浙江红土创业投资有限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首发前机构类限售股</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浙江城建建设集团有限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首发前机构类限售股</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蒲彩萍</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首发前个人类限售股</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1680" w:right="0"/>
        <w:jc w:val="left"/>
        <w:rPr>
          <w:b w:val="0"/>
          <w:bCs w:val="0"/>
        </w:rPr>
      </w:pPr>
      <w:bookmarkStart w:name="_TOC_250003" w:id="7"/>
      <w:r>
        <w:rPr/>
        <w:t>第七节</w:t>
      </w:r>
      <w:r>
        <w:rPr>
          <w:spacing w:val="-19"/>
        </w:rPr>
        <w:t> </w:t>
      </w:r>
      <w:r>
        <w:rPr/>
        <w:t>董事、监事、高级管理人员和员工情况</w:t>
      </w:r>
      <w:bookmarkEnd w:id="7"/>
      <w:r>
        <w:rPr>
          <w:b w:val="0"/>
          <w:bCs w:val="0"/>
        </w:rPr>
      </w:r>
    </w:p>
    <w:p>
      <w:pPr>
        <w:spacing w:line="240" w:lineRule="auto" w:before="11"/>
        <w:rPr>
          <w:rFonts w:ascii="黑体" w:hAnsi="黑体" w:cs="黑体" w:eastAsia="黑体" w:hint="default"/>
          <w:b/>
          <w:bCs/>
          <w:sz w:val="38"/>
          <w:szCs w:val="38"/>
        </w:rPr>
      </w:pPr>
    </w:p>
    <w:p>
      <w:pPr>
        <w:pStyle w:val="Heading2"/>
        <w:spacing w:line="240" w:lineRule="auto"/>
        <w:ind w:right="0"/>
        <w:jc w:val="left"/>
        <w:rPr>
          <w:b w:val="0"/>
          <w:bCs w:val="0"/>
        </w:rPr>
      </w:pPr>
      <w:r>
        <w:rPr/>
        <w:pict>
          <v:shape style="position:absolute;margin-left:408.540314pt;margin-top:33.035938pt;width:57.8pt;height:97.6pt;mso-position-horizontal-relative:page;mso-position-vertical-relative:paragraph;z-index:-720880"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pStyle w:val="BodyText"/>
                    <w:spacing w:line="240" w:lineRule="auto" w:before="121"/>
                    <w:ind w:left="0" w:right="0"/>
                    <w:jc w:val="left"/>
                  </w:pPr>
                  <w:r>
                    <w:rPr/>
                    <w:t>（股）</w:t>
                  </w:r>
                </w:p>
              </w:txbxContent>
            </v:textbox>
            <w10:wrap type="none"/>
          </v:shape>
        </w:pict>
      </w:r>
      <w:r>
        <w:rPr/>
        <w:pict>
          <v:shape style="position:absolute;margin-left:476.820313pt;margin-top:33.035938pt;width:57.85pt;height:97.6pt;mso-position-horizontal-relative:page;mso-position-vertical-relative:paragraph;z-index:-720856"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pStyle w:val="BodyText"/>
                    <w:spacing w:line="240" w:lineRule="auto" w:before="121"/>
                    <w:ind w:left="0" w:right="0"/>
                    <w:jc w:val="left"/>
                  </w:pPr>
                  <w:r>
                    <w:rPr/>
                    <w:t>（股）</w:t>
                  </w:r>
                </w:p>
              </w:txbxContent>
            </v:textbox>
            <w10:wrap type="none"/>
          </v:shape>
        </w:pict>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683"/>
        <w:gridCol w:w="683"/>
        <w:gridCol w:w="683"/>
        <w:gridCol w:w="683"/>
        <w:gridCol w:w="683"/>
        <w:gridCol w:w="684"/>
        <w:gridCol w:w="683"/>
        <w:gridCol w:w="683"/>
        <w:gridCol w:w="684"/>
        <w:gridCol w:w="684"/>
        <w:gridCol w:w="683"/>
        <w:gridCol w:w="683"/>
        <w:gridCol w:w="684"/>
        <w:gridCol w:w="683"/>
      </w:tblGrid>
      <w:tr>
        <w:trPr>
          <w:trHeight w:val="1961" w:hRule="exact"/>
        </w:trPr>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5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5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5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55"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6" w:right="65"/>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6" w:right="66"/>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156" w:right="65" w:hanging="90"/>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20"/>
              <w:ind w:left="66"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65" w:right="65"/>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20"/>
              <w:ind w:left="65"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67" w:right="65"/>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20"/>
              <w:ind w:left="67"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157" w:right="65" w:hanging="90"/>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20"/>
              <w:ind w:left="6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65" w:firstLine="43"/>
              <w:jc w:val="both"/>
              <w:rPr>
                <w:rFonts w:ascii="宋体" w:hAnsi="宋体" w:cs="宋体" w:eastAsia="宋体" w:hint="default"/>
                <w:sz w:val="18"/>
                <w:szCs w:val="18"/>
              </w:rPr>
            </w:pPr>
            <w:r>
              <w:rPr>
                <w:rFonts w:ascii="宋体" w:hAnsi="宋体" w:cs="宋体" w:eastAsia="宋体" w:hint="default"/>
                <w:sz w:val="18"/>
                <w:szCs w:val="18"/>
              </w:rPr>
              <w:t>期初持 有股票 期权数 量</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6" w:right="65"/>
              <w:jc w:val="both"/>
              <w:rPr>
                <w:rFonts w:ascii="宋体" w:hAnsi="宋体" w:cs="宋体" w:eastAsia="宋体" w:hint="default"/>
                <w:sz w:val="18"/>
                <w:szCs w:val="18"/>
              </w:rPr>
            </w:pPr>
            <w:r>
              <w:rPr>
                <w:rFonts w:ascii="宋体" w:hAnsi="宋体" w:cs="宋体" w:eastAsia="宋体" w:hint="default"/>
                <w:sz w:val="18"/>
                <w:szCs w:val="18"/>
              </w:rPr>
              <w:t>其中： 被授予 的限制 性股票 数量</w:t>
            </w:r>
          </w:p>
          <w:p>
            <w:pPr>
              <w:pStyle w:val="TableParagraph"/>
              <w:spacing w:line="240" w:lineRule="auto" w:before="20"/>
              <w:ind w:left="66"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66" w:firstLine="43"/>
              <w:jc w:val="both"/>
              <w:rPr>
                <w:rFonts w:ascii="宋体" w:hAnsi="宋体" w:cs="宋体" w:eastAsia="宋体" w:hint="default"/>
                <w:sz w:val="18"/>
                <w:szCs w:val="18"/>
              </w:rPr>
            </w:pPr>
            <w:r>
              <w:rPr>
                <w:rFonts w:ascii="宋体" w:hAnsi="宋体" w:cs="宋体" w:eastAsia="宋体" w:hint="default"/>
                <w:sz w:val="18"/>
                <w:szCs w:val="18"/>
              </w:rPr>
              <w:t>期末持 有股票 期权数 量</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变动原 因</w:t>
            </w:r>
          </w:p>
        </w:tc>
      </w:tr>
      <w:tr>
        <w:trPr>
          <w:trHeight w:val="1026"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37,500,</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37,500,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王麒诚</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董事、 总经理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蔡福益</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安小民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王艳</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董事、 副总经 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尹於舜</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姚铮</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寿邹</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吴兰</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李嫣</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683"/>
        <w:gridCol w:w="683"/>
        <w:gridCol w:w="683"/>
        <w:gridCol w:w="683"/>
        <w:gridCol w:w="683"/>
        <w:gridCol w:w="684"/>
        <w:gridCol w:w="683"/>
        <w:gridCol w:w="683"/>
        <w:gridCol w:w="684"/>
        <w:gridCol w:w="684"/>
        <w:gridCol w:w="683"/>
        <w:gridCol w:w="683"/>
        <w:gridCol w:w="684"/>
        <w:gridCol w:w="683"/>
      </w:tblGrid>
      <w:tr>
        <w:trPr>
          <w:trHeight w:val="362" w:hRule="exact"/>
        </w:trPr>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林韵强</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46</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2" w:hRule="exact"/>
        </w:trPr>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周红晶</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职工监 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王维山</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338"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王丽平</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副总经 理、董 事会秘 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王智斌</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财务总 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b/>
          <w:bCs/>
          <w:sz w:val="18"/>
          <w:szCs w:val="18"/>
        </w:rPr>
      </w:pPr>
    </w:p>
    <w:p>
      <w:pPr>
        <w:pStyle w:val="Heading2"/>
        <w:spacing w:line="240" w:lineRule="auto" w:before="26"/>
        <w:ind w:right="91"/>
        <w:jc w:val="left"/>
        <w:rPr>
          <w:b w:val="0"/>
          <w:bCs w:val="0"/>
        </w:rPr>
      </w:pPr>
      <w:r>
        <w:rPr/>
        <w:t>二、任职情况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
        <w:jc w:val="left"/>
      </w:pPr>
      <w:r>
        <w:rPr/>
        <w:t>公司现任董事、监事、高级管理人员最近</w:t>
      </w:r>
      <w:r>
        <w:rPr>
          <w:spacing w:val="-46"/>
        </w:rPr>
        <w:t> </w:t>
      </w:r>
      <w:r>
        <w:rPr/>
        <w:t>5</w:t>
      </w:r>
      <w:r>
        <w:rPr>
          <w:spacing w:val="-46"/>
        </w:rPr>
        <w:t> </w:t>
      </w:r>
      <w:r>
        <w:rPr/>
        <w:t>年的主要工作经历</w:t>
      </w:r>
    </w:p>
    <w:p>
      <w:pPr>
        <w:pStyle w:val="Heading3"/>
        <w:spacing w:line="240" w:lineRule="auto" w:before="89"/>
        <w:ind w:right="91"/>
        <w:jc w:val="left"/>
        <w:rPr>
          <w:b w:val="0"/>
          <w:bCs w:val="0"/>
        </w:rPr>
      </w:pPr>
      <w:r>
        <w:rPr/>
        <w:t>（一）董事</w:t>
      </w:r>
      <w:r>
        <w:rPr>
          <w:b w:val="0"/>
          <w:bCs w:val="0"/>
        </w:rPr>
      </w:r>
    </w:p>
    <w:p>
      <w:pPr>
        <w:pStyle w:val="BodyText"/>
        <w:spacing w:line="319" w:lineRule="auto" w:before="103"/>
        <w:ind w:right="179" w:firstLine="424"/>
        <w:jc w:val="left"/>
      </w:pPr>
      <w:r>
        <w:rPr/>
        <w:t>1、吴艳，女，董事长，1981</w:t>
      </w:r>
      <w:r>
        <w:rPr>
          <w:spacing w:val="-46"/>
        </w:rPr>
        <w:t> </w:t>
      </w:r>
      <w:r>
        <w:rPr/>
        <w:t>年出生，硕士，经济师。2010</w:t>
      </w:r>
      <w:r>
        <w:rPr>
          <w:spacing w:val="-46"/>
        </w:rPr>
        <w:t> </w:t>
      </w:r>
      <w:r>
        <w:rPr/>
        <w:t>年</w:t>
      </w:r>
      <w:r>
        <w:rPr>
          <w:spacing w:val="-46"/>
        </w:rPr>
        <w:t> </w:t>
      </w:r>
      <w:r>
        <w:rPr/>
        <w:t>4</w:t>
      </w:r>
      <w:r>
        <w:rPr>
          <w:spacing w:val="-46"/>
        </w:rPr>
        <w:t> </w:t>
      </w:r>
      <w:r>
        <w:rPr/>
        <w:t>月至今任本公司董事长，</w:t>
      </w:r>
      <w:r>
        <w:rPr>
          <w:spacing w:val="1"/>
        </w:rPr>
        <w:t> </w:t>
      </w:r>
      <w:r>
        <w:rPr>
          <w:spacing w:val="14"/>
        </w:rPr>
        <w:t>2010年6</w:t>
      </w:r>
      <w:r>
        <w:rPr>
          <w:spacing w:val="-46"/>
        </w:rPr>
        <w:t> </w:t>
      </w:r>
      <w:r>
        <w:rPr/>
        <w:t>月至今任汉爵科</w:t>
      </w:r>
      <w:r>
        <w:rPr/>
        <w:t> 技执行董事兼总经理，2010</w:t>
      </w:r>
      <w:r>
        <w:rPr>
          <w:spacing w:val="-50"/>
        </w:rPr>
        <w:t> </w:t>
      </w:r>
      <w:r>
        <w:rPr/>
        <w:t>年</w:t>
      </w:r>
      <w:r>
        <w:rPr>
          <w:spacing w:val="-50"/>
        </w:rPr>
        <w:t> </w:t>
      </w:r>
      <w:r>
        <w:rPr/>
        <w:t>12</w:t>
      </w:r>
      <w:r>
        <w:rPr>
          <w:spacing w:val="-50"/>
        </w:rPr>
        <w:t> </w:t>
      </w:r>
      <w:r>
        <w:rPr/>
        <w:t>月至今任青悠安和广告监事，2012</w:t>
      </w:r>
      <w:r>
        <w:rPr>
          <w:spacing w:val="-50"/>
        </w:rPr>
        <w:t> </w:t>
      </w:r>
      <w:r>
        <w:rPr/>
        <w:t>年</w:t>
      </w:r>
      <w:r>
        <w:rPr>
          <w:spacing w:val="-49"/>
        </w:rPr>
        <w:t> </w:t>
      </w:r>
      <w:r>
        <w:rPr/>
        <w:t>9</w:t>
      </w:r>
      <w:r>
        <w:rPr>
          <w:spacing w:val="-50"/>
        </w:rPr>
        <w:t> </w:t>
      </w:r>
      <w:r>
        <w:rPr/>
        <w:t>月至今任上海汉鼎董事，2012</w:t>
      </w:r>
      <w:r>
        <w:rPr>
          <w:spacing w:val="-50"/>
        </w:rPr>
        <w:t> </w:t>
      </w:r>
      <w:r>
        <w:rPr/>
        <w:t>年</w:t>
      </w:r>
      <w:r>
        <w:rPr>
          <w:spacing w:val="-50"/>
        </w:rPr>
        <w:t> </w:t>
      </w:r>
      <w:r>
        <w:rPr/>
        <w:t>12</w:t>
      </w:r>
      <w:r>
        <w:rPr>
          <w:spacing w:val="-50"/>
        </w:rPr>
        <w:t> </w:t>
      </w:r>
      <w:r>
        <w:rPr/>
        <w:t>月至今任伊言</w:t>
      </w:r>
      <w:r>
        <w:rPr/>
        <w:t> 糖影视监事。</w:t>
      </w:r>
    </w:p>
    <w:p>
      <w:pPr>
        <w:pStyle w:val="BodyText"/>
        <w:spacing w:line="319" w:lineRule="auto" w:before="55"/>
        <w:ind w:right="191" w:firstLine="424"/>
        <w:jc w:val="both"/>
      </w:pPr>
      <w:r>
        <w:rPr/>
        <w:t>2、王麒诚，男，董事，1980</w:t>
      </w:r>
      <w:r>
        <w:rPr>
          <w:spacing w:val="-47"/>
        </w:rPr>
        <w:t> </w:t>
      </w:r>
      <w:r>
        <w:rPr/>
        <w:t>年出生，EMBA</w:t>
      </w:r>
      <w:r>
        <w:rPr>
          <w:spacing w:val="-47"/>
        </w:rPr>
        <w:t> </w:t>
      </w:r>
      <w:r>
        <w:rPr>
          <w:spacing w:val="5"/>
        </w:rPr>
        <w:t>在读，工程师，2009年6</w:t>
      </w:r>
      <w:r>
        <w:rPr>
          <w:spacing w:val="-47"/>
        </w:rPr>
        <w:t> </w:t>
      </w:r>
      <w:r>
        <w:rPr>
          <w:spacing w:val="3"/>
        </w:rPr>
        <w:t>月至今任本公司董事、总经理，2012年9</w:t>
      </w:r>
      <w:r>
        <w:rPr>
          <w:spacing w:val="-47"/>
        </w:rPr>
        <w:t> </w:t>
      </w:r>
      <w:r>
        <w:rPr/>
        <w:t>月至今</w:t>
      </w:r>
      <w:r>
        <w:rPr/>
        <w:t> 任上海汉鼎董事长，2012</w:t>
      </w:r>
      <w:r>
        <w:rPr>
          <w:spacing w:val="-46"/>
        </w:rPr>
        <w:t> </w:t>
      </w:r>
      <w:r>
        <w:rPr/>
        <w:t>年</w:t>
      </w:r>
      <w:r>
        <w:rPr>
          <w:spacing w:val="-45"/>
        </w:rPr>
        <w:t> </w:t>
      </w:r>
      <w:r>
        <w:rPr/>
        <w:t>10</w:t>
      </w:r>
      <w:r>
        <w:rPr>
          <w:spacing w:val="-46"/>
        </w:rPr>
        <w:t> </w:t>
      </w:r>
      <w:r>
        <w:rPr/>
        <w:t>月至今任汉鼎集团执行董事，2012</w:t>
      </w:r>
      <w:r>
        <w:rPr>
          <w:spacing w:val="-46"/>
        </w:rPr>
        <w:t> </w:t>
      </w:r>
      <w:r>
        <w:rPr/>
        <w:t>年</w:t>
      </w:r>
      <w:r>
        <w:rPr>
          <w:spacing w:val="-46"/>
        </w:rPr>
        <w:t> </w:t>
      </w:r>
      <w:r>
        <w:rPr/>
        <w:t>12</w:t>
      </w:r>
      <w:r>
        <w:rPr>
          <w:spacing w:val="-45"/>
        </w:rPr>
        <w:t> </w:t>
      </w:r>
      <w:r>
        <w:rPr/>
        <w:t>月至今任卓业投资执行董事，2012</w:t>
      </w:r>
      <w:r>
        <w:rPr>
          <w:spacing w:val="-46"/>
        </w:rPr>
        <w:t> </w:t>
      </w:r>
      <w:r>
        <w:rPr/>
        <w:t>年</w:t>
      </w:r>
      <w:r>
        <w:rPr>
          <w:spacing w:val="-46"/>
        </w:rPr>
        <w:t> </w:t>
      </w:r>
      <w:r>
        <w:rPr/>
        <w:t>12</w:t>
      </w:r>
      <w:r>
        <w:rPr>
          <w:spacing w:val="-46"/>
        </w:rPr>
        <w:t> </w:t>
      </w:r>
      <w:r>
        <w:rPr/>
        <w:t>月至今任</w:t>
      </w:r>
      <w:r>
        <w:rPr/>
        <w:t> 宝翔科技执行董事。</w:t>
      </w:r>
    </w:p>
    <w:p>
      <w:pPr>
        <w:pStyle w:val="BodyText"/>
        <w:spacing w:line="316" w:lineRule="auto" w:before="55"/>
        <w:ind w:right="89" w:firstLine="424"/>
        <w:jc w:val="left"/>
      </w:pPr>
      <w:r>
        <w:rPr/>
        <w:t>3、蔡福益，男，董事，1963</w:t>
      </w:r>
      <w:r>
        <w:rPr>
          <w:spacing w:val="-48"/>
        </w:rPr>
        <w:t> </w:t>
      </w:r>
      <w:r>
        <w:rPr/>
        <w:t>年生，大专。2010</w:t>
      </w:r>
      <w:r>
        <w:rPr>
          <w:spacing w:val="-48"/>
        </w:rPr>
        <w:t> </w:t>
      </w:r>
      <w:r>
        <w:rPr/>
        <w:t>年</w:t>
      </w:r>
      <w:r>
        <w:rPr>
          <w:spacing w:val="-48"/>
        </w:rPr>
        <w:t> </w:t>
      </w:r>
      <w:r>
        <w:rPr/>
        <w:t>4</w:t>
      </w:r>
      <w:r>
        <w:rPr>
          <w:spacing w:val="-48"/>
        </w:rPr>
        <w:t> </w:t>
      </w:r>
      <w:r>
        <w:rPr>
          <w:spacing w:val="5"/>
        </w:rPr>
        <w:t>月至今任本公司董事，2002年5</w:t>
      </w:r>
      <w:r>
        <w:rPr>
          <w:spacing w:val="-48"/>
        </w:rPr>
        <w:t> </w:t>
      </w:r>
      <w:r>
        <w:rPr/>
        <w:t>月至今任华润房产董事长，2002</w:t>
      </w:r>
      <w:r>
        <w:rPr/>
        <w:t> 年</w:t>
      </w:r>
      <w:r>
        <w:rPr>
          <w:spacing w:val="-43"/>
        </w:rPr>
        <w:t> </w:t>
      </w:r>
      <w:r>
        <w:rPr/>
        <w:t>9</w:t>
      </w:r>
      <w:r>
        <w:rPr>
          <w:spacing w:val="-43"/>
        </w:rPr>
        <w:t> </w:t>
      </w:r>
      <w:r>
        <w:rPr>
          <w:spacing w:val="-6"/>
        </w:rPr>
        <w:t>月至今任玄坛源实业董事，2003</w:t>
      </w:r>
      <w:r>
        <w:rPr>
          <w:spacing w:val="-43"/>
        </w:rPr>
        <w:t> </w:t>
      </w:r>
      <w:r>
        <w:rPr/>
        <w:t>年</w:t>
      </w:r>
      <w:r>
        <w:rPr>
          <w:spacing w:val="-42"/>
        </w:rPr>
        <w:t> </w:t>
      </w:r>
      <w:r>
        <w:rPr/>
        <w:t>5</w:t>
      </w:r>
      <w:r>
        <w:rPr>
          <w:spacing w:val="-43"/>
        </w:rPr>
        <w:t> </w:t>
      </w:r>
      <w:r>
        <w:rPr>
          <w:spacing w:val="-5"/>
        </w:rPr>
        <w:t>月至今任华众房产董事长兼总经理，2005</w:t>
      </w:r>
      <w:r>
        <w:rPr>
          <w:spacing w:val="-43"/>
        </w:rPr>
        <w:t> </w:t>
      </w:r>
      <w:r>
        <w:rPr/>
        <w:t>年</w:t>
      </w:r>
      <w:r>
        <w:rPr>
          <w:spacing w:val="-43"/>
        </w:rPr>
        <w:t> </w:t>
      </w:r>
      <w:r>
        <w:rPr/>
        <w:t>12</w:t>
      </w:r>
      <w:r>
        <w:rPr>
          <w:spacing w:val="-43"/>
        </w:rPr>
        <w:t> </w:t>
      </w:r>
      <w:r>
        <w:rPr/>
        <w:t>月至今任百家乐房产董事兼总经理，</w:t>
      </w:r>
    </w:p>
    <w:p>
      <w:pPr>
        <w:pStyle w:val="BodyText"/>
        <w:spacing w:line="240" w:lineRule="auto" w:before="20"/>
        <w:ind w:right="91"/>
        <w:jc w:val="left"/>
      </w:pPr>
      <w:r>
        <w:rPr>
          <w:spacing w:val="14"/>
        </w:rPr>
        <w:t>2007年4</w:t>
      </w:r>
      <w:r>
        <w:rPr>
          <w:spacing w:val="-46"/>
        </w:rPr>
        <w:t> </w:t>
      </w:r>
      <w:r>
        <w:rPr/>
        <w:t>月至今任国润房产董事长，2007</w:t>
      </w:r>
      <w:r>
        <w:rPr>
          <w:spacing w:val="-46"/>
        </w:rPr>
        <w:t> </w:t>
      </w:r>
      <w:r>
        <w:rPr/>
        <w:t>年</w:t>
      </w:r>
      <w:r>
        <w:rPr>
          <w:spacing w:val="-46"/>
        </w:rPr>
        <w:t> </w:t>
      </w:r>
      <w:r>
        <w:rPr/>
        <w:t>7</w:t>
      </w:r>
      <w:r>
        <w:rPr>
          <w:spacing w:val="-46"/>
        </w:rPr>
        <w:t> </w:t>
      </w:r>
      <w:r>
        <w:rPr/>
        <w:t>月至今任保昌科技董事，</w:t>
      </w:r>
      <w:r>
        <w:rPr>
          <w:spacing w:val="1"/>
        </w:rPr>
        <w:t> </w:t>
      </w:r>
      <w:r>
        <w:rPr/>
        <w:t>2010</w:t>
      </w:r>
      <w:r>
        <w:rPr>
          <w:spacing w:val="-46"/>
        </w:rPr>
        <w:t> </w:t>
      </w:r>
      <w:r>
        <w:rPr/>
        <w:t>年</w:t>
      </w:r>
      <w:r>
        <w:rPr>
          <w:spacing w:val="-46"/>
        </w:rPr>
        <w:t> </w:t>
      </w:r>
      <w:r>
        <w:rPr/>
        <w:t>11</w:t>
      </w:r>
      <w:r>
        <w:rPr>
          <w:spacing w:val="-45"/>
        </w:rPr>
        <w:t> </w:t>
      </w:r>
      <w:r>
        <w:rPr/>
        <w:t>月至今任都城实业执行董事兼总经理。</w:t>
      </w:r>
    </w:p>
    <w:p>
      <w:pPr>
        <w:pStyle w:val="BodyText"/>
        <w:spacing w:line="319" w:lineRule="auto" w:before="116"/>
        <w:ind w:right="189" w:firstLine="424"/>
        <w:jc w:val="left"/>
      </w:pPr>
      <w:r>
        <w:rPr/>
        <w:t>4、安小民，男，董事，1951</w:t>
      </w:r>
      <w:r>
        <w:rPr>
          <w:spacing w:val="-49"/>
        </w:rPr>
        <w:t> </w:t>
      </w:r>
      <w:r>
        <w:rPr/>
        <w:t>年生，本科，工程师。2009</w:t>
      </w:r>
      <w:r>
        <w:rPr>
          <w:spacing w:val="-49"/>
        </w:rPr>
        <w:t> </w:t>
      </w:r>
      <w:r>
        <w:rPr/>
        <w:t>年</w:t>
      </w:r>
      <w:r>
        <w:rPr>
          <w:spacing w:val="-49"/>
        </w:rPr>
        <w:t> </w:t>
      </w:r>
      <w:r>
        <w:rPr/>
        <w:t>6</w:t>
      </w:r>
      <w:r>
        <w:rPr>
          <w:spacing w:val="-49"/>
        </w:rPr>
        <w:t> </w:t>
      </w:r>
      <w:r>
        <w:rPr/>
        <w:t>月至今任公司董事，1998</w:t>
      </w:r>
      <w:r>
        <w:rPr>
          <w:spacing w:val="-49"/>
        </w:rPr>
        <w:t> </w:t>
      </w:r>
      <w:r>
        <w:rPr/>
        <w:t>年</w:t>
      </w:r>
      <w:r>
        <w:rPr>
          <w:spacing w:val="-49"/>
        </w:rPr>
        <w:t> </w:t>
      </w:r>
      <w:r>
        <w:rPr/>
        <w:t>7</w:t>
      </w:r>
      <w:r>
        <w:rPr>
          <w:spacing w:val="-49"/>
        </w:rPr>
        <w:t> </w:t>
      </w:r>
      <w:r>
        <w:rPr/>
        <w:t>月至今任淳安千岛湖西园</w:t>
      </w:r>
      <w:r>
        <w:rPr/>
        <w:t> 房地产有限公司监事， 2010</w:t>
      </w:r>
      <w:r>
        <w:rPr>
          <w:spacing w:val="-46"/>
        </w:rPr>
        <w:t> </w:t>
      </w:r>
      <w:r>
        <w:rPr/>
        <w:t>年</w:t>
      </w:r>
      <w:r>
        <w:rPr>
          <w:spacing w:val="-46"/>
        </w:rPr>
        <w:t> </w:t>
      </w:r>
      <w:r>
        <w:rPr/>
        <w:t>5</w:t>
      </w:r>
      <w:r>
        <w:rPr>
          <w:spacing w:val="-46"/>
        </w:rPr>
        <w:t> </w:t>
      </w:r>
      <w:r>
        <w:rPr/>
        <w:t>月至今任正维投资监事，2012</w:t>
      </w:r>
      <w:r>
        <w:rPr>
          <w:spacing w:val="-46"/>
        </w:rPr>
        <w:t> </w:t>
      </w:r>
      <w:r>
        <w:rPr/>
        <w:t>年</w:t>
      </w:r>
      <w:r>
        <w:rPr>
          <w:spacing w:val="-46"/>
        </w:rPr>
        <w:t> </w:t>
      </w:r>
      <w:r>
        <w:rPr/>
        <w:t>12</w:t>
      </w:r>
      <w:r>
        <w:rPr>
          <w:spacing w:val="-46"/>
        </w:rPr>
        <w:t> </w:t>
      </w:r>
      <w:r>
        <w:rPr/>
        <w:t>月至今任卓业投资经理。</w:t>
      </w:r>
    </w:p>
    <w:p>
      <w:pPr>
        <w:pStyle w:val="BodyText"/>
        <w:spacing w:line="319" w:lineRule="auto" w:before="55"/>
        <w:ind w:right="257" w:firstLine="424"/>
        <w:jc w:val="left"/>
      </w:pPr>
      <w:r>
        <w:rPr/>
        <w:t>5、王艳，女，董事，1979</w:t>
      </w:r>
      <w:r>
        <w:rPr>
          <w:spacing w:val="-46"/>
        </w:rPr>
        <w:t> </w:t>
      </w:r>
      <w:r>
        <w:rPr/>
        <w:t>年生，大专，助理会计师。2003</w:t>
      </w:r>
      <w:r>
        <w:rPr>
          <w:spacing w:val="-46"/>
        </w:rPr>
        <w:t> </w:t>
      </w:r>
      <w:r>
        <w:rPr/>
        <w:t>年</w:t>
      </w:r>
      <w:r>
        <w:rPr>
          <w:spacing w:val="-46"/>
        </w:rPr>
        <w:t> </w:t>
      </w:r>
      <w:r>
        <w:rPr/>
        <w:t>11</w:t>
      </w:r>
      <w:r>
        <w:rPr>
          <w:spacing w:val="-46"/>
        </w:rPr>
        <w:t> </w:t>
      </w:r>
      <w:r>
        <w:rPr/>
        <w:t>月至今任公司副总经理，2009</w:t>
      </w:r>
      <w:r>
        <w:rPr>
          <w:spacing w:val="-46"/>
        </w:rPr>
        <w:t> </w:t>
      </w:r>
      <w:r>
        <w:rPr/>
        <w:t>年</w:t>
      </w:r>
      <w:r>
        <w:rPr>
          <w:spacing w:val="-46"/>
        </w:rPr>
        <w:t> </w:t>
      </w:r>
      <w:r>
        <w:rPr/>
        <w:t>6</w:t>
      </w:r>
      <w:r>
        <w:rPr>
          <w:spacing w:val="-45"/>
        </w:rPr>
        <w:t> </w:t>
      </w:r>
      <w:r>
        <w:rPr/>
        <w:t>月至今任公司董</w:t>
      </w:r>
      <w:r>
        <w:rPr/>
        <w:t> </w:t>
      </w:r>
      <w:r>
        <w:rPr>
          <w:spacing w:val="6"/>
        </w:rPr>
        <w:t>事、行政总监，2010年7</w:t>
      </w:r>
      <w:r>
        <w:rPr>
          <w:spacing w:val="-36"/>
        </w:rPr>
        <w:t> </w:t>
      </w:r>
      <w:r>
        <w:rPr/>
        <w:t>月至今任汉爵科技监事。</w:t>
      </w:r>
    </w:p>
    <w:p>
      <w:pPr>
        <w:pStyle w:val="BodyText"/>
        <w:spacing w:line="240" w:lineRule="auto" w:before="55"/>
        <w:ind w:left="578" w:right="91"/>
        <w:jc w:val="left"/>
      </w:pPr>
      <w:r>
        <w:rPr/>
        <w:t>6、尹於舜，男，董事，1964</w:t>
      </w:r>
      <w:r>
        <w:rPr>
          <w:spacing w:val="-44"/>
        </w:rPr>
        <w:t> </w:t>
      </w:r>
      <w:r>
        <w:rPr/>
        <w:t>年生，博士。2010</w:t>
      </w:r>
      <w:r>
        <w:rPr>
          <w:spacing w:val="-44"/>
        </w:rPr>
        <w:t> </w:t>
      </w:r>
      <w:r>
        <w:rPr/>
        <w:t>年</w:t>
      </w:r>
      <w:r>
        <w:rPr>
          <w:spacing w:val="-44"/>
        </w:rPr>
        <w:t> </w:t>
      </w:r>
      <w:r>
        <w:rPr/>
        <w:t>10</w:t>
      </w:r>
      <w:r>
        <w:rPr>
          <w:spacing w:val="-44"/>
        </w:rPr>
        <w:t> </w:t>
      </w:r>
      <w:r>
        <w:rPr>
          <w:spacing w:val="5"/>
        </w:rPr>
        <w:t>月至今任公司董事，2002年7</w:t>
      </w:r>
      <w:r>
        <w:rPr>
          <w:spacing w:val="-44"/>
        </w:rPr>
        <w:t> </w:t>
      </w:r>
      <w:r>
        <w:rPr/>
        <w:t>月至今任深创投高级投资经理，</w:t>
      </w:r>
    </w:p>
    <w:p>
      <w:pPr>
        <w:pStyle w:val="BodyText"/>
        <w:spacing w:line="240" w:lineRule="auto" w:before="77"/>
        <w:ind w:right="91"/>
        <w:jc w:val="left"/>
      </w:pPr>
      <w:r>
        <w:rPr>
          <w:spacing w:val="14"/>
        </w:rPr>
        <w:t>2008年1</w:t>
      </w:r>
      <w:r>
        <w:rPr>
          <w:spacing w:val="-42"/>
        </w:rPr>
        <w:t> </w:t>
      </w:r>
      <w:r>
        <w:rPr/>
        <w:t>月至今任深创投沪浙片区总经理。</w:t>
      </w:r>
    </w:p>
    <w:p>
      <w:pPr>
        <w:pStyle w:val="BodyText"/>
        <w:spacing w:line="319" w:lineRule="auto" w:before="116"/>
        <w:ind w:right="90" w:firstLine="424"/>
        <w:jc w:val="left"/>
      </w:pPr>
      <w:r>
        <w:rPr/>
        <w:t>7、姚铮，男，独立董事，1957</w:t>
      </w:r>
      <w:r>
        <w:rPr>
          <w:spacing w:val="-48"/>
        </w:rPr>
        <w:t> </w:t>
      </w:r>
      <w:r>
        <w:rPr/>
        <w:t>年生，硕士，教授，博士生导师。2010</w:t>
      </w:r>
      <w:r>
        <w:rPr>
          <w:spacing w:val="-48"/>
        </w:rPr>
        <w:t> </w:t>
      </w:r>
      <w:r>
        <w:rPr/>
        <w:t>年</w:t>
      </w:r>
      <w:r>
        <w:rPr>
          <w:spacing w:val="-47"/>
        </w:rPr>
        <w:t> </w:t>
      </w:r>
      <w:r>
        <w:rPr/>
        <w:t>12</w:t>
      </w:r>
      <w:r>
        <w:rPr>
          <w:spacing w:val="-48"/>
        </w:rPr>
        <w:t> </w:t>
      </w:r>
      <w:r>
        <w:rPr/>
        <w:t>月至今任公司独立董事，2003</w:t>
      </w:r>
      <w:r>
        <w:rPr>
          <w:spacing w:val="-48"/>
        </w:rPr>
        <w:t> </w:t>
      </w:r>
      <w:r>
        <w:rPr/>
        <w:t>年</w:t>
      </w:r>
      <w:r>
        <w:rPr>
          <w:spacing w:val="-48"/>
        </w:rPr>
        <w:t> </w:t>
      </w:r>
      <w:r>
        <w:rPr/>
        <w:t>12</w:t>
      </w:r>
      <w:r>
        <w:rPr>
          <w:spacing w:val="-48"/>
        </w:rPr>
        <w:t> </w:t>
      </w:r>
      <w:r>
        <w:rPr/>
        <w:t>月至</w:t>
      </w:r>
      <w:r>
        <w:rPr/>
        <w:t> 今任浙江大学管理学院教授、会计与财务管理系副主任（主持）、财务与会计研究所所长、资本市场与会计研究中心主任， </w:t>
      </w:r>
      <w:r>
        <w:rPr>
          <w:spacing w:val="14"/>
        </w:rPr>
        <w:t>2008年4</w:t>
      </w:r>
      <w:r>
        <w:rPr>
          <w:spacing w:val="-45"/>
        </w:rPr>
        <w:t> </w:t>
      </w:r>
      <w:r>
        <w:rPr/>
        <w:t>月至今任民丰特种纸股份有限公司独立董事，2010</w:t>
      </w:r>
      <w:r>
        <w:rPr>
          <w:spacing w:val="-45"/>
        </w:rPr>
        <w:t> </w:t>
      </w:r>
      <w:r>
        <w:rPr/>
        <w:t>年</w:t>
      </w:r>
      <w:r>
        <w:rPr>
          <w:spacing w:val="-45"/>
        </w:rPr>
        <w:t> </w:t>
      </w:r>
      <w:r>
        <w:rPr/>
        <w:t>12</w:t>
      </w:r>
      <w:r>
        <w:rPr>
          <w:spacing w:val="-45"/>
        </w:rPr>
        <w:t> </w:t>
      </w:r>
      <w:r>
        <w:rPr/>
        <w:t>月至今任《中国会计评论》理事会理事。</w:t>
      </w:r>
    </w:p>
    <w:p>
      <w:pPr>
        <w:spacing w:line="273" w:lineRule="auto" w:before="30"/>
        <w:ind w:left="153" w:right="185" w:firstLine="424"/>
        <w:jc w:val="left"/>
        <w:rPr>
          <w:rFonts w:ascii="宋体" w:hAnsi="宋体" w:cs="宋体" w:eastAsia="宋体" w:hint="default"/>
          <w:sz w:val="21"/>
          <w:szCs w:val="21"/>
        </w:rPr>
      </w:pPr>
      <w:r>
        <w:rPr>
          <w:rFonts w:ascii="宋体" w:hAnsi="宋体" w:cs="宋体" w:eastAsia="宋体" w:hint="default"/>
          <w:spacing w:val="-4"/>
          <w:sz w:val="18"/>
          <w:szCs w:val="18"/>
        </w:rPr>
        <w:t>8、寿邹，男，独立董事，1976</w:t>
      </w:r>
      <w:r>
        <w:rPr>
          <w:rFonts w:ascii="宋体" w:hAnsi="宋体" w:cs="宋体" w:eastAsia="宋体" w:hint="default"/>
          <w:spacing w:val="-46"/>
          <w:sz w:val="18"/>
          <w:szCs w:val="18"/>
        </w:rPr>
        <w:t> </w:t>
      </w:r>
      <w:r>
        <w:rPr>
          <w:rFonts w:ascii="宋体" w:hAnsi="宋体" w:cs="宋体" w:eastAsia="宋体" w:hint="default"/>
          <w:spacing w:val="-3"/>
          <w:sz w:val="18"/>
          <w:szCs w:val="18"/>
        </w:rPr>
        <w:t>年生，硕士，CFA。2010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月至今任公司独立董事，2004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z w:val="21"/>
          <w:szCs w:val="21"/>
        </w:rPr>
        <w:t>今任浙江网盛</w:t>
      </w:r>
      <w:r>
        <w:rPr>
          <w:rFonts w:ascii="宋体" w:hAnsi="宋体" w:cs="宋体" w:eastAsia="宋体" w:hint="default"/>
          <w:spacing w:val="1"/>
          <w:sz w:val="21"/>
          <w:szCs w:val="21"/>
        </w:rPr>
        <w:t> </w:t>
      </w:r>
      <w:r>
        <w:rPr>
          <w:rFonts w:ascii="宋体" w:hAnsi="宋体" w:cs="宋体" w:eastAsia="宋体" w:hint="default"/>
          <w:sz w:val="21"/>
          <w:szCs w:val="21"/>
        </w:rPr>
        <w:t>生意宝股份有限公司董事、副总经理，2007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月至今任浙江帝龙新材股份有限公司独立董事。</w:t>
      </w:r>
    </w:p>
    <w:p>
      <w:pPr>
        <w:spacing w:after="0" w:line="273" w:lineRule="auto"/>
        <w:jc w:val="left"/>
        <w:rPr>
          <w:rFonts w:ascii="宋体" w:hAnsi="宋体" w:cs="宋体" w:eastAsia="宋体" w:hint="default"/>
          <w:sz w:val="21"/>
          <w:szCs w:val="21"/>
        </w:rPr>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9" w:lineRule="auto" w:before="44"/>
        <w:ind w:left="153" w:right="187" w:firstLine="424"/>
        <w:jc w:val="left"/>
      </w:pPr>
      <w:r>
        <w:rPr/>
        <w:t>9、吴兰，女，独立董事，1967</w:t>
      </w:r>
      <w:r>
        <w:rPr>
          <w:spacing w:val="-46"/>
        </w:rPr>
        <w:t> </w:t>
      </w:r>
      <w:r>
        <w:rPr/>
        <w:t>年生，博士，教授。2010</w:t>
      </w:r>
      <w:r>
        <w:rPr>
          <w:spacing w:val="-46"/>
        </w:rPr>
        <w:t> </w:t>
      </w:r>
      <w:r>
        <w:rPr/>
        <w:t>年</w:t>
      </w:r>
      <w:r>
        <w:rPr>
          <w:spacing w:val="-45"/>
        </w:rPr>
        <w:t> </w:t>
      </w:r>
      <w:r>
        <w:rPr/>
        <w:t>12</w:t>
      </w:r>
      <w:r>
        <w:rPr>
          <w:spacing w:val="-46"/>
        </w:rPr>
        <w:t> </w:t>
      </w:r>
      <w:r>
        <w:rPr/>
        <w:t>月至今任公司独立董事，1999</w:t>
      </w:r>
      <w:r>
        <w:rPr>
          <w:spacing w:val="-46"/>
        </w:rPr>
        <w:t> </w:t>
      </w:r>
      <w:r>
        <w:rPr/>
        <w:t>年</w:t>
      </w:r>
      <w:r>
        <w:rPr>
          <w:spacing w:val="-46"/>
        </w:rPr>
        <w:t> </w:t>
      </w:r>
      <w:r>
        <w:rPr/>
        <w:t>9</w:t>
      </w:r>
      <w:r>
        <w:rPr>
          <w:spacing w:val="-46"/>
        </w:rPr>
        <w:t> </w:t>
      </w:r>
      <w:r>
        <w:rPr/>
        <w:t>月至今任浙江大学</w:t>
      </w:r>
      <w:r>
        <w:rPr/>
        <w:t> 现代光学仪器国家重点实验室副主任，2001</w:t>
      </w:r>
      <w:r>
        <w:rPr>
          <w:spacing w:val="-46"/>
        </w:rPr>
        <w:t> </w:t>
      </w:r>
      <w:r>
        <w:rPr/>
        <w:t>年</w:t>
      </w:r>
      <w:r>
        <w:rPr>
          <w:spacing w:val="-46"/>
        </w:rPr>
        <w:t> </w:t>
      </w:r>
      <w:r>
        <w:rPr/>
        <w:t>12</w:t>
      </w:r>
      <w:r>
        <w:rPr>
          <w:spacing w:val="-46"/>
        </w:rPr>
        <w:t> </w:t>
      </w:r>
      <w:r>
        <w:rPr/>
        <w:t>月至今任浙江大学光电信息工程学系教授，2002</w:t>
      </w:r>
      <w:r>
        <w:rPr>
          <w:spacing w:val="-46"/>
        </w:rPr>
        <w:t> </w:t>
      </w:r>
      <w:r>
        <w:rPr/>
        <w:t>年</w:t>
      </w:r>
      <w:r>
        <w:rPr>
          <w:spacing w:val="-46"/>
        </w:rPr>
        <w:t> </w:t>
      </w:r>
      <w:r>
        <w:rPr/>
        <w:t>12</w:t>
      </w:r>
      <w:r>
        <w:rPr>
          <w:spacing w:val="-46"/>
        </w:rPr>
        <w:t> </w:t>
      </w:r>
      <w:r>
        <w:rPr/>
        <w:t>月至今任浙江大学</w:t>
      </w:r>
      <w:r>
        <w:rPr/>
        <w:t> 光电信息工程学系博士生导师，2010</w:t>
      </w:r>
      <w:r>
        <w:rPr>
          <w:spacing w:val="-46"/>
        </w:rPr>
        <w:t> </w:t>
      </w:r>
      <w:r>
        <w:rPr/>
        <w:t>年</w:t>
      </w:r>
      <w:r>
        <w:rPr>
          <w:spacing w:val="-46"/>
        </w:rPr>
        <w:t> </w:t>
      </w:r>
      <w:r>
        <w:rPr/>
        <w:t>7</w:t>
      </w:r>
      <w:r>
        <w:rPr>
          <w:spacing w:val="-45"/>
        </w:rPr>
        <w:t> </w:t>
      </w:r>
      <w:r>
        <w:rPr/>
        <w:t>月至今任浙江加州国际纳米技术研究院副院长。</w:t>
      </w:r>
    </w:p>
    <w:p>
      <w:pPr>
        <w:pStyle w:val="Heading3"/>
        <w:spacing w:line="240" w:lineRule="auto" w:before="30"/>
        <w:ind w:right="0"/>
        <w:jc w:val="both"/>
        <w:rPr>
          <w:b w:val="0"/>
          <w:bCs w:val="0"/>
        </w:rPr>
      </w:pPr>
      <w:r>
        <w:rPr/>
        <w:t>（二）监事</w:t>
      </w:r>
      <w:r>
        <w:rPr>
          <w:b w:val="0"/>
          <w:bCs w:val="0"/>
        </w:rPr>
      </w:r>
    </w:p>
    <w:p>
      <w:pPr>
        <w:pStyle w:val="BodyText"/>
        <w:spacing w:line="319" w:lineRule="auto" w:before="103"/>
        <w:ind w:left="153" w:right="183" w:firstLine="424"/>
        <w:jc w:val="left"/>
      </w:pPr>
      <w:r>
        <w:rPr/>
        <w:t>1、李嫣，女，监事会主席，1981</w:t>
      </w:r>
      <w:r>
        <w:rPr>
          <w:spacing w:val="-56"/>
        </w:rPr>
        <w:t> </w:t>
      </w:r>
      <w:r>
        <w:rPr/>
        <w:t>年生，大专，助理人力资源管理师。2010</w:t>
      </w:r>
      <w:r>
        <w:rPr>
          <w:spacing w:val="-56"/>
        </w:rPr>
        <w:t> </w:t>
      </w:r>
      <w:r>
        <w:rPr/>
        <w:t>年</w:t>
      </w:r>
      <w:r>
        <w:rPr>
          <w:spacing w:val="-56"/>
        </w:rPr>
        <w:t> </w:t>
      </w:r>
      <w:r>
        <w:rPr/>
        <w:t>6</w:t>
      </w:r>
      <w:r>
        <w:rPr>
          <w:spacing w:val="-56"/>
        </w:rPr>
        <w:t> </w:t>
      </w:r>
      <w:r>
        <w:rPr/>
        <w:t>月至今任公司监事会主席，2012</w:t>
      </w:r>
      <w:r>
        <w:rPr>
          <w:spacing w:val="-56"/>
        </w:rPr>
        <w:t> </w:t>
      </w:r>
      <w:r>
        <w:rPr/>
        <w:t>年</w:t>
      </w:r>
      <w:r>
        <w:rPr>
          <w:spacing w:val="-56"/>
        </w:rPr>
        <w:t> </w:t>
      </w:r>
      <w:r>
        <w:rPr/>
        <w:t>12</w:t>
      </w:r>
      <w:r>
        <w:rPr/>
        <w:t> 月至今任四川通普监事。</w:t>
      </w:r>
    </w:p>
    <w:p>
      <w:pPr>
        <w:pStyle w:val="BodyText"/>
        <w:spacing w:line="240" w:lineRule="auto" w:before="55"/>
        <w:ind w:left="578" w:right="91"/>
        <w:jc w:val="left"/>
      </w:pPr>
      <w:r>
        <w:rPr/>
        <w:t>2、林韵强，男，监事，1967</w:t>
      </w:r>
      <w:r>
        <w:rPr>
          <w:spacing w:val="-46"/>
        </w:rPr>
        <w:t> </w:t>
      </w:r>
      <w:r>
        <w:rPr/>
        <w:t>年生，EMBA，高级工程师。1998</w:t>
      </w:r>
      <w:r>
        <w:rPr>
          <w:spacing w:val="-46"/>
        </w:rPr>
        <w:t> </w:t>
      </w:r>
      <w:r>
        <w:rPr/>
        <w:t>年</w:t>
      </w:r>
      <w:r>
        <w:rPr>
          <w:spacing w:val="-46"/>
        </w:rPr>
        <w:t> </w:t>
      </w:r>
      <w:r>
        <w:rPr/>
        <w:t>12</w:t>
      </w:r>
      <w:r>
        <w:rPr>
          <w:spacing w:val="-46"/>
        </w:rPr>
        <w:t> </w:t>
      </w:r>
      <w:r>
        <w:rPr/>
        <w:t>月至今任湖州南浔建泰房地产开发有限公司董事，</w:t>
      </w:r>
    </w:p>
    <w:p>
      <w:pPr>
        <w:pStyle w:val="BodyText"/>
        <w:spacing w:line="240" w:lineRule="auto" w:before="76"/>
        <w:ind w:left="153" w:right="0"/>
        <w:jc w:val="both"/>
      </w:pPr>
      <w:r>
        <w:rPr>
          <w:spacing w:val="14"/>
        </w:rPr>
        <w:t>2005年1</w:t>
      </w:r>
      <w:r>
        <w:rPr>
          <w:spacing w:val="-43"/>
        </w:rPr>
        <w:t> </w:t>
      </w:r>
      <w:r>
        <w:rPr>
          <w:spacing w:val="3"/>
        </w:rPr>
        <w:t>月至今任浙江城建物业管理有限公司执行董事，2006年6</w:t>
      </w:r>
      <w:r>
        <w:rPr>
          <w:spacing w:val="-43"/>
        </w:rPr>
        <w:t> </w:t>
      </w:r>
      <w:r>
        <w:rPr/>
        <w:t>月至今任浙江城建董事长兼总经理，</w:t>
      </w:r>
      <w:r>
        <w:rPr>
          <w:spacing w:val="6"/>
        </w:rPr>
        <w:t> </w:t>
      </w:r>
      <w:r>
        <w:rPr>
          <w:spacing w:val="14"/>
        </w:rPr>
        <w:t>2008年9</w:t>
      </w:r>
      <w:r>
        <w:rPr>
          <w:spacing w:val="-43"/>
        </w:rPr>
        <w:t> </w:t>
      </w:r>
      <w:r>
        <w:rPr/>
        <w:t>月至今</w:t>
      </w:r>
    </w:p>
    <w:p>
      <w:pPr>
        <w:pStyle w:val="BodyText"/>
        <w:spacing w:line="319" w:lineRule="auto" w:before="76"/>
        <w:ind w:right="199"/>
        <w:jc w:val="both"/>
      </w:pPr>
      <w:r>
        <w:rPr/>
        <w:t>任浙江城建建设集团设计研究中心有限公司执行董事，2010</w:t>
      </w:r>
      <w:r>
        <w:rPr>
          <w:spacing w:val="-46"/>
        </w:rPr>
        <w:t> </w:t>
      </w:r>
      <w:r>
        <w:rPr/>
        <w:t>年</w:t>
      </w:r>
      <w:r>
        <w:rPr>
          <w:spacing w:val="-46"/>
        </w:rPr>
        <w:t> </w:t>
      </w:r>
      <w:r>
        <w:rPr/>
        <w:t>5</w:t>
      </w:r>
      <w:r>
        <w:rPr>
          <w:spacing w:val="-46"/>
        </w:rPr>
        <w:t> </w:t>
      </w:r>
      <w:r>
        <w:rPr/>
        <w:t>月至今任腾冲中城建旅游产业有限公司董事长，2010</w:t>
      </w:r>
      <w:r>
        <w:rPr>
          <w:spacing w:val="-46"/>
        </w:rPr>
        <w:t> </w:t>
      </w:r>
      <w:r>
        <w:rPr/>
        <w:t>年</w:t>
      </w:r>
      <w:r>
        <w:rPr>
          <w:spacing w:val="-46"/>
        </w:rPr>
        <w:t> </w:t>
      </w:r>
      <w:r>
        <w:rPr/>
        <w:t>6</w:t>
      </w:r>
      <w:r>
        <w:rPr/>
        <w:t> 月至今任公司监事，2010</w:t>
      </w:r>
      <w:r>
        <w:rPr>
          <w:spacing w:val="-40"/>
        </w:rPr>
        <w:t> </w:t>
      </w:r>
      <w:r>
        <w:rPr/>
        <w:t>年</w:t>
      </w:r>
      <w:r>
        <w:rPr>
          <w:spacing w:val="-39"/>
        </w:rPr>
        <w:t> </w:t>
      </w:r>
      <w:r>
        <w:rPr/>
        <w:t>8</w:t>
      </w:r>
      <w:r>
        <w:rPr>
          <w:spacing w:val="-40"/>
        </w:rPr>
        <w:t> </w:t>
      </w:r>
      <w:r>
        <w:rPr>
          <w:spacing w:val="2"/>
        </w:rPr>
        <w:t>月至今任浙江城建建设集团教育咨询有限公司执行董事，2011年7</w:t>
      </w:r>
      <w:r>
        <w:rPr>
          <w:spacing w:val="-40"/>
        </w:rPr>
        <w:t> </w:t>
      </w:r>
      <w:r>
        <w:rPr/>
        <w:t>月至今任浙江锐迪生光电</w:t>
      </w:r>
      <w:r>
        <w:rPr/>
        <w:t> 有限公司执行董事，2011</w:t>
      </w:r>
      <w:r>
        <w:rPr>
          <w:spacing w:val="-46"/>
        </w:rPr>
        <w:t> </w:t>
      </w:r>
      <w:r>
        <w:rPr/>
        <w:t>年</w:t>
      </w:r>
      <w:r>
        <w:rPr>
          <w:spacing w:val="-45"/>
        </w:rPr>
        <w:t> </w:t>
      </w:r>
      <w:r>
        <w:rPr/>
        <w:t>7</w:t>
      </w:r>
      <w:r>
        <w:rPr>
          <w:spacing w:val="-46"/>
        </w:rPr>
        <w:t> </w:t>
      </w:r>
      <w:r>
        <w:rPr/>
        <w:t>月至今任云南风驰城建开发有限公司副董事长，2011</w:t>
      </w:r>
      <w:r>
        <w:rPr>
          <w:spacing w:val="-46"/>
        </w:rPr>
        <w:t> </w:t>
      </w:r>
      <w:r>
        <w:rPr/>
        <w:t>年</w:t>
      </w:r>
      <w:r>
        <w:rPr>
          <w:spacing w:val="-45"/>
        </w:rPr>
        <w:t> </w:t>
      </w:r>
      <w:r>
        <w:rPr/>
        <w:t>8</w:t>
      </w:r>
      <w:r>
        <w:rPr>
          <w:spacing w:val="-46"/>
        </w:rPr>
        <w:t> </w:t>
      </w:r>
      <w:r>
        <w:rPr/>
        <w:t>月至今任杭州浙建股权投资合伙企</w:t>
      </w:r>
      <w:r>
        <w:rPr/>
        <w:t> 业（有限合伙）执行合伙人。</w:t>
      </w:r>
    </w:p>
    <w:p>
      <w:pPr>
        <w:pStyle w:val="BodyText"/>
        <w:spacing w:line="319" w:lineRule="auto" w:before="55"/>
        <w:ind w:right="257" w:firstLine="424"/>
        <w:jc w:val="left"/>
      </w:pPr>
      <w:r>
        <w:rPr/>
        <w:t>3、周红晶，男，职工代表监事，1984</w:t>
      </w:r>
      <w:r>
        <w:rPr>
          <w:spacing w:val="-46"/>
        </w:rPr>
        <w:t> </w:t>
      </w:r>
      <w:r>
        <w:rPr/>
        <w:t>年出生，大学本科学历， 2009</w:t>
      </w:r>
      <w:r>
        <w:rPr>
          <w:spacing w:val="-46"/>
        </w:rPr>
        <w:t> </w:t>
      </w:r>
      <w:r>
        <w:rPr/>
        <w:t>年</w:t>
      </w:r>
      <w:r>
        <w:rPr>
          <w:spacing w:val="-46"/>
        </w:rPr>
        <w:t> </w:t>
      </w:r>
      <w:r>
        <w:rPr/>
        <w:t>6</w:t>
      </w:r>
      <w:r>
        <w:rPr>
          <w:spacing w:val="-46"/>
        </w:rPr>
        <w:t> </w:t>
      </w:r>
      <w:r>
        <w:rPr/>
        <w:t>月至今任公司职工代表监事，2011</w:t>
      </w:r>
      <w:r>
        <w:rPr>
          <w:spacing w:val="-46"/>
        </w:rPr>
        <w:t> </w:t>
      </w:r>
      <w:r>
        <w:rPr/>
        <w:t>年</w:t>
      </w:r>
      <w:r>
        <w:rPr>
          <w:spacing w:val="-45"/>
        </w:rPr>
        <w:t> </w:t>
      </w:r>
      <w:r>
        <w:rPr/>
        <w:t>6</w:t>
      </w:r>
      <w:r>
        <w:rPr>
          <w:spacing w:val="-46"/>
        </w:rPr>
        <w:t> </w:t>
      </w:r>
      <w:r>
        <w:rPr/>
        <w:t>月</w:t>
      </w:r>
      <w:r>
        <w:rPr/>
        <w:t> 至今任西安分公司负责人，2012</w:t>
      </w:r>
      <w:r>
        <w:rPr>
          <w:spacing w:val="-46"/>
        </w:rPr>
        <w:t> </w:t>
      </w:r>
      <w:r>
        <w:rPr/>
        <w:t>年</w:t>
      </w:r>
      <w:r>
        <w:rPr>
          <w:spacing w:val="-46"/>
        </w:rPr>
        <w:t> </w:t>
      </w:r>
      <w:r>
        <w:rPr/>
        <w:t>9</w:t>
      </w:r>
      <w:r>
        <w:rPr>
          <w:spacing w:val="-46"/>
        </w:rPr>
        <w:t> </w:t>
      </w:r>
      <w:r>
        <w:rPr/>
        <w:t>月至今任上海汉鼎监事会主席。</w:t>
      </w:r>
    </w:p>
    <w:p>
      <w:pPr>
        <w:pStyle w:val="Heading3"/>
        <w:spacing w:line="240" w:lineRule="auto" w:before="31"/>
        <w:ind w:right="0"/>
        <w:jc w:val="both"/>
        <w:rPr>
          <w:b w:val="0"/>
          <w:bCs w:val="0"/>
        </w:rPr>
      </w:pPr>
      <w:r>
        <w:rPr/>
        <w:t>（三）高级管理人员</w:t>
      </w:r>
      <w:r>
        <w:rPr>
          <w:b w:val="0"/>
          <w:bCs w:val="0"/>
        </w:rPr>
      </w:r>
    </w:p>
    <w:p>
      <w:pPr>
        <w:pStyle w:val="BodyText"/>
        <w:spacing w:line="240" w:lineRule="auto" w:before="103"/>
        <w:ind w:left="578" w:right="91"/>
        <w:jc w:val="left"/>
      </w:pPr>
      <w:r>
        <w:rPr/>
        <w:t>1、王麒诚先生</w:t>
      </w:r>
      <w:r>
        <w:rPr>
          <w:spacing w:val="-44"/>
        </w:rPr>
        <w:t> </w:t>
      </w:r>
      <w:r>
        <w:rPr>
          <w:spacing w:val="14"/>
        </w:rPr>
        <w:t>2009年6</w:t>
      </w:r>
      <w:r>
        <w:rPr>
          <w:spacing w:val="-44"/>
        </w:rPr>
        <w:t> </w:t>
      </w:r>
      <w:r>
        <w:rPr/>
        <w:t>月至今任公司总经理，简历详见本节中“（1）董事”。</w:t>
      </w:r>
    </w:p>
    <w:p>
      <w:pPr>
        <w:pStyle w:val="BodyText"/>
        <w:spacing w:line="240" w:lineRule="auto" w:before="116"/>
        <w:ind w:left="578" w:right="91"/>
        <w:jc w:val="left"/>
      </w:pPr>
      <w:r>
        <w:rPr/>
        <w:t>2、王艳女士</w:t>
      </w:r>
      <w:r>
        <w:rPr>
          <w:spacing w:val="-46"/>
        </w:rPr>
        <w:t> </w:t>
      </w:r>
      <w:r>
        <w:rPr/>
        <w:t>2003</w:t>
      </w:r>
      <w:r>
        <w:rPr>
          <w:spacing w:val="-46"/>
        </w:rPr>
        <w:t> </w:t>
      </w:r>
      <w:r>
        <w:rPr/>
        <w:t>年</w:t>
      </w:r>
      <w:r>
        <w:rPr>
          <w:spacing w:val="-46"/>
        </w:rPr>
        <w:t> </w:t>
      </w:r>
      <w:r>
        <w:rPr/>
        <w:t>11</w:t>
      </w:r>
      <w:r>
        <w:rPr>
          <w:spacing w:val="-46"/>
        </w:rPr>
        <w:t> </w:t>
      </w:r>
      <w:r>
        <w:rPr/>
        <w:t>月至今任公司副总经理，简历详见本节中“（1）董事”。</w:t>
      </w:r>
    </w:p>
    <w:p>
      <w:pPr>
        <w:pStyle w:val="BodyText"/>
        <w:spacing w:line="319" w:lineRule="auto" w:before="116"/>
        <w:ind w:right="189" w:firstLine="424"/>
        <w:jc w:val="left"/>
      </w:pPr>
      <w:r>
        <w:rPr/>
        <w:t>3、王丽平，女，副总经理，1970</w:t>
      </w:r>
      <w:r>
        <w:rPr>
          <w:spacing w:val="-47"/>
        </w:rPr>
        <w:t> </w:t>
      </w:r>
      <w:r>
        <w:rPr>
          <w:spacing w:val="4"/>
        </w:rPr>
        <w:t>年生，硕士，高级会计师。2010年4</w:t>
      </w:r>
      <w:r>
        <w:rPr>
          <w:spacing w:val="-47"/>
        </w:rPr>
        <w:t> </w:t>
      </w:r>
      <w:r>
        <w:rPr/>
        <w:t>月至今任公司副总经理，2012</w:t>
      </w:r>
      <w:r>
        <w:rPr>
          <w:spacing w:val="-47"/>
        </w:rPr>
        <w:t> </w:t>
      </w:r>
      <w:r>
        <w:rPr/>
        <w:t>年</w:t>
      </w:r>
      <w:r>
        <w:rPr>
          <w:spacing w:val="-47"/>
        </w:rPr>
        <w:t> </w:t>
      </w:r>
      <w:r>
        <w:rPr/>
        <w:t>8</w:t>
      </w:r>
      <w:r>
        <w:rPr>
          <w:spacing w:val="-47"/>
        </w:rPr>
        <w:t> </w:t>
      </w:r>
      <w:r>
        <w:rPr/>
        <w:t>月至今任公</w:t>
      </w:r>
      <w:r>
        <w:rPr/>
        <w:t> 司董事会秘书，2012</w:t>
      </w:r>
      <w:r>
        <w:rPr>
          <w:spacing w:val="-46"/>
        </w:rPr>
        <w:t> </w:t>
      </w:r>
      <w:r>
        <w:rPr/>
        <w:t>年</w:t>
      </w:r>
      <w:r>
        <w:rPr>
          <w:spacing w:val="-46"/>
        </w:rPr>
        <w:t> </w:t>
      </w:r>
      <w:r>
        <w:rPr/>
        <w:t>12</w:t>
      </w:r>
      <w:r>
        <w:rPr>
          <w:spacing w:val="-46"/>
        </w:rPr>
        <w:t> </w:t>
      </w:r>
      <w:r>
        <w:rPr/>
        <w:t>月至今任四川通普董事长。</w:t>
      </w:r>
    </w:p>
    <w:p>
      <w:pPr>
        <w:pStyle w:val="BodyText"/>
        <w:spacing w:line="319" w:lineRule="auto" w:before="55"/>
        <w:ind w:right="100" w:firstLine="514"/>
        <w:jc w:val="left"/>
      </w:pPr>
      <w:r>
        <w:rPr/>
        <w:t>4、王维山，男，副总经理，1974 年生，本科。2007 年</w:t>
      </w:r>
      <w:r>
        <w:rPr>
          <w:spacing w:val="-46"/>
        </w:rPr>
        <w:t> </w:t>
      </w:r>
      <w:r>
        <w:rPr/>
        <w:t>5 月至今任公司副总经理，2009 年</w:t>
      </w:r>
      <w:r>
        <w:rPr>
          <w:spacing w:val="-46"/>
        </w:rPr>
        <w:t> </w:t>
      </w:r>
      <w:r>
        <w:rPr/>
        <w:t>6 月至今任公司市场总</w:t>
      </w:r>
      <w:r>
        <w:rPr/>
        <w:t> 监，2010</w:t>
      </w:r>
      <w:r>
        <w:rPr>
          <w:spacing w:val="-45"/>
        </w:rPr>
        <w:t> </w:t>
      </w:r>
      <w:r>
        <w:rPr/>
        <w:t>年</w:t>
      </w:r>
      <w:r>
        <w:rPr>
          <w:spacing w:val="-45"/>
        </w:rPr>
        <w:t> </w:t>
      </w:r>
      <w:r>
        <w:rPr/>
        <w:t>7</w:t>
      </w:r>
      <w:r>
        <w:rPr>
          <w:spacing w:val="4"/>
        </w:rPr>
        <w:t> 月至今任昆明分公司负责人，2012年5</w:t>
      </w:r>
      <w:r>
        <w:rPr>
          <w:spacing w:val="-45"/>
        </w:rPr>
        <w:t> </w:t>
      </w:r>
      <w:r>
        <w:rPr/>
        <w:t>月至今任宁波分公司负责人，2012</w:t>
      </w:r>
      <w:r>
        <w:rPr>
          <w:spacing w:val="-45"/>
        </w:rPr>
        <w:t> </w:t>
      </w:r>
      <w:r>
        <w:rPr/>
        <w:t>年</w:t>
      </w:r>
      <w:r>
        <w:rPr>
          <w:spacing w:val="-45"/>
        </w:rPr>
        <w:t> </w:t>
      </w:r>
      <w:r>
        <w:rPr/>
        <w:t>5</w:t>
      </w:r>
      <w:r>
        <w:rPr>
          <w:spacing w:val="-45"/>
        </w:rPr>
        <w:t> </w:t>
      </w:r>
      <w:r>
        <w:rPr/>
        <w:t>月至今任重庆分公司负责人，</w:t>
      </w:r>
      <w:r>
        <w:rPr/>
        <w:t> </w:t>
      </w:r>
      <w:r>
        <w:rPr>
          <w:spacing w:val="14"/>
        </w:rPr>
        <w:t>2012年8</w:t>
      </w:r>
      <w:r>
        <w:rPr>
          <w:spacing w:val="-46"/>
        </w:rPr>
        <w:t> </w:t>
      </w:r>
      <w:r>
        <w:rPr/>
        <w:t>月至今任哈尔滨分公司负责人，2012</w:t>
      </w:r>
      <w:r>
        <w:rPr>
          <w:spacing w:val="-46"/>
        </w:rPr>
        <w:t> </w:t>
      </w:r>
      <w:r>
        <w:rPr/>
        <w:t>年</w:t>
      </w:r>
      <w:r>
        <w:rPr>
          <w:spacing w:val="-46"/>
        </w:rPr>
        <w:t> </w:t>
      </w:r>
      <w:r>
        <w:rPr/>
        <w:t>9</w:t>
      </w:r>
      <w:r>
        <w:rPr>
          <w:spacing w:val="-46"/>
        </w:rPr>
        <w:t> </w:t>
      </w:r>
      <w:r>
        <w:rPr/>
        <w:t>月至今任上海汉鼎监事。2012</w:t>
      </w:r>
      <w:r>
        <w:rPr>
          <w:spacing w:val="-46"/>
        </w:rPr>
        <w:t> </w:t>
      </w:r>
      <w:r>
        <w:rPr/>
        <w:t>年</w:t>
      </w:r>
      <w:r>
        <w:rPr>
          <w:spacing w:val="-46"/>
        </w:rPr>
        <w:t> </w:t>
      </w:r>
      <w:r>
        <w:rPr/>
        <w:t>12</w:t>
      </w:r>
      <w:r>
        <w:rPr>
          <w:spacing w:val="-45"/>
        </w:rPr>
        <w:t> </w:t>
      </w:r>
      <w:r>
        <w:rPr/>
        <w:t>月至今任四川通普董事。</w:t>
      </w:r>
    </w:p>
    <w:p>
      <w:pPr>
        <w:pStyle w:val="BodyText"/>
        <w:spacing w:line="319" w:lineRule="auto" w:before="55"/>
        <w:ind w:right="185" w:firstLine="424"/>
        <w:jc w:val="left"/>
      </w:pPr>
      <w:r>
        <w:rPr/>
        <w:t>5、王智斌，男，财务总监，1982</w:t>
      </w:r>
      <w:r>
        <w:rPr>
          <w:spacing w:val="-49"/>
        </w:rPr>
        <w:t> </w:t>
      </w:r>
      <w:r>
        <w:rPr/>
        <w:t>年生，大学本科，注册会计师。2012</w:t>
      </w:r>
      <w:r>
        <w:rPr>
          <w:spacing w:val="-49"/>
        </w:rPr>
        <w:t> </w:t>
      </w:r>
      <w:r>
        <w:rPr/>
        <w:t>年</w:t>
      </w:r>
      <w:r>
        <w:rPr>
          <w:spacing w:val="-48"/>
        </w:rPr>
        <w:t> </w:t>
      </w:r>
      <w:r>
        <w:rPr/>
        <w:t>6</w:t>
      </w:r>
      <w:r>
        <w:rPr>
          <w:spacing w:val="-49"/>
        </w:rPr>
        <w:t> </w:t>
      </w:r>
      <w:r>
        <w:rPr>
          <w:spacing w:val="5"/>
        </w:rPr>
        <w:t>月至今任公司财务总监，2012年9</w:t>
      </w:r>
      <w:r>
        <w:rPr>
          <w:spacing w:val="-49"/>
        </w:rPr>
        <w:t> </w:t>
      </w:r>
      <w:r>
        <w:rPr/>
        <w:t>月至今</w:t>
      </w:r>
      <w:r>
        <w:rPr/>
        <w:t> 任上海汉鼎董事，2012</w:t>
      </w:r>
      <w:r>
        <w:rPr>
          <w:spacing w:val="-46"/>
        </w:rPr>
        <w:t> </w:t>
      </w:r>
      <w:r>
        <w:rPr/>
        <w:t>年</w:t>
      </w:r>
      <w:r>
        <w:rPr>
          <w:spacing w:val="-46"/>
        </w:rPr>
        <w:t> </w:t>
      </w:r>
      <w:r>
        <w:rPr/>
        <w:t>12</w:t>
      </w:r>
      <w:r>
        <w:rPr>
          <w:spacing w:val="-45"/>
        </w:rPr>
        <w:t> </w:t>
      </w:r>
      <w:r>
        <w:rPr/>
        <w:t>月至今任四川通普董事。</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240" w:lineRule="auto"/>
        <w:ind w:right="0"/>
        <w:jc w:val="both"/>
      </w:pPr>
      <w:r>
        <w:rPr/>
        <w:t>在股东单位任职情况</w:t>
      </w:r>
    </w:p>
    <w:p>
      <w:pPr>
        <w:pStyle w:val="BodyText"/>
        <w:spacing w:line="240" w:lineRule="auto" w:before="116"/>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1"/>
        <w:gridCol w:w="3188"/>
        <w:gridCol w:w="1064"/>
        <w:gridCol w:w="1196"/>
        <w:gridCol w:w="1330"/>
        <w:gridCol w:w="1588"/>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王麒诚</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浙江汉鼎宇佑实业控股集团有限公司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蔡福益</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杭州都城实业有限公司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8"/>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尹於舜</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深圳市创新投资集团有限公司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高级投资经 </w:t>
            </w:r>
            <w:r>
              <w:rPr>
                <w:rFonts w:ascii="宋体" w:hAnsi="宋体" w:cs="宋体" w:eastAsia="宋体" w:hint="default"/>
                <w:spacing w:val="-12"/>
                <w:sz w:val="18"/>
                <w:szCs w:val="18"/>
              </w:rPr>
              <w:t>理、沪浙片区</w:t>
            </w:r>
            <w:r>
              <w:rPr>
                <w:rFonts w:ascii="宋体" w:hAnsi="宋体" w:cs="宋体" w:eastAsia="宋体" w:hint="default"/>
                <w:sz w:val="18"/>
                <w:szCs w:val="18"/>
              </w:rPr>
              <w:t>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林韵强</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浙江城建建设集团有限公司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8"/>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6"/>
        <w:rPr>
          <w:rFonts w:ascii="宋体" w:hAnsi="宋体" w:cs="宋体" w:eastAsia="宋体" w:hint="default"/>
          <w:sz w:val="27"/>
          <w:szCs w:val="27"/>
        </w:rPr>
      </w:pPr>
    </w:p>
    <w:p>
      <w:pPr>
        <w:pStyle w:val="BodyText"/>
        <w:spacing w:line="240" w:lineRule="auto" w:before="44"/>
        <w:ind w:right="91"/>
        <w:jc w:val="left"/>
      </w:pPr>
      <w:r>
        <w:rPr/>
        <w:t>在其他单位任职情况</w:t>
      </w:r>
    </w:p>
    <w:p>
      <w:pPr>
        <w:pStyle w:val="BodyText"/>
        <w:spacing w:line="240" w:lineRule="auto" w:before="116"/>
        <w:ind w:left="153" w:right="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汉爵科技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上海汉鼎</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王麒诚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上海汉鼎</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汉爵科技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四川通普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周红晶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上海汉鼎</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王丽平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四川通普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王维山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上海汉鼎</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王维山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四川通普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王智斌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上海汉鼎</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王智斌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四川通普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三、董事、监事、高级管理人员报酬情况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95"/>
        <w:gridCol w:w="5972"/>
      </w:tblGrid>
      <w:tr>
        <w:trPr>
          <w:trHeight w:val="714"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9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1"/>
                <w:sz w:val="18"/>
                <w:szCs w:val="18"/>
              </w:rPr>
              <w:t>董事、监事、高级管理人员报酬根据公司薪酬制度确定，由提名、薪酬与考</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核委员会考核。独立董事报酬由股东大会确定。</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公司薪酬制度</w:t>
            </w:r>
          </w:p>
        </w:tc>
      </w:tr>
      <w:tr>
        <w:trPr>
          <w:trHeight w:val="715"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4"/>
                <w:sz w:val="18"/>
                <w:szCs w:val="18"/>
              </w:rPr>
              <w:t>董事、监事和高级管理人员报酬的实际支付情</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况</w:t>
            </w:r>
          </w:p>
        </w:tc>
        <w:tc>
          <w:tcPr>
            <w:tcW w:w="5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年公司董监高工资合计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pStyle w:val="BodyText"/>
        <w:spacing w:line="240" w:lineRule="auto" w:before="51"/>
        <w:ind w:right="0"/>
        <w:jc w:val="left"/>
      </w:pPr>
      <w:r>
        <w:rPr/>
        <w:t>公司报告期内董事、监事和高级管理人员报酬情况</w:t>
      </w:r>
    </w:p>
    <w:p>
      <w:pPr>
        <w:pStyle w:val="BodyText"/>
        <w:spacing w:line="240" w:lineRule="auto" w:before="116"/>
        <w:ind w:left="0" w:right="151"/>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6"/>
        <w:gridCol w:w="1195"/>
        <w:gridCol w:w="1196"/>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3"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王麒诚</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6"/>
        <w:gridCol w:w="1195"/>
        <w:gridCol w:w="1196"/>
        <w:gridCol w:w="1196"/>
        <w:gridCol w:w="1195"/>
      </w:tblGrid>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蔡福益</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安小民</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尹於舜</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姚铮</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寿邹</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吴兰</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李嫣</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林韵强</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周红晶</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王维山</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王丽平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副总经理、董 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王智斌</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159.97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159.97</w:t>
            </w:r>
          </w:p>
        </w:tc>
      </w:tr>
    </w:tbl>
    <w:p>
      <w:pPr>
        <w:pStyle w:val="BodyText"/>
        <w:spacing w:line="240" w:lineRule="auto" w:before="51"/>
        <w:ind w:right="0"/>
        <w:jc w:val="left"/>
      </w:pPr>
      <w:r>
        <w:rPr/>
        <w:t>公司董事、监事、高级管理人员报告期内被授予的股权激励情况</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四、公司董事、监事、高级管理人员变动情况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9"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变动情形</w:t>
            </w:r>
          </w:p>
        </w:tc>
        <w:tc>
          <w:tcPr>
            <w:tcW w:w="13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0" w:right="0"/>
              <w:jc w:val="left"/>
              <w:rPr>
                <w:rFonts w:ascii="宋体" w:hAnsi="宋体" w:cs="宋体" w:eastAsia="宋体" w:hint="default"/>
                <w:sz w:val="18"/>
                <w:szCs w:val="18"/>
              </w:rPr>
            </w:pPr>
            <w:r>
              <w:rPr>
                <w:rFonts w:ascii="宋体" w:hAnsi="宋体" w:cs="宋体" w:eastAsia="宋体" w:hint="default"/>
                <w:sz w:val="18"/>
                <w:szCs w:val="18"/>
              </w:rPr>
              <w:t>变动日期</w:t>
            </w:r>
          </w:p>
        </w:tc>
        <w:tc>
          <w:tcPr>
            <w:tcW w:w="4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363" w:hRule="exact"/>
        </w:trPr>
        <w:tc>
          <w:tcPr>
            <w:tcW w:w="1330" w:type="dxa"/>
            <w:tcBorders>
              <w:top w:val="single" w:sz="4" w:space="0" w:color="000000"/>
              <w:left w:val="single" w:sz="4" w:space="0" w:color="000000"/>
              <w:bottom w:val="nil" w:sz="6" w:space="0" w:color="auto"/>
              <w:right w:val="single" w:sz="4" w:space="0" w:color="000000"/>
            </w:tcBorders>
          </w:tcPr>
          <w:p>
            <w:pPr/>
          </w:p>
        </w:tc>
        <w:tc>
          <w:tcPr>
            <w:tcW w:w="1330" w:type="dxa"/>
            <w:tcBorders>
              <w:top w:val="single" w:sz="4" w:space="0" w:color="000000"/>
              <w:left w:val="single" w:sz="4" w:space="0" w:color="000000"/>
              <w:bottom w:val="nil" w:sz="6" w:space="0" w:color="auto"/>
              <w:right w:val="single" w:sz="4" w:space="0" w:color="000000"/>
            </w:tcBorders>
          </w:tcPr>
          <w:p>
            <w:pPr/>
          </w:p>
        </w:tc>
        <w:tc>
          <w:tcPr>
            <w:tcW w:w="1330" w:type="dxa"/>
            <w:tcBorders>
              <w:top w:val="single" w:sz="4" w:space="0" w:color="000000"/>
              <w:left w:val="single" w:sz="4" w:space="0" w:color="000000"/>
              <w:bottom w:val="nil" w:sz="6" w:space="0" w:color="auto"/>
              <w:right w:val="single" w:sz="4" w:space="0" w:color="000000"/>
            </w:tcBorders>
          </w:tcPr>
          <w:p>
            <w:pPr/>
          </w:p>
        </w:tc>
        <w:tc>
          <w:tcPr>
            <w:tcW w:w="1331" w:type="dxa"/>
            <w:tcBorders>
              <w:top w:val="single" w:sz="4" w:space="0" w:color="000000"/>
              <w:left w:val="single" w:sz="4" w:space="0" w:color="000000"/>
              <w:bottom w:val="nil" w:sz="6" w:space="0" w:color="auto"/>
              <w:right w:val="single" w:sz="4" w:space="0" w:color="000000"/>
            </w:tcBorders>
          </w:tcPr>
          <w:p>
            <w:pPr/>
          </w:p>
        </w:tc>
        <w:tc>
          <w:tcPr>
            <w:tcW w:w="42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月公司副总经理、董事会秘书王艳因个人原</w:t>
            </w:r>
          </w:p>
        </w:tc>
      </w:tr>
      <w:tr>
        <w:trPr>
          <w:trHeight w:val="307" w:hRule="exact"/>
        </w:trPr>
        <w:tc>
          <w:tcPr>
            <w:tcW w:w="1330"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331" w:type="dxa"/>
            <w:tcBorders>
              <w:top w:val="nil" w:sz="6" w:space="0" w:color="auto"/>
              <w:left w:val="single" w:sz="4" w:space="0" w:color="000000"/>
              <w:bottom w:val="nil" w:sz="6" w:space="0" w:color="auto"/>
              <w:right w:val="single" w:sz="4" w:space="0" w:color="000000"/>
            </w:tcBorders>
          </w:tcPr>
          <w:p>
            <w:pPr/>
          </w:p>
        </w:tc>
        <w:tc>
          <w:tcPr>
            <w:tcW w:w="42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因辞去董事会秘书职务，公司决定由公司副总经理、</w:t>
            </w:r>
          </w:p>
        </w:tc>
      </w:tr>
      <w:tr>
        <w:trPr>
          <w:trHeight w:val="625" w:hRule="exact"/>
        </w:trPr>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王艳</w:t>
            </w: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2" w:right="29"/>
              <w:jc w:val="left"/>
              <w:rPr>
                <w:rFonts w:ascii="宋体" w:hAnsi="宋体" w:cs="宋体" w:eastAsia="宋体" w:hint="default"/>
                <w:sz w:val="18"/>
                <w:szCs w:val="18"/>
              </w:rPr>
            </w:pPr>
            <w:r>
              <w:rPr>
                <w:rFonts w:ascii="宋体" w:hAnsi="宋体" w:cs="宋体" w:eastAsia="宋体" w:hint="default"/>
                <w:sz w:val="18"/>
                <w:szCs w:val="18"/>
              </w:rPr>
              <w:t>财务总监王丽平暂代；</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 事会第二次会议通过了《关于聘任公司董事会秘书的</w:t>
            </w:r>
          </w:p>
        </w:tc>
      </w:tr>
      <w:tr>
        <w:trPr>
          <w:trHeight w:val="312" w:hRule="exact"/>
        </w:trPr>
        <w:tc>
          <w:tcPr>
            <w:tcW w:w="1330"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331" w:type="dxa"/>
            <w:tcBorders>
              <w:top w:val="nil" w:sz="6" w:space="0" w:color="auto"/>
              <w:left w:val="single" w:sz="4" w:space="0" w:color="000000"/>
              <w:bottom w:val="nil" w:sz="6" w:space="0" w:color="auto"/>
              <w:right w:val="single" w:sz="4" w:space="0" w:color="000000"/>
            </w:tcBorders>
          </w:tcPr>
          <w:p>
            <w:pPr/>
          </w:p>
        </w:tc>
        <w:tc>
          <w:tcPr>
            <w:tcW w:w="42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议案》，公司正式聘任王丽平为董事会秘书，任期至</w:t>
            </w:r>
          </w:p>
        </w:tc>
      </w:tr>
      <w:tr>
        <w:trPr>
          <w:trHeight w:val="356" w:hRule="exact"/>
        </w:trPr>
        <w:tc>
          <w:tcPr>
            <w:tcW w:w="1330" w:type="dxa"/>
            <w:tcBorders>
              <w:top w:val="nil" w:sz="6" w:space="0" w:color="auto"/>
              <w:left w:val="single" w:sz="4" w:space="0" w:color="000000"/>
              <w:bottom w:val="single" w:sz="4" w:space="0" w:color="000000"/>
              <w:right w:val="single" w:sz="4" w:space="0" w:color="000000"/>
            </w:tcBorders>
          </w:tcPr>
          <w:p>
            <w:pPr/>
          </w:p>
        </w:tc>
        <w:tc>
          <w:tcPr>
            <w:tcW w:w="1330" w:type="dxa"/>
            <w:tcBorders>
              <w:top w:val="nil" w:sz="6" w:space="0" w:color="auto"/>
              <w:left w:val="single" w:sz="4" w:space="0" w:color="000000"/>
              <w:bottom w:val="single" w:sz="4" w:space="0" w:color="000000"/>
              <w:right w:val="single" w:sz="4" w:space="0" w:color="000000"/>
            </w:tcBorders>
          </w:tcPr>
          <w:p>
            <w:pPr/>
          </w:p>
        </w:tc>
        <w:tc>
          <w:tcPr>
            <w:tcW w:w="1330" w:type="dxa"/>
            <w:tcBorders>
              <w:top w:val="nil" w:sz="6" w:space="0" w:color="auto"/>
              <w:left w:val="single" w:sz="4" w:space="0" w:color="000000"/>
              <w:bottom w:val="single" w:sz="4" w:space="0" w:color="000000"/>
              <w:right w:val="single" w:sz="4" w:space="0" w:color="000000"/>
            </w:tcBorders>
          </w:tcPr>
          <w:p>
            <w:pPr/>
          </w:p>
        </w:tc>
        <w:tc>
          <w:tcPr>
            <w:tcW w:w="1331" w:type="dxa"/>
            <w:tcBorders>
              <w:top w:val="nil" w:sz="6" w:space="0" w:color="auto"/>
              <w:left w:val="single" w:sz="4" w:space="0" w:color="000000"/>
              <w:bottom w:val="single" w:sz="4" w:space="0" w:color="000000"/>
              <w:right w:val="single" w:sz="4" w:space="0" w:color="000000"/>
            </w:tcBorders>
          </w:tcPr>
          <w:p>
            <w:pPr/>
          </w:p>
        </w:tc>
        <w:tc>
          <w:tcPr>
            <w:tcW w:w="42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第二届董事会届满为止。</w:t>
            </w:r>
          </w:p>
        </w:tc>
      </w:tr>
      <w:tr>
        <w:trPr>
          <w:trHeight w:val="363" w:hRule="exact"/>
        </w:trPr>
        <w:tc>
          <w:tcPr>
            <w:tcW w:w="1330" w:type="dxa"/>
            <w:tcBorders>
              <w:top w:val="single" w:sz="4" w:space="0" w:color="000000"/>
              <w:left w:val="single" w:sz="4" w:space="0" w:color="000000"/>
              <w:bottom w:val="nil" w:sz="6" w:space="0" w:color="auto"/>
              <w:right w:val="single" w:sz="4" w:space="0" w:color="000000"/>
            </w:tcBorders>
          </w:tcPr>
          <w:p>
            <w:pPr/>
          </w:p>
        </w:tc>
        <w:tc>
          <w:tcPr>
            <w:tcW w:w="1330" w:type="dxa"/>
            <w:tcBorders>
              <w:top w:val="single" w:sz="4" w:space="0" w:color="000000"/>
              <w:left w:val="single" w:sz="4" w:space="0" w:color="000000"/>
              <w:bottom w:val="nil" w:sz="6" w:space="0" w:color="auto"/>
              <w:right w:val="single" w:sz="4" w:space="0" w:color="000000"/>
            </w:tcBorders>
          </w:tcPr>
          <w:p>
            <w:pPr/>
          </w:p>
        </w:tc>
        <w:tc>
          <w:tcPr>
            <w:tcW w:w="1330" w:type="dxa"/>
            <w:tcBorders>
              <w:top w:val="single" w:sz="4" w:space="0" w:color="000000"/>
              <w:left w:val="single" w:sz="4" w:space="0" w:color="000000"/>
              <w:bottom w:val="nil" w:sz="6" w:space="0" w:color="auto"/>
              <w:right w:val="single" w:sz="4" w:space="0" w:color="000000"/>
            </w:tcBorders>
          </w:tcPr>
          <w:p>
            <w:pPr/>
          </w:p>
        </w:tc>
        <w:tc>
          <w:tcPr>
            <w:tcW w:w="1331" w:type="dxa"/>
            <w:tcBorders>
              <w:top w:val="single" w:sz="4" w:space="0" w:color="000000"/>
              <w:left w:val="single" w:sz="4" w:space="0" w:color="000000"/>
              <w:bottom w:val="nil" w:sz="6" w:space="0" w:color="auto"/>
              <w:right w:val="single" w:sz="4" w:space="0" w:color="000000"/>
            </w:tcBorders>
          </w:tcPr>
          <w:p>
            <w:pPr/>
          </w:p>
        </w:tc>
        <w:tc>
          <w:tcPr>
            <w:tcW w:w="42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王丽平担任公司财务总监聘期到期，</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620" w:hRule="exact"/>
        </w:trPr>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王丽平</w:t>
            </w: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73"/>
              <w:jc w:val="left"/>
              <w:rPr>
                <w:rFonts w:ascii="宋体" w:hAnsi="宋体" w:cs="宋体" w:eastAsia="宋体" w:hint="default"/>
                <w:sz w:val="18"/>
                <w:szCs w:val="18"/>
              </w:rPr>
            </w:pPr>
            <w:r>
              <w:rPr>
                <w:rFonts w:ascii="宋体" w:hAnsi="宋体" w:cs="宋体" w:eastAsia="宋体" w:hint="default"/>
                <w:sz w:val="18"/>
                <w:szCs w:val="18"/>
              </w:rPr>
              <w:t>日，公司第二届董事会第一次会议通过《关于聘任公 司高级管理人员的议案》，决定新聘王智斌担任公司</w:t>
            </w:r>
          </w:p>
        </w:tc>
      </w:tr>
      <w:tr>
        <w:trPr>
          <w:trHeight w:val="355" w:hRule="exact"/>
        </w:trPr>
        <w:tc>
          <w:tcPr>
            <w:tcW w:w="1330" w:type="dxa"/>
            <w:tcBorders>
              <w:top w:val="nil" w:sz="6" w:space="0" w:color="auto"/>
              <w:left w:val="single" w:sz="4" w:space="0" w:color="000000"/>
              <w:bottom w:val="single" w:sz="4" w:space="0" w:color="000000"/>
              <w:right w:val="single" w:sz="4" w:space="0" w:color="000000"/>
            </w:tcBorders>
          </w:tcPr>
          <w:p>
            <w:pPr/>
          </w:p>
        </w:tc>
        <w:tc>
          <w:tcPr>
            <w:tcW w:w="1330" w:type="dxa"/>
            <w:tcBorders>
              <w:top w:val="nil" w:sz="6" w:space="0" w:color="auto"/>
              <w:left w:val="single" w:sz="4" w:space="0" w:color="000000"/>
              <w:bottom w:val="single" w:sz="4" w:space="0" w:color="000000"/>
              <w:right w:val="single" w:sz="4" w:space="0" w:color="000000"/>
            </w:tcBorders>
          </w:tcPr>
          <w:p>
            <w:pPr/>
          </w:p>
        </w:tc>
        <w:tc>
          <w:tcPr>
            <w:tcW w:w="1330" w:type="dxa"/>
            <w:tcBorders>
              <w:top w:val="nil" w:sz="6" w:space="0" w:color="auto"/>
              <w:left w:val="single" w:sz="4" w:space="0" w:color="000000"/>
              <w:bottom w:val="single" w:sz="4" w:space="0" w:color="000000"/>
              <w:right w:val="single" w:sz="4" w:space="0" w:color="000000"/>
            </w:tcBorders>
          </w:tcPr>
          <w:p>
            <w:pPr/>
          </w:p>
        </w:tc>
        <w:tc>
          <w:tcPr>
            <w:tcW w:w="1331" w:type="dxa"/>
            <w:tcBorders>
              <w:top w:val="nil" w:sz="6" w:space="0" w:color="auto"/>
              <w:left w:val="single" w:sz="4" w:space="0" w:color="000000"/>
              <w:bottom w:val="single" w:sz="4" w:space="0" w:color="000000"/>
              <w:right w:val="single" w:sz="4" w:space="0" w:color="000000"/>
            </w:tcBorders>
          </w:tcPr>
          <w:p>
            <w:pPr/>
          </w:p>
        </w:tc>
        <w:tc>
          <w:tcPr>
            <w:tcW w:w="42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报告期内公司没有非董事、监事、高级管理人员的核心技术团队或关键技术人员重大变动。</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六、公司员工情况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日，本公司共有员工</w:t>
      </w:r>
      <w:r>
        <w:rPr>
          <w:rFonts w:ascii="Times New Roman" w:hAnsi="Times New Roman" w:cs="Times New Roman" w:eastAsia="Times New Roman" w:hint="default"/>
        </w:rPr>
        <w:t>362</w:t>
      </w:r>
      <w:r>
        <w:rPr/>
        <w:t>人，员工构成情况如下：</w:t>
      </w:r>
    </w:p>
    <w:p>
      <w:pPr>
        <w:pStyle w:val="BodyText"/>
        <w:spacing w:line="240" w:lineRule="auto" w:before="166"/>
        <w:ind w:right="0"/>
        <w:jc w:val="left"/>
      </w:pPr>
      <w:r>
        <w:rPr/>
        <w:t>（一）员工专业结构</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3321"/>
        <w:gridCol w:w="2538"/>
        <w:gridCol w:w="2534"/>
      </w:tblGrid>
      <w:tr>
        <w:trPr>
          <w:trHeight w:val="355" w:hRule="exact"/>
        </w:trPr>
        <w:tc>
          <w:tcPr>
            <w:tcW w:w="332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1"/>
              <w:ind w:left="6" w:right="0"/>
              <w:jc w:val="center"/>
              <w:rPr>
                <w:rFonts w:ascii="宋体" w:hAnsi="宋体" w:cs="宋体" w:eastAsia="宋体" w:hint="default"/>
                <w:sz w:val="18"/>
                <w:szCs w:val="18"/>
              </w:rPr>
            </w:pPr>
            <w:r>
              <w:rPr>
                <w:rFonts w:ascii="宋体" w:hAnsi="宋体" w:cs="宋体" w:eastAsia="宋体" w:hint="default"/>
                <w:sz w:val="18"/>
                <w:szCs w:val="18"/>
              </w:rPr>
              <w:t>员工结构</w:t>
            </w:r>
          </w:p>
        </w:tc>
        <w:tc>
          <w:tcPr>
            <w:tcW w:w="2538"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员工人数（人）</w:t>
            </w:r>
          </w:p>
        </w:tc>
        <w:tc>
          <w:tcPr>
            <w:tcW w:w="2534"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占员工总数比例（%）</w:t>
            </w:r>
          </w:p>
        </w:tc>
      </w:tr>
      <w:tr>
        <w:trPr>
          <w:trHeight w:val="353" w:hRule="exact"/>
        </w:trPr>
        <w:tc>
          <w:tcPr>
            <w:tcW w:w="3321"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研发人员</w:t>
            </w:r>
          </w:p>
        </w:tc>
        <w:tc>
          <w:tcPr>
            <w:tcW w:w="25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6"/>
              <w:jc w:val="center"/>
              <w:rPr>
                <w:rFonts w:ascii="宋体" w:hAnsi="宋体" w:cs="宋体" w:eastAsia="宋体" w:hint="default"/>
                <w:sz w:val="18"/>
                <w:szCs w:val="18"/>
              </w:rPr>
            </w:pPr>
            <w:r>
              <w:rPr>
                <w:rFonts w:ascii="宋体"/>
                <w:sz w:val="18"/>
              </w:rPr>
              <w:t>118</w:t>
            </w:r>
          </w:p>
        </w:tc>
        <w:tc>
          <w:tcPr>
            <w:tcW w:w="25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7"/>
              <w:jc w:val="center"/>
              <w:rPr>
                <w:rFonts w:ascii="宋体" w:hAnsi="宋体" w:cs="宋体" w:eastAsia="宋体" w:hint="default"/>
                <w:sz w:val="18"/>
                <w:szCs w:val="18"/>
              </w:rPr>
            </w:pPr>
            <w:r>
              <w:rPr>
                <w:rFonts w:ascii="宋体"/>
                <w:sz w:val="18"/>
              </w:rPr>
              <w:t>32.60</w:t>
            </w:r>
          </w:p>
        </w:tc>
      </w:tr>
      <w:tr>
        <w:trPr>
          <w:trHeight w:val="352" w:hRule="exact"/>
        </w:trPr>
        <w:tc>
          <w:tcPr>
            <w:tcW w:w="3321"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25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7"/>
              <w:jc w:val="center"/>
              <w:rPr>
                <w:rFonts w:ascii="宋体" w:hAnsi="宋体" w:cs="宋体" w:eastAsia="宋体" w:hint="default"/>
                <w:sz w:val="18"/>
                <w:szCs w:val="18"/>
              </w:rPr>
            </w:pPr>
            <w:r>
              <w:rPr>
                <w:rFonts w:ascii="宋体"/>
                <w:sz w:val="18"/>
              </w:rPr>
              <w:t>96</w:t>
            </w:r>
          </w:p>
        </w:tc>
        <w:tc>
          <w:tcPr>
            <w:tcW w:w="25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7"/>
              <w:jc w:val="center"/>
              <w:rPr>
                <w:rFonts w:ascii="宋体" w:hAnsi="宋体" w:cs="宋体" w:eastAsia="宋体" w:hint="default"/>
                <w:sz w:val="18"/>
                <w:szCs w:val="18"/>
              </w:rPr>
            </w:pPr>
            <w:r>
              <w:rPr>
                <w:rFonts w:ascii="宋体"/>
                <w:sz w:val="18"/>
              </w:rPr>
              <w:t>26.52</w:t>
            </w:r>
          </w:p>
        </w:tc>
      </w:tr>
      <w:tr>
        <w:trPr>
          <w:trHeight w:val="352" w:hRule="exact"/>
        </w:trPr>
        <w:tc>
          <w:tcPr>
            <w:tcW w:w="3321"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25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7"/>
              <w:jc w:val="center"/>
              <w:rPr>
                <w:rFonts w:ascii="宋体" w:hAnsi="宋体" w:cs="宋体" w:eastAsia="宋体" w:hint="default"/>
                <w:sz w:val="18"/>
                <w:szCs w:val="18"/>
              </w:rPr>
            </w:pPr>
            <w:r>
              <w:rPr>
                <w:rFonts w:ascii="宋体"/>
                <w:sz w:val="18"/>
              </w:rPr>
              <w:t>74</w:t>
            </w:r>
          </w:p>
        </w:tc>
        <w:tc>
          <w:tcPr>
            <w:tcW w:w="25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7"/>
              <w:jc w:val="center"/>
              <w:rPr>
                <w:rFonts w:ascii="宋体" w:hAnsi="宋体" w:cs="宋体" w:eastAsia="宋体" w:hint="default"/>
                <w:sz w:val="18"/>
                <w:szCs w:val="18"/>
              </w:rPr>
            </w:pPr>
            <w:r>
              <w:rPr>
                <w:rFonts w:ascii="宋体"/>
                <w:sz w:val="18"/>
              </w:rPr>
              <w:t>20.44</w:t>
            </w:r>
          </w:p>
        </w:tc>
      </w:tr>
      <w:tr>
        <w:trPr>
          <w:trHeight w:val="353" w:hRule="exact"/>
        </w:trPr>
        <w:tc>
          <w:tcPr>
            <w:tcW w:w="3321"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25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7"/>
              <w:jc w:val="center"/>
              <w:rPr>
                <w:rFonts w:ascii="宋体" w:hAnsi="宋体" w:cs="宋体" w:eastAsia="宋体" w:hint="default"/>
                <w:sz w:val="18"/>
                <w:szCs w:val="18"/>
              </w:rPr>
            </w:pPr>
            <w:r>
              <w:rPr>
                <w:rFonts w:ascii="宋体"/>
                <w:sz w:val="18"/>
              </w:rPr>
              <w:t>74</w:t>
            </w:r>
          </w:p>
        </w:tc>
        <w:tc>
          <w:tcPr>
            <w:tcW w:w="25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7"/>
              <w:jc w:val="center"/>
              <w:rPr>
                <w:rFonts w:ascii="宋体" w:hAnsi="宋体" w:cs="宋体" w:eastAsia="宋体" w:hint="default"/>
                <w:sz w:val="18"/>
                <w:szCs w:val="18"/>
              </w:rPr>
            </w:pPr>
            <w:r>
              <w:rPr>
                <w:rFonts w:ascii="宋体"/>
                <w:sz w:val="18"/>
              </w:rPr>
              <w:t>20.44</w:t>
            </w:r>
          </w:p>
        </w:tc>
      </w:tr>
      <w:tr>
        <w:trPr>
          <w:trHeight w:val="352" w:hRule="exact"/>
        </w:trPr>
        <w:tc>
          <w:tcPr>
            <w:tcW w:w="3321"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5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6"/>
              <w:jc w:val="center"/>
              <w:rPr>
                <w:rFonts w:ascii="宋体" w:hAnsi="宋体" w:cs="宋体" w:eastAsia="宋体" w:hint="default"/>
                <w:sz w:val="18"/>
                <w:szCs w:val="18"/>
              </w:rPr>
            </w:pPr>
            <w:r>
              <w:rPr>
                <w:rFonts w:ascii="宋体"/>
                <w:sz w:val="18"/>
              </w:rPr>
              <w:t>362</w:t>
            </w:r>
          </w:p>
        </w:tc>
        <w:tc>
          <w:tcPr>
            <w:tcW w:w="25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6"/>
              <w:jc w:val="center"/>
              <w:rPr>
                <w:rFonts w:ascii="宋体" w:hAnsi="宋体" w:cs="宋体" w:eastAsia="宋体" w:hint="default"/>
                <w:sz w:val="18"/>
                <w:szCs w:val="18"/>
              </w:rPr>
            </w:pPr>
            <w:r>
              <w:rPr>
                <w:rFonts w:ascii="宋体"/>
                <w:sz w:val="18"/>
              </w:rPr>
              <w:t>100.00</w:t>
            </w:r>
          </w:p>
        </w:tc>
      </w:tr>
    </w:tbl>
    <w:p>
      <w:pPr>
        <w:pStyle w:val="BodyText"/>
        <w:spacing w:line="240" w:lineRule="auto" w:before="10"/>
        <w:ind w:right="0"/>
        <w:jc w:val="left"/>
      </w:pPr>
      <w:r>
        <w:rPr/>
        <w:t>（二）员工受教育程度</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3333"/>
        <w:gridCol w:w="2544"/>
        <w:gridCol w:w="2545"/>
      </w:tblGrid>
      <w:tr>
        <w:trPr>
          <w:trHeight w:val="355" w:hRule="exact"/>
        </w:trPr>
        <w:tc>
          <w:tcPr>
            <w:tcW w:w="333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1"/>
              <w:ind w:left="5" w:right="0"/>
              <w:jc w:val="center"/>
              <w:rPr>
                <w:rFonts w:ascii="宋体" w:hAnsi="宋体" w:cs="宋体" w:eastAsia="宋体" w:hint="default"/>
                <w:sz w:val="18"/>
                <w:szCs w:val="18"/>
              </w:rPr>
            </w:pPr>
            <w:r>
              <w:rPr>
                <w:rFonts w:ascii="宋体" w:hAnsi="宋体" w:cs="宋体" w:eastAsia="宋体" w:hint="default"/>
                <w:sz w:val="18"/>
                <w:szCs w:val="18"/>
              </w:rPr>
              <w:t>受教育程度</w:t>
            </w:r>
          </w:p>
        </w:tc>
        <w:tc>
          <w:tcPr>
            <w:tcW w:w="2544"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员工人数（人）</w:t>
            </w:r>
          </w:p>
        </w:tc>
        <w:tc>
          <w:tcPr>
            <w:tcW w:w="2545"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占员工总数比例（%）</w:t>
            </w:r>
          </w:p>
        </w:tc>
      </w:tr>
      <w:tr>
        <w:trPr>
          <w:trHeight w:val="352" w:hRule="exact"/>
        </w:trPr>
        <w:tc>
          <w:tcPr>
            <w:tcW w:w="3333"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本科以上</w:t>
            </w:r>
          </w:p>
        </w:tc>
        <w:tc>
          <w:tcPr>
            <w:tcW w:w="254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6"/>
              <w:jc w:val="center"/>
              <w:rPr>
                <w:rFonts w:ascii="宋体" w:hAnsi="宋体" w:cs="宋体" w:eastAsia="宋体" w:hint="default"/>
                <w:sz w:val="18"/>
                <w:szCs w:val="18"/>
              </w:rPr>
            </w:pPr>
            <w:r>
              <w:rPr>
                <w:rFonts w:ascii="宋体"/>
                <w:sz w:val="18"/>
              </w:rPr>
              <w:t>12</w:t>
            </w:r>
          </w:p>
        </w:tc>
        <w:tc>
          <w:tcPr>
            <w:tcW w:w="254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sz w:val="18"/>
              </w:rPr>
              <w:t>3.31</w:t>
            </w:r>
          </w:p>
        </w:tc>
      </w:tr>
      <w:tr>
        <w:trPr>
          <w:trHeight w:val="353" w:hRule="exact"/>
        </w:trPr>
        <w:tc>
          <w:tcPr>
            <w:tcW w:w="3333"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254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sz w:val="18"/>
              </w:rPr>
              <w:t>213</w:t>
            </w:r>
          </w:p>
        </w:tc>
        <w:tc>
          <w:tcPr>
            <w:tcW w:w="254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6"/>
              <w:jc w:val="center"/>
              <w:rPr>
                <w:rFonts w:ascii="宋体" w:hAnsi="宋体" w:cs="宋体" w:eastAsia="宋体" w:hint="default"/>
                <w:sz w:val="18"/>
                <w:szCs w:val="18"/>
              </w:rPr>
            </w:pPr>
            <w:r>
              <w:rPr>
                <w:rFonts w:ascii="宋体"/>
                <w:sz w:val="18"/>
              </w:rPr>
              <w:t>58.84</w:t>
            </w:r>
          </w:p>
        </w:tc>
      </w:tr>
      <w:tr>
        <w:trPr>
          <w:trHeight w:val="352" w:hRule="exact"/>
        </w:trPr>
        <w:tc>
          <w:tcPr>
            <w:tcW w:w="3333"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254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sz w:val="18"/>
              </w:rPr>
              <w:t>119</w:t>
            </w:r>
          </w:p>
        </w:tc>
        <w:tc>
          <w:tcPr>
            <w:tcW w:w="254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6"/>
              <w:jc w:val="center"/>
              <w:rPr>
                <w:rFonts w:ascii="宋体" w:hAnsi="宋体" w:cs="宋体" w:eastAsia="宋体" w:hint="default"/>
                <w:sz w:val="18"/>
                <w:szCs w:val="18"/>
              </w:rPr>
            </w:pPr>
            <w:r>
              <w:rPr>
                <w:rFonts w:ascii="宋体"/>
                <w:sz w:val="18"/>
              </w:rPr>
              <w:t>32.87</w:t>
            </w:r>
          </w:p>
        </w:tc>
      </w:tr>
      <w:tr>
        <w:trPr>
          <w:trHeight w:val="352" w:hRule="exact"/>
        </w:trPr>
        <w:tc>
          <w:tcPr>
            <w:tcW w:w="3333"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254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6"/>
              <w:jc w:val="center"/>
              <w:rPr>
                <w:rFonts w:ascii="宋体" w:hAnsi="宋体" w:cs="宋体" w:eastAsia="宋体" w:hint="default"/>
                <w:sz w:val="18"/>
                <w:szCs w:val="18"/>
              </w:rPr>
            </w:pPr>
            <w:r>
              <w:rPr>
                <w:rFonts w:ascii="宋体"/>
                <w:sz w:val="18"/>
              </w:rPr>
              <w:t>18</w:t>
            </w:r>
          </w:p>
        </w:tc>
        <w:tc>
          <w:tcPr>
            <w:tcW w:w="254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sz w:val="18"/>
              </w:rPr>
              <w:t>4.97</w:t>
            </w:r>
          </w:p>
        </w:tc>
      </w:tr>
      <w:tr>
        <w:trPr>
          <w:trHeight w:val="353" w:hRule="exact"/>
        </w:trPr>
        <w:tc>
          <w:tcPr>
            <w:tcW w:w="3333"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54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sz w:val="18"/>
              </w:rPr>
              <w:t>362</w:t>
            </w:r>
          </w:p>
        </w:tc>
        <w:tc>
          <w:tcPr>
            <w:tcW w:w="254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sz w:val="18"/>
              </w:rPr>
              <w:t>100.00</w:t>
            </w:r>
          </w:p>
        </w:tc>
      </w:tr>
    </w:tbl>
    <w:p>
      <w:pPr>
        <w:pStyle w:val="BodyText"/>
        <w:spacing w:line="240" w:lineRule="auto" w:before="10"/>
        <w:ind w:right="0"/>
        <w:jc w:val="left"/>
      </w:pPr>
      <w:r>
        <w:rPr/>
        <w:t>报告期内，公司无需承担费用的离退休职工。</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92" w:right="3627"/>
        <w:jc w:val="center"/>
        <w:rPr>
          <w:b w:val="0"/>
          <w:bCs w:val="0"/>
        </w:rPr>
      </w:pPr>
      <w:bookmarkStart w:name="_TOC_250002" w:id="8"/>
      <w:r>
        <w:rPr/>
        <w:t>第八节</w:t>
      </w:r>
      <w:r>
        <w:rPr>
          <w:spacing w:val="-1"/>
        </w:rPr>
        <w:t> </w:t>
      </w:r>
      <w:r>
        <w:rPr/>
        <w:t>公司治理</w:t>
      </w:r>
      <w:bookmarkEnd w:id="8"/>
      <w:r>
        <w:rPr>
          <w:b w:val="0"/>
          <w:bCs w:val="0"/>
        </w:rPr>
      </w:r>
    </w:p>
    <w:p>
      <w:pPr>
        <w:spacing w:line="240" w:lineRule="auto" w:before="0"/>
        <w:rPr>
          <w:rFonts w:ascii="黑体" w:hAnsi="黑体" w:cs="黑体" w:eastAsia="黑体" w:hint="default"/>
          <w:b/>
          <w:bCs/>
          <w:sz w:val="20"/>
          <w:szCs w:val="20"/>
        </w:rPr>
      </w:pPr>
    </w:p>
    <w:p>
      <w:pPr>
        <w:spacing w:line="240" w:lineRule="auto" w:before="12"/>
        <w:rPr>
          <w:rFonts w:ascii="黑体" w:hAnsi="黑体" w:cs="黑体" w:eastAsia="黑体" w:hint="default"/>
          <w:b/>
          <w:bCs/>
          <w:sz w:val="16"/>
          <w:szCs w:val="16"/>
        </w:rPr>
      </w:pPr>
    </w:p>
    <w:p>
      <w:pPr>
        <w:pStyle w:val="Heading2"/>
        <w:spacing w:line="240" w:lineRule="auto" w:before="26"/>
        <w:ind w:right="91"/>
        <w:jc w:val="left"/>
        <w:rPr>
          <w:b w:val="0"/>
          <w:bCs w:val="0"/>
        </w:rPr>
      </w:pPr>
      <w:r>
        <w:rPr/>
        <w:t>一、公司治理的基本状况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91"/>
        <w:jc w:val="left"/>
      </w:pPr>
      <w:r>
        <w:rPr>
          <w:spacing w:val="-4"/>
        </w:rPr>
        <w:t>报告期内，公司严格按照《公司法》、《证劵法》、《上市公司治理准则》、《深圳证券交易所创业板股票上市规则》、</w:t>
      </w:r>
    </w:p>
    <w:p>
      <w:pPr>
        <w:pStyle w:val="BodyText"/>
        <w:spacing w:line="316" w:lineRule="auto" w:before="76"/>
        <w:ind w:right="191"/>
        <w:jc w:val="both"/>
      </w:pPr>
      <w:r>
        <w:rPr>
          <w:spacing w:val="-2"/>
        </w:rPr>
        <w:t>《深圳证券交易所创业板上市公司规范运作指引》等法律法规的要求，不断完善公司的法人治理结构，建立健全公司内部管</w:t>
      </w:r>
      <w:r>
        <w:rPr>
          <w:spacing w:val="-66"/>
        </w:rPr>
        <w:t> </w:t>
      </w:r>
      <w:r>
        <w:rPr>
          <w:spacing w:val="-66"/>
        </w:rPr>
      </w:r>
      <w:r>
        <w:rPr>
          <w:spacing w:val="-2"/>
        </w:rPr>
        <w:t>理和控制制度，持续深入开展公司治理活动，促进了公司规范运作，提高了公司治理水平。截至报告期末，公司实际情况符</w:t>
      </w:r>
      <w:r>
        <w:rPr>
          <w:spacing w:val="-66"/>
        </w:rPr>
        <w:t> </w:t>
      </w:r>
      <w:r>
        <w:rPr>
          <w:spacing w:val="-66"/>
        </w:rPr>
      </w:r>
      <w:r>
        <w:rPr/>
        <w:t>合中国证监会发布的有关上市公司治理的规范性文件的要求。</w:t>
      </w:r>
    </w:p>
    <w:p>
      <w:pPr>
        <w:pStyle w:val="BodyText"/>
        <w:spacing w:line="240" w:lineRule="auto" w:before="19"/>
        <w:ind w:left="153" w:right="91"/>
        <w:jc w:val="left"/>
      </w:pPr>
      <w:r>
        <w:rPr/>
        <w:t>一、公司</w:t>
      </w:r>
      <w:r>
        <w:rPr>
          <w:rFonts w:ascii="Times New Roman" w:hAnsi="Times New Roman" w:cs="Times New Roman" w:eastAsia="Times New Roman" w:hint="default"/>
        </w:rPr>
        <w:t>“</w:t>
      </w:r>
      <w:r>
        <w:rPr/>
        <w:t>三会</w:t>
      </w:r>
      <w:r>
        <w:rPr>
          <w:rFonts w:ascii="Times New Roman" w:hAnsi="Times New Roman" w:cs="Times New Roman" w:eastAsia="Times New Roman" w:hint="default"/>
        </w:rPr>
        <w:t>”</w:t>
      </w:r>
      <w:r>
        <w:rPr/>
        <w:t>运作情况</w:t>
      </w:r>
    </w:p>
    <w:p>
      <w:pPr>
        <w:pStyle w:val="BodyText"/>
        <w:spacing w:line="300" w:lineRule="auto" w:before="63"/>
        <w:ind w:left="514" w:right="180" w:hanging="360"/>
        <w:jc w:val="left"/>
      </w:pPr>
      <w:r>
        <w:rPr>
          <w:rFonts w:ascii="Times New Roman" w:hAnsi="Times New Roman" w:cs="Times New Roman" w:eastAsia="Times New Roman" w:hint="default"/>
        </w:rPr>
        <w:t>1</w:t>
      </w:r>
      <w:r>
        <w:rPr/>
        <w:t>、关于股东大会 报告期内共召开了</w:t>
      </w:r>
      <w:r>
        <w:rPr>
          <w:rFonts w:ascii="Times New Roman" w:hAnsi="Times New Roman" w:cs="Times New Roman" w:eastAsia="Times New Roman" w:hint="default"/>
        </w:rPr>
        <w:t>3</w:t>
      </w:r>
      <w:r>
        <w:rPr/>
        <w:t>次股东大会：</w:t>
      </w:r>
      <w:r>
        <w:rPr>
          <w:rFonts w:ascii="Times New Roman" w:hAnsi="Times New Roman" w:cs="Times New Roman" w:eastAsia="Times New Roman" w:hint="default"/>
        </w:rPr>
        <w:t>2011</w:t>
      </w:r>
      <w:r>
        <w:rPr/>
        <w:t>年度股东大会、</w:t>
      </w:r>
      <w:r>
        <w:rPr>
          <w:rFonts w:ascii="Times New Roman" w:hAnsi="Times New Roman" w:cs="Times New Roman" w:eastAsia="Times New Roman" w:hint="default"/>
        </w:rPr>
        <w:t>2012</w:t>
      </w:r>
      <w:r>
        <w:rPr/>
        <w:t>年第一次临时股东大会、</w:t>
      </w:r>
      <w:r>
        <w:rPr>
          <w:rFonts w:ascii="Times New Roman" w:hAnsi="Times New Roman" w:cs="Times New Roman" w:eastAsia="Times New Roman" w:hint="default"/>
        </w:rPr>
        <w:t>2012</w:t>
      </w:r>
      <w:r>
        <w:rPr/>
        <w:t>年第二次临时股东大会。公司</w:t>
      </w:r>
    </w:p>
    <w:p>
      <w:pPr>
        <w:pStyle w:val="BodyText"/>
        <w:spacing w:line="316" w:lineRule="auto" w:before="13"/>
        <w:ind w:right="188"/>
        <w:jc w:val="both"/>
      </w:pPr>
      <w:r>
        <w:rPr>
          <w:spacing w:val="-2"/>
        </w:rPr>
        <w:t>严格按照《上市公司股东大会规则》、《公司章程》、《股东大会议事规则》等规定和要求，规范股东大会召集、召开、表</w:t>
      </w:r>
      <w:r>
        <w:rPr>
          <w:spacing w:val="-70"/>
        </w:rPr>
        <w:t> </w:t>
      </w:r>
      <w:r>
        <w:rPr>
          <w:spacing w:val="-70"/>
        </w:rPr>
      </w:r>
      <w:r>
        <w:rPr>
          <w:spacing w:val="-2"/>
        </w:rPr>
        <w:t>决程序，切实保证中小股东的权益，会议记录完整、会议决议及时完整披露。聘请律师列席股东大会并对股东大会的召开和</w:t>
      </w:r>
      <w:r>
        <w:rPr>
          <w:spacing w:val="-66"/>
        </w:rPr>
        <w:t> </w:t>
      </w:r>
      <w:r>
        <w:rPr>
          <w:spacing w:val="-66"/>
        </w:rPr>
      </w:r>
      <w:r>
        <w:rPr/>
        <w:t>表决程序出具法律意见书，充分尊重和维护全体股东的合法权益。</w:t>
      </w:r>
    </w:p>
    <w:p>
      <w:pPr>
        <w:pStyle w:val="BodyText"/>
        <w:spacing w:line="240" w:lineRule="auto" w:before="19"/>
        <w:ind w:right="91"/>
        <w:jc w:val="left"/>
      </w:pPr>
      <w:r>
        <w:rPr>
          <w:rFonts w:ascii="Times New Roman" w:hAnsi="Times New Roman" w:cs="Times New Roman" w:eastAsia="Times New Roman" w:hint="default"/>
        </w:rPr>
        <w:t>2</w:t>
      </w:r>
      <w:r>
        <w:rPr/>
        <w:t>、关于董事会</w:t>
      </w:r>
    </w:p>
    <w:p>
      <w:pPr>
        <w:pStyle w:val="BodyText"/>
        <w:spacing w:line="309" w:lineRule="auto" w:before="63"/>
        <w:ind w:right="90" w:firstLine="360"/>
        <w:jc w:val="left"/>
      </w:pPr>
      <w:r>
        <w:rPr>
          <w:spacing w:val="-2"/>
        </w:rPr>
        <w:t>公司董事会设董事</w:t>
      </w:r>
      <w:r>
        <w:rPr>
          <w:rFonts w:ascii="Times New Roman" w:hAnsi="Times New Roman" w:cs="Times New Roman" w:eastAsia="Times New Roman" w:hint="default"/>
          <w:spacing w:val="-2"/>
        </w:rPr>
        <w:t>9</w:t>
      </w:r>
      <w:r>
        <w:rPr>
          <w:spacing w:val="-2"/>
        </w:rPr>
        <w:t>名，其中独立董事</w:t>
      </w:r>
      <w:r>
        <w:rPr>
          <w:rFonts w:ascii="Times New Roman" w:hAnsi="Times New Roman" w:cs="Times New Roman" w:eastAsia="Times New Roman" w:hint="default"/>
          <w:spacing w:val="-2"/>
        </w:rPr>
        <w:t>3</w:t>
      </w:r>
      <w:r>
        <w:rPr>
          <w:spacing w:val="-2"/>
        </w:rPr>
        <w:t>名，董事会的人数及人员构成符合法律、法规和《公司章程》的要求。报告期内</w:t>
      </w:r>
      <w:r>
        <w:rPr/>
        <w:t> 共召开董事会会议</w:t>
      </w:r>
      <w:r>
        <w:rPr>
          <w:rFonts w:ascii="Times New Roman" w:hAnsi="Times New Roman" w:cs="Times New Roman" w:eastAsia="Times New Roman" w:hint="default"/>
        </w:rPr>
        <w:t>11</w:t>
      </w:r>
      <w:r>
        <w:rPr/>
        <w:t>次。董事会的召集和召开程序符合《公司法》、公司《公司章程》、《董事会议事规则》的相关规定， </w:t>
      </w:r>
      <w:r>
        <w:rPr>
          <w:spacing w:val="-2"/>
        </w:rPr>
        <w:t>会议记录完整，会议决议及时充分披露。董事会各成员都能勤勉尽责，认真履行《公司章程》赋予的职权，并积极参加公司</w:t>
      </w:r>
      <w:r>
        <w:rPr>
          <w:spacing w:val="-68"/>
        </w:rPr>
        <w:t> </w:t>
      </w:r>
      <w:r>
        <w:rPr>
          <w:spacing w:val="-68"/>
        </w:rPr>
      </w:r>
      <w:r>
        <w:rPr>
          <w:spacing w:val="-2"/>
        </w:rPr>
        <w:t>历次董事会，对公司董事会的科学决策、促进公司的良性发展起到了积极的作用。董事会下设的专门委员会，各尽其责，提</w:t>
      </w:r>
      <w:r>
        <w:rPr>
          <w:spacing w:val="-66"/>
        </w:rPr>
        <w:t> </w:t>
      </w:r>
      <w:r>
        <w:rPr>
          <w:spacing w:val="-66"/>
        </w:rPr>
      </w:r>
      <w:r>
        <w:rPr/>
        <w:t>高了董事会的决策效率。</w:t>
      </w:r>
    </w:p>
    <w:p>
      <w:pPr>
        <w:pStyle w:val="BodyText"/>
        <w:spacing w:line="240" w:lineRule="auto" w:before="24"/>
        <w:ind w:right="91"/>
        <w:jc w:val="left"/>
      </w:pPr>
      <w:r>
        <w:rPr>
          <w:rFonts w:ascii="Times New Roman" w:hAnsi="Times New Roman" w:cs="Times New Roman" w:eastAsia="Times New Roman" w:hint="default"/>
        </w:rPr>
        <w:t>3</w:t>
      </w:r>
      <w:r>
        <w:rPr/>
        <w:t>、关于监事会</w:t>
      </w:r>
    </w:p>
    <w:p>
      <w:pPr>
        <w:pStyle w:val="BodyText"/>
        <w:spacing w:line="300" w:lineRule="auto" w:before="63"/>
        <w:ind w:right="91" w:firstLine="360"/>
        <w:jc w:val="left"/>
      </w:pPr>
      <w:r>
        <w:rPr>
          <w:spacing w:val="-2"/>
        </w:rPr>
        <w:t>公司监事会设监事</w:t>
      </w:r>
      <w:r>
        <w:rPr>
          <w:rFonts w:ascii="Times New Roman" w:hAnsi="Times New Roman" w:cs="Times New Roman" w:eastAsia="Times New Roman" w:hint="default"/>
          <w:spacing w:val="-2"/>
        </w:rPr>
        <w:t>3</w:t>
      </w:r>
      <w:r>
        <w:rPr>
          <w:spacing w:val="-2"/>
        </w:rPr>
        <w:t>名，其中职工监事</w:t>
      </w:r>
      <w:r>
        <w:rPr>
          <w:rFonts w:ascii="Times New Roman" w:hAnsi="Times New Roman" w:cs="Times New Roman" w:eastAsia="Times New Roman" w:hint="default"/>
          <w:spacing w:val="-2"/>
        </w:rPr>
        <w:t>1</w:t>
      </w:r>
      <w:r>
        <w:rPr>
          <w:spacing w:val="-2"/>
        </w:rPr>
        <w:t>名，监事会的人数和构成符合法律、法规和《公司章程》的要求。报告期内共召</w:t>
      </w:r>
      <w:r>
        <w:rPr/>
        <w:t> </w:t>
      </w:r>
      <w:r>
        <w:rPr>
          <w:spacing w:val="-2"/>
        </w:rPr>
        <w:t>开</w:t>
      </w:r>
      <w:r>
        <w:rPr>
          <w:rFonts w:ascii="Times New Roman" w:hAnsi="Times New Roman" w:cs="Times New Roman" w:eastAsia="Times New Roman" w:hint="default"/>
          <w:spacing w:val="-2"/>
        </w:rPr>
        <w:t>7</w:t>
      </w:r>
      <w:r>
        <w:rPr>
          <w:spacing w:val="-2"/>
        </w:rPr>
        <w:t>次监事会。各位监事按照公司《监事会议事规则》的要求，认真履行自己的职责，对公司重要事项、财务状况以及董事、</w:t>
      </w:r>
      <w:r>
        <w:rPr>
          <w:spacing w:val="-66"/>
        </w:rPr>
        <w:t> </w:t>
      </w:r>
      <w:r>
        <w:rPr>
          <w:spacing w:val="-66"/>
        </w:rPr>
      </w:r>
      <w:r>
        <w:rPr/>
        <w:t>高管人员、财务负责人履行职责的合法合规性进行监督。</w:t>
      </w:r>
    </w:p>
    <w:p>
      <w:pPr>
        <w:pStyle w:val="BodyText"/>
        <w:spacing w:line="316" w:lineRule="auto" w:before="31"/>
        <w:ind w:left="514" w:right="91" w:hanging="360"/>
        <w:jc w:val="left"/>
      </w:pPr>
      <w:r>
        <w:rPr/>
        <w:t>二、公司内部控制情况 </w:t>
      </w:r>
      <w:r>
        <w:rPr>
          <w:spacing w:val="-2"/>
        </w:rPr>
        <w:t>公司制定了《财务管理制度》，规定公司应根据实际需要合理核实现金的库存限额、严禁白条抵库和任意挪用现金、一</w:t>
      </w:r>
    </w:p>
    <w:p>
      <w:pPr>
        <w:pStyle w:val="BodyText"/>
        <w:spacing w:line="316" w:lineRule="auto" w:before="19"/>
        <w:ind w:right="91"/>
        <w:jc w:val="left"/>
      </w:pPr>
      <w:r>
        <w:rPr>
          <w:spacing w:val="-2"/>
        </w:rPr>
        <w:t>切现金收付都必须有合法的原始凭证等现金管理制度和银行帐户印签实行分管并用制、不准签发空头支票等银行存款管理制</w:t>
      </w:r>
      <w:r>
        <w:rPr>
          <w:spacing w:val="-64"/>
        </w:rPr>
        <w:t> </w:t>
      </w:r>
      <w:r>
        <w:rPr>
          <w:spacing w:val="-64"/>
        </w:rPr>
      </w:r>
      <w:r>
        <w:rPr/>
        <w:t>度。 </w:t>
      </w:r>
      <w:r>
        <w:rPr>
          <w:spacing w:val="-4"/>
        </w:rPr>
        <w:t>公司制定了《募集资金管理制度》，严格按照相关的法规对募集资金的存放和实际使用进行管理，保障募投项目的顺利进行。</w:t>
      </w:r>
    </w:p>
    <w:p>
      <w:pPr>
        <w:pStyle w:val="BodyText"/>
        <w:spacing w:line="316" w:lineRule="auto" w:before="19"/>
        <w:ind w:right="91" w:firstLine="360"/>
        <w:jc w:val="left"/>
      </w:pPr>
      <w:r>
        <w:rPr>
          <w:spacing w:val="-2"/>
        </w:rPr>
        <w:t>公司制定了《采购部内部管理控制制度》、《供应商内部管理控制制度》、《物流部内部管理控制制度》等内部控制制</w:t>
      </w:r>
      <w:r>
        <w:rPr/>
        <w:t> </w:t>
      </w:r>
      <w:r>
        <w:rPr>
          <w:spacing w:val="-2"/>
        </w:rPr>
        <w:t>度。从编制项目采购计划、提出采购申请、采购计划的执行及反馈、紧急采购计划的执行、付款计划的编制、款项的支付等</w:t>
      </w:r>
      <w:r>
        <w:rPr>
          <w:spacing w:val="-68"/>
        </w:rPr>
        <w:t> </w:t>
      </w:r>
      <w:r>
        <w:rPr>
          <w:spacing w:val="-68"/>
        </w:rPr>
      </w:r>
      <w:r>
        <w:rPr>
          <w:spacing w:val="-4"/>
        </w:rPr>
        <w:t>环节都制定了严格的流程及操作细则。采购与付款内部控制制度的制定并有效执行，防范了采购与付款过程中的舞弊与差错，</w:t>
      </w:r>
      <w:r>
        <w:rPr>
          <w:spacing w:val="-44"/>
        </w:rPr>
        <w:t> </w:t>
      </w:r>
      <w:r>
        <w:rPr>
          <w:spacing w:val="-44"/>
        </w:rPr>
      </w:r>
      <w:r>
        <w:rPr/>
        <w:t>使之流转有序、付款有度，有效地保证了工程施工成本的准确性和公司资产的安全、完整。</w:t>
      </w:r>
    </w:p>
    <w:p>
      <w:pPr>
        <w:pStyle w:val="BodyText"/>
        <w:spacing w:line="316" w:lineRule="auto" w:before="19"/>
        <w:ind w:right="91" w:firstLine="360"/>
        <w:jc w:val="left"/>
      </w:pPr>
      <w:r>
        <w:rPr>
          <w:spacing w:val="-2"/>
        </w:rPr>
        <w:t>公司制定了《项目实施管理制度》、《智能化项目管理办法》、《施工现场管理制度》、《安全生产管理制度》、《工</w:t>
      </w:r>
      <w:r>
        <w:rPr/>
        <w:t> </w:t>
      </w:r>
      <w:r>
        <w:rPr>
          <w:spacing w:val="-2"/>
        </w:rPr>
        <w:t>程项目成本预算管理制度》、《项目地材料保管制度及盘点制度》《项目消化流程》等一系列内部控制制度。从项目深化优</w:t>
      </w:r>
      <w:r>
        <w:rPr>
          <w:spacing w:val="-65"/>
        </w:rPr>
        <w:t> </w:t>
      </w:r>
      <w:r>
        <w:rPr>
          <w:spacing w:val="-65"/>
        </w:rPr>
      </w:r>
      <w:r>
        <w:rPr>
          <w:spacing w:val="-2"/>
        </w:rPr>
        <w:t>化方案的编制、技术指导、安全施工与文明施工、项目质量标准、竣工验收到验收后工程维修与保养等环节都制定了严格的</w:t>
      </w:r>
      <w:r>
        <w:rPr>
          <w:spacing w:val="-66"/>
        </w:rPr>
        <w:t> </w:t>
      </w:r>
      <w:r>
        <w:rPr>
          <w:spacing w:val="-66"/>
        </w:rPr>
      </w:r>
      <w:r>
        <w:rPr>
          <w:spacing w:val="-2"/>
        </w:rPr>
        <w:t>流程及操作细则。工程施工管理环节内部控制制度的制定并有效执行，确保了施工体系正常有序地运行以及工程项目的顺利</w:t>
      </w:r>
      <w:r>
        <w:rPr>
          <w:spacing w:val="-64"/>
        </w:rPr>
        <w:t> </w:t>
      </w:r>
      <w:r>
        <w:rPr>
          <w:spacing w:val="-64"/>
        </w:rPr>
      </w:r>
      <w:r>
        <w:rPr/>
        <w:t>实施，有效控制工程质量，加强了公司在智能建筑与数字社区市场的竞争力。 </w:t>
      </w:r>
      <w:r>
        <w:rPr>
          <w:spacing w:val="-2"/>
        </w:rPr>
        <w:t>公司建立了较科学的对外投资决策程序，制定了《对外投资管理制度》，对外投资的批准权限按不同的投资额分别由公司不</w:t>
      </w:r>
      <w:r>
        <w:rPr>
          <w:spacing w:val="-66"/>
        </w:rPr>
        <w:t> </w:t>
      </w:r>
      <w:r>
        <w:rPr>
          <w:spacing w:val="-66"/>
        </w:rPr>
      </w:r>
      <w:r>
        <w:rPr/>
        <w:t>同层次的权力机构决策，严格控制投资风险。公司没有严重偏离公司投资政策和程序的行为。</w:t>
      </w:r>
    </w:p>
    <w:p>
      <w:pPr>
        <w:pStyle w:val="BodyText"/>
        <w:spacing w:line="316" w:lineRule="auto" w:before="19"/>
        <w:ind w:right="91" w:firstLine="360"/>
        <w:jc w:val="left"/>
      </w:pPr>
      <w:r>
        <w:rPr>
          <w:spacing w:val="-2"/>
        </w:rPr>
        <w:t>公司制定了《对外担保制度》，明确对担保业务应进行风险评估，规定了董事会或股东大会审议担保事项的具体流程和</w:t>
      </w:r>
      <w:r>
        <w:rPr/>
        <w:t> 担保的日常管理，以防范潜在的风险，避免和减少可能发生的损失。</w:t>
      </w:r>
    </w:p>
    <w:p>
      <w:pPr>
        <w:spacing w:after="0" w:line="316"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3" w:right="91" w:firstLine="360"/>
        <w:jc w:val="left"/>
      </w:pPr>
      <w:r>
        <w:rPr>
          <w:spacing w:val="-2"/>
        </w:rPr>
        <w:t>公司制定了《内部审计制度》，在董事会下设立审计委员会，审计委员会下设立审计部，审计部在审计委员会指导下独</w:t>
      </w:r>
      <w:r>
        <w:rPr/>
        <w:t> </w:t>
      </w:r>
      <w:r>
        <w:rPr>
          <w:spacing w:val="-4"/>
        </w:rPr>
        <w:t>立开展审计工作，对审计委员会负责，向审计委员会报告工作。审计部配置了具备必要专业知识、相应业务能力、坚持原则、</w:t>
      </w:r>
      <w:r>
        <w:rPr>
          <w:spacing w:val="-44"/>
        </w:rPr>
        <w:t> </w:t>
      </w:r>
      <w:r>
        <w:rPr>
          <w:spacing w:val="-44"/>
        </w:rPr>
      </w:r>
      <w:r>
        <w:rPr/>
        <w:t>具有良好职业道德的专职审计人员从事内部审计工作。 </w:t>
      </w:r>
      <w:r>
        <w:rPr>
          <w:spacing w:val="-2"/>
        </w:rPr>
        <w:t>公司制定了《子公司管理制度》、《分公司管理规定》等内部控制制度，将子公司及分公司的规范运作、人事管理、财务资</w:t>
      </w:r>
      <w:r>
        <w:rPr>
          <w:spacing w:val="-67"/>
        </w:rPr>
        <w:t> </w:t>
      </w:r>
      <w:r>
        <w:rPr>
          <w:spacing w:val="-67"/>
        </w:rPr>
      </w:r>
      <w:r>
        <w:rPr>
          <w:spacing w:val="-2"/>
        </w:rPr>
        <w:t>金及担保管理、投资管理等纳入统一的管理体系，公司按照有关法律法规和上市公司规范运作要求，及时、有效地对控股子</w:t>
      </w:r>
      <w:r>
        <w:rPr>
          <w:spacing w:val="-66"/>
        </w:rPr>
        <w:t> </w:t>
      </w:r>
      <w:r>
        <w:rPr>
          <w:spacing w:val="-66"/>
        </w:rPr>
      </w:r>
      <w:r>
        <w:rPr/>
        <w:t>公司及分公司进行管理、指导及监督。</w:t>
      </w:r>
    </w:p>
    <w:p>
      <w:pPr>
        <w:pStyle w:val="BodyText"/>
        <w:spacing w:line="316" w:lineRule="auto" w:before="19"/>
        <w:ind w:left="153" w:right="191" w:firstLine="360"/>
        <w:jc w:val="both"/>
      </w:pPr>
      <w:r>
        <w:rPr>
          <w:spacing w:val="-2"/>
        </w:rPr>
        <w:t>在完善公司内部控制制度建设方面，报告期内，公司修订了《信息披露管理制度》、《重大事项内部报告制度》，新制</w:t>
      </w:r>
      <w:r>
        <w:rPr/>
        <w:t> </w:t>
      </w:r>
      <w:r>
        <w:rPr>
          <w:spacing w:val="-2"/>
        </w:rPr>
        <w:t>定了《董事、监事和高级管理人员所持公司股份及其变动管理制度》、《财务会计信息四方沟通机制》、《大股东、实际控</w:t>
      </w:r>
      <w:r>
        <w:rPr>
          <w:spacing w:val="-69"/>
        </w:rPr>
        <w:t> </w:t>
      </w:r>
      <w:r>
        <w:rPr>
          <w:spacing w:val="-69"/>
        </w:rPr>
      </w:r>
      <w:r>
        <w:rPr>
          <w:spacing w:val="-2"/>
        </w:rPr>
        <w:t>制人行为规范及信息问询制度》、《大股东定期沟通机制》、《敏感信息排查管理制度》、《网络投票实施细则》、《媒体</w:t>
      </w:r>
      <w:r>
        <w:rPr>
          <w:spacing w:val="-71"/>
        </w:rPr>
        <w:t> </w:t>
      </w:r>
      <w:r>
        <w:rPr>
          <w:spacing w:val="-71"/>
        </w:rPr>
      </w:r>
      <w:r>
        <w:rPr>
          <w:spacing w:val="-2"/>
        </w:rPr>
        <w:t>来访和投资者调研接待制度》、《内幕信息知情人登记管理制度》、《年报信息披露重大差错责任追究制度》、《突发事件</w:t>
      </w:r>
      <w:r>
        <w:rPr>
          <w:spacing w:val="-69"/>
        </w:rPr>
        <w:t> </w:t>
      </w:r>
      <w:r>
        <w:rPr>
          <w:spacing w:val="-69"/>
        </w:rPr>
      </w:r>
      <w:r>
        <w:rPr/>
        <w:t>处理制度》。对完善公司的内部控制起到了积极的作用。</w:t>
      </w:r>
    </w:p>
    <w:p>
      <w:pPr>
        <w:pStyle w:val="BodyText"/>
        <w:spacing w:line="316" w:lineRule="auto" w:before="19"/>
        <w:ind w:left="513" w:right="91" w:hanging="360"/>
        <w:jc w:val="left"/>
      </w:pPr>
      <w:r>
        <w:rPr/>
        <w:t>三、公司信息披露情况 公司严格按照有关法律法规以及《信息披露管理制度》、《媒体来访和投资者调研接待制度》等的要求，真实、准确、</w:t>
      </w:r>
    </w:p>
    <w:p>
      <w:pPr>
        <w:pStyle w:val="BodyText"/>
        <w:spacing w:line="300" w:lineRule="auto" w:before="19"/>
        <w:ind w:left="153" w:right="181"/>
        <w:jc w:val="left"/>
      </w:pPr>
      <w:r>
        <w:rPr/>
        <w:t>及时、公平、完整地披露有关信息；并指定公司董事会秘书负责信息披露工作，协调公司与投资者的关系</w:t>
      </w:r>
      <w:r>
        <w:rPr>
          <w:rFonts w:ascii="Times New Roman" w:hAnsi="Times New Roman" w:cs="Times New Roman" w:eastAsia="Times New Roman" w:hint="default"/>
        </w:rPr>
        <w:t>,</w:t>
      </w:r>
      <w:r>
        <w:rPr/>
        <w:t>接待股东来访</w:t>
      </w:r>
      <w:r>
        <w:rPr>
          <w:rFonts w:ascii="Times New Roman" w:hAnsi="Times New Roman" w:cs="Times New Roman" w:eastAsia="Times New Roman" w:hint="default"/>
        </w:rPr>
        <w:t>,</w:t>
      </w:r>
      <w:r>
        <w:rPr/>
        <w:t>回 答投资者咨询。</w:t>
      </w:r>
    </w:p>
    <w:p>
      <w:pPr>
        <w:pStyle w:val="BodyText"/>
        <w:spacing w:line="316" w:lineRule="auto" w:before="31"/>
        <w:ind w:left="513" w:right="91" w:hanging="360"/>
        <w:jc w:val="left"/>
      </w:pPr>
      <w:r>
        <w:rPr/>
        <w:t>四、公司与控股股东的独立性情况 公司严格按照《公司法》、《证券法》等有关法律、法规及《公司章程》的要求规范运作，与控股股东在业务、人员、</w:t>
      </w:r>
    </w:p>
    <w:p>
      <w:pPr>
        <w:pStyle w:val="BodyText"/>
        <w:spacing w:line="240" w:lineRule="auto" w:before="19"/>
        <w:ind w:left="153" w:right="91"/>
        <w:jc w:val="left"/>
      </w:pPr>
      <w:r>
        <w:rPr/>
        <w:t>资产、机构、财务等方面完全分开，具有独立完整的业务及自主经营能力。</w:t>
      </w:r>
    </w:p>
    <w:p>
      <w:pPr>
        <w:spacing w:line="240" w:lineRule="auto" w:before="0"/>
        <w:rPr>
          <w:rFonts w:ascii="宋体" w:hAnsi="宋体" w:cs="宋体" w:eastAsia="宋体" w:hint="default"/>
          <w:sz w:val="18"/>
          <w:szCs w:val="18"/>
        </w:rPr>
      </w:pPr>
    </w:p>
    <w:p>
      <w:pPr>
        <w:pStyle w:val="BodyText"/>
        <w:spacing w:line="240" w:lineRule="auto" w:before="153"/>
        <w:ind w:left="153" w:right="91"/>
        <w:jc w:val="left"/>
      </w:pPr>
      <w:r>
        <w:rPr/>
        <w:t>公司治理与《公司法》和中国证监会相关规定的要求是否存在差异</w:t>
      </w:r>
    </w:p>
    <w:p>
      <w:pPr>
        <w:pStyle w:val="BodyText"/>
        <w:spacing w:line="240" w:lineRule="auto" w:before="76"/>
        <w:ind w:left="153" w:right="9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t>否</w:t>
      </w:r>
    </w:p>
    <w:p>
      <w:pPr>
        <w:spacing w:line="240" w:lineRule="auto" w:before="2"/>
        <w:rPr>
          <w:rFonts w:ascii="宋体" w:hAnsi="宋体" w:cs="宋体" w:eastAsia="宋体" w:hint="default"/>
          <w:sz w:val="24"/>
          <w:szCs w:val="24"/>
        </w:rPr>
      </w:pPr>
    </w:p>
    <w:p>
      <w:pPr>
        <w:pStyle w:val="Heading2"/>
        <w:spacing w:line="240" w:lineRule="auto"/>
        <w:ind w:right="91"/>
        <w:jc w:val="left"/>
        <w:rPr>
          <w:b w:val="0"/>
          <w:bCs w:val="0"/>
        </w:rPr>
      </w:pPr>
      <w:r>
        <w:rPr/>
        <w:t>二、报告期内召开的年度股东大会和临时股东大会的有关情况</w:t>
      </w:r>
      <w:r>
        <w:rPr>
          <w:b w:val="0"/>
          <w:bCs w:val="0"/>
        </w:rPr>
      </w:r>
    </w:p>
    <w:p>
      <w:pPr>
        <w:spacing w:line="240" w:lineRule="auto" w:before="4"/>
        <w:rPr>
          <w:rFonts w:ascii="宋体" w:hAnsi="宋体" w:cs="宋体" w:eastAsia="宋体" w:hint="default"/>
          <w:b/>
          <w:bCs/>
          <w:sz w:val="25"/>
          <w:szCs w:val="25"/>
        </w:rPr>
      </w:pPr>
    </w:p>
    <w:p>
      <w:pPr>
        <w:pStyle w:val="Heading5"/>
        <w:spacing w:line="240" w:lineRule="auto"/>
        <w:ind w:right="91"/>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29"/>
              <w:jc w:val="right"/>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20" w:right="109"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72"/>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b/>
          <w:bCs/>
          <w:sz w:val="19"/>
          <w:szCs w:val="19"/>
        </w:rPr>
      </w:pPr>
    </w:p>
    <w:p>
      <w:pPr>
        <w:pStyle w:val="Heading5"/>
        <w:spacing w:line="240" w:lineRule="auto" w:before="38"/>
        <w:ind w:right="91"/>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0" w:right="109"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before="26"/>
        <w:ind w:right="91"/>
        <w:jc w:val="left"/>
        <w:rPr>
          <w:b w:val="0"/>
          <w:bCs w:val="0"/>
        </w:rPr>
      </w:pPr>
      <w:r>
        <w:rPr/>
        <w:t>三、报告期董事会召开情况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20" w:right="109"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第一届董事会第十九次会议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4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第一届董事会第二十次会议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第一届董事会第二十一次会 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第一届董事会第二十二次会 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第一届董事会第二十三次会 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第二届董事会第一次会议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第二届董事会第二次会议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第二届董事会第三次会议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第二届董事会第四次会议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第二届董事会第五次会议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第二届董事会第六次会议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四、年度报告重大差错责任追究制度的建立与执行情况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49" w:firstLine="360"/>
        <w:jc w:val="both"/>
      </w:pPr>
      <w:r>
        <w:rPr>
          <w:spacing w:val="-2"/>
        </w:rPr>
        <w:t>为了进一步完善信息披露管理制度，强化信息披露责任意识，建立内部责任追究机制，促进董事、监事和高级管理人员</w:t>
      </w:r>
      <w:r>
        <w:rPr/>
        <w:t> </w:t>
      </w:r>
      <w:r>
        <w:rPr>
          <w:spacing w:val="-2"/>
        </w:rPr>
        <w:t>勤勉尽责，第一届董事会第二十二次会议审议通过了《年报信息披露重大差错责任追究制度》。报告期内公司未发生重大会</w:t>
      </w:r>
      <w:r>
        <w:rPr>
          <w:spacing w:val="-66"/>
        </w:rPr>
        <w:t> </w:t>
      </w:r>
      <w:r>
        <w:rPr>
          <w:spacing w:val="-66"/>
        </w:rPr>
      </w:r>
      <w:r>
        <w:rPr/>
        <w:t>计差错更正、重大遗漏信息补充以及业绩预告修正等情况。</w:t>
      </w:r>
    </w:p>
    <w:p>
      <w:pPr>
        <w:spacing w:line="240" w:lineRule="auto" w:before="7"/>
        <w:rPr>
          <w:rFonts w:ascii="宋体" w:hAnsi="宋体" w:cs="宋体" w:eastAsia="宋体" w:hint="default"/>
          <w:sz w:val="20"/>
          <w:szCs w:val="20"/>
        </w:rPr>
      </w:pPr>
    </w:p>
    <w:p>
      <w:pPr>
        <w:pStyle w:val="Heading2"/>
        <w:spacing w:line="240" w:lineRule="auto"/>
        <w:ind w:right="0"/>
        <w:jc w:val="left"/>
        <w:rPr>
          <w:b w:val="0"/>
          <w:bCs w:val="0"/>
        </w:rPr>
      </w:pPr>
      <w:r>
        <w:rPr/>
        <w:t>五、监事会工作情况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监事会在报告期内的监督活动是否发现公司存在风险</w:t>
      </w:r>
    </w:p>
    <w:p>
      <w:pPr>
        <w:pStyle w:val="BodyText"/>
        <w:spacing w:line="338" w:lineRule="auto" w:before="117"/>
        <w:ind w:right="63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after="0" w:line="338"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493"/>
        <w:jc w:val="center"/>
        <w:rPr>
          <w:b w:val="0"/>
          <w:bCs w:val="0"/>
        </w:rPr>
      </w:pPr>
      <w:bookmarkStart w:name="_TOC_250001" w:id="9"/>
      <w:r>
        <w:rPr/>
        <w:t>第九节</w:t>
      </w:r>
      <w:r>
        <w:rPr>
          <w:spacing w:val="-1"/>
        </w:rPr>
        <w:t> </w:t>
      </w:r>
      <w:r>
        <w:rPr/>
        <w:t>财务报告</w:t>
      </w:r>
      <w:bookmarkEnd w:id="9"/>
      <w:r>
        <w:rPr>
          <w:b w:val="0"/>
          <w:bCs w:val="0"/>
        </w:rPr>
      </w:r>
    </w:p>
    <w:p>
      <w:pPr>
        <w:spacing w:line="240" w:lineRule="auto" w:before="0"/>
        <w:rPr>
          <w:rFonts w:ascii="黑体" w:hAnsi="黑体" w:cs="黑体" w:eastAsia="黑体" w:hint="default"/>
          <w:b/>
          <w:bCs/>
          <w:sz w:val="20"/>
          <w:szCs w:val="20"/>
        </w:rPr>
      </w:pPr>
    </w:p>
    <w:p>
      <w:pPr>
        <w:spacing w:line="240" w:lineRule="auto" w:before="12"/>
        <w:rPr>
          <w:rFonts w:ascii="黑体" w:hAnsi="黑体" w:cs="黑体" w:eastAsia="黑体" w:hint="default"/>
          <w:b/>
          <w:bCs/>
          <w:sz w:val="16"/>
          <w:szCs w:val="16"/>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610167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bl>
    <w:p>
      <w:pPr>
        <w:pStyle w:val="BodyText"/>
        <w:spacing w:line="240" w:lineRule="auto" w:before="51"/>
        <w:ind w:left="495" w:right="493"/>
        <w:jc w:val="center"/>
      </w:pPr>
      <w:r>
        <w:rPr/>
        <w:t>审计报告正文</w:t>
      </w:r>
    </w:p>
    <w:p>
      <w:pPr>
        <w:pStyle w:val="BodyText"/>
        <w:spacing w:line="240" w:lineRule="auto" w:before="115"/>
        <w:ind w:right="0"/>
        <w:jc w:val="left"/>
      </w:pPr>
      <w:r>
        <w:rPr/>
        <w:t>汉鼎信息科技股份有限公司全体股东：</w:t>
      </w:r>
    </w:p>
    <w:p>
      <w:pPr>
        <w:pStyle w:val="BodyText"/>
        <w:spacing w:line="300" w:lineRule="auto" w:before="76"/>
        <w:ind w:right="151" w:firstLine="360"/>
        <w:jc w:val="both"/>
      </w:pPr>
      <w:r>
        <w:rPr>
          <w:spacing w:val="-2"/>
        </w:rPr>
        <w:t>我们审计了后附的汉鼎信息科技股份有限公司（以下简称贵公司）财务报表，包括</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日的资产负债表和合并</w:t>
      </w:r>
      <w:r>
        <w:rPr/>
        <w:t> </w:t>
      </w:r>
      <w:r>
        <w:rPr>
          <w:spacing w:val="-2"/>
        </w:rPr>
        <w:t>资产负债表、</w:t>
      </w:r>
      <w:r>
        <w:rPr>
          <w:rFonts w:ascii="Times New Roman" w:hAnsi="Times New Roman" w:cs="Times New Roman" w:eastAsia="Times New Roman" w:hint="default"/>
          <w:spacing w:val="-2"/>
        </w:rPr>
        <w:t>2012</w:t>
      </w:r>
      <w:r>
        <w:rPr>
          <w:spacing w:val="-2"/>
        </w:rPr>
        <w:t>年度的利润表和合并利润表、</w:t>
      </w:r>
      <w:r>
        <w:rPr>
          <w:rFonts w:ascii="Times New Roman" w:hAnsi="Times New Roman" w:cs="Times New Roman" w:eastAsia="Times New Roman" w:hint="default"/>
          <w:spacing w:val="-2"/>
        </w:rPr>
        <w:t>2012</w:t>
      </w:r>
      <w:r>
        <w:rPr>
          <w:spacing w:val="-2"/>
        </w:rPr>
        <w:t>年度的现金流量表和合并现金流量表、</w:t>
      </w:r>
      <w:r>
        <w:rPr>
          <w:rFonts w:ascii="Times New Roman" w:hAnsi="Times New Roman" w:cs="Times New Roman" w:eastAsia="Times New Roman" w:hint="default"/>
          <w:spacing w:val="-2"/>
        </w:rPr>
        <w:t>2012</w:t>
      </w:r>
      <w:r>
        <w:rPr>
          <w:spacing w:val="-2"/>
        </w:rPr>
        <w:t>年度的所有者权益变动表和</w:t>
      </w:r>
      <w:r>
        <w:rPr>
          <w:spacing w:val="-54"/>
        </w:rPr>
        <w:t> </w:t>
      </w:r>
      <w:r>
        <w:rPr/>
        <w:t>合并所有者权益变动表以及财务报表附注。</w:t>
      </w:r>
    </w:p>
    <w:p>
      <w:pPr>
        <w:pStyle w:val="BodyText"/>
        <w:spacing w:line="316" w:lineRule="auto" w:before="31"/>
        <w:ind w:left="514" w:right="140" w:hanging="360"/>
        <w:jc w:val="left"/>
      </w:pPr>
      <w:r>
        <w:rPr/>
        <w:t>一、管理层对财务报表的责任 编制和公允列报财务报表是贵公司管理层的责任。这种责任包括：（</w:t>
      </w:r>
      <w:r>
        <w:rPr>
          <w:rFonts w:ascii="Times New Roman" w:hAnsi="Times New Roman" w:cs="Times New Roman" w:eastAsia="Times New Roman" w:hint="default"/>
        </w:rPr>
        <w:t>1</w:t>
      </w:r>
      <w:r>
        <w:rPr/>
        <w:t>）按照企业会计准则的规定编制财务报表，并使</w:t>
      </w:r>
    </w:p>
    <w:p>
      <w:pPr>
        <w:pStyle w:val="BodyText"/>
        <w:spacing w:line="300" w:lineRule="auto"/>
        <w:ind w:right="680"/>
        <w:jc w:val="left"/>
      </w:pPr>
      <w:r>
        <w:rPr/>
        <w:t>其实现公允反映；（</w:t>
      </w:r>
      <w:r>
        <w:rPr>
          <w:rFonts w:ascii="Times New Roman" w:hAnsi="Times New Roman" w:cs="Times New Roman" w:eastAsia="Times New Roman" w:hint="default"/>
        </w:rPr>
        <w:t>2</w:t>
      </w:r>
      <w:r>
        <w:rPr/>
        <w:t>）设计、执行和维护必要的内部控制，以使财务报表不存在由于舞弊或错误导致的重大错报。 二、注册会计师的责任</w:t>
      </w:r>
    </w:p>
    <w:p>
      <w:pPr>
        <w:pStyle w:val="BodyText"/>
        <w:spacing w:line="316" w:lineRule="auto" w:before="31"/>
        <w:ind w:right="0" w:firstLine="360"/>
        <w:jc w:val="left"/>
      </w:pPr>
      <w:r>
        <w:rPr>
          <w:spacing w:val="-2"/>
        </w:rPr>
        <w:t>我们的责任是在执行审计工作的基础上对财务报表发表审计意见。我们按照中国注册会计师审计准则的规定执行了审计</w:t>
      </w:r>
      <w:r>
        <w:rPr/>
        <w:t> </w:t>
      </w: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 </w:t>
      </w:r>
      <w:r>
        <w:rPr>
          <w:spacing w:val="-2"/>
        </w:rPr>
        <w:t>审计工作涉及实施审计程序，以获取有关财务报表金额和披露的审计证据。选择的审计程序取决于注册会计师的判断，包括</w:t>
      </w:r>
      <w:r>
        <w:rPr>
          <w:spacing w:val="-66"/>
        </w:rPr>
        <w:t> </w:t>
      </w:r>
      <w:r>
        <w:rPr>
          <w:spacing w:val="-66"/>
        </w:rPr>
      </w:r>
      <w:r>
        <w:rPr>
          <w:spacing w:val="-2"/>
        </w:rPr>
        <w:t>对由于舞弊或错误导致的财务报表重大错报风险的评估。在进行风险评估时，注册会计师考虑与财务报表编制和公允列报相</w:t>
      </w:r>
      <w:r>
        <w:rPr>
          <w:spacing w:val="-64"/>
        </w:rPr>
        <w:t> </w:t>
      </w:r>
      <w:r>
        <w:rPr>
          <w:spacing w:val="-64"/>
        </w:rPr>
      </w:r>
      <w:r>
        <w:rPr>
          <w:spacing w:val="-2"/>
        </w:rPr>
        <w:t>关的内部控制，以设计恰当的审计程序，但目的并非对内部控制的有效性发表意见。审计工作还包括评价管理层选用会计政</w:t>
      </w:r>
      <w:r>
        <w:rPr>
          <w:spacing w:val="-66"/>
        </w:rPr>
        <w:t> </w:t>
      </w:r>
      <w:r>
        <w:rPr>
          <w:spacing w:val="-66"/>
        </w:rPr>
      </w:r>
      <w:r>
        <w:rPr/>
        <w:t>策的恰当性和作出会计估计的合理性，以及评价财务报表的总体列报。 我们相信，我们获取的审计证据是充分、适当的，为发表审计意见提供了基础。</w:t>
      </w:r>
    </w:p>
    <w:p>
      <w:pPr>
        <w:pStyle w:val="BodyText"/>
        <w:spacing w:line="240" w:lineRule="auto" w:before="19"/>
        <w:ind w:right="0"/>
        <w:jc w:val="left"/>
      </w:pPr>
      <w:r>
        <w:rPr/>
        <w:t>三、审计意见</w:t>
      </w:r>
    </w:p>
    <w:p>
      <w:pPr>
        <w:pStyle w:val="BodyText"/>
        <w:spacing w:line="300" w:lineRule="auto" w:before="76"/>
        <w:ind w:right="0" w:firstLine="360"/>
        <w:jc w:val="left"/>
      </w:pPr>
      <w:r>
        <w:rPr>
          <w:spacing w:val="-2"/>
        </w:rPr>
        <w:t>我们认为，贵公司财务报表在所有重大方面按照企业会计准则的规定编制，公允反映了贵公司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w:t>
      </w:r>
      <w:r>
        <w:rPr/>
        <w:t> 况以及</w:t>
      </w:r>
      <w:r>
        <w:rPr>
          <w:rFonts w:ascii="Times New Roman" w:hAnsi="Times New Roman" w:cs="Times New Roman" w:eastAsia="Times New Roman" w:hint="default"/>
        </w:rPr>
        <w:t>2012</w:t>
      </w:r>
      <w:r>
        <w:rPr/>
        <w:t>年度的经营成果和现金流量。</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0"/>
        <w:rPr>
          <w:rFonts w:ascii="宋体" w:hAnsi="宋体" w:cs="宋体" w:eastAsia="宋体" w:hint="default"/>
          <w:sz w:val="18"/>
          <w:szCs w:val="18"/>
        </w:rPr>
      </w:pPr>
    </w:p>
    <w:p>
      <w:pPr>
        <w:pStyle w:val="Heading5"/>
        <w:spacing w:line="240" w:lineRule="auto" w:before="124"/>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right="0"/>
        <w:jc w:val="left"/>
      </w:pPr>
      <w:r>
        <w:rPr/>
        <w:t>编制单位：汉鼎信息科技股份有限公司</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323,264,978.44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64,128,909.72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1,293,500.00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140,327,207.42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56,445,643.34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12,532,498.33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9,820,152.73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2,200,251.09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48,376,602.71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33,012,945.90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177,601,705.67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87,108,131.35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705,596,743.66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251,645,783.04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88,356,585.53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71,724,607.31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831,800.00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3,247,740.44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116,353.38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6,908,068.46</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143,218.35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2,402,591.36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895,989.70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1,189,795.00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102,104,780.79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73,711,968.74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807,701,524.45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325,357,751.78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10,746,922.45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2,259,992.50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131,211,644.65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59,543,948.54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27,289,063.99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25,090,443.19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4,331,178.56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2,185,281.90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25,898,140.92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11,679,927.65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86,729.89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15,681,405.14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2,395,275.14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217,858,355.71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118,241,598.81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19,421,355.92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19,421,355.92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217,858,355.71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137,662,954.73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351,980,735.26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23,504,735.26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15,857,098.29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10,639,893.70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130,231,237.51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88,550,168.09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585,069,071.06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187,694,797.05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4,774,097.68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589,843,168.74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187,694,797.05</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807,701,524.45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325,357,751.78</w:t>
            </w:r>
          </w:p>
        </w:tc>
      </w:tr>
    </w:tbl>
    <w:p>
      <w:pPr>
        <w:spacing w:line="240" w:lineRule="auto" w:before="3"/>
        <w:rPr>
          <w:rFonts w:ascii="Times New Roman" w:hAnsi="Times New Roman" w:cs="Times New Roman" w:eastAsia="Times New Roman" w:hint="default"/>
          <w:sz w:val="23"/>
          <w:szCs w:val="23"/>
        </w:rPr>
      </w:pPr>
    </w:p>
    <w:p>
      <w:pPr>
        <w:pStyle w:val="BodyText"/>
        <w:tabs>
          <w:tab w:pos="3483" w:val="left" w:leader="none"/>
          <w:tab w:pos="7713" w:val="left" w:leader="none"/>
        </w:tabs>
        <w:spacing w:line="240" w:lineRule="auto" w:before="44"/>
        <w:ind w:right="0"/>
        <w:jc w:val="left"/>
      </w:pPr>
      <w:r>
        <w:rPr/>
        <w:t>法定代表人：吴艳</w:t>
        <w:tab/>
        <w:t>主管会计工作负责人：王智斌</w:t>
        <w:tab/>
        <w:t>会计机构负责人：周小平</w:t>
      </w:r>
    </w:p>
    <w:p>
      <w:pPr>
        <w:spacing w:line="240" w:lineRule="auto" w:before="0"/>
        <w:rPr>
          <w:rFonts w:ascii="宋体" w:hAnsi="宋体" w:cs="宋体" w:eastAsia="宋体" w:hint="default"/>
          <w:sz w:val="18"/>
          <w:szCs w:val="18"/>
        </w:rPr>
      </w:pPr>
    </w:p>
    <w:p>
      <w:pPr>
        <w:pStyle w:val="Heading5"/>
        <w:spacing w:line="240" w:lineRule="auto" w:before="124"/>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right="0"/>
        <w:jc w:val="left"/>
      </w:pPr>
      <w:r>
        <w:rPr/>
        <w:t>编制单位：汉鼎信息科技股份有限公司</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5"/>
        <w:gridCol w:w="3302"/>
        <w:gridCol w:w="3300"/>
      </w:tblGrid>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296"/>
              <w:jc w:val="right"/>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241,322,416.22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58,117,188.78</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310"/>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1,293,500.00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1,130,000.00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120,454,232.73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56,374,095.14</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11,220,575.07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9,812,083.39</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2,008,091.56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40,725,603.04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33,011,988.30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170,354,922.00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87,108,131.35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2"/>
        <w:gridCol w:w="3300"/>
      </w:tblGrid>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587,379,340.62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245,553,486.96</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87,655,638.79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6,655,638.79</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86,001,745.08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70,209,203.25</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831,800.00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3,239,940.44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116,353.38</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143,218.35</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1,836,440.38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893,989.65</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179,413,764.69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78,850,203.42</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766,793,105.31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324,403,690.38</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10,746,922.45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2,259,992.50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114,625,086.89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59,543,948.54</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23,326,090.86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25,090,443.19</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3,866,107.75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2,144,280.11</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22,414,819.64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11,687,810.23</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86,729.89</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11,091,637.23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2,394,735.36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2"/>
        <w:gridCol w:w="3300"/>
      </w:tblGrid>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186,070,664.82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118,207,939.82</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19,421,355.92</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19,421,355.92</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186,070,664.82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137,629,295.74</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65,000,000.00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351,980,735.26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23,504,735.26</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15,857,098.29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10,639,893.70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125,884,606.94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87,629,765.68</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580,722,440.49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186,774,394.64</w:t>
            </w: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0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766,793,105.31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324,403,690.38</w:t>
            </w:r>
          </w:p>
        </w:tc>
      </w:tr>
    </w:tbl>
    <w:p>
      <w:pPr>
        <w:spacing w:line="240" w:lineRule="auto" w:before="3"/>
        <w:rPr>
          <w:rFonts w:ascii="Times New Roman" w:hAnsi="Times New Roman" w:cs="Times New Roman" w:eastAsia="Times New Roman" w:hint="default"/>
          <w:sz w:val="23"/>
          <w:szCs w:val="23"/>
        </w:rPr>
      </w:pPr>
    </w:p>
    <w:p>
      <w:pPr>
        <w:pStyle w:val="BodyText"/>
        <w:tabs>
          <w:tab w:pos="3483" w:val="left" w:leader="none"/>
          <w:tab w:pos="7713" w:val="left" w:leader="none"/>
        </w:tabs>
        <w:spacing w:line="240" w:lineRule="auto" w:before="44"/>
        <w:ind w:right="0"/>
        <w:jc w:val="left"/>
      </w:pPr>
      <w:r>
        <w:rPr/>
        <w:t>法定代表人：吴艳</w:t>
        <w:tab/>
        <w:t>主管会计工作负责人：王智斌</w:t>
        <w:tab/>
        <w:t>会计机构负责人：周小平</w:t>
      </w:r>
    </w:p>
    <w:p>
      <w:pPr>
        <w:spacing w:line="240" w:lineRule="auto" w:before="0"/>
        <w:rPr>
          <w:rFonts w:ascii="宋体" w:hAnsi="宋体" w:cs="宋体" w:eastAsia="宋体" w:hint="default"/>
          <w:sz w:val="18"/>
          <w:szCs w:val="18"/>
        </w:rPr>
      </w:pPr>
    </w:p>
    <w:p>
      <w:pPr>
        <w:pStyle w:val="Heading5"/>
        <w:spacing w:line="240" w:lineRule="auto" w:before="124"/>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right="0"/>
        <w:jc w:val="left"/>
      </w:pPr>
      <w:r>
        <w:rPr/>
        <w:t>编制单位：汉鼎信息科技股份有限公司</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297"/>
              <w:jc w:val="right"/>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403,145,027.74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333,428,732.56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313"/>
              <w:jc w:val="right"/>
              <w:rPr>
                <w:rFonts w:ascii="宋体" w:hAnsi="宋体" w:cs="宋体" w:eastAsia="宋体" w:hint="default"/>
                <w:sz w:val="18"/>
                <w:szCs w:val="18"/>
              </w:rPr>
            </w:pPr>
            <w:r>
              <w:rPr>
                <w:rFonts w:ascii="宋体" w:hAnsi="宋体" w:cs="宋体" w:eastAsia="宋体" w:hint="default"/>
                <w:sz w:val="18"/>
                <w:szCs w:val="18"/>
              </w:rPr>
              <w:t>其中：营业收入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403,145,027.74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333,428,732.56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313"/>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339,960,327.10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284,483,157.97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287,148,730.82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243,062,743.31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11,486,787.52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9,196,982.84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8,397,764.01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5,716,037.86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31,059,547.86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22,178,608.37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-4,835,407.60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826,823.72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6,702,904.49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3,501,961.87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63,184,700.64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48,945,574.59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4,074,426.62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12,684,357.68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434,637.21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329,244.57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578.88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15,687.25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66,824,490.05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61,300,687.70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10,149,428.87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8,934,427.51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56,675,061.18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52,366,260.19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55,598,274.01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52,366,260.19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1,076,787.17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56,675,061.18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52,366,260.19</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55,598,274.01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52,366,260.19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1,076,787.17</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Times New Roman" w:hAnsi="Times New Roman" w:cs="Times New Roman" w:eastAsia="Times New Roman" w:hint="default"/>
          <w:sz w:val="23"/>
          <w:szCs w:val="23"/>
        </w:rPr>
      </w:pPr>
    </w:p>
    <w:p>
      <w:pPr>
        <w:pStyle w:val="BodyText"/>
        <w:tabs>
          <w:tab w:pos="3483" w:val="left" w:leader="none"/>
          <w:tab w:pos="7713" w:val="left" w:leader="none"/>
        </w:tabs>
        <w:spacing w:line="240" w:lineRule="auto" w:before="44"/>
        <w:ind w:right="0"/>
        <w:jc w:val="left"/>
      </w:pPr>
      <w:r>
        <w:rPr/>
        <w:t>法定代表人：吴艳</w:t>
        <w:tab/>
        <w:t>主管会计工作负责人：王智斌</w:t>
        <w:tab/>
        <w:t>会计机构负责人：周小平</w:t>
      </w:r>
    </w:p>
    <w:p>
      <w:pPr>
        <w:spacing w:line="240" w:lineRule="auto" w:before="0"/>
        <w:rPr>
          <w:rFonts w:ascii="宋体" w:hAnsi="宋体" w:cs="宋体" w:eastAsia="宋体" w:hint="default"/>
          <w:sz w:val="18"/>
          <w:szCs w:val="18"/>
        </w:rPr>
      </w:pPr>
    </w:p>
    <w:p>
      <w:pPr>
        <w:pStyle w:val="Heading5"/>
        <w:spacing w:line="240" w:lineRule="auto" w:before="124"/>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right="0"/>
        <w:jc w:val="left"/>
      </w:pPr>
      <w:r>
        <w:rPr/>
        <w:t>编制单位：汉鼎信息科技股份有限公司</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5"/>
        <w:gridCol w:w="3302"/>
        <w:gridCol w:w="3300"/>
      </w:tblGrid>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379,472,852.81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332,565,060.70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272,297,664.60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242,669,239.04</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10,757,954.03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9,187,391.43</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8,340,979.79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5,592,847.01</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29,080,251.57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21,470,478.29</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-4,567,880.01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879,075.99</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6,283,004.87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3,557,818.72</w:t>
            </w: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57,280,877.96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49,208,210.22</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4,073,626.62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12,512,921.82</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413,972.60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328,403.12</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15,687.25</w:t>
            </w: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60,940,531.98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61,392,728.92</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8,768,486.13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8,920,463.29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5"/>
        <w:gridCol w:w="3302"/>
        <w:gridCol w:w="3300"/>
      </w:tblGrid>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52,172,045.85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52,472,265.63</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52,172,045.85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52,472,265.63</w:t>
            </w:r>
          </w:p>
        </w:tc>
      </w:tr>
    </w:tbl>
    <w:p>
      <w:pPr>
        <w:spacing w:line="240" w:lineRule="auto" w:before="6"/>
        <w:rPr>
          <w:rFonts w:ascii="宋体" w:hAnsi="宋体" w:cs="宋体" w:eastAsia="宋体" w:hint="default"/>
          <w:sz w:val="20"/>
          <w:szCs w:val="20"/>
        </w:rPr>
      </w:pPr>
    </w:p>
    <w:p>
      <w:pPr>
        <w:pStyle w:val="BodyText"/>
        <w:tabs>
          <w:tab w:pos="3483" w:val="left" w:leader="none"/>
          <w:tab w:pos="7713" w:val="left" w:leader="none"/>
        </w:tabs>
        <w:spacing w:line="240" w:lineRule="auto" w:before="44"/>
        <w:ind w:right="0"/>
        <w:jc w:val="left"/>
      </w:pPr>
      <w:r>
        <w:rPr/>
        <w:t>法定代表人：吴艳</w:t>
        <w:tab/>
        <w:t>主管会计工作负责人：王智斌</w:t>
        <w:tab/>
        <w:t>会计机构负责人：周小平</w:t>
      </w:r>
    </w:p>
    <w:p>
      <w:pPr>
        <w:spacing w:line="240" w:lineRule="auto" w:before="0"/>
        <w:rPr>
          <w:rFonts w:ascii="宋体" w:hAnsi="宋体" w:cs="宋体" w:eastAsia="宋体" w:hint="default"/>
          <w:sz w:val="18"/>
          <w:szCs w:val="18"/>
        </w:rPr>
      </w:pPr>
    </w:p>
    <w:p>
      <w:pPr>
        <w:pStyle w:val="Heading5"/>
        <w:spacing w:line="240" w:lineRule="auto" w:before="124"/>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right="0"/>
        <w:jc w:val="left"/>
      </w:pPr>
      <w:r>
        <w:rPr/>
        <w:t>编制单位：汉鼎信息科技股份有限公司</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241,531,786.60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271,910,525.12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94,882.04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22,348,693.17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7,975,721.60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263,880,479.77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279,981,128.76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218,406,108.27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233,692,169.24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18,745,996.56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10,783,404.60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13,849,948.11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16,638,727.38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38,703,832.38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36,809,095.54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289,705,885.32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297,923,396.76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-25,825,405.55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-17,942,268.00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10,679,138.00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10,679,288.00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20,605,481.24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71,254,511.95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6,031,734.10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26,637,215.34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71,254,511.95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-26,636,705.34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-60,575,223.95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359,050,000.00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36,620,000.00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2,676,134.51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3,485,409.74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364,426,134.51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40,105,409.74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34,421,355.92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2,198,644.08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right="53"/>
              <w:jc w:val="right"/>
              <w:rPr>
                <w:rFonts w:ascii="宋体" w:hAnsi="宋体" w:cs="宋体" w:eastAsia="宋体" w:hint="default"/>
                <w:sz w:val="18"/>
                <w:szCs w:val="18"/>
              </w:rPr>
            </w:pPr>
            <w:r>
              <w:rPr>
                <w:rFonts w:ascii="宋体" w:hAnsi="宋体" w:cs="宋体" w:eastAsia="宋体" w:hint="default"/>
                <w:sz w:val="18"/>
                <w:szCs w:val="18"/>
              </w:rPr>
              <w:t>分配股利、利润或偿付利息支付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8,934,360.47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7,025,213.02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12,360,237.40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3,480,134.51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55,715,953.79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12,703,991.61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308,710,180.72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27,401,418.13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256,248,069.83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-51,116,073.82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61,452,775.21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112,568,849.03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317,700,845.04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61,452,775.21</w:t>
            </w:r>
          </w:p>
        </w:tc>
      </w:tr>
    </w:tbl>
    <w:p>
      <w:pPr>
        <w:spacing w:line="240" w:lineRule="auto" w:before="3"/>
        <w:rPr>
          <w:rFonts w:ascii="Times New Roman" w:hAnsi="Times New Roman" w:cs="Times New Roman" w:eastAsia="Times New Roman" w:hint="default"/>
          <w:sz w:val="23"/>
          <w:szCs w:val="23"/>
        </w:rPr>
      </w:pPr>
    </w:p>
    <w:p>
      <w:pPr>
        <w:pStyle w:val="BodyText"/>
        <w:tabs>
          <w:tab w:pos="3483" w:val="left" w:leader="none"/>
          <w:tab w:pos="7713" w:val="left" w:leader="none"/>
        </w:tabs>
        <w:spacing w:line="240" w:lineRule="auto" w:before="44"/>
        <w:ind w:right="0"/>
        <w:jc w:val="left"/>
      </w:pPr>
      <w:r>
        <w:rPr/>
        <w:t>法定代表人：吴艳</w:t>
        <w:tab/>
        <w:t>主管会计工作负责人：王智斌</w:t>
        <w:tab/>
        <w:t>会计机构负责人：周小平</w:t>
      </w:r>
    </w:p>
    <w:p>
      <w:pPr>
        <w:spacing w:line="240" w:lineRule="auto" w:before="0"/>
        <w:rPr>
          <w:rFonts w:ascii="宋体" w:hAnsi="宋体" w:cs="宋体" w:eastAsia="宋体" w:hint="default"/>
          <w:sz w:val="18"/>
          <w:szCs w:val="18"/>
        </w:rPr>
      </w:pPr>
    </w:p>
    <w:p>
      <w:pPr>
        <w:pStyle w:val="Heading5"/>
        <w:spacing w:line="240" w:lineRule="auto" w:before="123"/>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right="0"/>
        <w:jc w:val="left"/>
      </w:pPr>
      <w:r>
        <w:rPr/>
        <w:t>编制单位：汉鼎信息科技股份有限公司</w:t>
      </w:r>
    </w:p>
    <w:p>
      <w:pPr>
        <w:pStyle w:val="BodyText"/>
        <w:spacing w:line="240" w:lineRule="auto" w:before="116"/>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230,353,497.27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270,770,345.12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37,446.18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22,248,680.20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7,737,270.45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252,602,177.47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278,545,061.75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215,536,194.91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231,653,770.94</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17,980,603.36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10,309,766.89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13,747,253.57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16,141,174.02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37,448,766.56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36,431,637.87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284,712,818.40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294,536,349.72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-32,110,640.93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-15,991,287.97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right="53"/>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10,679,138.00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10,679,288.00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20,592,181.24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69,804,602.95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93,592,181.24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69,804,602.95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-93,591,671.24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-59,125,314.95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359,050,000.00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36,620,000.00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2,676,134.51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3,312,562.71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361,726,134.51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39,932,562.71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34,421,355.92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2,198,644.08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8,925,000.47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7,025,213.02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12,360,237.40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3,480,134.51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55,706,593.79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12,703,991.61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306,019,540.72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27,228,571.10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180,317,228.55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-47,888,031.82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55,441,054.27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103,329,086.09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235,758,282.82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55,441,054.27</w:t>
            </w:r>
          </w:p>
        </w:tc>
      </w:tr>
    </w:tbl>
    <w:p>
      <w:pPr>
        <w:spacing w:line="240" w:lineRule="auto" w:before="6"/>
        <w:rPr>
          <w:rFonts w:ascii="宋体" w:hAnsi="宋体" w:cs="宋体" w:eastAsia="宋体" w:hint="default"/>
          <w:sz w:val="20"/>
          <w:szCs w:val="20"/>
        </w:rPr>
      </w:pPr>
    </w:p>
    <w:p>
      <w:pPr>
        <w:pStyle w:val="BodyText"/>
        <w:tabs>
          <w:tab w:pos="3483" w:val="left" w:leader="none"/>
          <w:tab w:pos="7713" w:val="left" w:leader="none"/>
        </w:tabs>
        <w:spacing w:line="240" w:lineRule="auto" w:before="44"/>
        <w:ind w:right="0"/>
        <w:jc w:val="left"/>
      </w:pPr>
      <w:r>
        <w:rPr/>
        <w:t>法定代表人：吴艳</w:t>
        <w:tab/>
        <w:t>主管会计工作负责人：王智斌</w:t>
        <w:tab/>
        <w:t>会计机构负责人：周小平</w:t>
      </w:r>
    </w:p>
    <w:p>
      <w:pPr>
        <w:spacing w:line="240" w:lineRule="auto" w:before="0"/>
        <w:rPr>
          <w:rFonts w:ascii="宋体" w:hAnsi="宋体" w:cs="宋体" w:eastAsia="宋体" w:hint="default"/>
          <w:sz w:val="18"/>
          <w:szCs w:val="18"/>
        </w:rPr>
      </w:pPr>
    </w:p>
    <w:p>
      <w:pPr>
        <w:pStyle w:val="Heading5"/>
        <w:spacing w:line="240" w:lineRule="auto" w:before="123"/>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8"/>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357" w:lineRule="auto" w:before="44"/>
        <w:ind w:left="153" w:right="-19"/>
        <w:jc w:val="left"/>
      </w:pPr>
      <w:r>
        <w:rPr/>
        <w:t>编制单位：汉鼎信息科技股份有限公司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980"/>
          <w:cols w:num="2" w:equalWidth="0">
            <w:col w:w="3215" w:space="5704"/>
            <w:col w:w="1031"/>
          </w:cols>
        </w:sectPr>
      </w:pPr>
    </w:p>
    <w:p>
      <w:pPr>
        <w:spacing w:line="240" w:lineRule="auto" w:before="8"/>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2pt;height:21.1pt;mso-position-horizontal-relative:char;mso-position-vertical-relative:line" coordorigin="0,0" coordsize="9584,422">
            <v:group style="position:absolute;left:2348;top:14;width:23;height:393" coordorigin="2348,14" coordsize="23,393">
              <v:shape style="position:absolute;left:2348;top:14;width:23;height:393" coordorigin="2348,14" coordsize="23,393" path="m2348,407l2371,407,2371,14,2348,14,2348,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2312;height:393" coordorigin="37,14" coordsize="2312,393">
              <v:shape style="position:absolute;left:37;top:14;width:2312;height:393" coordorigin="37,14" coordsize="2312,393" path="m37,407l2348,407,2348,14,37,14,37,407xe" filled="true" fillcolor="#d3d3d3" stroked="false">
                <v:path arrowok="t"/>
                <v:fill type="solid"/>
              </v:shape>
            </v:group>
            <v:group style="position:absolute;left:2382;top:14;width:23;height:393" coordorigin="2382,14" coordsize="23,393">
              <v:shape style="position:absolute;left:2382;top:14;width:23;height:393" coordorigin="2382,14" coordsize="23,393" path="m2382,407l2405,407,2405,14,2382,14,2382,407xe" filled="true" fillcolor="#d3d3d3" stroked="false">
                <v:path arrowok="t"/>
                <v:fill type="solid"/>
              </v:shape>
            </v:group>
            <v:group style="position:absolute;left:9546;top:14;width:23;height:393" coordorigin="9546,14" coordsize="23,393">
              <v:shape style="position:absolute;left:9546;top:14;width:23;height:393" coordorigin="9546,14" coordsize="23,393" path="m9546,407l9569,407,9569,14,9546,14,9546,407xe" filled="true" fillcolor="#d3d3d3" stroked="false">
                <v:path arrowok="t"/>
                <v:fill type="solid"/>
              </v:shape>
            </v:group>
            <v:group style="position:absolute;left:2405;top:14;width:7142;height:393" coordorigin="2405,14" coordsize="7142,393">
              <v:shape style="position:absolute;left:2405;top:14;width:7142;height:393" coordorigin="2405,14" coordsize="7142,393" path="m2405,407l9546,407,9546,14,2405,14,2405,407xe" filled="true" fillcolor="#d3d3d3" stroked="false">
                <v:path arrowok="t"/>
                <v:fill type="solid"/>
              </v:shape>
            </v:group>
            <v:group style="position:absolute;left:5;top:10;width:9574;height:2" coordorigin="5,10" coordsize="9574,2">
              <v:shape style="position:absolute;left:5;top:10;width:9574;height:2" coordorigin="5,10" coordsize="9574,0" path="m5,10l9578,10e" filled="false" stroked="true" strokeweight=".48001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2368;height:2" coordorigin="5,412" coordsize="2368,2">
              <v:shape style="position:absolute;left:5;top:412;width:2368;height:2" coordorigin="5,412" coordsize="2368,0" path="m5,412l2372,412e" filled="false" stroked="true" strokeweight=".48001pt" strokecolor="#000000">
                <v:path arrowok="t"/>
              </v:shape>
            </v:group>
            <v:group style="position:absolute;left:2377;top:14;width:2;height:402" coordorigin="2377,14" coordsize="2,402">
              <v:shape style="position:absolute;left:2377;top:14;width:2;height:402" coordorigin="2377,14" coordsize="0,402" path="m2377,14l2377,416e" filled="false" stroked="true" strokeweight=".47998pt" strokecolor="#000000">
                <v:path arrowok="t"/>
              </v:shape>
            </v:group>
            <v:group style="position:absolute;left:2382;top:412;width:7187;height:2" coordorigin="2382,412" coordsize="7187,2">
              <v:shape style="position:absolute;left:2382;top:412;width:7187;height:2" coordorigin="2382,412" coordsize="7187,0" path="m2382,412l9569,412e" filled="false" stroked="true" strokeweight=".48001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7998pt" strokecolor="#000000">
                <v:path arrowok="t"/>
              </v:shape>
              <v:shape style="position:absolute;left:10;top:10;width:2368;height:402" type="#_x0000_t202" filled="false" stroked="false">
                <v:textbox inset="0,0,0,0">
                  <w:txbxContent>
                    <w:p>
                      <w:pPr>
                        <w:spacing w:before="56"/>
                        <w:ind w:left="0" w:right="1" w:firstLine="0"/>
                        <w:jc w:val="center"/>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5615;top:12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txbxContent>
                </v:textbox>
                <w10:wrap type="none"/>
              </v:shape>
            </v:group>
          </v:group>
        </w:pict>
      </w:r>
      <w:r>
        <w:rPr>
          <w:rFonts w:ascii="宋体" w:hAnsi="宋体" w:cs="宋体" w:eastAsia="宋体" w:hint="default"/>
          <w:position w:val="-7"/>
          <w:sz w:val="20"/>
          <w:szCs w:val="20"/>
        </w:rPr>
      </w:r>
    </w:p>
    <w:p>
      <w:pPr>
        <w:spacing w:after="0" w:line="421" w:lineRule="exact"/>
        <w:rPr>
          <w:rFonts w:ascii="宋体" w:hAnsi="宋体" w:cs="宋体" w:eastAsia="宋体" w:hint="default"/>
          <w:sz w:val="20"/>
          <w:szCs w:val="20"/>
        </w:rPr>
        <w:sectPr>
          <w:type w:val="continuous"/>
          <w:pgSz w:w="11910" w:h="16840"/>
          <w:pgMar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68"/>
        <w:gridCol w:w="684"/>
        <w:gridCol w:w="688"/>
        <w:gridCol w:w="686"/>
        <w:gridCol w:w="685"/>
        <w:gridCol w:w="684"/>
        <w:gridCol w:w="686"/>
        <w:gridCol w:w="686"/>
        <w:gridCol w:w="685"/>
        <w:gridCol w:w="817"/>
        <w:gridCol w:w="894"/>
      </w:tblGrid>
      <w:tr>
        <w:trPr>
          <w:trHeight w:val="402" w:hRule="exact"/>
        </w:trPr>
        <w:tc>
          <w:tcPr>
            <w:tcW w:w="2368" w:type="dxa"/>
            <w:vMerge w:val="restart"/>
            <w:tcBorders>
              <w:top w:val="single" w:sz="4" w:space="0" w:color="000000"/>
              <w:left w:val="single" w:sz="4" w:space="0" w:color="000000"/>
              <w:right w:val="single" w:sz="4" w:space="0" w:color="000000"/>
            </w:tcBorders>
            <w:shd w:val="clear" w:color="auto" w:fill="D3D3D3"/>
          </w:tcPr>
          <w:p>
            <w:pPr/>
          </w:p>
        </w:tc>
        <w:tc>
          <w:tcPr>
            <w:tcW w:w="5485"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4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6" w:lineRule="auto"/>
              <w:ind w:left="223" w:right="42"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6" w:lineRule="auto"/>
              <w:ind w:left="171"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026" w:hRule="exact"/>
        </w:trPr>
        <w:tc>
          <w:tcPr>
            <w:tcW w:w="2368" w:type="dxa"/>
            <w:vMerge/>
            <w:tcBorders>
              <w:left w:val="single" w:sz="4" w:space="0" w:color="000000"/>
              <w:bottom w:val="single" w:sz="4" w:space="0" w:color="000000"/>
              <w:right w:val="single" w:sz="4" w:space="0" w:color="000000"/>
            </w:tcBorders>
            <w:shd w:val="clear" w:color="auto" w:fill="D3D3D3"/>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7" w:right="6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49" w:right="6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47" w:right="23" w:hanging="225"/>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47" w:right="6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45" w:right="6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67" w:right="6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57" w:right="67"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7" w:type="dxa"/>
            <w:vMerge/>
            <w:tcBorders>
              <w:left w:val="single" w:sz="4" w:space="0" w:color="000000"/>
              <w:bottom w:val="single" w:sz="4" w:space="0" w:color="000000"/>
              <w:right w:val="single" w:sz="4" w:space="0" w:color="000000"/>
            </w:tcBorders>
            <w:shd w:val="clear" w:color="auto" w:fill="D3D3D3"/>
          </w:tcPr>
          <w:p>
            <w:pPr/>
          </w:p>
        </w:tc>
        <w:tc>
          <w:tcPr>
            <w:tcW w:w="894"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65,000,</w:t>
            </w:r>
          </w:p>
          <w:p>
            <w:pPr>
              <w:pStyle w:val="TableParagraph"/>
              <w:spacing w:line="240" w:lineRule="auto" w:before="106"/>
              <w:ind w:left="157" w:right="0"/>
              <w:jc w:val="left"/>
              <w:rPr>
                <w:rFonts w:ascii="Times New Roman" w:hAnsi="Times New Roman" w:cs="Times New Roman" w:eastAsia="Times New Roman" w:hint="default"/>
                <w:sz w:val="18"/>
                <w:szCs w:val="18"/>
              </w:rPr>
            </w:pPr>
            <w:r>
              <w:rPr>
                <w:rFonts w:ascii="Times New Roman"/>
                <w:sz w:val="18"/>
              </w:rPr>
              <w:t>000.00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23,504,7</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35.26</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10,639,</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893.70</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88,550,1</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68.09</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187,694,79</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7.05</w:t>
            </w:r>
          </w:p>
        </w:tc>
      </w:tr>
      <w:tr>
        <w:trPr>
          <w:trHeight w:val="392"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65,000,</w:t>
            </w:r>
          </w:p>
          <w:p>
            <w:pPr>
              <w:pStyle w:val="TableParagraph"/>
              <w:spacing w:line="240" w:lineRule="auto" w:before="106"/>
              <w:ind w:left="157" w:right="0"/>
              <w:jc w:val="left"/>
              <w:rPr>
                <w:rFonts w:ascii="Times New Roman" w:hAnsi="Times New Roman" w:cs="Times New Roman" w:eastAsia="Times New Roman" w:hint="default"/>
                <w:sz w:val="18"/>
                <w:szCs w:val="18"/>
              </w:rPr>
            </w:pPr>
            <w:r>
              <w:rPr>
                <w:rFonts w:ascii="Times New Roman"/>
                <w:sz w:val="18"/>
              </w:rPr>
              <w:t>000.00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23,504,7</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35.26</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10,639,</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893.70</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88,550,1</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68.09</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187,694,79</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7.05</w:t>
            </w:r>
          </w:p>
        </w:tc>
      </w:tr>
      <w:tr>
        <w:trPr>
          <w:trHeight w:val="392"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22,000,</w:t>
            </w:r>
          </w:p>
          <w:p>
            <w:pPr>
              <w:pStyle w:val="TableParagraph"/>
              <w:spacing w:line="240" w:lineRule="auto" w:before="106"/>
              <w:ind w:left="145" w:right="0"/>
              <w:jc w:val="left"/>
              <w:rPr>
                <w:rFonts w:ascii="Times New Roman" w:hAnsi="Times New Roman" w:cs="Times New Roman" w:eastAsia="Times New Roman" w:hint="default"/>
                <w:sz w:val="18"/>
                <w:szCs w:val="18"/>
              </w:rPr>
            </w:pPr>
            <w:r>
              <w:rPr>
                <w:rFonts w:ascii="Times New Roman"/>
                <w:sz w:val="18"/>
              </w:rPr>
              <w:t>000.00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328,476,</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5,217,2</w:t>
            </w:r>
          </w:p>
          <w:p>
            <w:pPr>
              <w:pStyle w:val="TableParagraph"/>
              <w:spacing w:line="240" w:lineRule="auto" w:before="106"/>
              <w:ind w:left="223" w:right="0"/>
              <w:jc w:val="center"/>
              <w:rPr>
                <w:rFonts w:ascii="Times New Roman" w:hAnsi="Times New Roman" w:cs="Times New Roman" w:eastAsia="Times New Roman" w:hint="default"/>
                <w:sz w:val="18"/>
                <w:szCs w:val="18"/>
              </w:rPr>
            </w:pPr>
            <w:r>
              <w:rPr>
                <w:rFonts w:ascii="Times New Roman"/>
                <w:sz w:val="18"/>
              </w:rPr>
              <w:t>04.59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41,681,0</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69.42</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4,774,097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.68</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402,148,37</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1.69</w:t>
            </w:r>
          </w:p>
        </w:tc>
      </w:tr>
      <w:tr>
        <w:trPr>
          <w:trHeight w:val="161"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55,598,2</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74.01</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1,076,787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.17</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56,675,061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.18</w:t>
            </w:r>
          </w:p>
        </w:tc>
      </w:tr>
      <w:tr>
        <w:trPr>
          <w:trHeight w:val="392"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55,598,2</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74.01</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1,076,787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.17</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56,675,061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.18</w:t>
            </w:r>
          </w:p>
        </w:tc>
      </w:tr>
      <w:tr>
        <w:trPr>
          <w:trHeight w:val="392"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161"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22,000,</w:t>
            </w:r>
          </w:p>
          <w:p>
            <w:pPr>
              <w:pStyle w:val="TableParagraph"/>
              <w:spacing w:line="240" w:lineRule="auto" w:before="106"/>
              <w:ind w:left="157" w:right="0"/>
              <w:jc w:val="left"/>
              <w:rPr>
                <w:rFonts w:ascii="Times New Roman" w:hAnsi="Times New Roman" w:cs="Times New Roman" w:eastAsia="Times New Roman" w:hint="default"/>
                <w:sz w:val="18"/>
                <w:szCs w:val="18"/>
              </w:rPr>
            </w:pPr>
            <w:r>
              <w:rPr>
                <w:rFonts w:ascii="Times New Roman"/>
                <w:sz w:val="18"/>
              </w:rPr>
              <w:t>000.00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328,476,</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3,697,310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.51</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354,173,31</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0.51</w:t>
            </w:r>
          </w:p>
        </w:tc>
      </w:tr>
      <w:tr>
        <w:trPr>
          <w:trHeight w:val="392"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161"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22,000,</w:t>
            </w:r>
          </w:p>
          <w:p>
            <w:pPr>
              <w:pStyle w:val="TableParagraph"/>
              <w:spacing w:line="240" w:lineRule="auto" w:before="106"/>
              <w:ind w:left="157" w:right="0"/>
              <w:jc w:val="left"/>
              <w:rPr>
                <w:rFonts w:ascii="Times New Roman" w:hAnsi="Times New Roman" w:cs="Times New Roman" w:eastAsia="Times New Roman" w:hint="default"/>
                <w:sz w:val="18"/>
                <w:szCs w:val="18"/>
              </w:rPr>
            </w:pPr>
            <w:r>
              <w:rPr>
                <w:rFonts w:ascii="Times New Roman"/>
                <w:sz w:val="18"/>
              </w:rPr>
              <w:t>000.00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328,476,</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3,697,310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.51</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354,173,31</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0.51</w:t>
            </w:r>
          </w:p>
        </w:tc>
      </w:tr>
      <w:tr>
        <w:trPr>
          <w:trHeight w:val="392"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5,217,2</w:t>
            </w:r>
          </w:p>
          <w:p>
            <w:pPr>
              <w:pStyle w:val="TableParagraph"/>
              <w:spacing w:line="240" w:lineRule="auto" w:before="106"/>
              <w:ind w:left="223" w:right="0"/>
              <w:jc w:val="center"/>
              <w:rPr>
                <w:rFonts w:ascii="Times New Roman" w:hAnsi="Times New Roman" w:cs="Times New Roman" w:eastAsia="Times New Roman" w:hint="default"/>
                <w:sz w:val="18"/>
                <w:szCs w:val="18"/>
              </w:rPr>
            </w:pPr>
            <w:r>
              <w:rPr>
                <w:rFonts w:ascii="Times New Roman"/>
                <w:sz w:val="18"/>
              </w:rPr>
              <w:t>04.59</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-13,917,</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204.59</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161"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5,217,2</w:t>
            </w:r>
          </w:p>
          <w:p>
            <w:pPr>
              <w:pStyle w:val="TableParagraph"/>
              <w:spacing w:line="240" w:lineRule="auto" w:before="106"/>
              <w:ind w:left="223" w:right="0"/>
              <w:jc w:val="center"/>
              <w:rPr>
                <w:rFonts w:ascii="Times New Roman" w:hAnsi="Times New Roman" w:cs="Times New Roman" w:eastAsia="Times New Roman" w:hint="default"/>
                <w:sz w:val="18"/>
                <w:szCs w:val="18"/>
              </w:rPr>
            </w:pPr>
            <w:r>
              <w:rPr>
                <w:rFonts w:ascii="Times New Roman"/>
                <w:sz w:val="18"/>
              </w:rPr>
              <w:t>04.59</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-5,217,2</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04.59</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
        </w:tc>
      </w:tr>
      <w:tr>
        <w:trPr>
          <w:trHeight w:val="392"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-8,700,0</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00.00</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67"/>
        <w:gridCol w:w="685"/>
        <w:gridCol w:w="688"/>
        <w:gridCol w:w="686"/>
        <w:gridCol w:w="685"/>
        <w:gridCol w:w="684"/>
        <w:gridCol w:w="686"/>
        <w:gridCol w:w="686"/>
        <w:gridCol w:w="685"/>
        <w:gridCol w:w="817"/>
        <w:gridCol w:w="894"/>
      </w:tblGrid>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87,000,</w:t>
            </w:r>
          </w:p>
          <w:p>
            <w:pPr>
              <w:pStyle w:val="TableParagraph"/>
              <w:spacing w:line="240" w:lineRule="auto" w:before="106"/>
              <w:ind w:left="157" w:right="0"/>
              <w:jc w:val="left"/>
              <w:rPr>
                <w:rFonts w:ascii="Times New Roman" w:hAnsi="Times New Roman" w:cs="Times New Roman" w:eastAsia="Times New Roman" w:hint="default"/>
                <w:sz w:val="18"/>
                <w:szCs w:val="18"/>
              </w:rPr>
            </w:pPr>
            <w:r>
              <w:rPr>
                <w:rFonts w:ascii="Times New Roman"/>
                <w:sz w:val="18"/>
              </w:rPr>
              <w:t>000.00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351,980,</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735.26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15,857,</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098.29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130,231,</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237.51</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4,774,097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.68</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589,843,16</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8.74</w:t>
            </w:r>
          </w:p>
        </w:tc>
      </w:tr>
    </w:tbl>
    <w:p>
      <w:pPr>
        <w:pStyle w:val="BodyText"/>
        <w:spacing w:line="240" w:lineRule="auto" w:before="51"/>
        <w:ind w:right="0"/>
        <w:jc w:val="left"/>
      </w:pPr>
      <w:r>
        <w:rPr/>
        <w:t>上年金额</w:t>
      </w:r>
    </w:p>
    <w:p>
      <w:pPr>
        <w:pStyle w:val="BodyText"/>
        <w:spacing w:line="240" w:lineRule="auto" w:before="117"/>
        <w:ind w:left="0" w:right="151"/>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68"/>
        <w:gridCol w:w="684"/>
        <w:gridCol w:w="688"/>
        <w:gridCol w:w="686"/>
        <w:gridCol w:w="685"/>
        <w:gridCol w:w="684"/>
        <w:gridCol w:w="686"/>
        <w:gridCol w:w="686"/>
        <w:gridCol w:w="685"/>
        <w:gridCol w:w="817"/>
        <w:gridCol w:w="894"/>
      </w:tblGrid>
      <w:tr>
        <w:trPr>
          <w:trHeight w:val="402" w:hRule="exact"/>
        </w:trPr>
        <w:tc>
          <w:tcPr>
            <w:tcW w:w="2368" w:type="dxa"/>
            <w:vMerge w:val="restart"/>
            <w:tcBorders>
              <w:top w:val="single" w:sz="4" w:space="0" w:color="000000"/>
              <w:left w:val="single" w:sz="4" w:space="0" w:color="000000"/>
              <w:right w:val="single" w:sz="4" w:space="0" w:color="000000"/>
            </w:tcBorders>
            <w:shd w:val="clear" w:color="auto" w:fill="D3D3D3"/>
          </w:tcPr>
          <w:p>
            <w:pPr/>
          </w:p>
        </w:tc>
        <w:tc>
          <w:tcPr>
            <w:tcW w:w="7196"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60" w:hRule="exact"/>
        </w:trPr>
        <w:tc>
          <w:tcPr>
            <w:tcW w:w="2368" w:type="dxa"/>
            <w:vMerge/>
            <w:tcBorders>
              <w:left w:val="single" w:sz="4" w:space="0" w:color="000000"/>
              <w:bottom w:val="nil" w:sz="6" w:space="0" w:color="auto"/>
              <w:right w:val="single" w:sz="4" w:space="0" w:color="000000"/>
            </w:tcBorders>
            <w:shd w:val="clear" w:color="auto" w:fill="D3D3D3"/>
          </w:tcPr>
          <w:p>
            <w:pPr/>
          </w:p>
        </w:tc>
        <w:tc>
          <w:tcPr>
            <w:tcW w:w="5485"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74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23" w:right="42"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71"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49"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67" w:right="6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49" w:right="6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47" w:right="23" w:hanging="225"/>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47" w:right="6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45" w:right="6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67" w:right="6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57" w:right="67"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7" w:type="dxa"/>
            <w:vMerge/>
            <w:tcBorders>
              <w:left w:val="single" w:sz="4" w:space="0" w:color="000000"/>
              <w:right w:val="single" w:sz="4" w:space="0" w:color="000000"/>
            </w:tcBorders>
            <w:shd w:val="clear" w:color="auto" w:fill="D3D3D3"/>
          </w:tcPr>
          <w:p>
            <w:pPr/>
          </w:p>
        </w:tc>
        <w:tc>
          <w:tcPr>
            <w:tcW w:w="894" w:type="dxa"/>
            <w:vMerge/>
            <w:tcBorders>
              <w:left w:val="single" w:sz="4" w:space="0" w:color="000000"/>
              <w:right w:val="single" w:sz="4" w:space="0" w:color="000000"/>
            </w:tcBorders>
            <w:shd w:val="clear" w:color="auto" w:fill="D3D3D3"/>
          </w:tcPr>
          <w:p>
            <w:pPr/>
          </w:p>
        </w:tc>
      </w:tr>
      <w:tr>
        <w:trPr>
          <w:trHeight w:val="719"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8" w:type="dxa"/>
            <w:vMerge/>
            <w:tcBorders>
              <w:left w:val="single" w:sz="4" w:space="0" w:color="000000"/>
              <w:bottom w:val="single" w:sz="4" w:space="0" w:color="000000"/>
              <w:right w:val="single" w:sz="4" w:space="0" w:color="000000"/>
            </w:tcBorders>
            <w:shd w:val="clear" w:color="auto" w:fill="D3D3D3"/>
          </w:tcPr>
          <w:p>
            <w:pPr/>
          </w:p>
        </w:tc>
        <w:tc>
          <w:tcPr>
            <w:tcW w:w="686" w:type="dxa"/>
            <w:vMerge/>
            <w:tcBorders>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6" w:type="dxa"/>
            <w:vMerge/>
            <w:tcBorders>
              <w:left w:val="single" w:sz="4" w:space="0" w:color="000000"/>
              <w:bottom w:val="single" w:sz="4" w:space="0" w:color="000000"/>
              <w:right w:val="single" w:sz="4" w:space="0" w:color="000000"/>
            </w:tcBorders>
            <w:shd w:val="clear" w:color="auto" w:fill="D3D3D3"/>
          </w:tcPr>
          <w:p>
            <w:pPr/>
          </w:p>
        </w:tc>
        <w:tc>
          <w:tcPr>
            <w:tcW w:w="686" w:type="dxa"/>
            <w:vMerge/>
            <w:tcBorders>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817" w:type="dxa"/>
            <w:vMerge/>
            <w:tcBorders>
              <w:left w:val="single" w:sz="4" w:space="0" w:color="000000"/>
              <w:bottom w:val="single" w:sz="4" w:space="0" w:color="000000"/>
              <w:right w:val="single" w:sz="4" w:space="0" w:color="000000"/>
            </w:tcBorders>
            <w:shd w:val="clear" w:color="auto" w:fill="D3D3D3"/>
          </w:tcPr>
          <w:p>
            <w:pPr/>
          </w:p>
        </w:tc>
        <w:tc>
          <w:tcPr>
            <w:tcW w:w="894" w:type="dxa"/>
            <w:vMerge/>
            <w:tcBorders>
              <w:left w:val="single" w:sz="4" w:space="0" w:color="000000"/>
              <w:bottom w:val="single" w:sz="4" w:space="0" w:color="000000"/>
              <w:right w:val="single" w:sz="4" w:space="0" w:color="000000"/>
            </w:tcBorders>
            <w:shd w:val="clear" w:color="auto" w:fill="D3D3D3"/>
          </w:tcPr>
          <w:p>
            <w:pPr/>
          </w:p>
        </w:tc>
      </w:tr>
      <w:tr>
        <w:trPr>
          <w:trHeight w:val="162"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2"/>
              <w:ind w:left="111" w:right="0"/>
              <w:jc w:val="left"/>
              <w:rPr>
                <w:rFonts w:ascii="Times New Roman" w:hAnsi="Times New Roman" w:cs="Times New Roman" w:eastAsia="Times New Roman" w:hint="default"/>
                <w:sz w:val="18"/>
                <w:szCs w:val="18"/>
              </w:rPr>
            </w:pPr>
            <w:r>
              <w:rPr>
                <w:rFonts w:ascii="Times New Roman"/>
                <w:sz w:val="18"/>
              </w:rPr>
              <w:t>65,000,</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000.00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23,504,7</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35.26</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2"/>
              <w:ind w:left="87" w:right="0"/>
              <w:jc w:val="center"/>
              <w:rPr>
                <w:rFonts w:ascii="Times New Roman" w:hAnsi="Times New Roman" w:cs="Times New Roman" w:eastAsia="Times New Roman" w:hint="default"/>
                <w:sz w:val="18"/>
                <w:szCs w:val="18"/>
              </w:rPr>
            </w:pPr>
            <w:r>
              <w:rPr>
                <w:rFonts w:ascii="Times New Roman"/>
                <w:sz w:val="18"/>
              </w:rPr>
              <w:t>5,392,6</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67.14</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47,931,1</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34.46</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141,828,53</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6.86</w:t>
            </w:r>
          </w:p>
        </w:tc>
      </w:tr>
      <w:tr>
        <w:trPr>
          <w:trHeight w:val="391"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2"/>
              <w:ind w:left="111" w:right="0"/>
              <w:jc w:val="left"/>
              <w:rPr>
                <w:rFonts w:ascii="Times New Roman" w:hAnsi="Times New Roman" w:cs="Times New Roman" w:eastAsia="Times New Roman" w:hint="default"/>
                <w:sz w:val="18"/>
                <w:szCs w:val="18"/>
              </w:rPr>
            </w:pPr>
            <w:r>
              <w:rPr>
                <w:rFonts w:ascii="Times New Roman"/>
                <w:sz w:val="18"/>
              </w:rPr>
              <w:t>65,000,</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000.00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23,504,7</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35.26</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2"/>
              <w:ind w:left="87" w:right="0"/>
              <w:jc w:val="center"/>
              <w:rPr>
                <w:rFonts w:ascii="Times New Roman" w:hAnsi="Times New Roman" w:cs="Times New Roman" w:eastAsia="Times New Roman" w:hint="default"/>
                <w:sz w:val="18"/>
                <w:szCs w:val="18"/>
              </w:rPr>
            </w:pPr>
            <w:r>
              <w:rPr>
                <w:rFonts w:ascii="Times New Roman"/>
                <w:sz w:val="18"/>
              </w:rPr>
              <w:t>5,392,6</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67.14</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47,931,1</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34.46</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141,828,53</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6.86</w:t>
            </w:r>
          </w:p>
        </w:tc>
      </w:tr>
      <w:tr>
        <w:trPr>
          <w:trHeight w:val="391"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7" w:right="0"/>
              <w:jc w:val="center"/>
              <w:rPr>
                <w:rFonts w:ascii="Times New Roman" w:hAnsi="Times New Roman" w:cs="Times New Roman" w:eastAsia="Times New Roman" w:hint="default"/>
                <w:sz w:val="18"/>
                <w:szCs w:val="18"/>
              </w:rPr>
            </w:pPr>
            <w:r>
              <w:rPr>
                <w:rFonts w:ascii="Times New Roman"/>
                <w:sz w:val="18"/>
              </w:rPr>
              <w:t>5,247,2</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26.56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40,619,0</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33.63</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45,866,260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.19</w:t>
            </w:r>
          </w:p>
        </w:tc>
      </w:tr>
      <w:tr>
        <w:trPr>
          <w:trHeight w:val="162"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52,366,2</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60.19</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52,366,260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.19</w:t>
            </w:r>
          </w:p>
        </w:tc>
      </w:tr>
      <w:tr>
        <w:trPr>
          <w:trHeight w:val="391"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52,366,2</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60.19</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52,366,260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.19</w:t>
            </w:r>
          </w:p>
        </w:tc>
      </w:tr>
      <w:tr>
        <w:trPr>
          <w:trHeight w:val="391"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10" w:right="0"/>
              <w:jc w:val="left"/>
              <w:rPr>
                <w:rFonts w:ascii="Times New Roman" w:hAnsi="Times New Roman" w:cs="Times New Roman" w:eastAsia="Times New Roman" w:hint="default"/>
                <w:sz w:val="18"/>
                <w:szCs w:val="18"/>
              </w:rPr>
            </w:pPr>
            <w:r>
              <w:rPr>
                <w:rFonts w:ascii="Times New Roman"/>
                <w:sz w:val="18"/>
              </w:rPr>
              <w:t>5,247,2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2" w:right="0"/>
              <w:jc w:val="left"/>
              <w:rPr>
                <w:rFonts w:ascii="Times New Roman" w:hAnsi="Times New Roman" w:cs="Times New Roman" w:eastAsia="Times New Roman" w:hint="default"/>
                <w:sz w:val="18"/>
                <w:szCs w:val="18"/>
              </w:rPr>
            </w:pPr>
            <w:r>
              <w:rPr>
                <w:rFonts w:ascii="Times New Roman"/>
                <w:sz w:val="18"/>
              </w:rPr>
              <w:t>-11,747,</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 w:right="0"/>
              <w:jc w:val="left"/>
              <w:rPr>
                <w:rFonts w:ascii="Times New Roman" w:hAnsi="Times New Roman" w:cs="Times New Roman" w:eastAsia="Times New Roman" w:hint="default"/>
                <w:sz w:val="18"/>
                <w:szCs w:val="18"/>
              </w:rPr>
            </w:pPr>
            <w:r>
              <w:rPr>
                <w:rFonts w:ascii="Times New Roman"/>
                <w:sz w:val="18"/>
              </w:rPr>
              <w:t>-6,500,000.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7"/>
        <w:gridCol w:w="685"/>
        <w:gridCol w:w="688"/>
        <w:gridCol w:w="686"/>
        <w:gridCol w:w="685"/>
        <w:gridCol w:w="684"/>
        <w:gridCol w:w="686"/>
        <w:gridCol w:w="686"/>
        <w:gridCol w:w="685"/>
        <w:gridCol w:w="817"/>
        <w:gridCol w:w="894"/>
      </w:tblGrid>
      <w:tr>
        <w:trPr>
          <w:trHeight w:val="36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5" w:right="0"/>
              <w:jc w:val="left"/>
              <w:rPr>
                <w:rFonts w:ascii="Times New Roman" w:hAnsi="Times New Roman" w:cs="Times New Roman" w:eastAsia="Times New Roman" w:hint="default"/>
                <w:sz w:val="18"/>
                <w:szCs w:val="18"/>
              </w:rPr>
            </w:pPr>
            <w:r>
              <w:rPr>
                <w:rFonts w:ascii="Times New Roman"/>
                <w:sz w:val="18"/>
              </w:rPr>
              <w:t>26.56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8" w:right="0"/>
              <w:jc w:val="left"/>
              <w:rPr>
                <w:rFonts w:ascii="Times New Roman" w:hAnsi="Times New Roman" w:cs="Times New Roman" w:eastAsia="Times New Roman" w:hint="default"/>
                <w:sz w:val="18"/>
                <w:szCs w:val="18"/>
              </w:rPr>
            </w:pPr>
            <w:r>
              <w:rPr>
                <w:rFonts w:ascii="Times New Roman"/>
                <w:sz w:val="18"/>
              </w:rPr>
              <w:t>226.56</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5,247,2</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26.56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-5,247,2</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26.56</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-6,500,0</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00.00</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65,000,</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000.00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23,504,7</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35.26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10,639,</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893.70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88,550,1</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68.09</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187,694,79</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7.05</w:t>
            </w:r>
          </w:p>
        </w:tc>
      </w:tr>
    </w:tbl>
    <w:p>
      <w:pPr>
        <w:spacing w:line="240" w:lineRule="auto" w:before="6"/>
        <w:rPr>
          <w:rFonts w:ascii="宋体" w:hAnsi="宋体" w:cs="宋体" w:eastAsia="宋体" w:hint="default"/>
          <w:sz w:val="20"/>
          <w:szCs w:val="20"/>
        </w:rPr>
      </w:pPr>
    </w:p>
    <w:p>
      <w:pPr>
        <w:pStyle w:val="BodyText"/>
        <w:tabs>
          <w:tab w:pos="3483" w:val="left" w:leader="none"/>
          <w:tab w:pos="7713" w:val="left" w:leader="none"/>
        </w:tabs>
        <w:spacing w:line="240" w:lineRule="auto" w:before="44"/>
        <w:ind w:right="0"/>
        <w:jc w:val="left"/>
      </w:pPr>
      <w:r>
        <w:rPr/>
        <w:t>法定代表人：吴艳</w:t>
        <w:tab/>
        <w:t>主管会计工作负责人：王智斌</w:t>
        <w:tab/>
        <w:t>会计机构负责人：周小平</w:t>
      </w:r>
    </w:p>
    <w:p>
      <w:pPr>
        <w:spacing w:line="240" w:lineRule="auto" w:before="0"/>
        <w:rPr>
          <w:rFonts w:ascii="宋体" w:hAnsi="宋体" w:cs="宋体" w:eastAsia="宋体" w:hint="default"/>
          <w:sz w:val="18"/>
          <w:szCs w:val="18"/>
        </w:rPr>
      </w:pPr>
    </w:p>
    <w:p>
      <w:pPr>
        <w:pStyle w:val="Heading5"/>
        <w:spacing w:line="240" w:lineRule="auto" w:before="123"/>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8"/>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357" w:lineRule="auto" w:before="44"/>
        <w:ind w:left="153" w:right="-19"/>
        <w:jc w:val="left"/>
      </w:pPr>
      <w:r>
        <w:rPr/>
        <w:t>编制单位：汉鼎信息科技股份有限公司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980"/>
          <w:cols w:num="2" w:equalWidth="0">
            <w:col w:w="3215" w:space="5704"/>
            <w:col w:w="103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76"/>
        <w:gridCol w:w="886"/>
        <w:gridCol w:w="884"/>
        <w:gridCol w:w="886"/>
        <w:gridCol w:w="886"/>
        <w:gridCol w:w="887"/>
        <w:gridCol w:w="886"/>
        <w:gridCol w:w="886"/>
        <w:gridCol w:w="893"/>
      </w:tblGrid>
      <w:tr>
        <w:trPr>
          <w:trHeight w:val="402" w:hRule="exact"/>
        </w:trPr>
        <w:tc>
          <w:tcPr>
            <w:tcW w:w="2476" w:type="dxa"/>
            <w:tcBorders>
              <w:top w:val="single" w:sz="4" w:space="0" w:color="000000"/>
              <w:left w:val="single" w:sz="4" w:space="0" w:color="000000"/>
              <w:bottom w:val="nil" w:sz="6" w:space="0" w:color="auto"/>
              <w:right w:val="single" w:sz="4" w:space="0" w:color="000000"/>
            </w:tcBorders>
            <w:shd w:val="clear" w:color="auto" w:fill="D3D3D3"/>
          </w:tcPr>
          <w:p>
            <w:pPr/>
          </w:p>
        </w:tc>
        <w:tc>
          <w:tcPr>
            <w:tcW w:w="7092"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53" w:hRule="exact"/>
        </w:trPr>
        <w:tc>
          <w:tcPr>
            <w:tcW w:w="24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196" w:lineRule="exact"/>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96"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48" w:right="77"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70"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61" w:hRule="exact"/>
        </w:trPr>
        <w:tc>
          <w:tcPr>
            <w:tcW w:w="247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4"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7"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93"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247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23,504,735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.26</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10,639,893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87,629,765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.68</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186,774,39</w:t>
            </w:r>
          </w:p>
          <w:p>
            <w:pPr>
              <w:pStyle w:val="TableParagraph"/>
              <w:spacing w:line="240" w:lineRule="auto" w:before="106"/>
              <w:ind w:left="544" w:right="0"/>
              <w:jc w:val="left"/>
              <w:rPr>
                <w:rFonts w:ascii="Times New Roman" w:hAnsi="Times New Roman" w:cs="Times New Roman" w:eastAsia="Times New Roman" w:hint="default"/>
                <w:sz w:val="18"/>
                <w:szCs w:val="18"/>
              </w:rPr>
            </w:pPr>
            <w:r>
              <w:rPr>
                <w:rFonts w:ascii="Times New Roman"/>
                <w:sz w:val="18"/>
              </w:rPr>
              <w:t>4.64</w:t>
            </w:r>
          </w:p>
        </w:tc>
      </w:tr>
      <w:tr>
        <w:trPr>
          <w:trHeight w:val="392" w:hRule="exact"/>
        </w:trPr>
        <w:tc>
          <w:tcPr>
            <w:tcW w:w="24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7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41"/>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41"/>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23,504,735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.26</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10,639,893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87,629,765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.68</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186,774,39</w:t>
            </w:r>
          </w:p>
          <w:p>
            <w:pPr>
              <w:pStyle w:val="TableParagraph"/>
              <w:spacing w:line="240" w:lineRule="auto" w:before="106"/>
              <w:ind w:left="544" w:right="0"/>
              <w:jc w:val="left"/>
              <w:rPr>
                <w:rFonts w:ascii="Times New Roman" w:hAnsi="Times New Roman" w:cs="Times New Roman" w:eastAsia="Times New Roman" w:hint="default"/>
                <w:sz w:val="18"/>
                <w:szCs w:val="18"/>
              </w:rPr>
            </w:pPr>
            <w:r>
              <w:rPr>
                <w:rFonts w:ascii="Times New Roman"/>
                <w:sz w:val="18"/>
              </w:rPr>
              <w:t>4.64</w:t>
            </w:r>
          </w:p>
        </w:tc>
      </w:tr>
      <w:tr>
        <w:trPr>
          <w:trHeight w:val="392" w:hRule="exact"/>
        </w:trPr>
        <w:tc>
          <w:tcPr>
            <w:tcW w:w="24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7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6"/>
        <w:rPr>
          <w:rFonts w:ascii="宋体" w:hAnsi="宋体" w:cs="宋体" w:eastAsia="宋体" w:hint="default"/>
          <w:sz w:val="28"/>
          <w:szCs w:val="28"/>
        </w:rPr>
      </w:pPr>
      <w:r>
        <w:rPr/>
        <w:pict>
          <v:shape style="position:absolute;margin-left:138.539993pt;margin-top:494.279999pt;width:86pt;height:19.650pt;mso-position-horizontal-relative:page;mso-position-vertical-relative:page;z-index:-720760" type="#_x0000_t202" filled="false" stroked="false">
            <v:textbox inset="0,0,0,0">
              <w:txbxContent>
                <w:p>
                  <w:pPr>
                    <w:pStyle w:val="BodyText"/>
                    <w:spacing w:line="240" w:lineRule="auto" w:before="51"/>
                    <w:ind w:left="0" w:right="0"/>
                    <w:jc w:val="left"/>
                  </w:pPr>
                  <w:r>
                    <w:rPr/>
                    <w:t>（或股本）</w:t>
                  </w:r>
                </w:p>
              </w:txbxContent>
            </v:textbox>
            <w10:wrap type="none"/>
          </v:shape>
        </w:pict>
      </w:r>
      <w:r>
        <w:rPr/>
        <w:pict>
          <v:shape style="position:absolute;margin-left:138.539993pt;margin-top:514.380005pt;width:86pt;height:19.650pt;mso-position-horizontal-relative:page;mso-position-vertical-relative:page;z-index:-720736" type="#_x0000_t202" filled="false" stroked="false">
            <v:textbox inset="0,0,0,0">
              <w:txbxContent>
                <w:p>
                  <w:pPr>
                    <w:pStyle w:val="BodyText"/>
                    <w:spacing w:line="240" w:lineRule="auto" w:before="51"/>
                    <w:ind w:left="0" w:right="0"/>
                    <w:jc w:val="left"/>
                  </w:pPr>
                  <w:r>
                    <w:rPr/>
                    <w:t>（或股本）</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2476"/>
        <w:gridCol w:w="886"/>
        <w:gridCol w:w="884"/>
        <w:gridCol w:w="886"/>
        <w:gridCol w:w="886"/>
        <w:gridCol w:w="887"/>
        <w:gridCol w:w="886"/>
        <w:gridCol w:w="886"/>
        <w:gridCol w:w="893"/>
      </w:tblGrid>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328,476,00</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5,217,204.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59</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38,254,841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393,948,04</w:t>
            </w:r>
          </w:p>
          <w:p>
            <w:pPr>
              <w:pStyle w:val="TableParagraph"/>
              <w:spacing w:line="240" w:lineRule="auto" w:before="106"/>
              <w:ind w:left="544" w:right="0"/>
              <w:jc w:val="left"/>
              <w:rPr>
                <w:rFonts w:ascii="Times New Roman" w:hAnsi="Times New Roman" w:cs="Times New Roman" w:eastAsia="Times New Roman" w:hint="default"/>
                <w:sz w:val="18"/>
                <w:szCs w:val="18"/>
              </w:rPr>
            </w:pPr>
            <w:r>
              <w:rPr>
                <w:rFonts w:ascii="Times New Roman"/>
                <w:sz w:val="18"/>
              </w:rPr>
              <w:t>5.85</w:t>
            </w: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52,172,045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52,172,045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.85</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52,172,045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52,172,045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.85</w:t>
            </w: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328,476,00</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350,476,00</w:t>
            </w:r>
          </w:p>
          <w:p>
            <w:pPr>
              <w:pStyle w:val="TableParagraph"/>
              <w:spacing w:line="240" w:lineRule="auto" w:before="106"/>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328,476,00</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350,476,00</w:t>
            </w:r>
          </w:p>
          <w:p>
            <w:pPr>
              <w:pStyle w:val="TableParagraph"/>
              <w:spacing w:line="240" w:lineRule="auto" w:before="106"/>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5,217,204.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59</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-13,917,20</w:t>
            </w:r>
          </w:p>
          <w:p>
            <w:pPr>
              <w:pStyle w:val="TableParagraph"/>
              <w:spacing w:line="240" w:lineRule="auto" w:before="106"/>
              <w:ind w:left="538" w:right="0"/>
              <w:jc w:val="left"/>
              <w:rPr>
                <w:rFonts w:ascii="Times New Roman" w:hAnsi="Times New Roman" w:cs="Times New Roman" w:eastAsia="Times New Roman" w:hint="default"/>
                <w:sz w:val="18"/>
                <w:szCs w:val="18"/>
              </w:rPr>
            </w:pPr>
            <w:r>
              <w:rPr>
                <w:rFonts w:ascii="Times New Roman"/>
                <w:sz w:val="18"/>
              </w:rPr>
              <w:t>4.59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5,217,204.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59</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-5,217,204.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59</w:t>
            </w: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w:t>
            </w:r>
          </w:p>
        </w:tc>
        <w:tc>
          <w:tcPr>
            <w:tcW w:w="886" w:type="dxa"/>
            <w:tcBorders>
              <w:top w:val="single" w:sz="4" w:space="0" w:color="000000"/>
              <w:left w:val="single" w:sz="13" w:space="0" w:color="FFFFFF"/>
              <w:bottom w:val="single" w:sz="4" w:space="0" w:color="000000"/>
              <w:right w:val="single" w:sz="13" w:space="0" w:color="FFFFFF"/>
            </w:tcBorders>
          </w:tcPr>
          <w:p>
            <w:pP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w:t>
            </w:r>
          </w:p>
        </w:tc>
        <w:tc>
          <w:tcPr>
            <w:tcW w:w="886" w:type="dxa"/>
            <w:tcBorders>
              <w:top w:val="single" w:sz="4" w:space="0" w:color="000000"/>
              <w:left w:val="single" w:sz="13" w:space="0" w:color="FFFFFF"/>
              <w:bottom w:val="single" w:sz="4" w:space="0" w:color="000000"/>
              <w:right w:val="single" w:sz="13" w:space="0" w:color="FFFFFF"/>
            </w:tcBorders>
          </w:tcPr>
          <w:p>
            <w:pP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87,000,000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351,980,73</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5.26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15,857,098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.29</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125,884,60</w:t>
            </w:r>
          </w:p>
          <w:p>
            <w:pPr>
              <w:pStyle w:val="TableParagraph"/>
              <w:spacing w:line="240" w:lineRule="auto" w:before="106"/>
              <w:ind w:left="538" w:right="0"/>
              <w:jc w:val="left"/>
              <w:rPr>
                <w:rFonts w:ascii="Times New Roman" w:hAnsi="Times New Roman" w:cs="Times New Roman" w:eastAsia="Times New Roman" w:hint="default"/>
                <w:sz w:val="18"/>
                <w:szCs w:val="18"/>
              </w:rPr>
            </w:pPr>
            <w:r>
              <w:rPr>
                <w:rFonts w:ascii="Times New Roman"/>
                <w:sz w:val="18"/>
              </w:rPr>
              <w:t>6.94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580,722,44</w:t>
            </w:r>
          </w:p>
          <w:p>
            <w:pPr>
              <w:pStyle w:val="TableParagraph"/>
              <w:spacing w:line="240" w:lineRule="auto" w:before="106"/>
              <w:ind w:left="544" w:right="0"/>
              <w:jc w:val="left"/>
              <w:rPr>
                <w:rFonts w:ascii="Times New Roman" w:hAnsi="Times New Roman" w:cs="Times New Roman" w:eastAsia="Times New Roman" w:hint="default"/>
                <w:sz w:val="18"/>
                <w:szCs w:val="18"/>
              </w:rPr>
            </w:pPr>
            <w:r>
              <w:rPr>
                <w:rFonts w:ascii="Times New Roman"/>
                <w:sz w:val="18"/>
              </w:rPr>
              <w:t>0.49</w:t>
            </w:r>
          </w:p>
        </w:tc>
      </w:tr>
    </w:tbl>
    <w:p>
      <w:pPr>
        <w:pStyle w:val="BodyText"/>
        <w:spacing w:line="240" w:lineRule="auto" w:before="51"/>
        <w:ind w:right="0"/>
        <w:jc w:val="left"/>
      </w:pPr>
      <w:r>
        <w:rPr/>
        <w:t>上年金额</w:t>
      </w:r>
    </w:p>
    <w:p>
      <w:pPr>
        <w:pStyle w:val="BodyText"/>
        <w:spacing w:line="240" w:lineRule="auto" w:before="117"/>
        <w:ind w:left="0" w:right="151"/>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886"/>
        <w:gridCol w:w="884"/>
        <w:gridCol w:w="886"/>
        <w:gridCol w:w="883"/>
        <w:gridCol w:w="884"/>
        <w:gridCol w:w="884"/>
        <w:gridCol w:w="883"/>
        <w:gridCol w:w="882"/>
      </w:tblGrid>
      <w:tr>
        <w:trPr>
          <w:trHeight w:val="402" w:hRule="exact"/>
        </w:trPr>
        <w:tc>
          <w:tcPr>
            <w:tcW w:w="24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07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402" w:hRule="exact"/>
        </w:trPr>
        <w:tc>
          <w:tcPr>
            <w:tcW w:w="2495" w:type="dxa"/>
            <w:vMerge/>
            <w:tcBorders>
              <w:left w:val="single" w:sz="4" w:space="0" w:color="000000"/>
              <w:bottom w:val="single" w:sz="4" w:space="0" w:color="000000"/>
              <w:right w:val="single" w:sz="4" w:space="0" w:color="000000"/>
            </w:tcBorders>
            <w:shd w:val="clear" w:color="auto" w:fill="D3D3D3"/>
          </w:tcPr>
          <w:p>
            <w:pP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76" w:right="0"/>
              <w:jc w:val="left"/>
              <w:rPr>
                <w:rFonts w:ascii="宋体" w:hAnsi="宋体" w:cs="宋体" w:eastAsia="宋体" w:hint="default"/>
                <w:sz w:val="18"/>
                <w:szCs w:val="18"/>
              </w:rPr>
            </w:pPr>
            <w:r>
              <w:rPr>
                <w:rFonts w:ascii="宋体" w:hAnsi="宋体" w:cs="宋体" w:eastAsia="宋体" w:hint="default"/>
                <w:sz w:val="18"/>
                <w:szCs w:val="18"/>
              </w:rPr>
              <w:t>实收资本</w:t>
            </w:r>
          </w:p>
        </w:tc>
        <w:tc>
          <w:tcPr>
            <w:tcW w:w="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76" w:right="0"/>
              <w:jc w:val="left"/>
              <w:rPr>
                <w:rFonts w:ascii="宋体" w:hAnsi="宋体" w:cs="宋体" w:eastAsia="宋体" w:hint="default"/>
                <w:sz w:val="18"/>
                <w:szCs w:val="18"/>
              </w:rPr>
            </w:pPr>
            <w:r>
              <w:rPr>
                <w:rFonts w:ascii="宋体" w:hAnsi="宋体" w:cs="宋体" w:eastAsia="宋体" w:hint="default"/>
                <w:sz w:val="18"/>
                <w:szCs w:val="18"/>
              </w:rPr>
              <w:t>一般风险</w:t>
            </w:r>
          </w:p>
        </w:tc>
        <w:tc>
          <w:tcPr>
            <w:tcW w:w="8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76" w:right="0"/>
              <w:jc w:val="left"/>
              <w:rPr>
                <w:rFonts w:ascii="宋体" w:hAnsi="宋体" w:cs="宋体" w:eastAsia="宋体" w:hint="default"/>
                <w:sz w:val="18"/>
                <w:szCs w:val="18"/>
              </w:rPr>
            </w:pPr>
            <w:r>
              <w:rPr>
                <w:rFonts w:ascii="宋体" w:hAnsi="宋体" w:cs="宋体" w:eastAsia="宋体" w:hint="default"/>
                <w:sz w:val="18"/>
                <w:szCs w:val="18"/>
              </w:rPr>
              <w:t>未分配利</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76" w:right="0"/>
              <w:jc w:val="left"/>
              <w:rPr>
                <w:rFonts w:ascii="宋体" w:hAnsi="宋体" w:cs="宋体" w:eastAsia="宋体" w:hint="default"/>
                <w:sz w:val="18"/>
                <w:szCs w:val="18"/>
              </w:rPr>
            </w:pPr>
            <w:r>
              <w:rPr>
                <w:rFonts w:ascii="宋体" w:hAnsi="宋体" w:cs="宋体" w:eastAsia="宋体" w:hint="default"/>
                <w:sz w:val="18"/>
                <w:szCs w:val="18"/>
              </w:rPr>
              <w:t>所有者权</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39.499405pt;margin-top:612.900024pt;width:85.95pt;height:19.650pt;mso-position-horizontal-relative:page;mso-position-vertical-relative:page;z-index:-720712" type="#_x0000_t202" filled="false" stroked="false">
            <v:textbox inset="0,0,0,0">
              <w:txbxContent>
                <w:p>
                  <w:pPr>
                    <w:pStyle w:val="BodyText"/>
                    <w:spacing w:line="240" w:lineRule="auto" w:before="51"/>
                    <w:ind w:left="0" w:right="0"/>
                    <w:jc w:val="left"/>
                  </w:pPr>
                  <w:r>
                    <w:rPr/>
                    <w:t>（或股本）</w:t>
                  </w:r>
                </w:p>
              </w:txbxContent>
            </v:textbox>
            <w10:wrap type="none"/>
          </v:shape>
        </w:pict>
      </w:r>
      <w:r>
        <w:rPr/>
        <w:pict>
          <v:shape style="position:absolute;margin-left:139.499405pt;margin-top:633pt;width:85.95pt;height:19.650pt;mso-position-horizontal-relative:page;mso-position-vertical-relative:page;z-index:-720688" type="#_x0000_t202" filled="false" stroked="false">
            <v:textbox inset="0,0,0,0">
              <w:txbxContent>
                <w:p>
                  <w:pPr>
                    <w:pStyle w:val="BodyText"/>
                    <w:spacing w:line="240" w:lineRule="auto" w:before="51"/>
                    <w:ind w:left="0" w:right="0"/>
                    <w:jc w:val="left"/>
                  </w:pPr>
                  <w:r>
                    <w:rPr/>
                    <w:t>（或股本）</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95"/>
        <w:gridCol w:w="886"/>
        <w:gridCol w:w="884"/>
        <w:gridCol w:w="886"/>
        <w:gridCol w:w="883"/>
        <w:gridCol w:w="884"/>
        <w:gridCol w:w="884"/>
        <w:gridCol w:w="883"/>
        <w:gridCol w:w="882"/>
      </w:tblGrid>
      <w:tr>
        <w:trPr>
          <w:trHeight w:val="36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47"/>
              <w:jc w:val="left"/>
              <w:rPr>
                <w:rFonts w:ascii="宋体" w:hAnsi="宋体" w:cs="宋体" w:eastAsia="宋体" w:hint="default"/>
                <w:sz w:val="18"/>
                <w:szCs w:val="18"/>
              </w:rPr>
            </w:pPr>
            <w:r>
              <w:rPr>
                <w:rFonts w:ascii="宋体" w:hAnsi="宋体" w:cs="宋体" w:eastAsia="宋体" w:hint="default"/>
                <w:sz w:val="18"/>
                <w:szCs w:val="18"/>
              </w:rPr>
              <w:t>（或股本）</w:t>
            </w:r>
          </w:p>
        </w:tc>
        <w:tc>
          <w:tcPr>
            <w:tcW w:w="88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8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56"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8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润</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66" w:right="0"/>
              <w:jc w:val="left"/>
              <w:rPr>
                <w:rFonts w:ascii="宋体" w:hAnsi="宋体" w:cs="宋体" w:eastAsia="宋体" w:hint="default"/>
                <w:sz w:val="18"/>
                <w:szCs w:val="18"/>
              </w:rPr>
            </w:pPr>
            <w:r>
              <w:rPr>
                <w:rFonts w:ascii="宋体" w:hAnsi="宋体" w:cs="宋体" w:eastAsia="宋体" w:hint="default"/>
                <w:sz w:val="18"/>
                <w:szCs w:val="18"/>
              </w:rPr>
              <w:t>益合计</w:t>
            </w:r>
          </w:p>
        </w:tc>
      </w:tr>
      <w:tr>
        <w:trPr>
          <w:trHeight w:val="161" w:hRule="exact"/>
        </w:trPr>
        <w:tc>
          <w:tcPr>
            <w:tcW w:w="2495"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23,504,735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.26</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5,392,667.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46,904,726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.61</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140,802,12</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9.01</w:t>
            </w:r>
          </w:p>
        </w:tc>
      </w:tr>
      <w:tr>
        <w:trPr>
          <w:trHeight w:val="392" w:hRule="exact"/>
        </w:trPr>
        <w:tc>
          <w:tcPr>
            <w:tcW w:w="24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9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95"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23,504,735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.26</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5,392,667.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46,904,726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.61</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140,802,12</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9.01</w:t>
            </w:r>
          </w:p>
        </w:tc>
      </w:tr>
      <w:tr>
        <w:trPr>
          <w:trHeight w:val="392" w:hRule="exact"/>
        </w:trPr>
        <w:tc>
          <w:tcPr>
            <w:tcW w:w="24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9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5,247,226.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56</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40,725,039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45,972,265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r>
      <w:tr>
        <w:trPr>
          <w:trHeight w:val="161" w:hRule="exact"/>
        </w:trPr>
        <w:tc>
          <w:tcPr>
            <w:tcW w:w="2495"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52,472,265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52,472,265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r>
      <w:tr>
        <w:trPr>
          <w:trHeight w:val="392" w:hRule="exact"/>
        </w:trPr>
        <w:tc>
          <w:tcPr>
            <w:tcW w:w="24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9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95"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52,472,265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52,472,265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r>
      <w:tr>
        <w:trPr>
          <w:trHeight w:val="392" w:hRule="exact"/>
        </w:trPr>
        <w:tc>
          <w:tcPr>
            <w:tcW w:w="24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9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95"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5,247,226.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56</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-11,747,22</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6.56</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24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9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161" w:hRule="exact"/>
        </w:trPr>
        <w:tc>
          <w:tcPr>
            <w:tcW w:w="2495"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5,247,226.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56</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-5,247,226.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56</w:t>
            </w:r>
          </w:p>
        </w:tc>
        <w:tc>
          <w:tcPr>
            <w:tcW w:w="882" w:type="dxa"/>
            <w:vMerge w:val="restart"/>
            <w:tcBorders>
              <w:top w:val="single" w:sz="4" w:space="0" w:color="000000"/>
              <w:left w:val="single" w:sz="4" w:space="0" w:color="000000"/>
              <w:right w:val="single" w:sz="4" w:space="0" w:color="000000"/>
            </w:tcBorders>
          </w:tcPr>
          <w:p>
            <w:pPr/>
          </w:p>
        </w:tc>
      </w:tr>
      <w:tr>
        <w:trPr>
          <w:trHeight w:val="392" w:hRule="exact"/>
        </w:trPr>
        <w:tc>
          <w:tcPr>
            <w:tcW w:w="24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9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95"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24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9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tc>
        <w:tc>
          <w:tcPr>
            <w:tcW w:w="886" w:type="dxa"/>
            <w:tcBorders>
              <w:top w:val="single" w:sz="4" w:space="0" w:color="000000"/>
              <w:left w:val="single" w:sz="9" w:space="0" w:color="FFFFFF"/>
              <w:bottom w:val="single" w:sz="4" w:space="0" w:color="000000"/>
              <w:right w:val="single" w:sz="13" w:space="0" w:color="FFFFFF"/>
            </w:tcBorders>
          </w:tcPr>
          <w:p>
            <w:pP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tc>
        <w:tc>
          <w:tcPr>
            <w:tcW w:w="886" w:type="dxa"/>
            <w:tcBorders>
              <w:top w:val="single" w:sz="4" w:space="0" w:color="000000"/>
              <w:left w:val="single" w:sz="9" w:space="0" w:color="FFFFFF"/>
              <w:bottom w:val="single" w:sz="4" w:space="0" w:color="000000"/>
              <w:right w:val="single" w:sz="13" w:space="0" w:color="FFFFFF"/>
            </w:tcBorders>
          </w:tcPr>
          <w:p>
            <w:pP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95"/>
        <w:gridCol w:w="886"/>
        <w:gridCol w:w="884"/>
        <w:gridCol w:w="886"/>
        <w:gridCol w:w="883"/>
        <w:gridCol w:w="884"/>
        <w:gridCol w:w="884"/>
        <w:gridCol w:w="883"/>
        <w:gridCol w:w="882"/>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23,504,735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10,639,893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.70</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87,629,765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.68</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186,774,39</w:t>
            </w:r>
          </w:p>
          <w:p>
            <w:pPr>
              <w:pStyle w:val="TableParagraph"/>
              <w:spacing w:line="240" w:lineRule="auto" w:before="106"/>
              <w:ind w:left="535" w:right="0"/>
              <w:jc w:val="left"/>
              <w:rPr>
                <w:rFonts w:ascii="Times New Roman" w:hAnsi="Times New Roman" w:cs="Times New Roman" w:eastAsia="Times New Roman" w:hint="default"/>
                <w:sz w:val="18"/>
                <w:szCs w:val="18"/>
              </w:rPr>
            </w:pPr>
            <w:r>
              <w:rPr>
                <w:rFonts w:ascii="Times New Roman"/>
                <w:sz w:val="18"/>
              </w:rPr>
              <w:t>4.64</w:t>
            </w:r>
          </w:p>
        </w:tc>
      </w:tr>
    </w:tbl>
    <w:p>
      <w:pPr>
        <w:spacing w:line="240" w:lineRule="auto" w:before="3"/>
        <w:rPr>
          <w:rFonts w:ascii="Times New Roman" w:hAnsi="Times New Roman" w:cs="Times New Roman" w:eastAsia="Times New Roman" w:hint="default"/>
          <w:sz w:val="23"/>
          <w:szCs w:val="23"/>
        </w:rPr>
      </w:pPr>
    </w:p>
    <w:p>
      <w:pPr>
        <w:pStyle w:val="BodyText"/>
        <w:tabs>
          <w:tab w:pos="3483" w:val="left" w:leader="none"/>
          <w:tab w:pos="7713" w:val="left" w:leader="none"/>
        </w:tabs>
        <w:spacing w:line="240" w:lineRule="auto" w:before="44"/>
        <w:ind w:right="0"/>
        <w:jc w:val="both"/>
      </w:pPr>
      <w:r>
        <w:rPr/>
        <w:t>法定代表人：吴艳</w:t>
        <w:tab/>
        <w:t>主管会计工作负责人：王智斌</w:t>
        <w:tab/>
        <w:t>会计机构负责人：周小平</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r>
        <w:rPr/>
        <w:t>三、公司基本情况</w:t>
      </w:r>
      <w:r>
        <w:rPr>
          <w:b w:val="0"/>
          <w:bCs w:val="0"/>
        </w:rPr>
      </w:r>
    </w:p>
    <w:p>
      <w:pPr>
        <w:spacing w:line="240" w:lineRule="auto" w:before="7"/>
        <w:rPr>
          <w:rFonts w:ascii="宋体" w:hAnsi="宋体" w:cs="宋体" w:eastAsia="宋体" w:hint="default"/>
          <w:b/>
          <w:bCs/>
          <w:sz w:val="24"/>
          <w:szCs w:val="24"/>
        </w:rPr>
      </w:pPr>
    </w:p>
    <w:p>
      <w:pPr>
        <w:pStyle w:val="Heading4"/>
        <w:spacing w:line="261" w:lineRule="auto"/>
        <w:ind w:left="153" w:right="150"/>
        <w:jc w:val="both"/>
      </w:pPr>
      <w:r>
        <w:rPr/>
        <w:t>汉鼎信息科技股份有限公司（以下简称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）是在原浙江汉鼎建设有限公司基础上整体变更</w:t>
      </w:r>
      <w:r>
        <w:rPr>
          <w:spacing w:val="-87"/>
        </w:rPr>
        <w:t> </w:t>
      </w:r>
      <w:r>
        <w:rPr>
          <w:spacing w:val="-87"/>
        </w:rPr>
      </w:r>
      <w:r>
        <w:rPr>
          <w:spacing w:val="-1"/>
        </w:rPr>
        <w:t>设立的股份有限公司，由杭州都城实业有限公司、浙江裕泽经济技术开发有限公司和自然人吴艳作为发起</w:t>
      </w:r>
      <w:r>
        <w:rPr>
          <w:spacing w:val="-81"/>
        </w:rPr>
        <w:t> </w:t>
      </w:r>
      <w:r>
        <w:rPr>
          <w:spacing w:val="-81"/>
        </w:rPr>
      </w:r>
      <w:r>
        <w:rPr>
          <w:spacing w:val="-2"/>
        </w:rPr>
        <w:t>人，注册资本</w:t>
      </w:r>
      <w:r>
        <w:rPr>
          <w:rFonts w:ascii="Times New Roman" w:hAnsi="Times New Roman" w:cs="Times New Roman" w:eastAsia="Times New Roman" w:hint="default"/>
          <w:spacing w:val="-2"/>
        </w:rPr>
        <w:t>6,000</w:t>
      </w:r>
      <w:r>
        <w:rPr>
          <w:spacing w:val="-2"/>
        </w:rPr>
        <w:t>万元（每股面值人民币</w:t>
      </w:r>
      <w:r>
        <w:rPr>
          <w:rFonts w:ascii="Times New Roman" w:hAnsi="Times New Roman" w:cs="Times New Roman" w:eastAsia="Times New Roman" w:hint="default"/>
          <w:spacing w:val="-2"/>
        </w:rPr>
        <w:t>1</w:t>
      </w:r>
      <w:r>
        <w:rPr>
          <w:spacing w:val="-2"/>
        </w:rPr>
        <w:t>元）。公司于</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日取得杭州市工商行政管理局颁发的</w:t>
      </w:r>
      <w:r>
        <w:rPr>
          <w:spacing w:val="-87"/>
        </w:rPr>
        <w:t> </w:t>
      </w:r>
      <w:r>
        <w:rPr>
          <w:spacing w:val="-87"/>
        </w:rPr>
      </w:r>
      <w:r>
        <w:rPr/>
        <w:t>第</w:t>
      </w:r>
      <w:r>
        <w:rPr>
          <w:rFonts w:ascii="Times New Roman" w:hAnsi="Times New Roman" w:cs="Times New Roman" w:eastAsia="Times New Roman" w:hint="default"/>
        </w:rPr>
        <w:t>330103000037043</w:t>
      </w:r>
      <w:r>
        <w:rPr/>
        <w:t>号企业法人营业执照。</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日根据浙江工商管理局要求，企业法人营业执照</w:t>
      </w:r>
      <w:r>
        <w:rPr>
          <w:spacing w:val="-45"/>
        </w:rPr>
        <w:t> </w:t>
      </w:r>
      <w:r>
        <w:rPr>
          <w:spacing w:val="-45"/>
        </w:rPr>
      </w:r>
      <w:r>
        <w:rPr/>
        <w:t>注册号由</w:t>
      </w:r>
      <w:r>
        <w:rPr>
          <w:rFonts w:ascii="Times New Roman" w:hAnsi="Times New Roman" w:cs="Times New Roman" w:eastAsia="Times New Roman" w:hint="default"/>
        </w:rPr>
        <w:t>330103000037043</w:t>
      </w:r>
      <w:r>
        <w:rPr/>
        <w:t>号变更为</w:t>
      </w:r>
      <w:r>
        <w:rPr>
          <w:rFonts w:ascii="Times New Roman" w:hAnsi="Times New Roman" w:cs="Times New Roman" w:eastAsia="Times New Roman" w:hint="default"/>
        </w:rPr>
        <w:t>330000000063403</w:t>
      </w:r>
      <w:r>
        <w:rPr/>
        <w:t>号。</w:t>
      </w:r>
    </w:p>
    <w:p>
      <w:pPr>
        <w:pStyle w:val="Heading4"/>
        <w:spacing w:line="256" w:lineRule="auto"/>
        <w:ind w:left="153" w:right="150" w:hanging="1"/>
        <w:jc w:val="both"/>
      </w:pP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7</w:t>
      </w:r>
      <w:r>
        <w:rPr>
          <w:spacing w:val="-1"/>
        </w:rPr>
        <w:t>月，股东杭州都城实业有限公司将持有本公司</w:t>
      </w:r>
      <w:r>
        <w:rPr>
          <w:rFonts w:ascii="Times New Roman" w:hAnsi="Times New Roman" w:cs="Times New Roman" w:eastAsia="Times New Roman" w:hint="default"/>
          <w:spacing w:val="-1"/>
        </w:rPr>
        <w:t>440</w:t>
      </w:r>
      <w:r>
        <w:rPr>
          <w:spacing w:val="-1"/>
        </w:rPr>
        <w:t>万元的股权分别转让给浙江城建建设集团有限公</w:t>
      </w:r>
      <w:r>
        <w:rPr>
          <w:spacing w:val="-84"/>
        </w:rPr>
        <w:t> </w:t>
      </w:r>
      <w:r>
        <w:rPr>
          <w:spacing w:val="-84"/>
        </w:rPr>
      </w:r>
      <w:r>
        <w:rPr>
          <w:spacing w:val="-1"/>
        </w:rPr>
        <w:t>司</w:t>
      </w:r>
      <w:r>
        <w:rPr>
          <w:rFonts w:ascii="Times New Roman" w:hAnsi="Times New Roman" w:cs="Times New Roman" w:eastAsia="Times New Roman" w:hint="default"/>
          <w:spacing w:val="-1"/>
        </w:rPr>
        <w:t>100</w:t>
      </w:r>
      <w:r>
        <w:rPr>
          <w:spacing w:val="-1"/>
        </w:rPr>
        <w:t>万元、杭州金永信润禾创业投资合伙企业（有限合伙）</w:t>
      </w:r>
      <w:r>
        <w:rPr>
          <w:rFonts w:ascii="Times New Roman" w:hAnsi="Times New Roman" w:cs="Times New Roman" w:eastAsia="Times New Roman" w:hint="default"/>
          <w:spacing w:val="-1"/>
        </w:rPr>
        <w:t>200</w:t>
      </w:r>
      <w:r>
        <w:rPr>
          <w:spacing w:val="-1"/>
        </w:rPr>
        <w:t>万元、徐了然</w:t>
      </w:r>
      <w:r>
        <w:rPr>
          <w:rFonts w:ascii="Times New Roman" w:hAnsi="Times New Roman" w:cs="Times New Roman" w:eastAsia="Times New Roman" w:hint="default"/>
          <w:spacing w:val="-1"/>
        </w:rPr>
        <w:t>20</w:t>
      </w:r>
      <w:r>
        <w:rPr>
          <w:spacing w:val="-1"/>
        </w:rPr>
        <w:t>万元、蒲彩萍</w:t>
      </w:r>
      <w:r>
        <w:rPr>
          <w:rFonts w:ascii="Times New Roman" w:hAnsi="Times New Roman" w:cs="Times New Roman" w:eastAsia="Times New Roman" w:hint="default"/>
          <w:spacing w:val="-1"/>
        </w:rPr>
        <w:t>80</w:t>
      </w:r>
      <w:r>
        <w:rPr>
          <w:spacing w:val="-1"/>
        </w:rPr>
        <w:t>万元、周</w:t>
      </w:r>
      <w:r>
        <w:rPr>
          <w:spacing w:val="-86"/>
        </w:rPr>
        <w:t> </w:t>
      </w:r>
      <w:r>
        <w:rPr>
          <w:spacing w:val="-86"/>
        </w:rPr>
      </w:r>
      <w:r>
        <w:rPr>
          <w:spacing w:val="-1"/>
        </w:rPr>
        <w:t>亚刚</w:t>
      </w:r>
      <w:r>
        <w:rPr>
          <w:rFonts w:ascii="Times New Roman" w:hAnsi="Times New Roman" w:cs="Times New Roman" w:eastAsia="Times New Roman" w:hint="default"/>
          <w:spacing w:val="-1"/>
        </w:rPr>
        <w:t>40</w:t>
      </w:r>
      <w:r>
        <w:rPr>
          <w:spacing w:val="-1"/>
        </w:rPr>
        <w:t>万元，股东吴艳将持有本公司</w:t>
      </w:r>
      <w:r>
        <w:rPr>
          <w:rFonts w:ascii="Times New Roman" w:hAnsi="Times New Roman" w:cs="Times New Roman" w:eastAsia="Times New Roman" w:hint="default"/>
          <w:spacing w:val="-1"/>
        </w:rPr>
        <w:t>90</w:t>
      </w:r>
      <w:r>
        <w:rPr>
          <w:spacing w:val="-1"/>
        </w:rPr>
        <w:t>万元的股权分别转让给自然人王丽平</w:t>
      </w:r>
      <w:r>
        <w:rPr>
          <w:rFonts w:ascii="Times New Roman" w:hAnsi="Times New Roman" w:cs="Times New Roman" w:eastAsia="Times New Roman" w:hint="default"/>
          <w:spacing w:val="-1"/>
        </w:rPr>
        <w:t>30</w:t>
      </w:r>
      <w:r>
        <w:rPr>
          <w:spacing w:val="-1"/>
        </w:rPr>
        <w:t>万元、王维山</w:t>
      </w:r>
      <w:r>
        <w:rPr>
          <w:rFonts w:ascii="Times New Roman" w:hAnsi="Times New Roman" w:cs="Times New Roman" w:eastAsia="Times New Roman" w:hint="default"/>
          <w:spacing w:val="-1"/>
        </w:rPr>
        <w:t>30</w:t>
      </w:r>
      <w:r>
        <w:rPr>
          <w:spacing w:val="-1"/>
        </w:rPr>
        <w:t>万元和王艳</w:t>
      </w:r>
      <w:r>
        <w:rPr>
          <w:spacing w:val="-85"/>
        </w:rPr>
        <w:t> </w:t>
      </w:r>
      <w:r>
        <w:rPr>
          <w:rFonts w:ascii="Times New Roman" w:hAnsi="Times New Roman" w:cs="Times New Roman" w:eastAsia="Times New Roman" w:hint="default"/>
        </w:rPr>
        <w:t>30</w:t>
      </w:r>
      <w:r>
        <w:rPr/>
        <w:t>万元。</w:t>
      </w:r>
    </w:p>
    <w:p>
      <w:pPr>
        <w:pStyle w:val="Heading4"/>
        <w:spacing w:line="261" w:lineRule="auto" w:before="5"/>
        <w:ind w:right="146" w:hanging="1"/>
        <w:jc w:val="left"/>
      </w:pPr>
      <w:r>
        <w:rPr>
          <w:rFonts w:ascii="Times New Roman" w:hAnsi="Times New Roman" w:cs="Times New Roman" w:eastAsia="Times New Roman" w:hint="default"/>
          <w:spacing w:val="-1"/>
        </w:rPr>
        <w:t>2010</w:t>
      </w:r>
      <w:r>
        <w:rPr>
          <w:spacing w:val="-1"/>
        </w:rPr>
        <w:t>年</w:t>
      </w:r>
      <w:r>
        <w:rPr>
          <w:spacing w:val="-2"/>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50"/>
        </w:rPr>
        <w:t> </w:t>
      </w:r>
      <w:r>
        <w:rPr>
          <w:spacing w:val="-3"/>
        </w:rPr>
        <w:t>月，股东杭州都城实业有限公司将持有本公司</w:t>
      </w:r>
      <w:r>
        <w:rPr>
          <w:rFonts w:ascii="Times New Roman" w:hAnsi="Times New Roman" w:cs="Times New Roman" w:eastAsia="Times New Roman" w:hint="default"/>
          <w:spacing w:val="-3"/>
        </w:rPr>
        <w:t>140</w:t>
      </w:r>
      <w:r>
        <w:rPr>
          <w:spacing w:val="-3"/>
        </w:rPr>
        <w:t>万元的股权分别转让给杭州红土创业投资有限</w:t>
      </w:r>
      <w:r>
        <w:rPr>
          <w:spacing w:val="-101"/>
        </w:rPr>
        <w:t> </w:t>
      </w:r>
      <w:r>
        <w:rPr>
          <w:spacing w:val="-101"/>
        </w:rPr>
      </w:r>
      <w:r>
        <w:rPr>
          <w:spacing w:val="-5"/>
        </w:rPr>
        <w:t>公司</w:t>
      </w:r>
      <w:r>
        <w:rPr>
          <w:rFonts w:ascii="Times New Roman" w:hAnsi="Times New Roman" w:cs="Times New Roman" w:eastAsia="Times New Roman" w:hint="default"/>
          <w:spacing w:val="-5"/>
        </w:rPr>
        <w:t>100</w:t>
      </w:r>
      <w:r>
        <w:rPr>
          <w:spacing w:val="-5"/>
        </w:rPr>
        <w:t>万元、孙宏亮</w:t>
      </w:r>
      <w:r>
        <w:rPr>
          <w:rFonts w:ascii="Times New Roman" w:hAnsi="Times New Roman" w:cs="Times New Roman" w:eastAsia="Times New Roman" w:hint="default"/>
          <w:spacing w:val="-5"/>
        </w:rPr>
        <w:t>40</w:t>
      </w:r>
      <w:r>
        <w:rPr>
          <w:spacing w:val="-5"/>
        </w:rPr>
        <w:t>万元，股东吴艳将持有本公司</w:t>
      </w:r>
      <w:r>
        <w:rPr>
          <w:rFonts w:ascii="Times New Roman" w:hAnsi="Times New Roman" w:cs="Times New Roman" w:eastAsia="Times New Roman" w:hint="default"/>
          <w:spacing w:val="-5"/>
        </w:rPr>
        <w:t>210</w:t>
      </w:r>
      <w:r>
        <w:rPr>
          <w:spacing w:val="-5"/>
        </w:rPr>
        <w:t>万元的股权转让给上海雅银股权投资合伙企业（有</w:t>
      </w:r>
      <w:r>
        <w:rPr>
          <w:spacing w:val="-90"/>
        </w:rPr>
        <w:t> </w:t>
      </w:r>
      <w:r>
        <w:rPr>
          <w:spacing w:val="-90"/>
        </w:rPr>
      </w:r>
      <w:r>
        <w:rPr/>
        <w:t>限合伙）。 </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11</w:t>
      </w:r>
      <w:r>
        <w:rPr/>
        <w:t>月，公司增资</w:t>
      </w:r>
      <w:r>
        <w:rPr>
          <w:rFonts w:ascii="Times New Roman" w:hAnsi="Times New Roman" w:cs="Times New Roman" w:eastAsia="Times New Roman" w:hint="default"/>
        </w:rPr>
        <w:t>500</w:t>
      </w:r>
      <w:r>
        <w:rPr/>
        <w:t>万元，新增注册资本由深圳市创新投资集团有限公司、浙江红土创业投资有限</w:t>
      </w:r>
      <w:r>
        <w:rPr>
          <w:spacing w:val="-40"/>
        </w:rPr>
        <w:t> </w:t>
      </w:r>
      <w:r>
        <w:rPr>
          <w:spacing w:val="-40"/>
        </w:rPr>
      </w:r>
      <w:r>
        <w:rPr/>
        <w:t>公司和杭州红土创业投资有限公司认缴，增资后注册资本为人民币</w:t>
      </w:r>
      <w:r>
        <w:rPr>
          <w:rFonts w:ascii="Times New Roman" w:hAnsi="Times New Roman" w:cs="Times New Roman" w:eastAsia="Times New Roman" w:hint="default"/>
        </w:rPr>
        <w:t>6,500</w:t>
      </w:r>
      <w:r>
        <w:rPr/>
        <w:t>万元。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月，经中国证券监督管理委员会证监许可</w:t>
      </w:r>
      <w:r>
        <w:rPr>
          <w:rFonts w:ascii="Times New Roman" w:hAnsi="Times New Roman" w:cs="Times New Roman" w:eastAsia="Times New Roman" w:hint="default"/>
        </w:rPr>
        <w:t>[2012]226</w:t>
      </w:r>
      <w:r>
        <w:rPr/>
        <w:t>号文核准，公司向社会公开发行人民币普通股</w:t>
      </w:r>
    </w:p>
    <w:p>
      <w:pPr>
        <w:pStyle w:val="Heading4"/>
        <w:spacing w:line="264" w:lineRule="auto"/>
        <w:ind w:right="110"/>
        <w:jc w:val="left"/>
      </w:pPr>
      <w:r>
        <w:rPr>
          <w:spacing w:val="-4"/>
        </w:rPr>
        <w:t>（</w:t>
      </w:r>
      <w:r>
        <w:rPr>
          <w:rFonts w:ascii="Times New Roman" w:hAnsi="Times New Roman" w:cs="Times New Roman" w:eastAsia="Times New Roman" w:hint="default"/>
          <w:spacing w:val="-4"/>
        </w:rPr>
        <w:t>A</w:t>
      </w:r>
      <w:r>
        <w:rPr>
          <w:spacing w:val="-4"/>
        </w:rPr>
        <w:t>股）股票</w:t>
      </w:r>
      <w:r>
        <w:rPr>
          <w:rFonts w:ascii="Times New Roman" w:hAnsi="Times New Roman" w:cs="Times New Roman" w:eastAsia="Times New Roman" w:hint="default"/>
          <w:spacing w:val="-4"/>
        </w:rPr>
        <w:t>22,000,000</w:t>
      </w:r>
      <w:r>
        <w:rPr>
          <w:spacing w:val="-4"/>
        </w:rPr>
        <w:t>股（每股面值</w:t>
      </w:r>
      <w:r>
        <w:rPr>
          <w:rFonts w:ascii="Times New Roman" w:hAnsi="Times New Roman" w:cs="Times New Roman" w:eastAsia="Times New Roman" w:hint="default"/>
          <w:spacing w:val="-4"/>
        </w:rPr>
        <w:t>1</w:t>
      </w:r>
      <w:r>
        <w:rPr>
          <w:spacing w:val="-4"/>
        </w:rPr>
        <w:t>元）。变更后的注册资本</w:t>
      </w:r>
      <w:r>
        <w:rPr>
          <w:rFonts w:ascii="Times New Roman" w:hAnsi="Times New Roman" w:cs="Times New Roman" w:eastAsia="Times New Roman" w:hint="default"/>
          <w:spacing w:val="-4"/>
        </w:rPr>
        <w:t>87,000,000.00</w:t>
      </w:r>
      <w:r>
        <w:rPr>
          <w:spacing w:val="-4"/>
        </w:rPr>
        <w:t>元，股份总数</w:t>
      </w:r>
      <w:r>
        <w:rPr>
          <w:rFonts w:ascii="Times New Roman" w:hAnsi="Times New Roman" w:cs="Times New Roman" w:eastAsia="Times New Roman" w:hint="default"/>
          <w:spacing w:val="-4"/>
        </w:rPr>
        <w:t>87,000,000</w:t>
      </w:r>
      <w:r>
        <w:rPr>
          <w:spacing w:val="-4"/>
        </w:rPr>
        <w:t>股（每</w:t>
      </w:r>
      <w:r>
        <w:rPr>
          <w:spacing w:val="-90"/>
        </w:rPr>
        <w:t> </w:t>
      </w:r>
      <w:r>
        <w:rPr>
          <w:spacing w:val="-90"/>
        </w:rPr>
      </w:r>
      <w:r>
        <w:rPr/>
        <w:t>股面值</w:t>
      </w:r>
      <w:r>
        <w:rPr>
          <w:rFonts w:ascii="Times New Roman" w:hAnsi="Times New Roman" w:cs="Times New Roman" w:eastAsia="Times New Roman" w:hint="default"/>
        </w:rPr>
        <w:t>1</w:t>
      </w:r>
      <w:r>
        <w:rPr/>
        <w:t>元），其中：有限售条件的流通股份</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65,000,000</w:t>
      </w:r>
      <w:r>
        <w:rPr/>
        <w:t>股，无限售条件的流通股份</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22,000,000</w:t>
      </w:r>
      <w:r>
        <w:rPr/>
        <w:t>股。</w:t>
      </w:r>
      <w:r>
        <w:rPr>
          <w:spacing w:val="1"/>
        </w:rPr>
        <w:t> </w:t>
      </w:r>
      <w:r>
        <w:rPr/>
        <w:t>公司股票于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日在深圳证券交易所挂牌交易。 </w:t>
      </w:r>
      <w:r>
        <w:rPr>
          <w:spacing w:val="-2"/>
        </w:rPr>
        <w:t>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日，本公司累计发行股本总数</w:t>
      </w:r>
      <w:r>
        <w:rPr>
          <w:rFonts w:ascii="Times New Roman" w:hAnsi="Times New Roman" w:cs="Times New Roman" w:eastAsia="Times New Roman" w:hint="default"/>
          <w:spacing w:val="-2"/>
        </w:rPr>
        <w:t>87,000,000</w:t>
      </w:r>
      <w:r>
        <w:rPr>
          <w:spacing w:val="-2"/>
        </w:rPr>
        <w:t>股，公司注册资本为</w:t>
      </w:r>
      <w:r>
        <w:rPr>
          <w:rFonts w:ascii="Times New Roman" w:hAnsi="Times New Roman" w:cs="Times New Roman" w:eastAsia="Times New Roman" w:hint="default"/>
          <w:spacing w:val="-2"/>
        </w:rPr>
        <w:t>87,000,000.00</w:t>
      </w:r>
      <w:r>
        <w:rPr>
          <w:spacing w:val="-2"/>
        </w:rPr>
        <w:t>元。公司所属</w:t>
      </w:r>
      <w:r>
        <w:rPr>
          <w:spacing w:val="-69"/>
        </w:rPr>
        <w:t> </w:t>
      </w:r>
      <w:r>
        <w:rPr>
          <w:spacing w:val="-69"/>
        </w:rPr>
      </w:r>
      <w:r>
        <w:rPr>
          <w:spacing w:val="-1"/>
        </w:rPr>
        <w:t>行业为软件和信息技术服务业，主要经营范围：计算机网络信息、计算机软件的技术开发、技术服务、技</w:t>
      </w:r>
      <w:r>
        <w:rPr>
          <w:spacing w:val="-83"/>
        </w:rPr>
        <w:t> </w:t>
      </w:r>
      <w:r>
        <w:rPr>
          <w:spacing w:val="-83"/>
        </w:rPr>
      </w:r>
      <w:r>
        <w:rPr>
          <w:spacing w:val="-1"/>
        </w:rPr>
        <w:t>术应用；多媒体技术开发；建筑节能技术服务；承接计算机信息系统工程、通讯网络系统工程、建筑智能</w:t>
      </w:r>
      <w:r>
        <w:rPr>
          <w:spacing w:val="-83"/>
        </w:rPr>
        <w:t> </w:t>
      </w:r>
      <w:r>
        <w:rPr>
          <w:spacing w:val="-83"/>
        </w:rPr>
      </w:r>
      <w:r>
        <w:rPr>
          <w:spacing w:val="-1"/>
        </w:rPr>
        <w:t>化工程、机电设备安装工程、城市及道路照明工程，建筑装饰工程、建筑幕墙工程、电子工程、管道安装</w:t>
      </w:r>
      <w:r>
        <w:rPr>
          <w:spacing w:val="-83"/>
        </w:rPr>
        <w:t> </w:t>
      </w:r>
      <w:r>
        <w:rPr>
          <w:spacing w:val="-83"/>
        </w:rPr>
      </w:r>
      <w:r>
        <w:rPr/>
        <w:t>工程及音、视频工程（凭资质证书经营）；对外承包工程（具体经营详见《对外承包工程资格证书》）； 批发、零售：办公及工业自动化设备，通讯设备的销售。</w:t>
      </w:r>
    </w:p>
    <w:p>
      <w:pPr>
        <w:spacing w:line="240" w:lineRule="auto" w:before="6"/>
        <w:rPr>
          <w:rFonts w:ascii="宋体" w:hAnsi="宋体" w:cs="宋体" w:eastAsia="宋体" w:hint="default"/>
          <w:sz w:val="22"/>
          <w:szCs w:val="22"/>
        </w:rPr>
      </w:pPr>
    </w:p>
    <w:p>
      <w:pPr>
        <w:pStyle w:val="Heading2"/>
        <w:spacing w:line="240" w:lineRule="auto"/>
        <w:ind w:right="0"/>
        <w:jc w:val="both"/>
        <w:rPr>
          <w:b w:val="0"/>
          <w:bCs w:val="0"/>
        </w:rPr>
      </w:pPr>
      <w:r>
        <w:rPr/>
        <w:t>四、公司主要会计政策、会计估计和前期差错</w:t>
      </w:r>
      <w:r>
        <w:rPr>
          <w:b w:val="0"/>
          <w:bCs w:val="0"/>
        </w:rPr>
      </w:r>
    </w:p>
    <w:p>
      <w:pPr>
        <w:spacing w:line="240" w:lineRule="auto" w:before="4"/>
        <w:rPr>
          <w:rFonts w:ascii="宋体" w:hAnsi="宋体" w:cs="宋体" w:eastAsia="宋体" w:hint="default"/>
          <w:b/>
          <w:bCs/>
          <w:sz w:val="25"/>
          <w:szCs w:val="25"/>
        </w:rPr>
      </w:pPr>
    </w:p>
    <w:p>
      <w:pPr>
        <w:pStyle w:val="Heading5"/>
        <w:spacing w:line="240" w:lineRule="auto"/>
        <w:ind w:right="0"/>
        <w:jc w:val="both"/>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13"/>
        <w:rPr>
          <w:rFonts w:ascii="宋体" w:hAnsi="宋体" w:cs="宋体" w:eastAsia="宋体" w:hint="default"/>
          <w:b/>
          <w:bCs/>
          <w:sz w:val="24"/>
          <w:szCs w:val="24"/>
        </w:rPr>
      </w:pPr>
    </w:p>
    <w:p>
      <w:pPr>
        <w:pStyle w:val="Heading4"/>
        <w:spacing w:line="256" w:lineRule="auto"/>
        <w:ind w:left="153" w:right="146"/>
        <w:jc w:val="both"/>
      </w:pPr>
      <w:r>
        <w:rPr/>
        <w:t>公司以持续经营为基础，根据实际发生的交易和事项，按照财政部于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日颁布的《企业会计准</w:t>
      </w:r>
      <w:r>
        <w:rPr>
          <w:spacing w:val="-36"/>
        </w:rPr>
        <w:t> </w:t>
      </w:r>
      <w:r>
        <w:rPr>
          <w:spacing w:val="-36"/>
        </w:rPr>
      </w:r>
      <w:r>
        <w:rPr>
          <w:spacing w:val="-1"/>
        </w:rPr>
        <w:t>则</w:t>
      </w:r>
      <w:r>
        <w:rPr>
          <w:rFonts w:ascii="Times New Roman" w:hAnsi="Times New Roman" w:cs="Times New Roman" w:eastAsia="Times New Roman" w:hint="default"/>
          <w:spacing w:val="-1"/>
        </w:rPr>
        <w:t>——</w:t>
      </w:r>
      <w:r>
        <w:rPr>
          <w:spacing w:val="-1"/>
        </w:rPr>
        <w:t>基本准则》和</w:t>
      </w:r>
      <w:r>
        <w:rPr>
          <w:rFonts w:ascii="Times New Roman" w:hAnsi="Times New Roman" w:cs="Times New Roman" w:eastAsia="Times New Roman" w:hint="default"/>
          <w:spacing w:val="-1"/>
        </w:rPr>
        <w:t>38</w:t>
      </w:r>
      <w:r>
        <w:rPr>
          <w:spacing w:val="-1"/>
        </w:rPr>
        <w:t>项具体会计准则、其后颁布的企业会计准则应用指南、企业会计准则解释及其他相</w:t>
      </w:r>
      <w:r>
        <w:rPr>
          <w:spacing w:val="-83"/>
        </w:rPr>
        <w:t> </w:t>
      </w:r>
      <w:r>
        <w:rPr>
          <w:spacing w:val="-83"/>
        </w:rPr>
      </w:r>
      <w:r>
        <w:rPr/>
        <w:t>关规定</w:t>
      </w:r>
      <w:r>
        <w:rPr>
          <w:rFonts w:ascii="Times New Roman" w:hAnsi="Times New Roman" w:cs="Times New Roman" w:eastAsia="Times New Roman" w:hint="default"/>
        </w:rPr>
        <w:t>(</w:t>
      </w:r>
      <w:r>
        <w:rPr/>
        <w:t>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、以及中国证券监督管理委员会《公开发行证券的公司信息披露编报规</w:t>
      </w:r>
      <w:r>
        <w:rPr>
          <w:spacing w:val="-49"/>
        </w:rPr>
        <w:t> </w:t>
      </w:r>
      <w:r>
        <w:rPr>
          <w:spacing w:val="-49"/>
        </w:rPr>
      </w:r>
      <w:r>
        <w:rPr/>
        <w:t>则第</w:t>
      </w:r>
      <w:r>
        <w:rPr>
          <w:rFonts w:ascii="Times New Roman" w:hAnsi="Times New Roman" w:cs="Times New Roman" w:eastAsia="Times New Roman" w:hint="default"/>
        </w:rPr>
        <w:t>15</w:t>
      </w:r>
      <w:r>
        <w:rPr>
          <w:rFonts w:ascii="Times New Roman" w:hAnsi="Times New Roman" w:cs="Times New Roman" w:eastAsia="Times New Roman" w:hint="default"/>
          <w:spacing w:val="25"/>
        </w:rPr>
        <w:t> </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(2010</w:t>
      </w:r>
      <w:r>
        <w:rPr/>
        <w:t>年修订</w:t>
      </w:r>
      <w:r>
        <w:rPr>
          <w:rFonts w:ascii="Times New Roman" w:hAnsi="Times New Roman" w:cs="Times New Roman" w:eastAsia="Times New Roman" w:hint="default"/>
        </w:rPr>
        <w:t>)</w:t>
      </w:r>
      <w:r>
        <w:rPr/>
        <w:t>的披露规定编制财务报表。</w:t>
      </w:r>
    </w:p>
    <w:p>
      <w:pPr>
        <w:spacing w:after="0" w:line="256" w:lineRule="auto"/>
        <w:jc w:val="both"/>
        <w:sectPr>
          <w:pgSz w:w="11910" w:h="16840"/>
          <w:pgMar w:header="747" w:footer="982" w:top="1060" w:bottom="1180" w:left="980" w:right="980"/>
        </w:sectPr>
      </w:pPr>
    </w:p>
    <w:p>
      <w:pPr>
        <w:spacing w:line="240" w:lineRule="auto" w:before="3"/>
        <w:rPr>
          <w:rFonts w:ascii="宋体" w:hAnsi="宋体" w:cs="宋体" w:eastAsia="宋体" w:hint="default"/>
          <w:sz w:val="25"/>
          <w:szCs w:val="25"/>
        </w:rPr>
      </w:pPr>
    </w:p>
    <w:p>
      <w:pPr>
        <w:pStyle w:val="Heading5"/>
        <w:spacing w:line="240" w:lineRule="auto" w:before="38"/>
        <w:ind w:right="101"/>
        <w:jc w:val="left"/>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12"/>
        <w:rPr>
          <w:rFonts w:ascii="宋体" w:hAnsi="宋体" w:cs="宋体" w:eastAsia="宋体" w:hint="default"/>
          <w:b/>
          <w:bCs/>
          <w:sz w:val="24"/>
          <w:szCs w:val="24"/>
        </w:rPr>
      </w:pPr>
    </w:p>
    <w:p>
      <w:pPr>
        <w:pStyle w:val="Heading4"/>
        <w:spacing w:line="273" w:lineRule="auto"/>
        <w:ind w:right="101"/>
        <w:jc w:val="left"/>
      </w:pPr>
      <w:r>
        <w:rPr>
          <w:spacing w:val="-3"/>
        </w:rPr>
        <w:t>公司所编制的财务报表符合企业会计准则的要求，真实、完整地反映了报告期公司的财务状况、经营成果、</w:t>
      </w:r>
      <w:r>
        <w:rPr>
          <w:spacing w:val="-92"/>
        </w:rPr>
        <w:t> </w:t>
      </w:r>
      <w:r>
        <w:rPr>
          <w:spacing w:val="-92"/>
        </w:rPr>
      </w:r>
      <w:r>
        <w:rPr/>
        <w:t>现金流量等有关信息。</w:t>
      </w:r>
    </w:p>
    <w:p>
      <w:pPr>
        <w:spacing w:line="240" w:lineRule="auto" w:before="4"/>
        <w:rPr>
          <w:rFonts w:ascii="宋体" w:hAnsi="宋体" w:cs="宋体" w:eastAsia="宋体" w:hint="default"/>
          <w:sz w:val="24"/>
          <w:szCs w:val="24"/>
        </w:rPr>
      </w:pPr>
    </w:p>
    <w:p>
      <w:pPr>
        <w:spacing w:line="518" w:lineRule="auto" w:before="0"/>
        <w:ind w:left="154" w:right="563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、会计期间</w:t>
      </w:r>
      <w:r>
        <w:rPr>
          <w:rFonts w:ascii="宋体" w:hAnsi="宋体" w:cs="宋体" w:eastAsia="宋体" w:hint="default"/>
          <w:b/>
          <w:bCs/>
          <w:w w:val="99"/>
          <w:sz w:val="20"/>
          <w:szCs w:val="20"/>
        </w:rPr>
        <w:t> </w:t>
      </w:r>
      <w:r>
        <w:rPr>
          <w:rFonts w:ascii="宋体" w:hAnsi="宋体" w:cs="宋体" w:eastAsia="宋体" w:hint="default"/>
          <w:sz w:val="21"/>
          <w:szCs w:val="21"/>
        </w:rPr>
        <w:t>自公历</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日至</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日止为一个会计年度。 </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、记账本位币</w:t>
      </w:r>
      <w:r>
        <w:rPr>
          <w:rFonts w:ascii="宋体" w:hAnsi="宋体" w:cs="宋体" w:eastAsia="宋体" w:hint="default"/>
          <w:sz w:val="20"/>
          <w:szCs w:val="20"/>
        </w:rPr>
      </w:r>
    </w:p>
    <w:p>
      <w:pPr>
        <w:pStyle w:val="Heading4"/>
        <w:spacing w:line="240" w:lineRule="auto" w:before="69"/>
        <w:ind w:right="101"/>
        <w:jc w:val="left"/>
      </w:pPr>
      <w:r>
        <w:rPr/>
        <w:t>采用人民币为记账本位币。</w:t>
      </w:r>
    </w:p>
    <w:p>
      <w:pPr>
        <w:spacing w:line="240" w:lineRule="auto" w:before="7"/>
        <w:rPr>
          <w:rFonts w:ascii="宋体" w:hAnsi="宋体" w:cs="宋体" w:eastAsia="宋体" w:hint="default"/>
          <w:sz w:val="26"/>
          <w:szCs w:val="26"/>
        </w:rPr>
      </w:pPr>
    </w:p>
    <w:p>
      <w:pPr>
        <w:pStyle w:val="Heading5"/>
        <w:spacing w:line="240" w:lineRule="auto"/>
        <w:ind w:right="101"/>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left="153" w:right="101"/>
        <w:jc w:val="left"/>
        <w:rPr>
          <w:b w:val="0"/>
          <w:bCs w:val="0"/>
        </w:rPr>
      </w:pPr>
      <w:r>
        <w:rPr/>
        <w:t>（</w:t>
      </w:r>
      <w:r>
        <w:rPr>
          <w:rFonts w:ascii="Times New Roman" w:hAnsi="Times New Roman" w:cs="Times New Roman" w:eastAsia="Times New Roman" w:hint="default"/>
        </w:rPr>
        <w:t>1</w:t>
      </w:r>
      <w:r>
        <w:rPr/>
        <w:t>）同一控制下企业合并</w:t>
      </w:r>
      <w:r>
        <w:rPr>
          <w:b w:val="0"/>
          <w:bCs w:val="0"/>
        </w:rPr>
      </w:r>
    </w:p>
    <w:p>
      <w:pPr>
        <w:spacing w:line="240" w:lineRule="auto" w:before="12"/>
        <w:rPr>
          <w:rFonts w:ascii="宋体" w:hAnsi="宋体" w:cs="宋体" w:eastAsia="宋体" w:hint="default"/>
          <w:b/>
          <w:bCs/>
          <w:sz w:val="24"/>
          <w:szCs w:val="24"/>
        </w:rPr>
      </w:pPr>
    </w:p>
    <w:p>
      <w:pPr>
        <w:pStyle w:val="Heading4"/>
        <w:spacing w:line="273" w:lineRule="auto"/>
        <w:ind w:left="153" w:right="171"/>
        <w:jc w:val="left"/>
      </w:pPr>
      <w:r>
        <w:rPr>
          <w:spacing w:val="-1"/>
        </w:rPr>
        <w:t>本公司在企业合并中取得的资产和负债，按照合并日在被合并方的账面价值计量。被合并各方采用的会计</w:t>
      </w:r>
      <w:r>
        <w:rPr>
          <w:spacing w:val="-81"/>
        </w:rPr>
        <w:t> </w:t>
      </w:r>
      <w:r>
        <w:rPr>
          <w:spacing w:val="-81"/>
        </w:rPr>
      </w:r>
      <w:r>
        <w:rPr>
          <w:spacing w:val="-1"/>
        </w:rPr>
        <w:t>政策与本公司不一致的，本公司在合并日按照本公司会计政策进行调整，在此基础上按照调整后的账面价</w:t>
      </w:r>
      <w:r>
        <w:rPr>
          <w:spacing w:val="-81"/>
        </w:rPr>
        <w:t> </w:t>
      </w:r>
      <w:r>
        <w:rPr>
          <w:spacing w:val="-81"/>
        </w:rPr>
      </w:r>
      <w:r>
        <w:rPr/>
        <w:t>值确认。 </w:t>
      </w:r>
      <w:r>
        <w:rPr>
          <w:spacing w:val="-1"/>
        </w:rPr>
        <w:t>在合并中取得的净资产账面价值与支付的合并对价账面价值（或发行股份面值总额）的差额，调整资本公</w:t>
      </w:r>
      <w:r>
        <w:rPr>
          <w:spacing w:val="-83"/>
        </w:rPr>
        <w:t> </w:t>
      </w:r>
      <w:r>
        <w:rPr>
          <w:spacing w:val="-83"/>
        </w:rPr>
      </w:r>
      <w:r>
        <w:rPr/>
        <w:t>积中的股本溢价，资本公积中的股本溢价不足冲减的，调整留存收益。 本公司为进行企业合并而发生的各项直接相关费用，包括为进行企业合并而支付的审计费用、评估费用、 法律服务费等，于发生时计入当期损益。 </w:t>
      </w:r>
      <w:r>
        <w:rPr>
          <w:spacing w:val="-1"/>
        </w:rPr>
        <w:t>企业合并中发行权益性证券发生的手续费、佣金等，抵减权益性证券溢价收入，溢价收入不足冲减的，冲</w:t>
      </w:r>
      <w:r>
        <w:rPr>
          <w:spacing w:val="-82"/>
        </w:rPr>
        <w:t> </w:t>
      </w:r>
      <w:r>
        <w:rPr>
          <w:spacing w:val="-82"/>
        </w:rPr>
      </w:r>
      <w:r>
        <w:rPr/>
        <w:t>减留存收益。</w:t>
      </w:r>
    </w:p>
    <w:p>
      <w:pPr>
        <w:spacing w:line="240" w:lineRule="auto" w:before="4"/>
        <w:rPr>
          <w:rFonts w:ascii="宋体" w:hAnsi="宋体" w:cs="宋体" w:eastAsia="宋体" w:hint="default"/>
          <w:sz w:val="24"/>
          <w:szCs w:val="24"/>
        </w:rPr>
      </w:pPr>
    </w:p>
    <w:p>
      <w:pPr>
        <w:pStyle w:val="Heading5"/>
        <w:spacing w:line="240" w:lineRule="auto"/>
        <w:ind w:right="101"/>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12"/>
        <w:rPr>
          <w:rFonts w:ascii="宋体" w:hAnsi="宋体" w:cs="宋体" w:eastAsia="宋体" w:hint="default"/>
          <w:b/>
          <w:bCs/>
          <w:sz w:val="24"/>
          <w:szCs w:val="24"/>
        </w:rPr>
      </w:pPr>
    </w:p>
    <w:p>
      <w:pPr>
        <w:pStyle w:val="Heading4"/>
        <w:spacing w:line="271" w:lineRule="auto"/>
        <w:ind w:left="153" w:right="102"/>
        <w:jc w:val="left"/>
      </w:pPr>
      <w:r>
        <w:rPr/>
        <w:t>本公司在购买日对作为企业合并对价付出的资产、发生或承担的负债按照公允价值计量。公允价值与其账 面价值的差额，计入当期损益。 本公司在购买日对合并成本进行分配，确认所取得的被购买方各项可辨认资产、负债及或有负债的公允价 值。 本公司对合并成本大于合并中取得的被购买方可辨认净资产公允价值份额的差额，确认为商誉；合并成本 小于合并中取得的被购买方可辨认净资产公允价值份额的差额，经复核后，计入当期损益。 企业合并中取得的被购买方除无形资产外的其他各项资产（不仅限于被购买方原已确认的资产），其所带 来的经济利益很可能流入本公司且公允价值能够可靠计量的，单独确认并按公允价值计量；公允价值能够 可靠计量的无形资产，单独确认为无形资产并按公允价值计量；取得的被购买方除或有负债以外的其他各 项负债，履行有关义务很可能导致经济利益流出本公司且公允价值能够可靠计量的，单独确认并按照公允 价值计量；取得的被购买方或有负债，其公允价值能可靠计量的，单独确认为负债并按照公允价值计量。 本公司在企业合并中取得的被购买方的可抵扣暂时性差异，在购买日不符合递延所得税资产确认条件的， 不予以确认。购买日后</w:t>
      </w:r>
      <w:r>
        <w:rPr>
          <w:rFonts w:ascii="Times New Roman" w:hAnsi="Times New Roman" w:cs="Times New Roman" w:eastAsia="Times New Roman" w:hint="default"/>
        </w:rPr>
        <w:t>12</w:t>
      </w:r>
      <w:r>
        <w:rPr/>
        <w:t>个月内，如取得新的或进一步的信息表明购买日的相关情况已经存在，预期被购 </w:t>
      </w:r>
      <w:r>
        <w:rPr>
          <w:spacing w:val="-3"/>
        </w:rPr>
        <w:t>买方在购买日可抵扣暂时性差异带来的经济利益能够实现的，确认相关的递延所得税资产，同时减少商誉，</w:t>
      </w:r>
      <w:r>
        <w:rPr>
          <w:spacing w:val="-92"/>
        </w:rPr>
        <w:t> </w:t>
      </w:r>
      <w:r>
        <w:rPr>
          <w:spacing w:val="-92"/>
        </w:rPr>
      </w:r>
      <w:r>
        <w:rPr/>
        <w:t>商誉不足冲减的，差额部分确认为当期损益；除上述情况以外，确认与企业合并相关的递延所得税资产， 计入当期损益。</w:t>
      </w:r>
    </w:p>
    <w:p>
      <w:pPr>
        <w:spacing w:after="0" w:line="271" w:lineRule="auto"/>
        <w:jc w:val="left"/>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Heading4"/>
        <w:spacing w:line="273" w:lineRule="auto" w:before="35"/>
        <w:ind w:right="188"/>
        <w:jc w:val="both"/>
      </w:pPr>
      <w:r>
        <w:rPr>
          <w:spacing w:val="-1"/>
        </w:rPr>
        <w:t>非同一控制下企业合并，购买方为企业合并发生的审计、法律服务、评估咨询等中介费用以及其他相关管</w:t>
      </w:r>
      <w:r>
        <w:rPr>
          <w:spacing w:val="-83"/>
        </w:rPr>
        <w:t> </w:t>
      </w:r>
      <w:r>
        <w:rPr>
          <w:spacing w:val="-83"/>
        </w:rPr>
      </w:r>
      <w:r>
        <w:rPr/>
        <w:t>理费用，应当于发生时计入当期损益；购买方作为合并对价发行的权益性证券或债务性证券的交易费用， 应当计入权益性证券或债务性证券的初始确认金额。</w:t>
      </w:r>
    </w:p>
    <w:p>
      <w:pPr>
        <w:spacing w:line="240" w:lineRule="auto" w:before="4"/>
        <w:rPr>
          <w:rFonts w:ascii="宋体" w:hAnsi="宋体" w:cs="宋体" w:eastAsia="宋体" w:hint="default"/>
          <w:sz w:val="24"/>
          <w:szCs w:val="24"/>
        </w:rPr>
      </w:pPr>
    </w:p>
    <w:p>
      <w:pPr>
        <w:pStyle w:val="Heading5"/>
        <w:spacing w:line="240" w:lineRule="auto"/>
        <w:ind w:right="101"/>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left="153" w:right="101"/>
        <w:jc w:val="left"/>
        <w:rPr>
          <w:b w:val="0"/>
          <w:bCs w:val="0"/>
        </w:rPr>
      </w:pPr>
      <w:r>
        <w:rPr/>
        <w:t>（</w:t>
      </w:r>
      <w:r>
        <w:rPr>
          <w:rFonts w:ascii="Times New Roman" w:hAnsi="Times New Roman" w:cs="Times New Roman" w:eastAsia="Times New Roman" w:hint="default"/>
        </w:rPr>
        <w:t>1</w:t>
      </w:r>
      <w:r>
        <w:rPr/>
        <w:t>）合并财务报表的编制方法</w:t>
      </w:r>
      <w:r>
        <w:rPr>
          <w:b w:val="0"/>
          <w:bCs w:val="0"/>
        </w:rPr>
      </w:r>
    </w:p>
    <w:p>
      <w:pPr>
        <w:spacing w:line="240" w:lineRule="auto" w:before="12"/>
        <w:rPr>
          <w:rFonts w:ascii="宋体" w:hAnsi="宋体" w:cs="宋体" w:eastAsia="宋体" w:hint="default"/>
          <w:b/>
          <w:bCs/>
          <w:sz w:val="24"/>
          <w:szCs w:val="24"/>
        </w:rPr>
      </w:pPr>
    </w:p>
    <w:p>
      <w:pPr>
        <w:pStyle w:val="Heading4"/>
        <w:spacing w:line="273" w:lineRule="auto"/>
        <w:ind w:left="153" w:right="171"/>
        <w:jc w:val="left"/>
      </w:pPr>
      <w:r>
        <w:rPr/>
        <w:t>本公司合并财务报表的合并范围以控制为基础确定，所有子公司均纳入合并财务报表。 </w:t>
      </w:r>
      <w:r>
        <w:rPr>
          <w:spacing w:val="-1"/>
        </w:rPr>
        <w:t>所有纳入合并财务报表合并范围的子公司所采用的会计政策、会计期间与本公司一致，如子公司采用的会</w:t>
      </w:r>
      <w:r>
        <w:rPr>
          <w:spacing w:val="-81"/>
        </w:rPr>
        <w:t> </w:t>
      </w:r>
      <w:r>
        <w:rPr>
          <w:spacing w:val="-81"/>
        </w:rPr>
      </w:r>
      <w:r>
        <w:rPr>
          <w:spacing w:val="-1"/>
        </w:rPr>
        <w:t>计政策、会计期间与本公司不一致的，在编制合并财务报表时，按本公司的会计政策、会计期间进行必要</w:t>
      </w:r>
      <w:r>
        <w:rPr>
          <w:spacing w:val="-82"/>
        </w:rPr>
        <w:t> </w:t>
      </w:r>
      <w:r>
        <w:rPr>
          <w:spacing w:val="-82"/>
        </w:rPr>
      </w:r>
      <w:r>
        <w:rPr>
          <w:spacing w:val="-1"/>
        </w:rPr>
        <w:t>的调整。对于非同一控制下企业合并取得的子公司，以购买日可辨认净资产公允价值为基础对其财务报表</w:t>
      </w:r>
      <w:r>
        <w:rPr>
          <w:spacing w:val="-81"/>
        </w:rPr>
        <w:t> </w:t>
      </w:r>
      <w:r>
        <w:rPr>
          <w:spacing w:val="-81"/>
        </w:rPr>
      </w:r>
      <w:r>
        <w:rPr>
          <w:spacing w:val="-1"/>
        </w:rPr>
        <w:t>进行调整。合并财务报表以本公司及子公司的财务报表为基础，根据其他有关资料，按照权益法调整对子</w:t>
      </w:r>
      <w:r>
        <w:rPr>
          <w:spacing w:val="-83"/>
        </w:rPr>
        <w:t> </w:t>
      </w:r>
      <w:r>
        <w:rPr>
          <w:spacing w:val="-83"/>
        </w:rPr>
      </w:r>
      <w:r>
        <w:rPr/>
        <w:t>公司的长期股权投资后，由本公司编制。 </w:t>
      </w:r>
      <w:r>
        <w:rPr>
          <w:spacing w:val="-1"/>
        </w:rPr>
        <w:t>合并财务报表时抵销本公司与各子公司、各子公司相互之间发生的内部交易对合并资产负债表、合并利润</w:t>
      </w:r>
      <w:r>
        <w:rPr>
          <w:spacing w:val="-81"/>
        </w:rPr>
        <w:t> </w:t>
      </w:r>
      <w:r>
        <w:rPr>
          <w:spacing w:val="-81"/>
        </w:rPr>
      </w:r>
      <w:r>
        <w:rPr/>
        <w:t>表、合并现金流量表、合并所有者权益变动表的影响。 </w:t>
      </w:r>
      <w:r>
        <w:rPr>
          <w:spacing w:val="3"/>
        </w:rPr>
        <w:t>子公司少数股东应占的权益和损益分别在合并资产负债表中所有者权益项目下和合并利润表中净利润项</w:t>
      </w:r>
      <w:r>
        <w:rPr>
          <w:spacing w:val="-78"/>
        </w:rPr>
        <w:t> </w:t>
      </w:r>
      <w:r>
        <w:rPr>
          <w:spacing w:val="-78"/>
        </w:rPr>
      </w:r>
      <w:r>
        <w:rPr>
          <w:spacing w:val="-1"/>
        </w:rPr>
        <w:t>目下单独列示。子公司少数股东分担的当期亏损超过了少数股东在该子公司期初所有者权益中所享有份额</w:t>
      </w:r>
      <w:r>
        <w:rPr>
          <w:spacing w:val="-81"/>
        </w:rPr>
        <w:t> </w:t>
      </w:r>
      <w:r>
        <w:rPr>
          <w:spacing w:val="-81"/>
        </w:rPr>
      </w:r>
      <w:r>
        <w:rPr/>
        <w:t>而形成的余额，冲减少数股东权益。 </w:t>
      </w:r>
      <w:r>
        <w:rPr>
          <w:spacing w:val="-1"/>
        </w:rPr>
        <w:t>在报告期内，若因同一控制下企业合并增加子公司的，则调整合并资产负债表的期初数；将子公司合并当</w:t>
      </w:r>
      <w:r>
        <w:rPr>
          <w:spacing w:val="-83"/>
        </w:rPr>
        <w:t> </w:t>
      </w:r>
      <w:r>
        <w:rPr>
          <w:spacing w:val="-83"/>
        </w:rPr>
      </w:r>
      <w:r>
        <w:rPr>
          <w:spacing w:val="-1"/>
        </w:rPr>
        <w:t>期期初至报告期末的收入、费用、利润纳入合并利润表；将子公司合并当期期初至报告期末的现金流量纳</w:t>
      </w:r>
      <w:r>
        <w:rPr>
          <w:spacing w:val="-83"/>
        </w:rPr>
        <w:t> </w:t>
      </w:r>
      <w:r>
        <w:rPr>
          <w:spacing w:val="-83"/>
        </w:rPr>
      </w:r>
      <w:r>
        <w:rPr/>
        <w:t>入合并现金流量表，同时对比较报表的相关项目进行调整，视同合并后的报告主体在以前期间一直存在。 </w:t>
      </w:r>
      <w:r>
        <w:rPr>
          <w:spacing w:val="-1"/>
        </w:rPr>
        <w:t>在报告期内，若因非同一控制下企业合并增加子公司的，则不调整合并资产负债表期初数；将子公司自购</w:t>
      </w:r>
      <w:r>
        <w:rPr>
          <w:spacing w:val="-83"/>
        </w:rPr>
        <w:t> </w:t>
      </w:r>
      <w:r>
        <w:rPr>
          <w:spacing w:val="-83"/>
        </w:rPr>
      </w:r>
      <w:r>
        <w:rPr>
          <w:spacing w:val="-1"/>
        </w:rPr>
        <w:t>买日至报告期末的收入、费用、利润纳入合并利润表；该子公司自购买日至报告期末的现金流量纳入合并</w:t>
      </w:r>
      <w:r>
        <w:rPr>
          <w:spacing w:val="-83"/>
        </w:rPr>
        <w:t> </w:t>
      </w:r>
      <w:r>
        <w:rPr>
          <w:spacing w:val="-83"/>
        </w:rPr>
      </w:r>
      <w:r>
        <w:rPr/>
        <w:t>现金流量表。通过多次交易分步实现非同一控制下企业合并时，对于购买日之前持有的被购买方的股权， 本公司按照该股权在购买日的公允价值进行重新计量，公允价值与其账面价值的差额计入当期投资收益。 </w:t>
      </w:r>
      <w:r>
        <w:rPr>
          <w:spacing w:val="-1"/>
        </w:rPr>
        <w:t>购买日之前持有的被购买方的股权涉及其他综合收益的，与其相关的其他综合收益转为购买日所属当期投</w:t>
      </w:r>
      <w:r>
        <w:rPr>
          <w:spacing w:val="-81"/>
        </w:rPr>
        <w:t> </w:t>
      </w:r>
      <w:r>
        <w:rPr>
          <w:spacing w:val="-81"/>
        </w:rPr>
      </w:r>
      <w:r>
        <w:rPr/>
        <w:t>资收益。</w:t>
      </w:r>
    </w:p>
    <w:p>
      <w:pPr>
        <w:spacing w:line="240" w:lineRule="auto" w:before="4"/>
        <w:rPr>
          <w:rFonts w:ascii="宋体" w:hAnsi="宋体" w:cs="宋体" w:eastAsia="宋体" w:hint="default"/>
          <w:sz w:val="24"/>
          <w:szCs w:val="24"/>
        </w:rPr>
      </w:pPr>
    </w:p>
    <w:p>
      <w:pPr>
        <w:pStyle w:val="Heading5"/>
        <w:spacing w:line="240" w:lineRule="auto"/>
        <w:ind w:right="101"/>
        <w:jc w:val="left"/>
        <w:rPr>
          <w:b w:val="0"/>
          <w:bCs w:val="0"/>
        </w:rPr>
      </w:pPr>
      <w:r>
        <w:rPr/>
        <w:t>（</w:t>
      </w:r>
      <w:r>
        <w:rPr>
          <w:rFonts w:ascii="Times New Roman" w:hAnsi="Times New Roman" w:cs="Times New Roman" w:eastAsia="Times New Roman" w:hint="default"/>
        </w:rPr>
        <w:t>2</w:t>
      </w:r>
      <w:r>
        <w:rPr/>
        <w:t>）对同一子公司的股权在连续两个会计年度买入再卖出，或卖出再买入的应披露相关的会计处理方法</w:t>
      </w:r>
      <w:r>
        <w:rPr>
          <w:b w:val="0"/>
          <w:bCs w:val="0"/>
        </w:rPr>
      </w:r>
    </w:p>
    <w:p>
      <w:pPr>
        <w:spacing w:line="240" w:lineRule="auto" w:before="12"/>
        <w:rPr>
          <w:rFonts w:ascii="宋体" w:hAnsi="宋体" w:cs="宋体" w:eastAsia="宋体" w:hint="default"/>
          <w:b/>
          <w:bCs/>
          <w:sz w:val="24"/>
          <w:szCs w:val="24"/>
        </w:rPr>
      </w:pPr>
    </w:p>
    <w:p>
      <w:pPr>
        <w:pStyle w:val="Heading4"/>
        <w:spacing w:line="273" w:lineRule="auto"/>
        <w:ind w:left="153" w:right="102"/>
        <w:jc w:val="left"/>
      </w:pPr>
      <w:r>
        <w:rPr/>
        <w:t>在报告期内，本公司处置子公司，则该子公司期初至处置日的收入、费用、利润纳入合并利润表；该子公 司期初至处置日的现金流量纳入合并现金流量表。因处置部分股权投资或其他原因丧失了对原有子公司控 制权时，对于处置后的剩余股权投资，本公司按照其在丧失控制权日的公允价值进行重新计量。处置股权 取得的对价与剩余股权公允价值之和，减去按原持股比例计算应享有原有子公司自购买日开始持续计算的 </w:t>
      </w:r>
      <w:r>
        <w:rPr>
          <w:spacing w:val="-3"/>
        </w:rPr>
        <w:t>净资产的份额之间的差额，计入丧失控制权当期的投资收益。与原有子公司股权投资相关的其他综合收益，</w:t>
      </w:r>
      <w:r>
        <w:rPr>
          <w:spacing w:val="-92"/>
        </w:rPr>
        <w:t> </w:t>
      </w:r>
      <w:r>
        <w:rPr>
          <w:spacing w:val="-92"/>
        </w:rPr>
      </w:r>
      <w:r>
        <w:rPr/>
        <w:t>在丧失控制权时转为当期投资收益。 </w:t>
      </w:r>
      <w:r>
        <w:rPr>
          <w:spacing w:val="3"/>
        </w:rPr>
        <w:t>本公司因购买少数股权新取得的长期股权投资与按照新增持股比例计算应享有子公司的可辨认净资产份</w:t>
      </w:r>
      <w:r>
        <w:rPr>
          <w:spacing w:val="-78"/>
        </w:rPr>
        <w:t> </w:t>
      </w:r>
      <w:r>
        <w:rPr>
          <w:spacing w:val="-78"/>
        </w:rPr>
      </w:r>
      <w:r>
        <w:rPr/>
        <w:t>额之间的差额，以及在不丧失控制权的情况下因部分处置对子公司的股权投资而取得的处置价款与处置长</w:t>
      </w:r>
      <w:r>
        <w:rPr/>
        <w:t> 期股权投资相对应享有子公司净资产份额的差额，均调整合并资产负债表中的资本公积中的股本溢价，资 本公积中的股本溢价不足冲减的，调整留存收益。</w:t>
      </w:r>
    </w:p>
    <w:p>
      <w:pPr>
        <w:spacing w:line="240" w:lineRule="auto" w:before="4"/>
        <w:rPr>
          <w:rFonts w:ascii="宋体" w:hAnsi="宋体" w:cs="宋体" w:eastAsia="宋体" w:hint="default"/>
          <w:sz w:val="24"/>
          <w:szCs w:val="24"/>
        </w:rPr>
      </w:pPr>
    </w:p>
    <w:p>
      <w:pPr>
        <w:pStyle w:val="Heading5"/>
        <w:spacing w:line="240" w:lineRule="auto"/>
        <w:ind w:right="101"/>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01"/>
        <w:jc w:val="left"/>
      </w:pPr>
      <w:r>
        <w:rPr>
          <w:spacing w:val="-5"/>
        </w:rPr>
        <w:t>在编制现金流量表时，将本公司库存现金以及可以随时用于支付的存款确认为现金。将同时具备期限短（从</w:t>
      </w:r>
    </w:p>
    <w:p>
      <w:pPr>
        <w:spacing w:after="0" w:line="240" w:lineRule="auto"/>
        <w:jc w:val="left"/>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Heading4"/>
        <w:spacing w:line="273" w:lineRule="auto" w:before="35"/>
        <w:ind w:right="101"/>
        <w:jc w:val="left"/>
      </w:pPr>
      <w:r>
        <w:rPr>
          <w:spacing w:val="-1"/>
        </w:rPr>
        <w:t>购买日起三个月内到期）、流动性强、易于转换为已知现金、价值变动风险很小四个条件的投资，确定为</w:t>
      </w:r>
      <w:r>
        <w:rPr>
          <w:spacing w:val="-83"/>
        </w:rPr>
        <w:t> </w:t>
      </w:r>
      <w:r>
        <w:rPr>
          <w:spacing w:val="-83"/>
        </w:rPr>
      </w:r>
      <w:r>
        <w:rPr/>
        <w:t>现金等价物。</w:t>
      </w:r>
    </w:p>
    <w:p>
      <w:pPr>
        <w:spacing w:line="240" w:lineRule="auto" w:before="4"/>
        <w:rPr>
          <w:rFonts w:ascii="宋体" w:hAnsi="宋体" w:cs="宋体" w:eastAsia="宋体" w:hint="default"/>
          <w:sz w:val="24"/>
          <w:szCs w:val="24"/>
        </w:rPr>
      </w:pPr>
    </w:p>
    <w:p>
      <w:pPr>
        <w:pStyle w:val="Heading5"/>
        <w:spacing w:line="240" w:lineRule="auto"/>
        <w:ind w:right="101"/>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left="153" w:right="101"/>
        <w:jc w:val="left"/>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12"/>
        <w:rPr>
          <w:rFonts w:ascii="宋体" w:hAnsi="宋体" w:cs="宋体" w:eastAsia="宋体" w:hint="default"/>
          <w:b/>
          <w:bCs/>
          <w:sz w:val="24"/>
          <w:szCs w:val="24"/>
        </w:rPr>
      </w:pPr>
    </w:p>
    <w:p>
      <w:pPr>
        <w:pStyle w:val="Heading4"/>
        <w:spacing w:line="273" w:lineRule="auto"/>
        <w:ind w:left="153" w:right="101"/>
        <w:jc w:val="left"/>
      </w:pPr>
      <w:r>
        <w:rPr/>
        <w:t>外币业务采用交易发生日的即期汇率作为折算汇率将外币金额折合成人民币记账。 </w:t>
      </w:r>
      <w:r>
        <w:rPr>
          <w:spacing w:val="-1"/>
        </w:rPr>
        <w:t>外币货币性项目余额按资产负债表日即期汇率折算，由此产生的汇兑差额，除属于与购建符合资本化条件</w:t>
      </w:r>
      <w:r>
        <w:rPr>
          <w:spacing w:val="-81"/>
        </w:rPr>
        <w:t> </w:t>
      </w:r>
      <w:r>
        <w:rPr>
          <w:spacing w:val="-81"/>
        </w:rPr>
      </w:r>
      <w:r>
        <w:rPr>
          <w:spacing w:val="-1"/>
        </w:rPr>
        <w:t>的资产相关的外币专门借款产生的汇兑差额按照借款费用资本化的原则处理外，均计入当期损益。以历史</w:t>
      </w:r>
      <w:r>
        <w:rPr>
          <w:spacing w:val="-81"/>
        </w:rPr>
        <w:t> </w:t>
      </w:r>
      <w:r>
        <w:rPr>
          <w:spacing w:val="-81"/>
        </w:rPr>
      </w:r>
      <w:r>
        <w:rPr>
          <w:spacing w:val="-1"/>
        </w:rPr>
        <w:t>成本计量的外币非货币性项目，仍采用交易发生日的即期汇率折算，不改变其记账本位币金额。以公允价</w:t>
      </w:r>
      <w:r>
        <w:rPr>
          <w:spacing w:val="-83"/>
        </w:rPr>
        <w:t> </w:t>
      </w:r>
      <w:r>
        <w:rPr>
          <w:spacing w:val="-83"/>
        </w:rPr>
      </w:r>
      <w:r>
        <w:rPr>
          <w:spacing w:val="-1"/>
        </w:rPr>
        <w:t>值计量的外币非货币性项目，采用公允价值确定日的即期汇率折算，由此产生的汇兑差额计入当期损益或</w:t>
      </w:r>
      <w:r>
        <w:rPr>
          <w:spacing w:val="-81"/>
        </w:rPr>
        <w:t> </w:t>
      </w:r>
      <w:r>
        <w:rPr>
          <w:spacing w:val="-81"/>
        </w:rPr>
      </w:r>
      <w:r>
        <w:rPr/>
        <w:t>资本公积。</w:t>
      </w:r>
    </w:p>
    <w:p>
      <w:pPr>
        <w:spacing w:line="240" w:lineRule="auto" w:before="4"/>
        <w:rPr>
          <w:rFonts w:ascii="宋体" w:hAnsi="宋体" w:cs="宋体" w:eastAsia="宋体" w:hint="default"/>
          <w:sz w:val="24"/>
          <w:szCs w:val="24"/>
        </w:rPr>
      </w:pPr>
    </w:p>
    <w:p>
      <w:pPr>
        <w:pStyle w:val="Heading5"/>
        <w:spacing w:line="240" w:lineRule="auto"/>
        <w:ind w:right="101"/>
        <w:jc w:val="left"/>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12"/>
        <w:rPr>
          <w:rFonts w:ascii="宋体" w:hAnsi="宋体" w:cs="宋体" w:eastAsia="宋体" w:hint="default"/>
          <w:b/>
          <w:bCs/>
          <w:sz w:val="24"/>
          <w:szCs w:val="24"/>
        </w:rPr>
      </w:pPr>
    </w:p>
    <w:p>
      <w:pPr>
        <w:pStyle w:val="Heading4"/>
        <w:spacing w:line="268" w:lineRule="auto"/>
        <w:ind w:left="153" w:right="102"/>
        <w:jc w:val="left"/>
      </w:pPr>
      <w:r>
        <w:rPr/>
        <w:t>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 目外，其他项目采用发生时的即期汇率折算。利润表中的收入和费用项目，采用交易发生日的即期汇率折 算。按照上述折算产生的外币财务报表折算差额，在资产负债表所有者权益项目下单独列示。 </w:t>
      </w:r>
      <w:r>
        <w:rPr>
          <w:spacing w:val="-3"/>
        </w:rPr>
        <w:t>处置境外经营时，将资产负债表中所有者权益项目下列示的、与该境外经营相关的外币财务报表折算差额，</w:t>
      </w:r>
      <w:r>
        <w:rPr>
          <w:spacing w:val="-92"/>
        </w:rPr>
        <w:t> </w:t>
      </w:r>
      <w:r>
        <w:rPr>
          <w:spacing w:val="-92"/>
        </w:rPr>
      </w:r>
      <w:r>
        <w:rPr/>
        <w:t>自所有者权益项目转入处置当期损益；部分处置境外经营的，按处置的比例计算处置部分的外币财务报表</w:t>
      </w:r>
      <w:r>
        <w:rPr/>
        <w:t> 折算差额，转入处置当期损益。</w:t>
      </w:r>
    </w:p>
    <w:p>
      <w:pPr>
        <w:spacing w:line="240" w:lineRule="auto" w:before="8"/>
        <w:rPr>
          <w:rFonts w:ascii="宋体" w:hAnsi="宋体" w:cs="宋体" w:eastAsia="宋体" w:hint="default"/>
          <w:sz w:val="24"/>
          <w:szCs w:val="24"/>
        </w:rPr>
      </w:pPr>
    </w:p>
    <w:p>
      <w:pPr>
        <w:pStyle w:val="Heading5"/>
        <w:spacing w:line="240" w:lineRule="auto"/>
        <w:ind w:right="101"/>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12"/>
        <w:rPr>
          <w:rFonts w:ascii="宋体" w:hAnsi="宋体" w:cs="宋体" w:eastAsia="宋体" w:hint="default"/>
          <w:b/>
          <w:bCs/>
          <w:sz w:val="24"/>
          <w:szCs w:val="24"/>
        </w:rPr>
      </w:pPr>
    </w:p>
    <w:p>
      <w:pPr>
        <w:pStyle w:val="Heading4"/>
        <w:spacing w:line="273" w:lineRule="auto"/>
        <w:ind w:right="211"/>
        <w:jc w:val="both"/>
      </w:pPr>
      <w:r>
        <w:rPr>
          <w:spacing w:val="-1"/>
        </w:rPr>
        <w:t>管理层按照取得持有金融资产和承担金融负债的目的，将其划分为：以公允价值计量且其变动计入当期损</w:t>
      </w:r>
      <w:r>
        <w:rPr>
          <w:spacing w:val="-81"/>
        </w:rPr>
        <w:t> </w:t>
      </w:r>
      <w:r>
        <w:rPr>
          <w:spacing w:val="-81"/>
        </w:rPr>
      </w:r>
      <w:r>
        <w:rPr>
          <w:spacing w:val="-1"/>
        </w:rPr>
        <w:t>益的金融资产或金融负债，包括交易性金融资产或金融负债；持有至到期投资；应收款项；可供出售金融</w:t>
      </w:r>
      <w:r>
        <w:rPr>
          <w:spacing w:val="-82"/>
        </w:rPr>
        <w:t> </w:t>
      </w:r>
      <w:r>
        <w:rPr>
          <w:spacing w:val="-82"/>
        </w:rPr>
      </w:r>
      <w:r>
        <w:rPr/>
        <w:t>资产；其他金融负债等。</w:t>
      </w:r>
    </w:p>
    <w:p>
      <w:pPr>
        <w:spacing w:line="240" w:lineRule="auto" w:before="4"/>
        <w:rPr>
          <w:rFonts w:ascii="宋体" w:hAnsi="宋体" w:cs="宋体" w:eastAsia="宋体" w:hint="default"/>
          <w:sz w:val="24"/>
          <w:szCs w:val="24"/>
        </w:rPr>
      </w:pPr>
    </w:p>
    <w:p>
      <w:pPr>
        <w:pStyle w:val="Heading5"/>
        <w:spacing w:line="240" w:lineRule="auto"/>
        <w:ind w:right="101"/>
        <w:jc w:val="left"/>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12"/>
        <w:rPr>
          <w:rFonts w:ascii="宋体" w:hAnsi="宋体" w:cs="宋体" w:eastAsia="宋体" w:hint="default"/>
          <w:b/>
          <w:bCs/>
          <w:sz w:val="24"/>
          <w:szCs w:val="24"/>
        </w:rPr>
      </w:pPr>
    </w:p>
    <w:p>
      <w:pPr>
        <w:pStyle w:val="Heading4"/>
        <w:spacing w:line="273" w:lineRule="auto"/>
        <w:ind w:right="211"/>
        <w:jc w:val="both"/>
      </w:pPr>
      <w:r>
        <w:rPr>
          <w:spacing w:val="-1"/>
        </w:rPr>
        <w:t>管理层按照取得持有金融资产和承担金融负债的目的，将其划分为：以公允价值计量且其变动计入当期损</w:t>
      </w:r>
      <w:r>
        <w:rPr>
          <w:spacing w:val="-81"/>
        </w:rPr>
        <w:t> </w:t>
      </w:r>
      <w:r>
        <w:rPr>
          <w:spacing w:val="-81"/>
        </w:rPr>
      </w:r>
      <w:r>
        <w:rPr>
          <w:spacing w:val="-1"/>
        </w:rPr>
        <w:t>益的金融资产或金融负债，包括交易性金融资产或金融负债；持有至到期投资；应收款项；可供出售金融</w:t>
      </w:r>
      <w:r>
        <w:rPr>
          <w:spacing w:val="-82"/>
        </w:rPr>
        <w:t> </w:t>
      </w:r>
      <w:r>
        <w:rPr>
          <w:spacing w:val="-82"/>
        </w:rPr>
      </w:r>
      <w:r>
        <w:rPr/>
        <w:t>资产；其他金融负债等。</w:t>
      </w:r>
    </w:p>
    <w:p>
      <w:pPr>
        <w:spacing w:line="240" w:lineRule="auto" w:before="4"/>
        <w:rPr>
          <w:rFonts w:ascii="宋体" w:hAnsi="宋体" w:cs="宋体" w:eastAsia="宋体" w:hint="default"/>
          <w:sz w:val="24"/>
          <w:szCs w:val="24"/>
        </w:rPr>
      </w:pPr>
    </w:p>
    <w:p>
      <w:pPr>
        <w:pStyle w:val="Heading5"/>
        <w:spacing w:line="240" w:lineRule="auto"/>
        <w:ind w:right="101"/>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12"/>
        <w:rPr>
          <w:rFonts w:ascii="宋体" w:hAnsi="宋体" w:cs="宋体" w:eastAsia="宋体" w:hint="default"/>
          <w:b/>
          <w:bCs/>
          <w:sz w:val="24"/>
          <w:szCs w:val="24"/>
        </w:rPr>
      </w:pPr>
    </w:p>
    <w:p>
      <w:pPr>
        <w:pStyle w:val="Heading4"/>
        <w:spacing w:line="268" w:lineRule="auto"/>
        <w:ind w:right="101" w:hanging="1"/>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1"/>
        </w:rPr>
        <w:t>取得时以公允价值（扣除已宣告但尚未发放的现金股利或已到付息期但尚未领取的债券利息）作为初始确</w:t>
      </w:r>
      <w:r>
        <w:rPr>
          <w:spacing w:val="-82"/>
        </w:rPr>
        <w:t> </w:t>
      </w:r>
      <w:r>
        <w:rPr>
          <w:spacing w:val="-82"/>
        </w:rPr>
      </w:r>
      <w:r>
        <w:rPr/>
        <w:t>认金额，相关的交易费用计入当期损益。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spacing w:line="240" w:lineRule="auto" w:before="10"/>
        <w:rPr>
          <w:rFonts w:ascii="宋体" w:hAnsi="宋体" w:cs="宋体" w:eastAsia="宋体" w:hint="default"/>
          <w:sz w:val="24"/>
          <w:szCs w:val="24"/>
        </w:rPr>
      </w:pPr>
    </w:p>
    <w:p>
      <w:pPr>
        <w:pStyle w:val="Heading4"/>
        <w:spacing w:line="256" w:lineRule="auto"/>
        <w:ind w:right="380" w:hanging="1"/>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w:t>
      </w:r>
    </w:p>
    <w:p>
      <w:pPr>
        <w:spacing w:after="0" w:line="256" w:lineRule="auto"/>
        <w:jc w:val="left"/>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Heading4"/>
        <w:spacing w:line="273" w:lineRule="auto" w:before="35"/>
        <w:ind w:left="153" w:right="101"/>
        <w:jc w:val="left"/>
      </w:pPr>
      <w:r>
        <w:rPr>
          <w:spacing w:val="-1"/>
        </w:rPr>
        <w:t>持有期间按照摊余成本和实际利率计算确认利息收入，计入投资收益。实际利率在取得时确定，在该预期</w:t>
      </w:r>
      <w:r>
        <w:rPr>
          <w:spacing w:val="-83"/>
        </w:rPr>
        <w:t> </w:t>
      </w:r>
      <w:r>
        <w:rPr>
          <w:spacing w:val="-83"/>
        </w:rPr>
      </w:r>
      <w:r>
        <w:rPr/>
        <w:t>存续期间或适用的更短期间内保持不变。 处置时，将所取得价款与该投资账面价值之间的差额计入投资收益。</w:t>
      </w:r>
    </w:p>
    <w:p>
      <w:pPr>
        <w:spacing w:line="240" w:lineRule="auto" w:before="6"/>
        <w:rPr>
          <w:rFonts w:ascii="宋体" w:hAnsi="宋体" w:cs="宋体" w:eastAsia="宋体" w:hint="default"/>
          <w:sz w:val="24"/>
          <w:szCs w:val="24"/>
        </w:rPr>
      </w:pPr>
    </w:p>
    <w:p>
      <w:pPr>
        <w:pStyle w:val="Heading4"/>
        <w:spacing w:line="268" w:lineRule="auto"/>
        <w:ind w:right="101" w:hanging="1"/>
        <w:jc w:val="left"/>
      </w:pPr>
      <w:r>
        <w:rPr/>
        <w:t>（</w:t>
      </w:r>
      <w:r>
        <w:rPr>
          <w:rFonts w:ascii="Times New Roman" w:hAnsi="Times New Roman" w:cs="Times New Roman" w:eastAsia="Times New Roman" w:hint="default"/>
        </w:rPr>
        <w:t>3</w:t>
      </w:r>
      <w:r>
        <w:rPr/>
        <w:t>）应收款项 </w:t>
      </w:r>
      <w:r>
        <w:rPr>
          <w:spacing w:val="-1"/>
        </w:rPr>
        <w:t>公司对外销售商品或提供劳务形成的应收债权，以及公司持有的其他企业的不包括在活跃市场上有报价的</w:t>
      </w:r>
      <w:r>
        <w:rPr>
          <w:spacing w:val="-82"/>
        </w:rPr>
        <w:t> </w:t>
      </w:r>
      <w:r>
        <w:rPr>
          <w:spacing w:val="-82"/>
        </w:rPr>
      </w:r>
      <w:r>
        <w:rPr>
          <w:spacing w:val="-1"/>
        </w:rPr>
        <w:t>债务工具的债权，包括应收账款、其他应收款、应收票据、预付账款等，以向购货方应收的合同或协议价</w:t>
      </w:r>
      <w:r>
        <w:rPr>
          <w:spacing w:val="-84"/>
        </w:rPr>
        <w:t> </w:t>
      </w:r>
      <w:r>
        <w:rPr>
          <w:spacing w:val="-84"/>
        </w:rPr>
      </w:r>
      <w:r>
        <w:rPr/>
        <w:t>款作为初始确认金额；具有融资性质的，按其现值进行初始确认。 收回或处置时，将取得的价款与该应收款项账面价值之间的差额计入当期损益。</w:t>
      </w:r>
    </w:p>
    <w:p>
      <w:pPr>
        <w:spacing w:line="240" w:lineRule="auto" w:before="10"/>
        <w:rPr>
          <w:rFonts w:ascii="宋体" w:hAnsi="宋体" w:cs="宋体" w:eastAsia="宋体" w:hint="default"/>
          <w:sz w:val="24"/>
          <w:szCs w:val="24"/>
        </w:rPr>
      </w:pPr>
    </w:p>
    <w:p>
      <w:pPr>
        <w:pStyle w:val="Heading4"/>
        <w:spacing w:line="266" w:lineRule="auto"/>
        <w:ind w:right="101" w:hanging="1"/>
        <w:jc w:val="left"/>
      </w:pPr>
      <w:r>
        <w:rPr/>
        <w:t>（</w:t>
      </w:r>
      <w:r>
        <w:rPr>
          <w:rFonts w:ascii="Times New Roman" w:hAnsi="Times New Roman" w:cs="Times New Roman" w:eastAsia="Times New Roman" w:hint="default"/>
        </w:rPr>
        <w:t>4</w:t>
      </w:r>
      <w:r>
        <w:rPr/>
        <w:t>）可供出售金融资产 </w:t>
      </w:r>
      <w:r>
        <w:rPr>
          <w:spacing w:val="-1"/>
        </w:rPr>
        <w:t>取得时按公允价值（扣除已宣告但尚未发放的现金股利或已到付息期但尚未领取的债券利息）和相关交易</w:t>
      </w:r>
      <w:r>
        <w:rPr>
          <w:spacing w:val="-82"/>
        </w:rPr>
        <w:t> </w:t>
      </w:r>
      <w:r>
        <w:rPr>
          <w:spacing w:val="-82"/>
        </w:rPr>
      </w:r>
      <w:r>
        <w:rPr/>
        <w:t>费用之和作为初始确认金额。 </w:t>
      </w:r>
      <w:r>
        <w:rPr>
          <w:spacing w:val="-1"/>
        </w:rPr>
        <w:t>持有期间将取得的利息或现金股利确认为投资收益。期末以公允价值计量且将公允价值变动计入资本公积</w:t>
      </w:r>
    </w:p>
    <w:p>
      <w:pPr>
        <w:pStyle w:val="Heading4"/>
        <w:spacing w:line="273" w:lineRule="auto" w:before="14"/>
        <w:ind w:right="101"/>
        <w:jc w:val="left"/>
      </w:pPr>
      <w:r>
        <w:rPr/>
        <w:t>（其他资本公积）。 </w:t>
      </w:r>
      <w:r>
        <w:rPr>
          <w:spacing w:val="-1"/>
        </w:rPr>
        <w:t>处置时，将取得的价款与该金融资产账面价值之间的差额，计入投资损益；同时，将原直接计入所有者权</w:t>
      </w:r>
      <w:r>
        <w:rPr>
          <w:spacing w:val="-82"/>
        </w:rPr>
        <w:t> </w:t>
      </w:r>
      <w:r>
        <w:rPr>
          <w:spacing w:val="-82"/>
        </w:rPr>
      </w:r>
      <w:r>
        <w:rPr/>
        <w:t>益的公允价值变动累计额对应处置部分的金额转出，计入投资损益。</w:t>
      </w:r>
    </w:p>
    <w:p>
      <w:pPr>
        <w:spacing w:line="240" w:lineRule="auto" w:before="6"/>
        <w:rPr>
          <w:rFonts w:ascii="宋体" w:hAnsi="宋体" w:cs="宋体" w:eastAsia="宋体" w:hint="default"/>
          <w:sz w:val="24"/>
          <w:szCs w:val="24"/>
        </w:rPr>
      </w:pPr>
    </w:p>
    <w:p>
      <w:pPr>
        <w:pStyle w:val="Heading4"/>
        <w:spacing w:line="256" w:lineRule="auto"/>
        <w:ind w:right="2060" w:hanging="1"/>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w:t>
      </w:r>
    </w:p>
    <w:p>
      <w:pPr>
        <w:spacing w:line="240" w:lineRule="auto" w:before="6"/>
        <w:rPr>
          <w:rFonts w:ascii="宋体" w:hAnsi="宋体" w:cs="宋体" w:eastAsia="宋体" w:hint="default"/>
          <w:sz w:val="25"/>
          <w:szCs w:val="25"/>
        </w:rPr>
      </w:pPr>
    </w:p>
    <w:p>
      <w:pPr>
        <w:pStyle w:val="Heading5"/>
        <w:spacing w:line="240" w:lineRule="auto"/>
        <w:ind w:right="101"/>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12"/>
        <w:rPr>
          <w:rFonts w:ascii="宋体" w:hAnsi="宋体" w:cs="宋体" w:eastAsia="宋体" w:hint="default"/>
          <w:b/>
          <w:bCs/>
          <w:sz w:val="24"/>
          <w:szCs w:val="24"/>
        </w:rPr>
      </w:pPr>
    </w:p>
    <w:p>
      <w:pPr>
        <w:pStyle w:val="Heading4"/>
        <w:spacing w:line="273" w:lineRule="auto"/>
        <w:ind w:left="153" w:right="101"/>
        <w:jc w:val="left"/>
      </w:pPr>
      <w:r>
        <w:rPr>
          <w:spacing w:val="-1"/>
        </w:rPr>
        <w:t>公司发生金融资产转移时，如已将金融资产所有权上几乎所有的风险和报酬转移给转入方，则终止确认该</w:t>
      </w:r>
      <w:r>
        <w:rPr>
          <w:spacing w:val="-81"/>
        </w:rPr>
        <w:t> </w:t>
      </w:r>
      <w:r>
        <w:rPr>
          <w:spacing w:val="-81"/>
        </w:rPr>
      </w:r>
      <w:r>
        <w:rPr/>
        <w:t>金融资产；如保留了金融资产所有权上几乎所有的风险和报酬的，则不终止确认该金融资产。 </w:t>
      </w:r>
      <w:r>
        <w:rPr>
          <w:spacing w:val="-1"/>
        </w:rPr>
        <w:t>在判断金融资产转移是否满足上述金融资产终止确认条件时，采用实质重于形式的原则。公司将金融资产</w:t>
      </w:r>
      <w:r>
        <w:rPr>
          <w:spacing w:val="-81"/>
        </w:rPr>
        <w:t> </w:t>
      </w:r>
      <w:r>
        <w:rPr>
          <w:spacing w:val="-81"/>
        </w:rPr>
      </w:r>
      <w:r>
        <w:rPr>
          <w:spacing w:val="-1"/>
        </w:rPr>
        <w:t>转移区分为金融资产整体转移和部分转移。金融资产整体转移满足终止确认条件的，将下列两项金额的差</w:t>
      </w:r>
      <w:r>
        <w:rPr>
          <w:spacing w:val="-81"/>
        </w:rPr>
        <w:t> </w:t>
      </w:r>
      <w:r>
        <w:rPr>
          <w:spacing w:val="-81"/>
        </w:rPr>
      </w:r>
      <w:r>
        <w:rPr/>
        <w:t>额计入当期损益：</w:t>
      </w:r>
    </w:p>
    <w:p>
      <w:pPr>
        <w:pStyle w:val="Heading4"/>
        <w:spacing w:line="240" w:lineRule="auto" w:before="7"/>
        <w:ind w:left="153" w:right="101"/>
        <w:jc w:val="left"/>
      </w:pPr>
      <w:r>
        <w:rPr/>
        <w:t>（</w:t>
      </w:r>
      <w:r>
        <w:rPr>
          <w:rFonts w:ascii="Times New Roman" w:hAnsi="Times New Roman" w:cs="Times New Roman" w:eastAsia="Times New Roman" w:hint="default"/>
        </w:rPr>
        <w:t>1</w:t>
      </w:r>
      <w:r>
        <w:rPr/>
        <w:t>）所转移金融资产的账面价值；</w:t>
      </w:r>
    </w:p>
    <w:p>
      <w:pPr>
        <w:pStyle w:val="Heading4"/>
        <w:spacing w:line="266" w:lineRule="auto" w:before="21"/>
        <w:ind w:right="101"/>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w:t>
      </w:r>
      <w:r>
        <w:rPr>
          <w:spacing w:val="-35"/>
        </w:rPr>
        <w:t> </w:t>
      </w:r>
      <w:r>
        <w:rPr>
          <w:spacing w:val="-35"/>
        </w:rPr>
      </w:r>
      <w:r>
        <w:rPr/>
        <w:t>供出售金融资产的情形）之和。 </w:t>
      </w:r>
      <w:r>
        <w:rPr>
          <w:spacing w:val="-1"/>
        </w:rPr>
        <w:t>金融资产部分转移满足终止确认条件的，将所转移金融资产整体的账面价值，在终止确认部分和未终止确</w:t>
      </w:r>
      <w:r>
        <w:rPr>
          <w:spacing w:val="-81"/>
        </w:rPr>
        <w:t> </w:t>
      </w:r>
      <w:r>
        <w:rPr>
          <w:spacing w:val="-81"/>
        </w:rPr>
      </w:r>
      <w:r>
        <w:rPr/>
        <w:t>认部分之间，按照各自的相对公允价值进行分摊，并将下列两项金额的差额计入当期损益：</w:t>
      </w:r>
    </w:p>
    <w:p>
      <w:pPr>
        <w:pStyle w:val="Heading4"/>
        <w:spacing w:line="240" w:lineRule="auto" w:before="14"/>
        <w:ind w:right="101"/>
        <w:jc w:val="left"/>
      </w:pPr>
      <w:r>
        <w:rPr/>
        <w:t>（</w:t>
      </w:r>
      <w:r>
        <w:rPr>
          <w:rFonts w:ascii="Times New Roman" w:hAnsi="Times New Roman" w:cs="Times New Roman" w:eastAsia="Times New Roman" w:hint="default"/>
        </w:rPr>
        <w:t>1</w:t>
      </w:r>
      <w:r>
        <w:rPr/>
        <w:t>）终止确认部分的账面价值；</w:t>
      </w:r>
    </w:p>
    <w:p>
      <w:pPr>
        <w:pStyle w:val="Heading4"/>
        <w:spacing w:line="240" w:lineRule="auto" w:before="21"/>
        <w:ind w:right="101"/>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w:t>
      </w:r>
    </w:p>
    <w:p>
      <w:pPr>
        <w:pStyle w:val="Heading4"/>
        <w:spacing w:line="273" w:lineRule="auto" w:before="21"/>
        <w:ind w:right="800"/>
        <w:jc w:val="left"/>
      </w:pPr>
      <w:r>
        <w:rPr/>
        <w:t>（涉及转移的金融资产为可供出售金融资产的情形）之和。 金融资产转移不满足终止确认条件的，继续确认该金融资产，所收到的对价确认为一项金融负债。</w:t>
      </w:r>
    </w:p>
    <w:p>
      <w:pPr>
        <w:spacing w:line="240" w:lineRule="auto" w:before="4"/>
        <w:rPr>
          <w:rFonts w:ascii="宋体" w:hAnsi="宋体" w:cs="宋体" w:eastAsia="宋体" w:hint="default"/>
          <w:sz w:val="24"/>
          <w:szCs w:val="24"/>
        </w:rPr>
      </w:pPr>
    </w:p>
    <w:p>
      <w:pPr>
        <w:pStyle w:val="Heading5"/>
        <w:spacing w:line="240" w:lineRule="auto"/>
        <w:ind w:right="101"/>
        <w:jc w:val="left"/>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12"/>
        <w:rPr>
          <w:rFonts w:ascii="宋体" w:hAnsi="宋体" w:cs="宋体" w:eastAsia="宋体" w:hint="default"/>
          <w:b/>
          <w:bCs/>
          <w:sz w:val="24"/>
          <w:szCs w:val="24"/>
        </w:rPr>
      </w:pPr>
    </w:p>
    <w:p>
      <w:pPr>
        <w:pStyle w:val="Heading4"/>
        <w:spacing w:line="273" w:lineRule="auto"/>
        <w:ind w:left="153" w:right="102"/>
        <w:jc w:val="left"/>
      </w:pPr>
      <w:r>
        <w:rPr/>
        <w:t>金融负债的现时义务全部或部分已经解除的，则终止确认该金融负债或其一部分；本公司若与债权人签定 </w:t>
      </w:r>
      <w:r>
        <w:rPr>
          <w:spacing w:val="-3"/>
        </w:rPr>
        <w:t>协议，以承担新金融负债方式替换现存金融负债，且新金融负债与现存金融负债的合同条款实质上不同的，</w:t>
      </w:r>
      <w:r>
        <w:rPr>
          <w:spacing w:val="-92"/>
        </w:rPr>
        <w:t> </w:t>
      </w:r>
      <w:r>
        <w:rPr>
          <w:spacing w:val="-92"/>
        </w:rPr>
      </w:r>
      <w:r>
        <w:rPr/>
        <w:t>则终止确认现存金融负债，并同时确认新金融负债。 对现存金融负债全部或部分合同条款作出实质性修改的，则终止确认现存金融负债或其一部分，同时将修</w:t>
      </w:r>
    </w:p>
    <w:p>
      <w:pPr>
        <w:spacing w:after="0" w:line="273" w:lineRule="auto"/>
        <w:jc w:val="left"/>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Heading4"/>
        <w:spacing w:line="273" w:lineRule="auto" w:before="35"/>
        <w:ind w:left="153" w:right="0"/>
        <w:jc w:val="left"/>
      </w:pPr>
      <w:r>
        <w:rPr/>
        <w:t>改条款后的金融负债确认为一项新金融负债。 </w:t>
      </w:r>
      <w:r>
        <w:rPr>
          <w:spacing w:val="-1"/>
        </w:rPr>
        <w:t>金融负债全部或部分终止确认时，终止确认的金融负债账面价值与支付对价（包括转出的非现金资产或承</w:t>
      </w:r>
      <w:r>
        <w:rPr>
          <w:spacing w:val="-81"/>
        </w:rPr>
        <w:t> </w:t>
      </w:r>
      <w:r>
        <w:rPr>
          <w:spacing w:val="-81"/>
        </w:rPr>
      </w:r>
      <w:r>
        <w:rPr/>
        <w:t>担的新金融负债）之间的差额，计入当期损益。 </w:t>
      </w:r>
      <w:r>
        <w:rPr>
          <w:spacing w:val="-1"/>
        </w:rPr>
        <w:t>本公司若回购部分金融负债的，在回购日按照继续确认部分与终止确认部分的相对公允价值，将该金融负</w:t>
      </w:r>
      <w:r>
        <w:rPr>
          <w:spacing w:val="-81"/>
        </w:rPr>
        <w:t> </w:t>
      </w:r>
      <w:r>
        <w:rPr>
          <w:spacing w:val="-81"/>
        </w:rPr>
      </w:r>
      <w:r>
        <w:rPr>
          <w:spacing w:val="-1"/>
        </w:rPr>
        <w:t>债整体的账面价值进行分配。分配给终止确认部分的账面价值与支付的对价（包括转出的非现金资产或承</w:t>
      </w:r>
      <w:r>
        <w:rPr>
          <w:spacing w:val="-81"/>
        </w:rPr>
        <w:t> </w:t>
      </w:r>
      <w:r>
        <w:rPr>
          <w:spacing w:val="-81"/>
        </w:rPr>
      </w:r>
      <w:r>
        <w:rPr/>
        <w:t>担的新金融负债）之间的差额，计入当期损益。</w:t>
      </w:r>
    </w:p>
    <w:p>
      <w:pPr>
        <w:spacing w:line="240" w:lineRule="auto" w:before="4"/>
        <w:rPr>
          <w:rFonts w:ascii="宋体" w:hAnsi="宋体" w:cs="宋体" w:eastAsia="宋体" w:hint="default"/>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5</w:t>
      </w:r>
      <w:r>
        <w:rPr/>
        <w:t>）金融资产和金融负债公允价值的确定方法</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pPr>
      <w:r>
        <w:rPr/>
        <w:t>本公司采用公允价值计量的金融资产和金融负债全部期末活跃市场中的报价。</w:t>
      </w:r>
    </w:p>
    <w:p>
      <w:pPr>
        <w:spacing w:line="240" w:lineRule="auto" w:before="7"/>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12"/>
        <w:rPr>
          <w:rFonts w:ascii="宋体" w:hAnsi="宋体" w:cs="宋体" w:eastAsia="宋体" w:hint="default"/>
          <w:b/>
          <w:bCs/>
          <w:sz w:val="24"/>
          <w:szCs w:val="24"/>
        </w:rPr>
      </w:pPr>
    </w:p>
    <w:p>
      <w:pPr>
        <w:pStyle w:val="Heading4"/>
        <w:spacing w:line="273" w:lineRule="auto"/>
        <w:ind w:right="0"/>
        <w:jc w:val="left"/>
      </w:pPr>
      <w:r>
        <w:rPr>
          <w:spacing w:val="-1"/>
        </w:rPr>
        <w:t>除以公允价值计量且其变动计入当期损益的金融资产外，本公司于资产负债表日对金融资产的账面价值进</w:t>
      </w:r>
      <w:r>
        <w:rPr>
          <w:spacing w:val="-81"/>
        </w:rPr>
        <w:t> </w:t>
      </w:r>
      <w:r>
        <w:rPr>
          <w:spacing w:val="-81"/>
        </w:rPr>
      </w:r>
      <w:r>
        <w:rPr/>
        <w:t>行检查，如果有客观证据表明某项金融资产发生减值的，计提减值准备。</w:t>
      </w:r>
    </w:p>
    <w:p>
      <w:pPr>
        <w:pStyle w:val="Heading4"/>
        <w:spacing w:line="268" w:lineRule="auto" w:before="7"/>
        <w:ind w:right="0" w:hanging="1"/>
        <w:jc w:val="left"/>
      </w:pPr>
      <w:r>
        <w:rPr/>
        <w:t>（</w:t>
      </w:r>
      <w:r>
        <w:rPr>
          <w:rFonts w:ascii="Times New Roman" w:hAnsi="Times New Roman" w:cs="Times New Roman" w:eastAsia="Times New Roman" w:hint="default"/>
        </w:rPr>
        <w:t>1</w:t>
      </w:r>
      <w:r>
        <w:rPr/>
        <w:t>）可供出售金融资产的减值准备： </w:t>
      </w:r>
      <w:r>
        <w:rPr>
          <w:spacing w:val="-1"/>
        </w:rPr>
        <w:t>期末如果可供出售金融资产的公允价值发生严重下降，或在综合考虑各种相关因素后，预期这种下降趋势</w:t>
      </w:r>
      <w:r>
        <w:rPr>
          <w:spacing w:val="-82"/>
        </w:rPr>
        <w:t> </w:t>
      </w:r>
      <w:r>
        <w:rPr>
          <w:spacing w:val="-82"/>
        </w:rPr>
      </w:r>
      <w:r>
        <w:rPr>
          <w:spacing w:val="-1"/>
        </w:rPr>
        <w:t>属于非暂时性的，就认定其已发生减值，将原直接计入所有者权益的公允价值下降形成的累计损失一并转</w:t>
      </w:r>
      <w:r>
        <w:rPr>
          <w:spacing w:val="-82"/>
        </w:rPr>
        <w:t> </w:t>
      </w:r>
      <w:r>
        <w:rPr>
          <w:spacing w:val="-82"/>
        </w:rPr>
      </w:r>
      <w:r>
        <w:rPr/>
        <w:t>出，确认减值损失。 </w:t>
      </w:r>
      <w:r>
        <w:rPr>
          <w:spacing w:val="-1"/>
        </w:rPr>
        <w:t>对于已确认减值损失的可供出售债务工具，在随后的会计期间公允价值已上升且客观上与确认原减值损失</w:t>
      </w:r>
      <w:r>
        <w:rPr>
          <w:spacing w:val="-82"/>
        </w:rPr>
        <w:t> </w:t>
      </w:r>
      <w:r>
        <w:rPr>
          <w:spacing w:val="-82"/>
        </w:rPr>
      </w:r>
      <w:r>
        <w:rPr/>
        <w:t>确认后发生的事项有关的，原确认的减值损失予以转回，计入当期损益。 可供出售权益工具投资发生的减值损失，不得通过损益转回。</w:t>
      </w:r>
    </w:p>
    <w:p>
      <w:pPr>
        <w:pStyle w:val="Heading4"/>
        <w:spacing w:line="256" w:lineRule="auto" w:before="12"/>
        <w:ind w:right="3260" w:hanging="1"/>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6"/>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7</w:t>
      </w:r>
      <w:r>
        <w:rPr/>
        <w:t>）将尚未到期的持有至到期投资重分类为可供出售金融资产的，说明持有意图或能力发生改变的依据</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left="153" w:right="0"/>
        <w:jc w:val="left"/>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5055"/>
        <w:gridCol w:w="4513"/>
      </w:tblGrid>
      <w:tr>
        <w:trPr>
          <w:trHeight w:val="402" w:hRule="exact"/>
        </w:trPr>
        <w:tc>
          <w:tcPr>
            <w:tcW w:w="5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单项金额重大是指应收款项余额前五名；</w:t>
            </w:r>
          </w:p>
        </w:tc>
      </w:tr>
      <w:tr>
        <w:trPr>
          <w:trHeight w:val="715" w:hRule="exact"/>
        </w:trPr>
        <w:tc>
          <w:tcPr>
            <w:tcW w:w="5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pacing w:val="-2"/>
                <w:sz w:val="18"/>
                <w:szCs w:val="18"/>
              </w:rPr>
              <w:t>单独进行减值测试，按预计未来现金流量现值低于其账面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价值的差额计提坏账准备，计入当期损益。</w:t>
            </w:r>
          </w:p>
        </w:tc>
      </w:tr>
    </w:tbl>
    <w:p>
      <w:pPr>
        <w:spacing w:line="240" w:lineRule="auto" w:before="8"/>
        <w:rPr>
          <w:rFonts w:ascii="宋体" w:hAnsi="宋体" w:cs="宋体" w:eastAsia="宋体" w:hint="default"/>
          <w:b/>
          <w:bCs/>
          <w:sz w:val="19"/>
          <w:szCs w:val="19"/>
        </w:rPr>
      </w:pPr>
    </w:p>
    <w:p>
      <w:pPr>
        <w:pStyle w:val="Heading5"/>
        <w:spacing w:line="240" w:lineRule="auto" w:before="38"/>
        <w:ind w:right="0"/>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2599"/>
        <w:gridCol w:w="2186"/>
        <w:gridCol w:w="4782"/>
      </w:tblGrid>
      <w:tr>
        <w:trPr>
          <w:trHeight w:val="714"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17" w:right="97"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714"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除已单独计提减值准备的应收款项外，相同账龄的应收款项 具有类似信用风险特征</w:t>
            </w:r>
          </w:p>
        </w:tc>
      </w:tr>
    </w:tbl>
    <w:p>
      <w:pPr>
        <w:pStyle w:val="BodyText"/>
        <w:spacing w:line="240" w:lineRule="auto" w:before="51"/>
        <w:ind w:right="0"/>
        <w:jc w:val="left"/>
      </w:pPr>
      <w:r>
        <w:rPr/>
        <w:t>组合中，采用账龄分析法计提坏账准备的</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99"/>
        <w:gridCol w:w="2975"/>
        <w:gridCol w:w="3994"/>
      </w:tblGrid>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51"/>
        <w:ind w:right="0"/>
        <w:jc w:val="left"/>
      </w:pPr>
      <w:r>
        <w:rPr/>
        <w:t>组合中，采用余额百分比法计提坏账准备的</w:t>
      </w:r>
    </w:p>
    <w:p>
      <w:pPr>
        <w:pStyle w:val="BodyText"/>
        <w:spacing w:line="338" w:lineRule="auto" w:before="117"/>
        <w:ind w:right="67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354"/>
        <w:gridCol w:w="6214"/>
      </w:tblGrid>
      <w:tr>
        <w:trPr>
          <w:trHeight w:val="714" w:hRule="exact"/>
        </w:trPr>
        <w:tc>
          <w:tcPr>
            <w:tcW w:w="3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应收款项的未来现金流量现值与以账龄为信用风险特征的应收款项组合的未来 现金流量现值存在显著差异。</w:t>
            </w:r>
          </w:p>
        </w:tc>
      </w:tr>
      <w:tr>
        <w:trPr>
          <w:trHeight w:val="714" w:hRule="exact"/>
        </w:trPr>
        <w:tc>
          <w:tcPr>
            <w:tcW w:w="3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单独进行减值测试，按预计未来现金流量现值低于其账面价值的差额计提坏账 准备，计入当期损益。</w:t>
            </w:r>
          </w:p>
        </w:tc>
      </w:tr>
    </w:tbl>
    <w:p>
      <w:pPr>
        <w:spacing w:line="240" w:lineRule="auto" w:before="8"/>
        <w:rPr>
          <w:rFonts w:ascii="宋体" w:hAnsi="宋体" w:cs="宋体" w:eastAsia="宋体" w:hint="default"/>
          <w:b/>
          <w:bCs/>
          <w:sz w:val="19"/>
          <w:szCs w:val="19"/>
        </w:rPr>
      </w:pPr>
    </w:p>
    <w:p>
      <w:pPr>
        <w:pStyle w:val="Heading5"/>
        <w:spacing w:line="240" w:lineRule="auto" w:before="38"/>
        <w:ind w:right="0"/>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存货分类为：原材料、库存商品、工程施工等。</w:t>
      </w:r>
    </w:p>
    <w:p>
      <w:pPr>
        <w:spacing w:line="240" w:lineRule="auto" w:before="0"/>
        <w:rPr>
          <w:rFonts w:ascii="宋体" w:hAnsi="宋体" w:cs="宋体" w:eastAsia="宋体" w:hint="default"/>
          <w:sz w:val="18"/>
          <w:szCs w:val="18"/>
        </w:rPr>
      </w:pPr>
    </w:p>
    <w:p>
      <w:pPr>
        <w:pStyle w:val="Heading5"/>
        <w:spacing w:line="240" w:lineRule="auto" w:before="124"/>
        <w:ind w:right="0"/>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计价方法：个别认定法</w:t>
      </w:r>
    </w:p>
    <w:p>
      <w:pPr>
        <w:spacing w:line="240" w:lineRule="auto" w:before="0"/>
        <w:rPr>
          <w:rFonts w:ascii="宋体" w:hAnsi="宋体" w:cs="宋体" w:eastAsia="宋体" w:hint="default"/>
          <w:sz w:val="18"/>
          <w:szCs w:val="18"/>
        </w:rPr>
      </w:pPr>
    </w:p>
    <w:p>
      <w:pPr>
        <w:pStyle w:val="Heading5"/>
        <w:spacing w:line="240" w:lineRule="auto" w:before="124"/>
        <w:ind w:right="0"/>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12"/>
        <w:rPr>
          <w:rFonts w:ascii="宋体" w:hAnsi="宋体" w:cs="宋体" w:eastAsia="宋体" w:hint="default"/>
          <w:b/>
          <w:bCs/>
          <w:sz w:val="24"/>
          <w:szCs w:val="24"/>
        </w:rPr>
      </w:pPr>
    </w:p>
    <w:p>
      <w:pPr>
        <w:pStyle w:val="Heading4"/>
        <w:spacing w:line="273" w:lineRule="auto"/>
        <w:ind w:left="153" w:right="0"/>
        <w:jc w:val="left"/>
      </w:pPr>
      <w:r>
        <w:rPr/>
        <w:t>期末对存货进行全面清查后，按存货的成本与可变现净值孰低提取或调整存货跌价准备。 </w:t>
      </w:r>
      <w:r>
        <w:rPr>
          <w:spacing w:val="-1"/>
        </w:rPr>
        <w:t>产成品、库存商品和用于出售的材料等直接用于出售的商品存货，在正常生产经营过程中，以该存货的估</w:t>
      </w:r>
      <w:r>
        <w:rPr>
          <w:spacing w:val="-83"/>
        </w:rPr>
        <w:t> </w:t>
      </w:r>
      <w:r>
        <w:rPr>
          <w:spacing w:val="-83"/>
        </w:rPr>
      </w:r>
      <w:r>
        <w:rPr>
          <w:spacing w:val="-1"/>
        </w:rPr>
        <w:t>计售价减去估计的销售费用和相关税费后的金额，确定其可变现净值；需要经过加工的材料存货，在正常</w:t>
      </w:r>
      <w:r>
        <w:rPr>
          <w:spacing w:val="-83"/>
        </w:rPr>
        <w:t> </w:t>
      </w:r>
      <w:r>
        <w:rPr>
          <w:spacing w:val="-83"/>
        </w:rPr>
      </w:r>
      <w:r>
        <w:rPr>
          <w:spacing w:val="-1"/>
        </w:rPr>
        <w:t>生产经营过程中，以所生产的产成品的估计售价减去至完工时估计将要发生的成本、估计的销售费用和相</w:t>
      </w:r>
      <w:r>
        <w:rPr>
          <w:spacing w:val="-81"/>
        </w:rPr>
        <w:t> </w:t>
      </w:r>
      <w:r>
        <w:rPr>
          <w:spacing w:val="-81"/>
        </w:rPr>
      </w:r>
      <w:r>
        <w:rPr>
          <w:spacing w:val="-1"/>
        </w:rPr>
        <w:t>关税费后的金额，确定其可变现净值；为执行销售合同或者劳务合同而持有的存货，其可变现净值以合同</w:t>
      </w:r>
      <w:r>
        <w:rPr>
          <w:spacing w:val="-83"/>
        </w:rPr>
        <w:t> </w:t>
      </w:r>
      <w:r>
        <w:rPr>
          <w:spacing w:val="-83"/>
        </w:rPr>
      </w:r>
      <w:r>
        <w:rPr>
          <w:spacing w:val="-1"/>
        </w:rPr>
        <w:t>价格为基础计算，若持有存货的数量多于销售合同订购数量的，超出部分的存货的可变现净值以一般销售</w:t>
      </w:r>
      <w:r>
        <w:rPr>
          <w:spacing w:val="-81"/>
        </w:rPr>
        <w:t> </w:t>
      </w:r>
      <w:r>
        <w:rPr>
          <w:spacing w:val="-81"/>
        </w:rPr>
      </w:r>
      <w:r>
        <w:rPr/>
        <w:t>价格为基础计算。 </w:t>
      </w:r>
      <w:r>
        <w:rPr>
          <w:spacing w:val="-1"/>
        </w:rPr>
        <w:t>期末按照单个存货项目计提存货跌价准备；但对于数量繁多、单价较低的存货，按照存货类别计提存货跌</w:t>
      </w:r>
      <w:r>
        <w:rPr>
          <w:spacing w:val="-83"/>
        </w:rPr>
        <w:t> </w:t>
      </w:r>
      <w:r>
        <w:rPr>
          <w:spacing w:val="-83"/>
        </w:rPr>
      </w:r>
      <w:r>
        <w:rPr>
          <w:spacing w:val="-1"/>
        </w:rPr>
        <w:t>价准备；与在同一地区生产和销售的产品系列相关、具有相同或类似最终用途或目的，且难以与其他项目</w:t>
      </w:r>
      <w:r>
        <w:rPr>
          <w:spacing w:val="-83"/>
        </w:rPr>
        <w:t> </w:t>
      </w:r>
      <w:r>
        <w:rPr>
          <w:spacing w:val="-83"/>
        </w:rPr>
      </w:r>
      <w:r>
        <w:rPr/>
        <w:t>分开计量的存货，则合并计提存货跌价准备。</w:t>
      </w:r>
    </w:p>
    <w:p>
      <w:pPr>
        <w:spacing w:after="0" w:line="273"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73" w:lineRule="auto" w:before="35"/>
        <w:ind w:left="153" w:right="91"/>
        <w:jc w:val="left"/>
      </w:pPr>
      <w:r>
        <w:rPr>
          <w:spacing w:val="-1"/>
        </w:rPr>
        <w:t>以前减记存货价值的影响因素已经消失的，减记的金额予以恢复，并在原已计提的存货跌价准备金额内转</w:t>
      </w:r>
      <w:r>
        <w:rPr>
          <w:spacing w:val="-81"/>
        </w:rPr>
        <w:t> </w:t>
      </w:r>
      <w:r>
        <w:rPr>
          <w:spacing w:val="-81"/>
        </w:rPr>
      </w:r>
      <w:r>
        <w:rPr/>
        <w:t>回，转回的金额计入当期损益。</w:t>
      </w:r>
    </w:p>
    <w:p>
      <w:pPr>
        <w:spacing w:line="240" w:lineRule="auto" w:before="6"/>
        <w:rPr>
          <w:rFonts w:ascii="宋体" w:hAnsi="宋体" w:cs="宋体" w:eastAsia="宋体" w:hint="default"/>
          <w:sz w:val="24"/>
          <w:szCs w:val="24"/>
        </w:rPr>
      </w:pPr>
    </w:p>
    <w:p>
      <w:pPr>
        <w:pStyle w:val="Heading4"/>
        <w:spacing w:line="273" w:lineRule="auto"/>
        <w:ind w:left="153" w:right="91"/>
        <w:jc w:val="left"/>
      </w:pPr>
      <w:r>
        <w:rPr>
          <w:spacing w:val="-1"/>
        </w:rPr>
        <w:t>除有明确证据表明资产负债表日市场价格异常外，存货项目的可变现净值以资产负债表日市场价格为基础</w:t>
      </w:r>
      <w:r>
        <w:rPr>
          <w:spacing w:val="-81"/>
        </w:rPr>
        <w:t> </w:t>
      </w:r>
      <w:r>
        <w:rPr>
          <w:spacing w:val="-81"/>
        </w:rPr>
      </w:r>
      <w:r>
        <w:rPr/>
        <w:t>确定。</w:t>
      </w:r>
    </w:p>
    <w:p>
      <w:pPr>
        <w:pStyle w:val="Heading4"/>
        <w:spacing w:line="273" w:lineRule="auto" w:before="7"/>
        <w:ind w:left="153" w:right="3301"/>
        <w:jc w:val="left"/>
      </w:pPr>
      <w:r>
        <w:rPr/>
        <w:t>资产负债表日市场价格异常的判断依据为： 本期期末存货项目的可变现净值以资产负债表日市场价格为基础确定。</w:t>
      </w:r>
    </w:p>
    <w:p>
      <w:pPr>
        <w:spacing w:line="240" w:lineRule="auto" w:before="4"/>
        <w:rPr>
          <w:rFonts w:ascii="宋体" w:hAnsi="宋体" w:cs="宋体" w:eastAsia="宋体" w:hint="default"/>
          <w:sz w:val="24"/>
          <w:szCs w:val="24"/>
        </w:rPr>
      </w:pPr>
    </w:p>
    <w:p>
      <w:pPr>
        <w:pStyle w:val="Heading5"/>
        <w:spacing w:line="240" w:lineRule="auto"/>
        <w:ind w:right="91"/>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91"/>
        <w:jc w:val="left"/>
      </w:pPr>
      <w:r>
        <w:rPr/>
        <w:t>盘存制度：永续盘存制</w:t>
      </w:r>
    </w:p>
    <w:p>
      <w:pPr>
        <w:spacing w:line="240" w:lineRule="auto" w:before="0"/>
        <w:rPr>
          <w:rFonts w:ascii="宋体" w:hAnsi="宋体" w:cs="宋体" w:eastAsia="宋体" w:hint="default"/>
          <w:sz w:val="18"/>
          <w:szCs w:val="18"/>
        </w:rPr>
      </w:pPr>
    </w:p>
    <w:p>
      <w:pPr>
        <w:pStyle w:val="Heading5"/>
        <w:spacing w:line="240" w:lineRule="auto" w:before="123"/>
        <w:ind w:right="91"/>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0"/>
        <w:rPr>
          <w:rFonts w:ascii="宋体" w:hAnsi="宋体" w:cs="宋体" w:eastAsia="宋体" w:hint="default"/>
          <w:b/>
          <w:bCs/>
          <w:sz w:val="27"/>
          <w:szCs w:val="27"/>
        </w:rPr>
      </w:pPr>
    </w:p>
    <w:p>
      <w:pPr>
        <w:pStyle w:val="BodyText"/>
        <w:spacing w:line="357" w:lineRule="auto"/>
        <w:ind w:left="153" w:right="8011"/>
        <w:jc w:val="left"/>
      </w:pPr>
      <w:r>
        <w:rPr/>
        <w:t>低值易耗品 摊销方法：一次摊销法 包装物 摊销方法：一次摊销法</w:t>
      </w:r>
    </w:p>
    <w:p>
      <w:pPr>
        <w:spacing w:line="240" w:lineRule="auto" w:before="9"/>
        <w:rPr>
          <w:rFonts w:ascii="宋体" w:hAnsi="宋体" w:cs="宋体" w:eastAsia="宋体" w:hint="default"/>
          <w:sz w:val="20"/>
          <w:szCs w:val="20"/>
        </w:rPr>
      </w:pPr>
    </w:p>
    <w:p>
      <w:pPr>
        <w:pStyle w:val="Heading5"/>
        <w:spacing w:line="240" w:lineRule="auto"/>
        <w:ind w:right="91"/>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left="153" w:right="91"/>
        <w:jc w:val="left"/>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108"/>
        <w:jc w:val="both"/>
      </w:pPr>
      <w:r>
        <w:rPr/>
        <w:t>（</w:t>
      </w:r>
      <w:r>
        <w:rPr>
          <w:rFonts w:ascii="Times New Roman" w:hAnsi="Times New Roman" w:cs="Times New Roman" w:eastAsia="Times New Roman" w:hint="default"/>
        </w:rPr>
        <w:t>1</w:t>
      </w:r>
      <w:r>
        <w:rPr/>
        <w:t>）企业合并形成的长期股权投资同一控制下的企业合并：公司以支付现金、转让非现金资产或承担债务方式以及以发行 </w:t>
      </w:r>
      <w:r>
        <w:rPr>
          <w:spacing w:val="-2"/>
        </w:rPr>
        <w:t>权益性证券作为合并对价的，在合并日按照取得被合并方所有者权益账面价值的份额作为长期股权投资的初始投资成本。长</w:t>
      </w:r>
      <w:r>
        <w:rPr>
          <w:spacing w:val="-64"/>
        </w:rPr>
        <w:t> </w:t>
      </w:r>
      <w:r>
        <w:rPr>
          <w:spacing w:val="-64"/>
        </w:rPr>
      </w:r>
      <w:r>
        <w:rPr>
          <w:spacing w:val="-2"/>
        </w:rPr>
        <w:t>期股权投资初始投资成本与支付合并对价之间的差额，调整资本公积中的股本溢价；资本公积中的股本溢价不足冲减的，调</w:t>
      </w:r>
      <w:r>
        <w:rPr>
          <w:spacing w:val="-66"/>
        </w:rPr>
        <w:t> </w:t>
      </w:r>
      <w:r>
        <w:rPr>
          <w:spacing w:val="-66"/>
        </w:rPr>
      </w:r>
      <w:r>
        <w:rPr>
          <w:spacing w:val="-2"/>
        </w:rPr>
        <w:t>整留存收益。合并发生的各项直接相关费用，包括为进行合并而支付的审计费用、评估费用、法律服务费用等，于发生时计</w:t>
      </w:r>
      <w:r>
        <w:rPr>
          <w:spacing w:val="-66"/>
        </w:rPr>
        <w:t> </w:t>
      </w:r>
      <w:r>
        <w:rPr>
          <w:spacing w:val="-66"/>
        </w:rPr>
      </w:r>
      <w:r>
        <w:rPr>
          <w:spacing w:val="-2"/>
        </w:rPr>
        <w:t>入当期损益。非同一控制下的企业合并：公司按照购买日确定的合并成本作为长期股权投资的初始投资成本。合并成本为购</w:t>
      </w:r>
      <w:r>
        <w:rPr>
          <w:spacing w:val="-66"/>
        </w:rPr>
        <w:t> </w:t>
      </w:r>
      <w:r>
        <w:rPr>
          <w:spacing w:val="-66"/>
        </w:rPr>
      </w:r>
      <w:r>
        <w:rPr>
          <w:spacing w:val="-2"/>
        </w:rPr>
        <w:t>买日购买方为取得对被购买方的控制权而付出的资产、发生或承担的负债以及发行的权益性证券的公允价值。购买方为企业</w:t>
      </w:r>
      <w:r>
        <w:rPr>
          <w:spacing w:val="-64"/>
        </w:rPr>
        <w:t> </w:t>
      </w:r>
      <w:r>
        <w:rPr>
          <w:spacing w:val="-64"/>
        </w:rPr>
      </w:r>
      <w:r>
        <w:rPr>
          <w:spacing w:val="-2"/>
        </w:rPr>
        <w:t>合并而发生的审计、法律服务、评估咨询等中介费用以及其他相关管理费用于发生时计入当期损益；购买方作为合并对价发</w:t>
      </w:r>
      <w:r>
        <w:rPr>
          <w:spacing w:val="-66"/>
        </w:rPr>
        <w:t> </w:t>
      </w:r>
      <w:r>
        <w:rPr>
          <w:spacing w:val="-66"/>
        </w:rPr>
      </w:r>
      <w:r>
        <w:rPr>
          <w:spacing w:val="-2"/>
        </w:rPr>
        <w:t>行的权益性证券或债务性证券的交易费用，计入权益性证券或债务性证券的初始确认金额。通过多次交易分步实现的非同一</w:t>
      </w:r>
      <w:r>
        <w:rPr>
          <w:spacing w:val="-64"/>
        </w:rPr>
        <w:t> </w:t>
      </w:r>
      <w:r>
        <w:rPr>
          <w:spacing w:val="-64"/>
        </w:rPr>
      </w:r>
      <w:r>
        <w:rPr>
          <w:spacing w:val="-2"/>
        </w:rPr>
        <w:t>控制下企业合并，以购买日之前所持被购买方的股权投资的账面价值与购买日新增投资成本之和，作为该项投资的初始投资</w:t>
      </w:r>
      <w:r>
        <w:rPr>
          <w:spacing w:val="-64"/>
        </w:rPr>
        <w:t> </w:t>
      </w:r>
      <w:r>
        <w:rPr>
          <w:spacing w:val="-64"/>
        </w:rPr>
      </w:r>
      <w:r>
        <w:rPr/>
        <w:t>成本。本公司将合并协议约定的或有对价作为企业合并转移对价的一部分，按照其在购买日的公允价值计入企业合并成本。</w:t>
      </w:r>
    </w:p>
    <w:p>
      <w:pPr>
        <w:pStyle w:val="BodyText"/>
        <w:spacing w:line="314" w:lineRule="auto" w:before="19"/>
        <w:ind w:right="180"/>
        <w:jc w:val="left"/>
      </w:pPr>
      <w:r>
        <w:rPr/>
        <w:t>（</w:t>
      </w:r>
      <w:r>
        <w:rPr>
          <w:rFonts w:ascii="Times New Roman" w:hAnsi="Times New Roman" w:cs="Times New Roman" w:eastAsia="Times New Roman" w:hint="default"/>
        </w:rPr>
        <w:t>2</w:t>
      </w:r>
      <w:r>
        <w:rPr/>
        <w:t>）其他方式取得的长期股权投资以支付现金方式取得的长期股权投资，按照实际支付的购买价款作为初始投资成本。以 </w:t>
      </w:r>
      <w:r>
        <w:rPr>
          <w:spacing w:val="-2"/>
        </w:rPr>
        <w:t>发行权益性证券取得的长期股权投资，按照发行权益性证券的公允价值作为初始投资成本。投资者投入的长期股权投资，按</w:t>
      </w:r>
      <w:r>
        <w:rPr>
          <w:spacing w:val="-66"/>
        </w:rPr>
        <w:t> </w:t>
      </w:r>
      <w:r>
        <w:rPr>
          <w:spacing w:val="-66"/>
        </w:rPr>
      </w:r>
      <w:r>
        <w:rPr>
          <w:spacing w:val="-2"/>
        </w:rPr>
        <w:t>照投资合同或协议约定的价值（扣除已宣告但尚未发放的现金股利或利润）作为初始投资成本，但合同或协议约定价值不公</w:t>
      </w:r>
      <w:r>
        <w:rPr>
          <w:spacing w:val="-66"/>
        </w:rPr>
        <w:t> </w:t>
      </w:r>
      <w:r>
        <w:rPr>
          <w:spacing w:val="-66"/>
        </w:rPr>
      </w:r>
      <w:r>
        <w:rPr>
          <w:spacing w:val="-2"/>
        </w:rPr>
        <w:t>允的除外。在非货币性资产交换具备商业实质和换入资产或换出资产的公允价值能够可靠计量的前提下，非货币性资产交换</w:t>
      </w:r>
      <w:r>
        <w:rPr>
          <w:spacing w:val="-64"/>
        </w:rPr>
        <w:t> </w:t>
      </w:r>
      <w:r>
        <w:rPr>
          <w:spacing w:val="-64"/>
        </w:rPr>
      </w:r>
      <w:r>
        <w:rPr/>
        <w:t>换入的长期股权投资以换出资产的公允价值为基础确定其初始投资成本，除非有确凿证据表明换入资产的公允价值更加可 </w:t>
      </w:r>
      <w:r>
        <w:rPr>
          <w:spacing w:val="-2"/>
        </w:rPr>
        <w:t>靠；不满足上述前提的非货币性资产交换，以换出资产的账面价值和应支付的相关税费作为换入长期股权投资的初始投资成</w:t>
      </w:r>
      <w:r>
        <w:rPr>
          <w:spacing w:val="-64"/>
        </w:rPr>
        <w:t> </w:t>
      </w:r>
      <w:r>
        <w:rPr>
          <w:spacing w:val="-64"/>
        </w:rPr>
      </w:r>
      <w:r>
        <w:rPr/>
        <w:t>本。通过债务重组取得的长期股权投资，其初始投资成本按照公允价值为基础确定。</w:t>
      </w:r>
    </w:p>
    <w:p>
      <w:pPr>
        <w:spacing w:line="240" w:lineRule="auto" w:before="4"/>
        <w:rPr>
          <w:rFonts w:ascii="宋体" w:hAnsi="宋体" w:cs="宋体" w:eastAsia="宋体" w:hint="default"/>
          <w:sz w:val="23"/>
          <w:szCs w:val="23"/>
        </w:rPr>
      </w:pPr>
    </w:p>
    <w:p>
      <w:pPr>
        <w:pStyle w:val="Heading5"/>
        <w:spacing w:line="240" w:lineRule="auto"/>
        <w:ind w:right="91"/>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91"/>
        <w:jc w:val="left"/>
      </w:pPr>
      <w:r>
        <w:rPr/>
        <w:t>（</w:t>
      </w:r>
      <w:r>
        <w:rPr>
          <w:rFonts w:ascii="Times New Roman" w:hAnsi="Times New Roman" w:cs="Times New Roman" w:eastAsia="Times New Roman" w:hint="default"/>
        </w:rPr>
        <w:t>1</w:t>
      </w:r>
      <w:r>
        <w:rPr/>
        <w:t>）后续计量公司对子公司的长期股权投资，采用成本法核算，编制合并财务报表时按照权益法进行调整。对被投资单位</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3" w:right="91"/>
        <w:jc w:val="left"/>
      </w:pPr>
      <w:r>
        <w:rPr>
          <w:spacing w:val="-2"/>
        </w:rPr>
        <w:t>不具有共同控制或重大影响，并且在活跃市场中没有报价、公允价值不能可靠计量的长期股权投资，采用成本法核算。对被</w:t>
      </w:r>
      <w:r>
        <w:rPr>
          <w:spacing w:val="-66"/>
        </w:rPr>
        <w:t> </w:t>
      </w:r>
      <w:r>
        <w:rPr>
          <w:spacing w:val="-66"/>
        </w:rPr>
      </w:r>
      <w:r>
        <w:rPr>
          <w:spacing w:val="-2"/>
        </w:rPr>
        <w:t>投资单位具有共同控制或重大影响的长期股权投资，采用权益法核算。初始投资成本大于投资时应享有被投资单位可辨认净</w:t>
      </w:r>
      <w:r>
        <w:rPr>
          <w:spacing w:val="-64"/>
        </w:rPr>
        <w:t> </w:t>
      </w:r>
      <w:r>
        <w:rPr>
          <w:spacing w:val="-64"/>
        </w:rPr>
      </w:r>
      <w:r>
        <w:rPr>
          <w:spacing w:val="-2"/>
        </w:rPr>
        <w:t>资产公允价值份额的差额，不调整长期股权投资的初始投资成本；初始投资成本小于投资时应享有被投资单位可辨认净资产</w:t>
      </w:r>
      <w:r>
        <w:rPr>
          <w:spacing w:val="-64"/>
        </w:rPr>
        <w:t> </w:t>
      </w:r>
      <w:r>
        <w:rPr>
          <w:spacing w:val="-64"/>
        </w:rPr>
      </w:r>
      <w:r>
        <w:rPr>
          <w:spacing w:val="-2"/>
        </w:rPr>
        <w:t>公允价值份额的差额，计入当期损益。被投资单位除净损益以外所有者权益其他变动的处理：对于被投资单位除净损益以外</w:t>
      </w:r>
      <w:r>
        <w:rPr>
          <w:spacing w:val="-66"/>
        </w:rPr>
        <w:t> </w:t>
      </w:r>
      <w:r>
        <w:rPr>
          <w:spacing w:val="-66"/>
        </w:rPr>
      </w:r>
      <w:r>
        <w:rPr>
          <w:spacing w:val="-2"/>
        </w:rPr>
        <w:t>所有者权益的其他变动，在持股比例不变的情况下，公司按照持股比例计算应享有或承担的部分，调整长期股权投资的账面</w:t>
      </w:r>
      <w:r>
        <w:rPr>
          <w:spacing w:val="-66"/>
        </w:rPr>
        <w:t> </w:t>
      </w:r>
      <w:r>
        <w:rPr>
          <w:spacing w:val="-66"/>
        </w:rPr>
      </w:r>
      <w:r>
        <w:rPr/>
        <w:t>价值，同时增加或减少资本公积（其他资本公积）。（</w:t>
      </w:r>
      <w:r>
        <w:rPr>
          <w:rFonts w:ascii="Times New Roman" w:hAnsi="Times New Roman" w:cs="Times New Roman" w:eastAsia="Times New Roman" w:hint="default"/>
        </w:rPr>
        <w:t>2</w:t>
      </w:r>
      <w:r>
        <w:rPr/>
        <w:t>）损益确认成本法下，除取得投资时实际支付的价款或对价中包含 的已宣告但尚未发放的现金股利或利润外，公司按照享有被投资单位宣告发放的现金股利或利润确认投资收益。权益法下， </w:t>
      </w:r>
      <w:r>
        <w:rPr>
          <w:spacing w:val="-2"/>
        </w:rPr>
        <w:t>在被投资单位账面净利润的基础上考虑：被投资单位与本公司采用的会计政策及会计期间不一致，按本公司的会计政策及会</w:t>
      </w:r>
      <w:r>
        <w:rPr>
          <w:spacing w:val="-64"/>
        </w:rPr>
        <w:t> </w:t>
      </w:r>
      <w:r>
        <w:rPr>
          <w:spacing w:val="-64"/>
        </w:rPr>
      </w:r>
      <w:r>
        <w:rPr>
          <w:spacing w:val="-2"/>
        </w:rPr>
        <w:t>计期间对被投资单位财务报表进行调整；以取得投资时被投资单位固定资产、无形资产的公允价值为基础计提的折旧额或摊</w:t>
      </w:r>
      <w:r>
        <w:rPr>
          <w:spacing w:val="-64"/>
        </w:rPr>
        <w:t> </w:t>
      </w:r>
      <w:r>
        <w:rPr>
          <w:spacing w:val="-64"/>
        </w:rPr>
      </w:r>
      <w:r>
        <w:rPr>
          <w:spacing w:val="-2"/>
        </w:rPr>
        <w:t>销额以及有关资产减值准备金额等对被投资单位净利润的影响；对本公司与联营企业及合营企业之间发生的未实现内部交易</w:t>
      </w:r>
      <w:r>
        <w:rPr>
          <w:spacing w:val="-64"/>
        </w:rPr>
        <w:t> </w:t>
      </w:r>
      <w:r>
        <w:rPr>
          <w:spacing w:val="-64"/>
        </w:rPr>
      </w:r>
      <w:r>
        <w:rPr>
          <w:spacing w:val="-2"/>
        </w:rPr>
        <w:t>予以抵销等事项的适当调整后，确认应享有或应负担被投资单位的净利润或净亏损。在公司确认应分担被投资单位发生的亏</w:t>
      </w:r>
      <w:r>
        <w:rPr>
          <w:spacing w:val="-64"/>
        </w:rPr>
        <w:t> </w:t>
      </w:r>
      <w:r>
        <w:rPr>
          <w:spacing w:val="-64"/>
        </w:rPr>
      </w:r>
      <w:r>
        <w:rPr>
          <w:spacing w:val="-2"/>
        </w:rPr>
        <w:t>损时，按照以下顺序进行处理：首先，冲减长期股权投资的账面价值。其次，长期股权投资的账面价值不足以冲减的，以其</w:t>
      </w:r>
      <w:r>
        <w:rPr>
          <w:spacing w:val="-70"/>
        </w:rPr>
        <w:t> </w:t>
      </w:r>
      <w:r>
        <w:rPr>
          <w:spacing w:val="-70"/>
        </w:rPr>
      </w:r>
      <w:r>
        <w:rPr>
          <w:spacing w:val="-2"/>
        </w:rPr>
        <w:t>他实质上构成对被投资单位净投资的长期权益账面价值为限继续确认投资损失，冲减长期应收项目等的账面价值。最后，经</w:t>
      </w:r>
      <w:r>
        <w:rPr>
          <w:spacing w:val="-66"/>
        </w:rPr>
        <w:t> </w:t>
      </w:r>
      <w:r>
        <w:rPr>
          <w:spacing w:val="-66"/>
        </w:rPr>
      </w:r>
      <w:r>
        <w:rPr>
          <w:spacing w:val="-2"/>
        </w:rPr>
        <w:t>过上述处理，按照投资合同或协议约定企业仍承担额外义务的，按预计承担的义务确认预计负债，计入当期投资损失。被投</w:t>
      </w:r>
      <w:r>
        <w:rPr>
          <w:spacing w:val="-66"/>
        </w:rPr>
        <w:t> </w:t>
      </w:r>
      <w:r>
        <w:rPr>
          <w:spacing w:val="-66"/>
        </w:rPr>
      </w:r>
      <w:r>
        <w:rPr>
          <w:spacing w:val="-2"/>
        </w:rPr>
        <w:t>资单位以后期间实现盈利的，公司在扣除未确认的亏损分担额后，按与上述相反的顺序处理，减记已确认预计负债的账面余</w:t>
      </w:r>
      <w:r>
        <w:rPr>
          <w:spacing w:val="-66"/>
        </w:rPr>
        <w:t> </w:t>
      </w:r>
      <w:r>
        <w:rPr>
          <w:spacing w:val="-66"/>
        </w:rPr>
      </w:r>
      <w:r>
        <w:rPr>
          <w:spacing w:val="-4"/>
        </w:rPr>
        <w:t>额、恢复其他实质上构成对被投资单位净投资的长期权益及长期股权投资的账面价值，同时确认投资收益。在持有投资期间，</w:t>
      </w:r>
      <w:r>
        <w:rPr>
          <w:spacing w:val="-44"/>
        </w:rPr>
        <w:t> </w:t>
      </w:r>
      <w:r>
        <w:rPr>
          <w:spacing w:val="-44"/>
        </w:rPr>
      </w:r>
      <w:r>
        <w:rPr/>
        <w:t>被投资单位能够提供合并财务报表的，应当以合并财务报表中的净利润和其他权益变动为基础进行核算。</w:t>
      </w:r>
    </w:p>
    <w:p>
      <w:pPr>
        <w:spacing w:line="240" w:lineRule="auto" w:before="1"/>
        <w:rPr>
          <w:rFonts w:ascii="宋体" w:hAnsi="宋体" w:cs="宋体" w:eastAsia="宋体" w:hint="default"/>
          <w:sz w:val="23"/>
          <w:szCs w:val="23"/>
        </w:rPr>
      </w:pPr>
    </w:p>
    <w:p>
      <w:pPr>
        <w:pStyle w:val="Heading5"/>
        <w:spacing w:line="240" w:lineRule="auto"/>
        <w:ind w:right="91"/>
        <w:jc w:val="left"/>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12"/>
        <w:rPr>
          <w:rFonts w:ascii="宋体" w:hAnsi="宋体" w:cs="宋体" w:eastAsia="宋体" w:hint="default"/>
          <w:b/>
          <w:bCs/>
          <w:sz w:val="26"/>
          <w:szCs w:val="26"/>
        </w:rPr>
      </w:pPr>
    </w:p>
    <w:p>
      <w:pPr>
        <w:pStyle w:val="BodyText"/>
        <w:spacing w:line="319" w:lineRule="auto"/>
        <w:ind w:right="189"/>
        <w:jc w:val="both"/>
      </w:pPr>
      <w:r>
        <w:rPr>
          <w:spacing w:val="-2"/>
        </w:rPr>
        <w:t>共同控制，是指按照合同约定对某项经济活动所共有的控制，仅在与该项经济活动相关的重要财务和经营决策需要分享控制</w:t>
      </w:r>
      <w:r>
        <w:rPr>
          <w:spacing w:val="-64"/>
        </w:rPr>
        <w:t> </w:t>
      </w:r>
      <w:r>
        <w:rPr>
          <w:spacing w:val="-64"/>
        </w:rPr>
      </w:r>
      <w:r>
        <w:rPr>
          <w:spacing w:val="-2"/>
        </w:rPr>
        <w:t>权的投资方一致同意时存在。投资企业与其他方对被投资单位实施共同控制的，被投资单位为其合营企业。重大影响，是指</w:t>
      </w:r>
      <w:r>
        <w:rPr>
          <w:spacing w:val="-66"/>
        </w:rPr>
        <w:t> </w:t>
      </w:r>
      <w:r>
        <w:rPr>
          <w:spacing w:val="-66"/>
        </w:rPr>
      </w:r>
      <w:r>
        <w:rPr>
          <w:spacing w:val="-2"/>
        </w:rPr>
        <w:t>对一个企业的财务和经营决策有参与决策的权力，但并不能够控制或者与其他方一起共同控制这些政策的制定。投资企业能</w:t>
      </w:r>
      <w:r>
        <w:rPr>
          <w:spacing w:val="-64"/>
        </w:rPr>
        <w:t> </w:t>
      </w:r>
      <w:r>
        <w:rPr>
          <w:spacing w:val="-64"/>
        </w:rPr>
      </w:r>
      <w:r>
        <w:rPr/>
        <w:t>够对被投资单位施加重大影响的，被投资单位为其联营企业。</w:t>
      </w:r>
    </w:p>
    <w:p>
      <w:pPr>
        <w:spacing w:line="240" w:lineRule="auto" w:before="12"/>
        <w:rPr>
          <w:rFonts w:ascii="宋体" w:hAnsi="宋体" w:cs="宋体" w:eastAsia="宋体" w:hint="default"/>
          <w:sz w:val="22"/>
          <w:szCs w:val="22"/>
        </w:rPr>
      </w:pPr>
    </w:p>
    <w:p>
      <w:pPr>
        <w:pStyle w:val="Heading5"/>
        <w:spacing w:line="240" w:lineRule="auto"/>
        <w:ind w:right="91"/>
        <w:jc w:val="left"/>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13"/>
        <w:rPr>
          <w:rFonts w:ascii="宋体" w:hAnsi="宋体" w:cs="宋体" w:eastAsia="宋体" w:hint="default"/>
          <w:b/>
          <w:bCs/>
          <w:sz w:val="24"/>
          <w:szCs w:val="24"/>
        </w:rPr>
      </w:pPr>
    </w:p>
    <w:p>
      <w:pPr>
        <w:pStyle w:val="Heading4"/>
        <w:spacing w:line="273" w:lineRule="auto"/>
        <w:ind w:left="153" w:right="91"/>
        <w:jc w:val="left"/>
      </w:pPr>
      <w:r>
        <w:rPr>
          <w:spacing w:val="-1"/>
        </w:rPr>
        <w:t>重大影响以下的、在活跃市场中没有报价、公允价值不能可靠计量的长期股权投资，其减值损失是根据其</w:t>
      </w:r>
      <w:r>
        <w:rPr>
          <w:spacing w:val="-83"/>
        </w:rPr>
        <w:t> </w:t>
      </w:r>
      <w:r>
        <w:rPr>
          <w:spacing w:val="-83"/>
        </w:rPr>
      </w:r>
      <w:r>
        <w:rPr/>
        <w:t>账面价值与按类似金融资产当时市场收益率对未来现金流量折现确定的现值之间的差额进行确定。 </w:t>
      </w:r>
      <w:r>
        <w:rPr>
          <w:spacing w:val="-1"/>
        </w:rPr>
        <w:t>除因企业合并形成的商誉以外的存在减值迹象的其他长期股权投资，如果可收回金额的计量结果表明，该</w:t>
      </w:r>
      <w:r>
        <w:rPr>
          <w:spacing w:val="-81"/>
        </w:rPr>
        <w:t> </w:t>
      </w:r>
      <w:r>
        <w:rPr>
          <w:spacing w:val="-81"/>
        </w:rPr>
      </w:r>
      <w:r>
        <w:rPr/>
        <w:t>长期股权投资的可收回金额低于其账面价值的，将差额确认为减值损失。 长期股权投资减值损失一经确认，不再转回。</w:t>
      </w:r>
    </w:p>
    <w:p>
      <w:pPr>
        <w:spacing w:line="240" w:lineRule="auto" w:before="4"/>
        <w:rPr>
          <w:rFonts w:ascii="宋体" w:hAnsi="宋体" w:cs="宋体" w:eastAsia="宋体" w:hint="default"/>
          <w:sz w:val="24"/>
          <w:szCs w:val="24"/>
        </w:rPr>
      </w:pPr>
    </w:p>
    <w:p>
      <w:pPr>
        <w:pStyle w:val="Heading5"/>
        <w:spacing w:line="240" w:lineRule="auto"/>
        <w:ind w:right="91"/>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12"/>
        <w:rPr>
          <w:rFonts w:ascii="宋体" w:hAnsi="宋体" w:cs="宋体" w:eastAsia="宋体" w:hint="default"/>
          <w:b/>
          <w:bCs/>
          <w:sz w:val="24"/>
          <w:szCs w:val="24"/>
        </w:rPr>
      </w:pPr>
    </w:p>
    <w:p>
      <w:pPr>
        <w:pStyle w:val="Heading4"/>
        <w:spacing w:line="273" w:lineRule="auto"/>
        <w:ind w:left="153" w:right="91"/>
        <w:jc w:val="left"/>
      </w:pPr>
      <w:r>
        <w:rPr>
          <w:spacing w:val="-1"/>
        </w:rPr>
        <w:t>投资性房地产是指为赚取租金或资本增值，或两者兼有而持有的房地产，包括已出租的土地使用权、持有</w:t>
      </w:r>
      <w:r>
        <w:rPr>
          <w:spacing w:val="-83"/>
        </w:rPr>
        <w:t> </w:t>
      </w:r>
      <w:r>
        <w:rPr>
          <w:spacing w:val="-83"/>
        </w:rPr>
      </w:r>
      <w:r>
        <w:rPr>
          <w:spacing w:val="-1"/>
        </w:rPr>
        <w:t>并准备增值后转让的土地使用权、已出租的建筑物（含自行建造或开发活动完成后用于出租的建筑物以及</w:t>
      </w:r>
      <w:r>
        <w:rPr>
          <w:spacing w:val="-81"/>
        </w:rPr>
        <w:t> </w:t>
      </w:r>
      <w:r>
        <w:rPr>
          <w:spacing w:val="-81"/>
        </w:rPr>
      </w:r>
      <w:r>
        <w:rPr/>
        <w:t>正在建造或开发过程中将来用于出租的建筑物）。 </w:t>
      </w:r>
      <w:r>
        <w:rPr>
          <w:spacing w:val="-1"/>
        </w:rPr>
        <w:t>公司对现有投资性房地产采用成本模式计量。对按照成本模式计量的投资性房地产－出租用建筑物采用与</w:t>
      </w:r>
      <w:r>
        <w:rPr>
          <w:spacing w:val="-81"/>
        </w:rPr>
        <w:t> </w:t>
      </w:r>
      <w:r>
        <w:rPr>
          <w:spacing w:val="-81"/>
        </w:rPr>
      </w:r>
      <w:r>
        <w:rPr/>
        <w:t>本公司固定资产相同的折旧政策，出租用土地使用权按与无形资产相同的摊销政策执行。 公司对存在减值迹象的，估计其可收回金额，可收回金额低于其账面价值的，确认相应的减值损失。 投资性房地产减值损失一经确认，不再转回。</w:t>
      </w:r>
    </w:p>
    <w:p>
      <w:pPr>
        <w:spacing w:after="0" w:line="273" w:lineRule="auto"/>
        <w:jc w:val="left"/>
        <w:sectPr>
          <w:pgSz w:w="11910" w:h="16840"/>
          <w:pgMar w:header="747" w:footer="982" w:top="1060" w:bottom="1180" w:left="980" w:right="940"/>
        </w:sectPr>
      </w:pPr>
    </w:p>
    <w:p>
      <w:pPr>
        <w:spacing w:line="240" w:lineRule="auto" w:before="3"/>
        <w:rPr>
          <w:rFonts w:ascii="宋体" w:hAnsi="宋体" w:cs="宋体" w:eastAsia="宋体" w:hint="default"/>
          <w:sz w:val="25"/>
          <w:szCs w:val="25"/>
        </w:rPr>
      </w:pPr>
    </w:p>
    <w:p>
      <w:pPr>
        <w:pStyle w:val="Heading5"/>
        <w:spacing w:line="240" w:lineRule="auto" w:before="38"/>
        <w:ind w:right="91"/>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91"/>
        <w:jc w:val="left"/>
        <w:rPr>
          <w:b w:val="0"/>
          <w:bCs w:val="0"/>
        </w:rPr>
      </w:pPr>
      <w:r>
        <w:rPr/>
        <w:t>（</w:t>
      </w:r>
      <w:r>
        <w:rPr>
          <w:rFonts w:ascii="Times New Roman" w:hAnsi="Times New Roman" w:cs="Times New Roman" w:eastAsia="Times New Roman" w:hint="default"/>
        </w:rPr>
        <w:t>1</w:t>
      </w:r>
      <w:r>
        <w:rPr/>
        <w:t>）固定资产确认条件</w:t>
      </w:r>
      <w:r>
        <w:rPr>
          <w:b w:val="0"/>
          <w:bCs w:val="0"/>
        </w:rPr>
      </w:r>
    </w:p>
    <w:p>
      <w:pPr>
        <w:spacing w:line="240" w:lineRule="auto" w:before="11"/>
        <w:rPr>
          <w:rFonts w:ascii="宋体" w:hAnsi="宋体" w:cs="宋体" w:eastAsia="宋体" w:hint="default"/>
          <w:b/>
          <w:bCs/>
          <w:sz w:val="26"/>
          <w:szCs w:val="26"/>
        </w:rPr>
      </w:pPr>
    </w:p>
    <w:p>
      <w:pPr>
        <w:pStyle w:val="BodyText"/>
        <w:spacing w:line="319" w:lineRule="auto"/>
        <w:ind w:right="90"/>
        <w:jc w:val="left"/>
      </w:pPr>
      <w:r>
        <w:rPr>
          <w:spacing w:val="-2"/>
        </w:rPr>
        <w:t>固定资产指为生产商品、提供劳务、出租或经营管理而持有，并且使用寿命超过一个会计年度的有形资产。固定资产在同时</w:t>
      </w:r>
      <w:r>
        <w:rPr>
          <w:spacing w:val="-66"/>
        </w:rPr>
        <w:t> </w:t>
      </w:r>
      <w:r>
        <w:rPr>
          <w:spacing w:val="-66"/>
        </w:rPr>
      </w:r>
      <w:r>
        <w:rPr/>
        <w:t>满足下列条件时予以确认：（</w:t>
      </w:r>
      <w:r>
        <w:rPr>
          <w:rFonts w:ascii="Times New Roman" w:hAnsi="Times New Roman" w:cs="Times New Roman" w:eastAsia="Times New Roman" w:hint="default"/>
        </w:rPr>
        <w:t>1</w:t>
      </w:r>
      <w:r>
        <w:rPr/>
        <w:t>）与该固定资产有关的经济利益很可能流入企业；（</w:t>
      </w:r>
      <w:r>
        <w:rPr>
          <w:rFonts w:ascii="Times New Roman" w:hAnsi="Times New Roman" w:cs="Times New Roman" w:eastAsia="Times New Roman" w:hint="default"/>
        </w:rPr>
        <w:t>2</w:t>
      </w:r>
      <w:r>
        <w:rPr/>
        <w:t>）该固定资产的成本能够可靠地计量。</w:t>
      </w:r>
    </w:p>
    <w:p>
      <w:pPr>
        <w:spacing w:line="240" w:lineRule="auto" w:before="5"/>
        <w:rPr>
          <w:rFonts w:ascii="宋体" w:hAnsi="宋体" w:cs="宋体" w:eastAsia="宋体" w:hint="default"/>
          <w:sz w:val="21"/>
          <w:szCs w:val="21"/>
        </w:rPr>
      </w:pPr>
    </w:p>
    <w:p>
      <w:pPr>
        <w:pStyle w:val="Heading5"/>
        <w:spacing w:line="240" w:lineRule="auto"/>
        <w:ind w:right="91"/>
        <w:jc w:val="left"/>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12"/>
        <w:rPr>
          <w:rFonts w:ascii="宋体" w:hAnsi="宋体" w:cs="宋体" w:eastAsia="宋体" w:hint="default"/>
          <w:b/>
          <w:bCs/>
          <w:sz w:val="26"/>
          <w:szCs w:val="26"/>
        </w:rPr>
      </w:pPr>
    </w:p>
    <w:p>
      <w:pPr>
        <w:pStyle w:val="BodyText"/>
        <w:spacing w:line="304" w:lineRule="auto"/>
        <w:ind w:left="153" w:right="191"/>
        <w:jc w:val="both"/>
      </w:pPr>
      <w:r>
        <w:rPr/>
        <w:t>公司与租赁方所签订的租赁协议条款中规定了下列条件之一的，确认为融资租入资产：（</w:t>
      </w:r>
      <w:r>
        <w:rPr>
          <w:rFonts w:ascii="Times New Roman" w:hAnsi="Times New Roman" w:cs="Times New Roman" w:eastAsia="Times New Roman" w:hint="default"/>
        </w:rPr>
        <w:t>1</w:t>
      </w:r>
      <w:r>
        <w:rPr/>
        <w:t>）租赁期满后租赁资产的所有权 </w:t>
      </w:r>
      <w:r>
        <w:rPr>
          <w:spacing w:val="-2"/>
        </w:rPr>
        <w:t>归属于本公司；（</w:t>
      </w:r>
      <w:r>
        <w:rPr>
          <w:rFonts w:ascii="Times New Roman" w:hAnsi="Times New Roman" w:cs="Times New Roman" w:eastAsia="Times New Roman" w:hint="default"/>
          <w:spacing w:val="-2"/>
        </w:rPr>
        <w:t>2</w:t>
      </w:r>
      <w:r>
        <w:rPr>
          <w:spacing w:val="-2"/>
        </w:rPr>
        <w:t>）公司具有购买资产的选择权，购买价款远低于行使选择权时该资产的公允价值；（</w:t>
      </w:r>
      <w:r>
        <w:rPr>
          <w:rFonts w:ascii="Times New Roman" w:hAnsi="Times New Roman" w:cs="Times New Roman" w:eastAsia="Times New Roman" w:hint="default"/>
          <w:spacing w:val="-2"/>
        </w:rPr>
        <w:t>3</w:t>
      </w:r>
      <w:r>
        <w:rPr>
          <w:spacing w:val="-2"/>
        </w:rPr>
        <w:t>）租赁期占所租赁</w:t>
      </w:r>
      <w:r>
        <w:rPr>
          <w:spacing w:val="-62"/>
        </w:rPr>
        <w:t> </w:t>
      </w:r>
      <w:r>
        <w:rPr>
          <w:spacing w:val="-62"/>
        </w:rPr>
      </w:r>
      <w:r>
        <w:rPr/>
        <w:t>资产使用寿命的大部分；（</w:t>
      </w:r>
      <w:r>
        <w:rPr>
          <w:rFonts w:ascii="Times New Roman" w:hAnsi="Times New Roman" w:cs="Times New Roman" w:eastAsia="Times New Roman" w:hint="default"/>
        </w:rPr>
        <w:t>4</w:t>
      </w:r>
      <w:r>
        <w:rPr/>
        <w:t>）租赁开始日的最低租赁付款额现值，与该资产的公允价值不存在较大的差异。公司在承租开 </w:t>
      </w:r>
      <w:r>
        <w:rPr>
          <w:spacing w:val="-2"/>
        </w:rPr>
        <w:t>始日，将租赁资产公允价值与最低租赁付款额现值两者中较低者作为租入资产的入账价值，将最低租赁付款额作为长期应付</w:t>
      </w:r>
      <w:r>
        <w:rPr>
          <w:spacing w:val="-64"/>
        </w:rPr>
        <w:t> </w:t>
      </w:r>
      <w:r>
        <w:rPr>
          <w:spacing w:val="-64"/>
        </w:rPr>
      </w:r>
      <w:r>
        <w:rPr/>
        <w:t>款的入账价值，其差额作为未确认的融资费。</w:t>
      </w:r>
    </w:p>
    <w:p>
      <w:pPr>
        <w:spacing w:line="240" w:lineRule="auto" w:before="11"/>
        <w:rPr>
          <w:rFonts w:ascii="宋体" w:hAnsi="宋体" w:cs="宋体" w:eastAsia="宋体" w:hint="default"/>
          <w:sz w:val="23"/>
          <w:szCs w:val="23"/>
        </w:rPr>
      </w:pPr>
    </w:p>
    <w:p>
      <w:pPr>
        <w:pStyle w:val="Heading5"/>
        <w:spacing w:line="240" w:lineRule="auto"/>
        <w:ind w:right="91"/>
        <w:jc w:val="left"/>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12"/>
        <w:rPr>
          <w:rFonts w:ascii="宋体" w:hAnsi="宋体" w:cs="宋体" w:eastAsia="宋体" w:hint="default"/>
          <w:b/>
          <w:bCs/>
          <w:sz w:val="24"/>
          <w:szCs w:val="24"/>
        </w:rPr>
      </w:pPr>
    </w:p>
    <w:p>
      <w:pPr>
        <w:pStyle w:val="Heading4"/>
        <w:spacing w:line="273" w:lineRule="auto"/>
        <w:ind w:left="153" w:right="151"/>
        <w:jc w:val="left"/>
      </w:pPr>
      <w:r>
        <w:rPr/>
        <w:t>固定资产折旧采用年限平均法分类计提，根据固定资产类别、预计使用寿命和预计净残值率确定折旧率。 </w:t>
      </w:r>
      <w:r>
        <w:rPr>
          <w:spacing w:val="-1"/>
        </w:rPr>
        <w:t>如固定资产各组成部分的使用寿命不同或者以不同方式为企业提供经济利益，则选择不同折旧率或折旧方</w:t>
      </w:r>
      <w:r>
        <w:rPr>
          <w:spacing w:val="-81"/>
        </w:rPr>
        <w:t> </w:t>
      </w:r>
      <w:r>
        <w:rPr>
          <w:spacing w:val="-81"/>
        </w:rPr>
      </w:r>
      <w:r>
        <w:rPr/>
        <w:t>法，分别计提折旧。 </w:t>
      </w:r>
      <w:r>
        <w:rPr>
          <w:spacing w:val="-1"/>
        </w:rPr>
        <w:t>融资租赁方式租入的固定资产，能合理确定租赁期届满时将会取得租赁资产所有权的，在租赁资产尚可使</w:t>
      </w:r>
      <w:r>
        <w:rPr>
          <w:spacing w:val="-81"/>
        </w:rPr>
        <w:t> </w:t>
      </w:r>
      <w:r>
        <w:rPr>
          <w:spacing w:val="-81"/>
        </w:rPr>
      </w:r>
      <w:r>
        <w:rPr>
          <w:spacing w:val="-1"/>
        </w:rPr>
        <w:t>用年限内计提折旧；无法合理确定租赁期届满时能够取得租赁资产所有权的，在租赁期与租赁资产尚可使</w:t>
      </w:r>
      <w:r>
        <w:rPr>
          <w:spacing w:val="-81"/>
        </w:rPr>
        <w:t> </w:t>
      </w:r>
      <w:r>
        <w:rPr>
          <w:spacing w:val="-81"/>
        </w:rPr>
      </w:r>
      <w:r>
        <w:rPr/>
        <w:t>用年限两者中较短的期间内计提折旧。</w:t>
      </w:r>
    </w:p>
    <w:p>
      <w:pPr>
        <w:pStyle w:val="Heading4"/>
        <w:spacing w:line="240" w:lineRule="auto" w:before="7"/>
        <w:ind w:left="153" w:right="91"/>
        <w:jc w:val="left"/>
      </w:pPr>
      <w:r>
        <w:rPr/>
        <w:t>各类固定资产折旧年限和年折旧率如下：</w:t>
      </w:r>
    </w:p>
    <w:p>
      <w:pPr>
        <w:spacing w:line="240" w:lineRule="auto" w:before="0"/>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2518"/>
        <w:gridCol w:w="2105"/>
        <w:gridCol w:w="2220"/>
        <w:gridCol w:w="2725"/>
      </w:tblGrid>
      <w:tr>
        <w:trPr>
          <w:trHeight w:val="401"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16"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9"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w:t>
            </w:r>
          </w:p>
        </w:tc>
      </w:tr>
    </w:tbl>
    <w:p>
      <w:pPr>
        <w:spacing w:line="240" w:lineRule="auto" w:before="8"/>
        <w:rPr>
          <w:rFonts w:ascii="宋体" w:hAnsi="宋体" w:cs="宋体" w:eastAsia="宋体" w:hint="default"/>
          <w:sz w:val="19"/>
          <w:szCs w:val="19"/>
        </w:rPr>
      </w:pPr>
    </w:p>
    <w:p>
      <w:pPr>
        <w:pStyle w:val="Heading5"/>
        <w:spacing w:line="240" w:lineRule="auto" w:before="38"/>
        <w:ind w:right="91"/>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12"/>
        <w:rPr>
          <w:rFonts w:ascii="宋体" w:hAnsi="宋体" w:cs="宋体" w:eastAsia="宋体" w:hint="default"/>
          <w:b/>
          <w:bCs/>
          <w:sz w:val="24"/>
          <w:szCs w:val="24"/>
        </w:rPr>
      </w:pPr>
    </w:p>
    <w:p>
      <w:pPr>
        <w:pStyle w:val="Heading4"/>
        <w:spacing w:line="273" w:lineRule="auto"/>
        <w:ind w:left="153" w:right="91"/>
        <w:jc w:val="left"/>
      </w:pPr>
      <w:r>
        <w:rPr/>
        <w:t>公司在每期末判断固定资产是否存在可能发生减值的迹象。 </w:t>
      </w:r>
      <w:r>
        <w:rPr>
          <w:spacing w:val="-1"/>
        </w:rPr>
        <w:t>固定资产存在减值迹象的，估计其可收回金额。可收回金额根据固定资产的公允价值减去处置费用后的净</w:t>
      </w:r>
      <w:r>
        <w:rPr>
          <w:spacing w:val="-81"/>
        </w:rPr>
        <w:t> </w:t>
      </w:r>
      <w:r>
        <w:rPr>
          <w:spacing w:val="-81"/>
        </w:rPr>
      </w:r>
      <w:r>
        <w:rPr/>
        <w:t>额与固定资产预计未来现金流量的现值两者之间较高者确定。 </w:t>
      </w:r>
      <w:r>
        <w:rPr>
          <w:spacing w:val="-1"/>
        </w:rPr>
        <w:t>当固定资产的可收回金额低于其账面价值的，将固定资产的账面价值减记至可收回金额，减记的金额确认</w:t>
      </w:r>
      <w:r>
        <w:rPr>
          <w:spacing w:val="-81"/>
        </w:rPr>
        <w:t> </w:t>
      </w:r>
      <w:r>
        <w:rPr>
          <w:spacing w:val="-81"/>
        </w:rPr>
      </w:r>
      <w:r>
        <w:rPr/>
        <w:t>为固定资产减值损失，计入当期损益，同时计提相应的固定资产减值准备。 </w:t>
      </w:r>
      <w:r>
        <w:rPr>
          <w:spacing w:val="-1"/>
        </w:rPr>
        <w:t>固定资产减值损失确认后，减值固定资产的折旧在未来期间作相应调整，以使该固定资产在剩余使用寿命</w:t>
      </w:r>
      <w:r>
        <w:rPr>
          <w:spacing w:val="-81"/>
        </w:rPr>
        <w:t> </w:t>
      </w:r>
      <w:r>
        <w:rPr>
          <w:spacing w:val="-81"/>
        </w:rPr>
      </w:r>
      <w:r>
        <w:rPr/>
        <w:t>内，系统地分摊调整后的固定资产账面价值（扣除预计净残值）。 固定资产的减值损失一经确认，在以后会计期间不再转回。 </w:t>
      </w:r>
      <w:r>
        <w:rPr>
          <w:spacing w:val="-1"/>
        </w:rPr>
        <w:t>有迹象表明一项固定资产可能发生减值的，企业以单项固定资产为基础估计其可收回金额。企业难以对单</w:t>
      </w:r>
      <w:r>
        <w:rPr>
          <w:spacing w:val="-81"/>
        </w:rPr>
        <w:t> </w:t>
      </w:r>
      <w:r>
        <w:rPr>
          <w:spacing w:val="-81"/>
        </w:rPr>
      </w:r>
      <w:r>
        <w:rPr/>
        <w:t>项固定资产的可收回金额进行</w:t>
      </w:r>
      <w:r>
        <w:rPr>
          <w:spacing w:val="63"/>
        </w:rPr>
        <w:t> </w:t>
      </w:r>
      <w:r>
        <w:rPr/>
        <w:t>估计的，以该固定资产所属的资产组为基础确定资产组的可收回金额。</w:t>
      </w:r>
    </w:p>
    <w:p>
      <w:pPr>
        <w:spacing w:after="0" w:line="273" w:lineRule="auto"/>
        <w:jc w:val="left"/>
        <w:sectPr>
          <w:pgSz w:w="11910" w:h="16840"/>
          <w:pgMar w:header="747" w:footer="982" w:top="1060" w:bottom="1180" w:left="980" w:right="940"/>
        </w:sectPr>
      </w:pPr>
    </w:p>
    <w:p>
      <w:pPr>
        <w:spacing w:line="240" w:lineRule="auto" w:before="3"/>
        <w:rPr>
          <w:rFonts w:ascii="宋体" w:hAnsi="宋体" w:cs="宋体" w:eastAsia="宋体" w:hint="default"/>
          <w:sz w:val="25"/>
          <w:szCs w:val="25"/>
        </w:rPr>
      </w:pPr>
    </w:p>
    <w:p>
      <w:pPr>
        <w:pStyle w:val="Heading5"/>
        <w:spacing w:line="240" w:lineRule="auto" w:before="38"/>
        <w:ind w:right="0"/>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left="153" w:right="0"/>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）在建工程的类别</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在建工程以立项项目分类核算。</w:t>
      </w:r>
    </w:p>
    <w:p>
      <w:pPr>
        <w:spacing w:line="240" w:lineRule="auto" w:before="0"/>
        <w:rPr>
          <w:rFonts w:ascii="宋体" w:hAnsi="宋体" w:cs="宋体" w:eastAsia="宋体" w:hint="default"/>
          <w:sz w:val="18"/>
          <w:szCs w:val="18"/>
        </w:rPr>
      </w:pPr>
    </w:p>
    <w:p>
      <w:pPr>
        <w:pStyle w:val="Heading5"/>
        <w:spacing w:line="240" w:lineRule="auto" w:before="124"/>
        <w:ind w:right="0"/>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11"/>
        <w:rPr>
          <w:rFonts w:ascii="宋体" w:hAnsi="宋体" w:cs="宋体" w:eastAsia="宋体" w:hint="default"/>
          <w:b/>
          <w:bCs/>
          <w:sz w:val="26"/>
          <w:szCs w:val="26"/>
        </w:rPr>
      </w:pPr>
    </w:p>
    <w:p>
      <w:pPr>
        <w:pStyle w:val="BodyText"/>
        <w:spacing w:line="319" w:lineRule="auto"/>
        <w:ind w:right="149"/>
        <w:jc w:val="both"/>
      </w:pPr>
      <w:r>
        <w:rPr>
          <w:spacing w:val="-2"/>
        </w:rPr>
        <w:t>在建工程项目按建造该项资产达到预定可使用状态前所发生的全部支出，作为固定资产的入账价值。所建造的固定资产在建</w:t>
      </w:r>
      <w:r>
        <w:rPr>
          <w:spacing w:val="-64"/>
        </w:rPr>
        <w:t> </w:t>
      </w:r>
      <w:r>
        <w:rPr>
          <w:spacing w:val="-64"/>
        </w:rPr>
      </w:r>
      <w:r>
        <w:rPr>
          <w:spacing w:val="-2"/>
        </w:rPr>
        <w:t>工程已达到预定可使用状态，但尚未办理竣工决算的，自达到预定可使用状态之日起，根据工程预算、造价或者工程实际成</w:t>
      </w:r>
      <w:r>
        <w:rPr>
          <w:spacing w:val="-66"/>
        </w:rPr>
        <w:t> </w:t>
      </w:r>
      <w:r>
        <w:rPr>
          <w:spacing w:val="-66"/>
        </w:rPr>
      </w:r>
      <w:r>
        <w:rPr>
          <w:spacing w:val="-2"/>
        </w:rPr>
        <w:t>本等，按估计的价值转入固定资产，并按本公司固定资产折旧政策计提固定资产的折旧，待办理竣工决算后，再按实际成本</w:t>
      </w:r>
      <w:r>
        <w:rPr>
          <w:spacing w:val="-66"/>
        </w:rPr>
        <w:t> </w:t>
      </w:r>
      <w:r>
        <w:rPr>
          <w:spacing w:val="-66"/>
        </w:rPr>
      </w:r>
      <w:r>
        <w:rPr/>
        <w:t>调整原来的暂估价值，但不调整原已计提的折旧额。</w:t>
      </w:r>
    </w:p>
    <w:p>
      <w:pPr>
        <w:spacing w:line="240" w:lineRule="auto" w:before="13"/>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12"/>
        <w:rPr>
          <w:rFonts w:ascii="宋体" w:hAnsi="宋体" w:cs="宋体" w:eastAsia="宋体" w:hint="default"/>
          <w:b/>
          <w:bCs/>
          <w:sz w:val="24"/>
          <w:szCs w:val="24"/>
        </w:rPr>
      </w:pPr>
    </w:p>
    <w:p>
      <w:pPr>
        <w:pStyle w:val="Heading4"/>
        <w:spacing w:line="273" w:lineRule="auto"/>
        <w:ind w:left="153" w:right="0"/>
        <w:jc w:val="left"/>
      </w:pPr>
      <w:r>
        <w:rPr/>
        <w:t>公司在每期末判断在建工程是否存在可能发生减值的迹象。 </w:t>
      </w:r>
      <w:r>
        <w:rPr>
          <w:spacing w:val="-1"/>
        </w:rPr>
        <w:t>在建工程存在减值迹象的，估计其可收回金额。有迹象表明一项在建工程可能发生减值的，企业以单项在</w:t>
      </w:r>
      <w:r>
        <w:rPr>
          <w:spacing w:val="-83"/>
        </w:rPr>
        <w:t> </w:t>
      </w:r>
      <w:r>
        <w:rPr>
          <w:spacing w:val="-83"/>
        </w:rPr>
      </w:r>
      <w:r>
        <w:rPr>
          <w:spacing w:val="-1"/>
        </w:rPr>
        <w:t>建工程为基础估计其可收回金额。企业难以对单项在建工程的可收回金额进行估计的，以该在建工程所属</w:t>
      </w:r>
      <w:r>
        <w:rPr>
          <w:spacing w:val="-81"/>
        </w:rPr>
        <w:t> </w:t>
      </w:r>
      <w:r>
        <w:rPr>
          <w:spacing w:val="-81"/>
        </w:rPr>
      </w:r>
      <w:r>
        <w:rPr/>
        <w:t>的资产组为基础确定资产组的可收回金额。 </w:t>
      </w:r>
      <w:r>
        <w:rPr>
          <w:spacing w:val="3"/>
        </w:rPr>
        <w:t>可收回金额根据在建工程的公允价值减去处置费用后的净额与在建工程预计未来现金流量的现值两者之</w:t>
      </w:r>
      <w:r>
        <w:rPr>
          <w:spacing w:val="-78"/>
        </w:rPr>
        <w:t> </w:t>
      </w:r>
      <w:r>
        <w:rPr>
          <w:spacing w:val="-78"/>
        </w:rPr>
      </w:r>
      <w:r>
        <w:rPr/>
        <w:t>间较高者确定。</w:t>
      </w:r>
      <w:r>
        <w:rPr/>
        <w:t> </w:t>
      </w:r>
      <w:r>
        <w:rPr>
          <w:spacing w:val="-1"/>
        </w:rPr>
        <w:t>当在建工程的可收回金额低于其账面价值的，将在建工程的账面价值减记至可收回金额，减记的金额确认</w:t>
      </w:r>
      <w:r>
        <w:rPr>
          <w:spacing w:val="-81"/>
        </w:rPr>
        <w:t> </w:t>
      </w:r>
      <w:r>
        <w:rPr>
          <w:spacing w:val="-81"/>
        </w:rPr>
      </w:r>
      <w:r>
        <w:rPr/>
        <w:t>为在建工程减值损失，计入当期损益，同时计提相应的在建工程减值准备。 在建工程的减值损失一经确认，在以后会计期间不再转回。</w:t>
      </w:r>
    </w:p>
    <w:p>
      <w:pPr>
        <w:spacing w:line="240" w:lineRule="auto" w:before="4"/>
        <w:rPr>
          <w:rFonts w:ascii="宋体" w:hAnsi="宋体" w:cs="宋体" w:eastAsia="宋体" w:hint="default"/>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13"/>
        <w:rPr>
          <w:rFonts w:ascii="宋体" w:hAnsi="宋体" w:cs="宋体" w:eastAsia="宋体" w:hint="default"/>
          <w:b/>
          <w:bCs/>
          <w:sz w:val="24"/>
          <w:szCs w:val="24"/>
        </w:rPr>
      </w:pPr>
    </w:p>
    <w:p>
      <w:pPr>
        <w:pStyle w:val="Heading4"/>
        <w:spacing w:line="273" w:lineRule="auto"/>
        <w:ind w:left="153" w:right="0"/>
        <w:jc w:val="left"/>
      </w:pPr>
      <w:r>
        <w:rPr/>
        <w:t>借款费用，包括借款利息、折价或者溢价的摊销、辅助费用以及因外币借款而发生的汇兑差额等。 </w:t>
      </w:r>
      <w:r>
        <w:rPr>
          <w:spacing w:val="-1"/>
        </w:rPr>
        <w:t>公司发生的借款费用，可直接归属于符合资本化条件的资产的购建或者生产的，予以资本化，计入相关资</w:t>
      </w:r>
      <w:r>
        <w:rPr>
          <w:spacing w:val="-83"/>
        </w:rPr>
        <w:t> </w:t>
      </w:r>
      <w:r>
        <w:rPr>
          <w:spacing w:val="-83"/>
        </w:rPr>
      </w:r>
      <w:r>
        <w:rPr/>
        <w:t>产成本；其他借款费用，在发生时根据其发生额确认为费用，计入当期损益。 </w:t>
      </w:r>
      <w:r>
        <w:rPr>
          <w:spacing w:val="-1"/>
        </w:rPr>
        <w:t>符合资本化条件的资产，是指需要经过相当长时间的购建或者生产活动才能达到预定可使用或者可销售状</w:t>
      </w:r>
      <w:r>
        <w:rPr>
          <w:spacing w:val="-81"/>
        </w:rPr>
        <w:t> </w:t>
      </w:r>
      <w:r>
        <w:rPr>
          <w:spacing w:val="-81"/>
        </w:rPr>
      </w:r>
      <w:r>
        <w:rPr/>
        <w:t>态的固定资产、投资性房地产和存货等资产。</w:t>
      </w:r>
    </w:p>
    <w:p>
      <w:pPr>
        <w:pStyle w:val="Heading4"/>
        <w:spacing w:line="240" w:lineRule="auto" w:before="7"/>
        <w:ind w:left="153" w:right="0"/>
        <w:jc w:val="left"/>
      </w:pPr>
      <w:r>
        <w:rPr/>
        <w:t>借款费用同时满足下列条件时开始资本化：</w:t>
      </w:r>
    </w:p>
    <w:p>
      <w:pPr>
        <w:pStyle w:val="Heading4"/>
        <w:spacing w:line="256" w:lineRule="auto" w:before="37"/>
        <w:ind w:left="153" w:right="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w:t>
      </w:r>
      <w:r>
        <w:rPr>
          <w:spacing w:val="-35"/>
        </w:rPr>
        <w:t> </w:t>
      </w:r>
      <w:r>
        <w:rPr>
          <w:spacing w:val="-35"/>
        </w:rPr>
      </w:r>
      <w:r>
        <w:rPr/>
        <w:t>金资产或者承担带息债务形式发生的支出；</w:t>
      </w:r>
    </w:p>
    <w:p>
      <w:pPr>
        <w:pStyle w:val="Heading4"/>
        <w:spacing w:line="240" w:lineRule="auto" w:before="22"/>
        <w:ind w:left="153" w:right="0"/>
        <w:jc w:val="left"/>
      </w:pPr>
      <w:r>
        <w:rPr/>
        <w:t>（</w:t>
      </w:r>
      <w:r>
        <w:rPr>
          <w:rFonts w:ascii="Times New Roman" w:hAnsi="Times New Roman" w:cs="Times New Roman" w:eastAsia="Times New Roman" w:hint="default"/>
        </w:rPr>
        <w:t>2</w:t>
      </w:r>
      <w:r>
        <w:rPr/>
        <w:t>）借款费用已经发生；</w:t>
      </w:r>
    </w:p>
    <w:p>
      <w:pPr>
        <w:pStyle w:val="Heading4"/>
        <w:spacing w:line="240" w:lineRule="auto" w:before="21"/>
        <w:ind w:right="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5"/>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pPr>
      <w:r>
        <w:rPr/>
        <w:t>资本化期间，指从借款费用开始资本化时点到停止资本化时点的期间，借款费用暂停资本化的期间不包括</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73" w:lineRule="auto" w:before="35"/>
        <w:ind w:left="153" w:right="151"/>
        <w:jc w:val="left"/>
      </w:pPr>
      <w:r>
        <w:rPr/>
        <w:t>在内。 当购建或者生产符合资本化条件的资产达到预定可使用或者可销售状态时，借款费用停止资本化。 </w:t>
      </w:r>
      <w:r>
        <w:rPr>
          <w:spacing w:val="-1"/>
        </w:rPr>
        <w:t>当购建或者生产符合资本化条件的资产中部分项目分别完工且可单独使用时，该部分资产借款费用停止资</w:t>
      </w:r>
      <w:r>
        <w:rPr>
          <w:spacing w:val="-81"/>
        </w:rPr>
        <w:t> </w:t>
      </w:r>
      <w:r>
        <w:rPr>
          <w:spacing w:val="-81"/>
        </w:rPr>
      </w:r>
      <w:r>
        <w:rPr/>
        <w:t>本化。 </w:t>
      </w:r>
      <w:r>
        <w:rPr>
          <w:spacing w:val="-1"/>
        </w:rPr>
        <w:t>购建或者生产的资产的各部分分别完工，但必须等到整体完工后才可使用或可对外销售的，在该资产整体</w:t>
      </w:r>
      <w:r>
        <w:rPr>
          <w:spacing w:val="-81"/>
        </w:rPr>
        <w:t> </w:t>
      </w:r>
      <w:r>
        <w:rPr>
          <w:spacing w:val="-81"/>
        </w:rPr>
      </w:r>
      <w:r>
        <w:rPr/>
        <w:t>完工时停止借款费用资本化。</w:t>
      </w:r>
    </w:p>
    <w:p>
      <w:pPr>
        <w:spacing w:line="240" w:lineRule="auto" w:before="4"/>
        <w:rPr>
          <w:rFonts w:ascii="宋体" w:hAnsi="宋体" w:cs="宋体" w:eastAsia="宋体" w:hint="default"/>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12"/>
        <w:rPr>
          <w:rFonts w:ascii="宋体" w:hAnsi="宋体" w:cs="宋体" w:eastAsia="宋体" w:hint="default"/>
          <w:b/>
          <w:bCs/>
          <w:sz w:val="24"/>
          <w:szCs w:val="24"/>
        </w:rPr>
      </w:pPr>
    </w:p>
    <w:p>
      <w:pPr>
        <w:pStyle w:val="Heading4"/>
        <w:spacing w:line="266" w:lineRule="auto"/>
        <w:ind w:right="146"/>
        <w:jc w:val="both"/>
      </w:pPr>
      <w:r>
        <w:rPr/>
        <w:t>符合资本化条件的资产在购建或生产过程中发生的非正常中断、且中断时间连续超过</w:t>
      </w:r>
      <w:r>
        <w:rPr>
          <w:rFonts w:ascii="Times New Roman" w:hAnsi="Times New Roman" w:cs="Times New Roman" w:eastAsia="Times New Roman" w:hint="default"/>
        </w:rPr>
        <w:t>3</w:t>
      </w:r>
      <w:r>
        <w:rPr/>
        <w:t>个月的，则借款费</w:t>
      </w:r>
      <w:r>
        <w:rPr>
          <w:spacing w:val="-33"/>
        </w:rPr>
        <w:t> </w:t>
      </w:r>
      <w:r>
        <w:rPr>
          <w:spacing w:val="-33"/>
        </w:rPr>
      </w:r>
      <w:r>
        <w:rPr>
          <w:spacing w:val="-1"/>
        </w:rPr>
        <w:t>用暂停资本化；该项中断如是所购建或生产的符合资本化条件的资产达到预定可使用状态或者可销售状态</w:t>
      </w:r>
      <w:r>
        <w:rPr>
          <w:spacing w:val="-81"/>
        </w:rPr>
        <w:t> </w:t>
      </w:r>
      <w:r>
        <w:rPr>
          <w:spacing w:val="-81"/>
        </w:rPr>
      </w:r>
      <w:r>
        <w:rPr>
          <w:spacing w:val="-1"/>
        </w:rPr>
        <w:t>必要的程序，则借款费用继续资本化。在中断期间发生的借款费用确认为当期损益，直至资产的购建或者</w:t>
      </w:r>
      <w:r>
        <w:rPr>
          <w:spacing w:val="-83"/>
        </w:rPr>
        <w:t> </w:t>
      </w:r>
      <w:r>
        <w:rPr>
          <w:spacing w:val="-83"/>
        </w:rPr>
      </w:r>
      <w:r>
        <w:rPr/>
        <w:t>生产活动重新开始后借款费用继续资本化。</w:t>
      </w:r>
    </w:p>
    <w:p>
      <w:pPr>
        <w:spacing w:line="240" w:lineRule="auto" w:before="11"/>
        <w:rPr>
          <w:rFonts w:ascii="宋体" w:hAnsi="宋体" w:cs="宋体" w:eastAsia="宋体" w:hint="default"/>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12"/>
        <w:rPr>
          <w:rFonts w:ascii="宋体" w:hAnsi="宋体" w:cs="宋体" w:eastAsia="宋体" w:hint="default"/>
          <w:b/>
          <w:bCs/>
          <w:sz w:val="24"/>
          <w:szCs w:val="24"/>
        </w:rPr>
      </w:pPr>
    </w:p>
    <w:p>
      <w:pPr>
        <w:pStyle w:val="Heading4"/>
        <w:spacing w:line="273" w:lineRule="auto"/>
        <w:ind w:left="153" w:right="0"/>
        <w:jc w:val="left"/>
      </w:pPr>
      <w:r>
        <w:rPr>
          <w:spacing w:val="-1"/>
        </w:rPr>
        <w:t>对于为购建或者生产符合资本化条件的资产而借入的专门借款，以专门借款当期实际发生的借款费用，减</w:t>
      </w:r>
      <w:r>
        <w:rPr>
          <w:spacing w:val="-81"/>
        </w:rPr>
        <w:t> </w:t>
      </w:r>
      <w:r>
        <w:rPr>
          <w:spacing w:val="-81"/>
        </w:rPr>
      </w:r>
      <w:r>
        <w:rPr>
          <w:spacing w:val="-1"/>
        </w:rPr>
        <w:t>去尚未动用的借款资金存入银行取得的利息收入或进行暂时性投资取得的投资收益后的金额，来确定借款</w:t>
      </w:r>
      <w:r>
        <w:rPr>
          <w:spacing w:val="-81"/>
        </w:rPr>
        <w:t> </w:t>
      </w:r>
      <w:r>
        <w:rPr>
          <w:spacing w:val="-81"/>
        </w:rPr>
      </w:r>
      <w:r>
        <w:rPr/>
        <w:t>费用的资本化金额。 </w:t>
      </w:r>
      <w:r>
        <w:rPr>
          <w:spacing w:val="-1"/>
        </w:rPr>
        <w:t>对于为购建或者生产符合资本化条件的资产而占用的一般借款，根据累计资产支出超过专门借款部分的资</w:t>
      </w:r>
      <w:r>
        <w:rPr>
          <w:spacing w:val="-81"/>
        </w:rPr>
        <w:t> </w:t>
      </w:r>
      <w:r>
        <w:rPr>
          <w:spacing w:val="-81"/>
        </w:rPr>
      </w:r>
      <w:r>
        <w:rPr>
          <w:spacing w:val="-1"/>
        </w:rPr>
        <w:t>产支出加权平均数乘以所占用一般借款的资本化率，计算确定一般借款应予资本化的利息金额。资本化率</w:t>
      </w:r>
      <w:r>
        <w:rPr>
          <w:spacing w:val="-81"/>
        </w:rPr>
        <w:t> </w:t>
      </w:r>
      <w:r>
        <w:rPr>
          <w:spacing w:val="-81"/>
        </w:rPr>
      </w:r>
      <w:r>
        <w:rPr/>
        <w:t>根据一般借款加权平均利率计算确定。 </w:t>
      </w:r>
      <w:r>
        <w:rPr>
          <w:spacing w:val="-1"/>
        </w:rPr>
        <w:t>借款存在折价或者溢价的，按照实际利率法确定每一会计期间应摊销的折价或者溢价金额，调整每期利息</w:t>
      </w:r>
      <w:r>
        <w:rPr>
          <w:spacing w:val="-81"/>
        </w:rPr>
        <w:t> </w:t>
      </w:r>
      <w:r>
        <w:rPr>
          <w:spacing w:val="-81"/>
        </w:rPr>
      </w:r>
      <w:r>
        <w:rPr/>
        <w:t>金额。</w:t>
      </w:r>
    </w:p>
    <w:p>
      <w:pPr>
        <w:spacing w:line="240" w:lineRule="auto" w:before="4"/>
        <w:rPr>
          <w:rFonts w:ascii="宋体" w:hAnsi="宋体" w:cs="宋体" w:eastAsia="宋体" w:hint="default"/>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17</w:t>
      </w:r>
      <w:r>
        <w:rPr/>
        <w:t>、生物资产</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18</w:t>
      </w:r>
      <w:r>
        <w:rPr/>
        <w:t>、油气资产</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left="153" w:right="0"/>
        <w:jc w:val="left"/>
      </w:pPr>
      <w:r>
        <w:rPr/>
        <w:t>（</w:t>
      </w:r>
      <w:r>
        <w:rPr>
          <w:rFonts w:ascii="Times New Roman" w:hAnsi="Times New Roman" w:cs="Times New Roman" w:eastAsia="Times New Roman" w:hint="default"/>
        </w:rPr>
        <w:t>1</w:t>
      </w:r>
      <w:r>
        <w:rPr/>
        <w:t>）公司取得无形资产时按成本进行初始计量； </w:t>
      </w:r>
      <w:r>
        <w:rPr>
          <w:spacing w:val="-2"/>
        </w:rPr>
        <w:t>外购无形资产的成本，包括购买价款、相关税费以及直接归属于使该项资产达到预定用途所发生的其他支出。购买无形资产</w:t>
      </w:r>
      <w:r>
        <w:rPr>
          <w:spacing w:val="-66"/>
        </w:rPr>
        <w:t> </w:t>
      </w:r>
      <w:r>
        <w:rPr>
          <w:spacing w:val="-66"/>
        </w:rPr>
      </w:r>
      <w:r>
        <w:rPr/>
        <w:t>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债务重组取得债务人用以抵债的无形资产，以该无形资产的公允价值为基础确定其入账价值，并将重组债务的账面价值与该</w:t>
      </w:r>
      <w:r>
        <w:rPr>
          <w:spacing w:val="-64"/>
        </w:rPr>
        <w:t> </w:t>
      </w:r>
      <w:r>
        <w:rPr>
          <w:spacing w:val="-64"/>
        </w:rPr>
      </w:r>
      <w:r>
        <w:rPr/>
        <w:t>用以抵债的无形资产公允价值之间的差额，计入当期损益； </w:t>
      </w:r>
      <w:r>
        <w:rPr>
          <w:spacing w:val="-2"/>
        </w:rPr>
        <w:t>在非货币性资产交换具备商业实质且换入资产或换出资产的公允价值能够可靠计量的前提下，非货币性资产交换换入的无形</w:t>
      </w:r>
      <w:r>
        <w:rPr>
          <w:spacing w:val="-64"/>
        </w:rPr>
        <w:t> </w:t>
      </w:r>
      <w:r>
        <w:rPr>
          <w:spacing w:val="-64"/>
        </w:rPr>
      </w:r>
      <w:r>
        <w:rPr>
          <w:spacing w:val="-2"/>
        </w:rPr>
        <w:t>资产以换出资产的公允价值为基础确定其入账价值，除非有确凿证据表明换入资产的公允价值更加可靠；不满足上述前提的</w:t>
      </w:r>
      <w:r>
        <w:rPr>
          <w:spacing w:val="-64"/>
        </w:rPr>
        <w:t> </w:t>
      </w:r>
      <w:r>
        <w:rPr>
          <w:spacing w:val="-64"/>
        </w:rPr>
      </w:r>
      <w:r>
        <w:rPr/>
        <w:t>非货币性资产交换，以换出资产的账面价值和应支付的相关税费作为换入无形资产的成本，不确认损益。 </w:t>
      </w:r>
      <w:r>
        <w:rPr>
          <w:spacing w:val="-2"/>
        </w:rPr>
        <w:t>以同一控制下的企业吸收合并方式取得的无形资产按被合并方的账面价值确定其入账价值；以非同一控制下的企业吸收合并</w:t>
      </w:r>
      <w:r>
        <w:rPr>
          <w:spacing w:val="-64"/>
        </w:rPr>
        <w:t> </w:t>
      </w:r>
      <w:r>
        <w:rPr>
          <w:spacing w:val="-64"/>
        </w:rPr>
      </w:r>
      <w:r>
        <w:rPr/>
        <w:t>方式取得的无形资产按公允价值确定其入账价值。 </w:t>
      </w:r>
      <w:r>
        <w:rPr>
          <w:spacing w:val="-2"/>
        </w:rPr>
        <w:t>内部自行开发的无形资产，其成本包括：开发该无形资产时耗用的材料、劳务成本、注册费、在开发过程中使用的其他专利</w:t>
      </w:r>
      <w:r>
        <w:rPr>
          <w:spacing w:val="-66"/>
        </w:rPr>
        <w:t> </w:t>
      </w:r>
      <w:r>
        <w:rPr>
          <w:spacing w:val="-66"/>
        </w:rPr>
      </w:r>
      <w:r>
        <w:rPr/>
        <w:t>权和特许权的摊销以及满足资本化条件的利息费用，以及为使该无形资产达到预定用途前所发生的其他直接费用。</w:t>
      </w:r>
    </w:p>
    <w:p>
      <w:pPr>
        <w:spacing w:after="0" w:line="316" w:lineRule="auto"/>
        <w:jc w:val="left"/>
        <w:sectPr>
          <w:footerReference w:type="default" r:id="rId14"/>
          <w:pgSz w:w="11910" w:h="16840"/>
          <w:pgMar w:footer="982" w:header="747" w:top="1060" w:bottom="1180" w:left="980" w:right="980"/>
          <w:pgNumType w:start="75"/>
        </w:sectPr>
      </w:pPr>
    </w:p>
    <w:p>
      <w:pPr>
        <w:spacing w:line="240" w:lineRule="auto" w:before="12"/>
        <w:rPr>
          <w:rFonts w:ascii="宋体" w:hAnsi="宋体" w:cs="宋体" w:eastAsia="宋体" w:hint="default"/>
          <w:sz w:val="25"/>
          <w:szCs w:val="25"/>
        </w:rPr>
      </w:pPr>
    </w:p>
    <w:p>
      <w:pPr>
        <w:pStyle w:val="BodyText"/>
        <w:spacing w:line="300" w:lineRule="auto" w:before="44"/>
        <w:ind w:left="153" w:right="6531"/>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316" w:lineRule="auto" w:before="31"/>
        <w:ind w:left="153" w:right="0"/>
        <w:jc w:val="left"/>
      </w:pPr>
      <w:r>
        <w:rPr>
          <w:spacing w:val="-2"/>
        </w:rPr>
        <w:t>对于使用寿命有限的无形资产，在为企业带来经济利益的期限内按直线法摊销；无法预见无形资产为企业带来经济利益期限</w:t>
      </w:r>
      <w:r>
        <w:rPr>
          <w:spacing w:val="-64"/>
        </w:rPr>
        <w:t> </w:t>
      </w:r>
      <w:r>
        <w:rPr>
          <w:spacing w:val="-64"/>
        </w:rPr>
      </w:r>
      <w:r>
        <w:rPr/>
        <w:t>的，视为使用寿命不确定的无形资产，不予摊销。</w:t>
      </w:r>
    </w:p>
    <w:p>
      <w:pPr>
        <w:spacing w:line="240" w:lineRule="auto" w:before="3"/>
        <w:rPr>
          <w:rFonts w:ascii="宋体" w:hAnsi="宋体" w:cs="宋体" w:eastAsia="宋体" w:hint="default"/>
          <w:sz w:val="23"/>
          <w:szCs w:val="23"/>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2280"/>
        <w:gridCol w:w="2215"/>
        <w:gridCol w:w="5072"/>
      </w:tblGrid>
      <w:tr>
        <w:trPr>
          <w:trHeight w:val="402" w:hRule="exact"/>
        </w:trPr>
        <w:tc>
          <w:tcPr>
            <w:tcW w:w="22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tabs>
                <w:tab w:pos="472" w:val="left" w:leader="none"/>
              </w:tabs>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w:t>
              <w:tab/>
              <w:t>件</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土地证登记使用年限</w:t>
            </w:r>
          </w:p>
        </w:tc>
        <w:tc>
          <w:tcPr>
            <w:tcW w:w="50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b/>
          <w:bCs/>
          <w:sz w:val="19"/>
          <w:szCs w:val="19"/>
        </w:rPr>
      </w:pPr>
    </w:p>
    <w:p>
      <w:pPr>
        <w:pStyle w:val="Heading5"/>
        <w:spacing w:line="240" w:lineRule="auto" w:before="38"/>
        <w:ind w:right="0"/>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13"/>
        <w:rPr>
          <w:rFonts w:ascii="宋体" w:hAnsi="宋体" w:cs="宋体" w:eastAsia="宋体" w:hint="default"/>
          <w:b/>
          <w:bCs/>
          <w:sz w:val="24"/>
          <w:szCs w:val="24"/>
        </w:rPr>
      </w:pPr>
    </w:p>
    <w:p>
      <w:pPr>
        <w:pStyle w:val="Heading4"/>
        <w:spacing w:line="273" w:lineRule="auto"/>
        <w:ind w:left="153" w:right="0"/>
        <w:jc w:val="left"/>
      </w:pPr>
      <w:r>
        <w:rPr/>
        <w:t>对于使用寿命确定的无形资产，如有明显减值迹象的，期末进行减值测试。 对于使用寿命不确定的无形资产，每期末进行减值测试。 </w:t>
      </w:r>
      <w:r>
        <w:rPr>
          <w:spacing w:val="-1"/>
        </w:rPr>
        <w:t>对无形资产进行减值测试，估计其可收回金额。有迹象表明一项无形资产可能发生减值的，公司以单项无</w:t>
      </w:r>
      <w:r>
        <w:rPr>
          <w:spacing w:val="-83"/>
        </w:rPr>
        <w:t> </w:t>
      </w:r>
      <w:r>
        <w:rPr>
          <w:spacing w:val="-83"/>
        </w:rPr>
      </w:r>
      <w:r>
        <w:rPr>
          <w:spacing w:val="-1"/>
        </w:rPr>
        <w:t>形资产为基础估计其可收回金额。公司难以对单项资产的可收回金额进行估计的，以该无形资产所属的资</w:t>
      </w:r>
      <w:r>
        <w:rPr>
          <w:spacing w:val="-81"/>
        </w:rPr>
        <w:t> </w:t>
      </w:r>
      <w:r>
        <w:rPr>
          <w:spacing w:val="-81"/>
        </w:rPr>
      </w:r>
      <w:r>
        <w:rPr/>
        <w:t>产组为基础确定无形资产组的可收回金额。 </w:t>
      </w:r>
      <w:r>
        <w:rPr>
          <w:spacing w:val="3"/>
        </w:rPr>
        <w:t>可收回金额根据无形资产的公允价值减去处置费用后的净额与无形资产预计未来现金流量的现值两者之</w:t>
      </w:r>
      <w:r>
        <w:rPr>
          <w:spacing w:val="-78"/>
        </w:rPr>
        <w:t> </w:t>
      </w:r>
      <w:r>
        <w:rPr>
          <w:spacing w:val="-78"/>
        </w:rPr>
      </w:r>
      <w:r>
        <w:rPr/>
        <w:t>间较高者确定。</w:t>
      </w:r>
      <w:r>
        <w:rPr/>
        <w:t> </w:t>
      </w:r>
      <w:r>
        <w:rPr>
          <w:spacing w:val="-1"/>
        </w:rPr>
        <w:t>当无形资产的可收回金额低于其账面价值的，将无形资产的账面价值减记至可收回金额，减记的金额确认</w:t>
      </w:r>
      <w:r>
        <w:rPr>
          <w:spacing w:val="-81"/>
        </w:rPr>
        <w:t> </w:t>
      </w:r>
      <w:r>
        <w:rPr>
          <w:spacing w:val="-81"/>
        </w:rPr>
      </w:r>
      <w:r>
        <w:rPr/>
        <w:t>为无形资产减值损失，计入当期损益，同时计提相应的无形资产减值准备。 </w:t>
      </w:r>
      <w:r>
        <w:rPr>
          <w:spacing w:val="-1"/>
        </w:rPr>
        <w:t>无形资产减值损失确认后，减值无形资产的折耗或者摊销费用在未来期间作相应调整，以使该无形资产在</w:t>
      </w:r>
      <w:r>
        <w:rPr>
          <w:spacing w:val="-81"/>
        </w:rPr>
        <w:t> </w:t>
      </w:r>
      <w:r>
        <w:rPr>
          <w:spacing w:val="-81"/>
        </w:rPr>
      </w:r>
      <w:r>
        <w:rPr/>
        <w:t>剩余使用寿命内，系统地分摊调整后的无形资产账面价值（扣除预计净残值）。 无形资产的减值损失一经确认，在以后会计期间不再转回。</w:t>
      </w:r>
    </w:p>
    <w:p>
      <w:pPr>
        <w:spacing w:line="240" w:lineRule="auto" w:before="4"/>
        <w:rPr>
          <w:rFonts w:ascii="宋体" w:hAnsi="宋体" w:cs="宋体" w:eastAsia="宋体" w:hint="default"/>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12"/>
        <w:rPr>
          <w:rFonts w:ascii="宋体" w:hAnsi="宋体" w:cs="宋体" w:eastAsia="宋体" w:hint="default"/>
          <w:b/>
          <w:bCs/>
          <w:sz w:val="24"/>
          <w:szCs w:val="24"/>
        </w:rPr>
      </w:pPr>
    </w:p>
    <w:p>
      <w:pPr>
        <w:pStyle w:val="Heading4"/>
        <w:spacing w:line="273" w:lineRule="auto"/>
        <w:ind w:left="153" w:right="0"/>
        <w:jc w:val="left"/>
      </w:pPr>
      <w:r>
        <w:rPr/>
        <w:t>公司内部研究开发项目的支出分为研究阶段支出和开发阶段支出。 研究阶段：为获取并理解新的科学或技术知识等而进行的独创性的有计划调查、研究活动的阶段。 </w:t>
      </w:r>
      <w:r>
        <w:rPr>
          <w:spacing w:val="-1"/>
        </w:rPr>
        <w:t>开发阶段：在进行商业性生产或使用前，将研究成果或其他知识应用于某项计划或设计，以生产出新的或</w:t>
      </w:r>
      <w:r>
        <w:rPr>
          <w:spacing w:val="-83"/>
        </w:rPr>
        <w:t> </w:t>
      </w:r>
      <w:r>
        <w:rPr>
          <w:spacing w:val="-83"/>
        </w:rPr>
      </w:r>
      <w:r>
        <w:rPr/>
        <w:t>具有实质性改进的材料、装置、产品等活动的阶段。</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Heading5"/>
        <w:spacing w:line="240" w:lineRule="auto"/>
        <w:ind w:right="0"/>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pPr>
      <w:r>
        <w:rPr/>
        <w:t>内部研究开发项目开发阶段的支出，同时满足下列条件时确认为无形资产：</w:t>
      </w:r>
    </w:p>
    <w:p>
      <w:pPr>
        <w:pStyle w:val="Heading4"/>
        <w:spacing w:line="240" w:lineRule="auto" w:before="37"/>
        <w:ind w:left="153"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Heading4"/>
        <w:spacing w:line="240" w:lineRule="auto" w:before="21"/>
        <w:ind w:right="0"/>
        <w:jc w:val="left"/>
      </w:pPr>
      <w:r>
        <w:rPr/>
        <w:t>（</w:t>
      </w:r>
      <w:r>
        <w:rPr>
          <w:rFonts w:ascii="Times New Roman" w:hAnsi="Times New Roman" w:cs="Times New Roman" w:eastAsia="Times New Roman" w:hint="default"/>
        </w:rPr>
        <w:t>2</w:t>
      </w:r>
      <w:r>
        <w:rPr/>
        <w:t>）具有完成该无形资产并使用或出售的意图；</w:t>
      </w:r>
    </w:p>
    <w:p>
      <w:pPr>
        <w:pStyle w:val="Heading4"/>
        <w:spacing w:line="240" w:lineRule="auto" w:before="21"/>
        <w:ind w:right="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pPr>
      <w:r>
        <w:rPr/>
        <w:t>存在市场，无形资产将在内部使用的，能够证明其有用性；</w:t>
      </w:r>
    </w:p>
    <w:p>
      <w:pPr>
        <w:pStyle w:val="Heading4"/>
        <w:spacing w:line="256" w:lineRule="auto" w:before="37"/>
        <w:ind w:left="153" w:right="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w:t>
      </w:r>
      <w:r>
        <w:rPr>
          <w:spacing w:val="-35"/>
        </w:rPr>
        <w:t> </w:t>
      </w:r>
      <w:r>
        <w:rPr>
          <w:spacing w:val="-35"/>
        </w:rPr>
      </w:r>
      <w:r>
        <w:rPr/>
        <w:t>资产；</w:t>
      </w:r>
    </w:p>
    <w:p>
      <w:pPr>
        <w:pStyle w:val="Heading4"/>
        <w:spacing w:line="264" w:lineRule="auto" w:before="22"/>
        <w:ind w:right="0" w:hanging="1"/>
        <w:jc w:val="left"/>
      </w:pPr>
      <w:r>
        <w:rPr/>
        <w:t>（</w:t>
      </w:r>
      <w:r>
        <w:rPr>
          <w:rFonts w:ascii="Times New Roman" w:hAnsi="Times New Roman" w:cs="Times New Roman" w:eastAsia="Times New Roman" w:hint="default"/>
        </w:rPr>
        <w:t>5</w:t>
      </w:r>
      <w:r>
        <w:rPr/>
        <w:t>）归属于该无形资产开发阶段的支出能够可靠地计量。 </w:t>
      </w:r>
      <w:r>
        <w:rPr>
          <w:spacing w:val="-1"/>
        </w:rPr>
        <w:t>开发阶段的支出，若不满足上列条件的，于发生时计入当期损益。研究阶段的支出，在发生时计入当期损</w:t>
      </w:r>
      <w:r>
        <w:rPr>
          <w:spacing w:val="-83"/>
        </w:rPr>
        <w:t> </w:t>
      </w:r>
      <w:r>
        <w:rPr>
          <w:spacing w:val="-83"/>
        </w:rPr>
      </w:r>
      <w:r>
        <w:rPr/>
        <w:t>益。</w:t>
      </w:r>
    </w:p>
    <w:p>
      <w:pPr>
        <w:spacing w:line="240" w:lineRule="auto" w:before="13"/>
        <w:rPr>
          <w:rFonts w:ascii="宋体" w:hAnsi="宋体" w:cs="宋体" w:eastAsia="宋体" w:hint="default"/>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pPr>
      <w:r>
        <w:rPr/>
        <w:t>长期待摊费用为已经发生但应由本期和以后各期负担的分摊期限在一年以上的各项费用。</w:t>
      </w:r>
    </w:p>
    <w:p>
      <w:pPr>
        <w:pStyle w:val="Heading4"/>
        <w:spacing w:line="264" w:lineRule="auto" w:before="37"/>
        <w:ind w:right="0" w:hanging="1"/>
        <w:jc w:val="left"/>
      </w:pPr>
      <w:r>
        <w:rPr>
          <w:rFonts w:ascii="Times New Roman" w:hAnsi="Times New Roman" w:cs="Times New Roman" w:eastAsia="Times New Roman" w:hint="default"/>
        </w:rPr>
        <w:t>1</w:t>
      </w:r>
      <w:r>
        <w:rPr/>
        <w:t>、摊销方法 </w:t>
      </w:r>
      <w:r>
        <w:rPr>
          <w:spacing w:val="-1"/>
        </w:rPr>
        <w:t>长期待摊费用按实际成本计价，根据具体内容按预计受益期间以直线法进行摊销，如果长期待摊的费用项</w:t>
      </w:r>
      <w:r>
        <w:rPr>
          <w:spacing w:val="-82"/>
        </w:rPr>
        <w:t> </w:t>
      </w:r>
      <w:r>
        <w:rPr>
          <w:spacing w:val="-82"/>
        </w:rPr>
      </w:r>
      <w:r>
        <w:rPr/>
        <w:t>目不能使以后会计期间受益，应当将尚未摊销项目的摊余价值全部转入当期损益。</w:t>
      </w:r>
    </w:p>
    <w:p>
      <w:pPr>
        <w:pStyle w:val="Heading4"/>
        <w:spacing w:line="240" w:lineRule="auto" w:before="16"/>
        <w:ind w:right="0"/>
        <w:jc w:val="left"/>
      </w:pPr>
      <w:r>
        <w:rPr>
          <w:rFonts w:ascii="Times New Roman" w:hAnsi="Times New Roman" w:cs="Times New Roman" w:eastAsia="Times New Roman" w:hint="default"/>
        </w:rPr>
        <w:t>2</w:t>
      </w:r>
      <w:r>
        <w:rPr/>
        <w:t>、摊销年限</w:t>
      </w:r>
    </w:p>
    <w:p>
      <w:pPr>
        <w:pStyle w:val="Heading4"/>
        <w:spacing w:line="240" w:lineRule="auto" w:before="21"/>
        <w:ind w:right="0"/>
        <w:jc w:val="left"/>
      </w:pPr>
      <w:r>
        <w:rPr/>
        <w:t>（</w:t>
      </w:r>
      <w:r>
        <w:rPr>
          <w:rFonts w:ascii="Times New Roman" w:hAnsi="Times New Roman" w:cs="Times New Roman" w:eastAsia="Times New Roman" w:hint="default"/>
        </w:rPr>
        <w:t>1</w:t>
      </w:r>
      <w:r>
        <w:rPr/>
        <w:t>）预付经营租入固定资产的租金，按租赁合同规定的期限或其它合理方法平均摊销。</w:t>
      </w:r>
    </w:p>
    <w:p>
      <w:pPr>
        <w:pStyle w:val="Heading4"/>
        <w:spacing w:line="256" w:lineRule="auto" w:before="21"/>
        <w:ind w:right="0"/>
        <w:jc w:val="left"/>
      </w:pPr>
      <w:r>
        <w:rPr/>
        <w:t>（</w:t>
      </w:r>
      <w:r>
        <w:rPr>
          <w:rFonts w:ascii="Times New Roman" w:hAnsi="Times New Roman" w:cs="Times New Roman" w:eastAsia="Times New Roman" w:hint="default"/>
        </w:rPr>
        <w:t>2</w:t>
      </w:r>
      <w:r>
        <w:rPr/>
        <w:t>）经营租赁方式租入的固定资产改良支出，按剩余租赁期与租赁资产尚可使用年限两者中较短的期限</w:t>
      </w:r>
      <w:r>
        <w:rPr>
          <w:spacing w:val="-35"/>
        </w:rPr>
        <w:t> </w:t>
      </w:r>
      <w:r>
        <w:rPr>
          <w:spacing w:val="-35"/>
        </w:rPr>
      </w:r>
      <w:r>
        <w:rPr/>
        <w:t>平均摊销。</w:t>
      </w:r>
    </w:p>
    <w:p>
      <w:pPr>
        <w:spacing w:line="240" w:lineRule="auto" w:before="6"/>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21</w:t>
      </w:r>
      <w:r>
        <w:rPr/>
        <w:t>、附回购条件的资产转让</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23</w:t>
      </w:r>
      <w:r>
        <w:rPr/>
        <w:t>、股份支付及权益工具</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）股份支付的种类</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）确认可行权权益工具最佳估计的依据</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）实施、修改、终止股份支付计划的相关会计处理</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24</w:t>
      </w:r>
      <w:r>
        <w:rPr/>
        <w:t>、回购本公司股份</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25</w:t>
      </w:r>
      <w:r>
        <w:rPr/>
        <w:t>、收入</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11"/>
        <w:rPr>
          <w:rFonts w:ascii="宋体" w:hAnsi="宋体" w:cs="宋体" w:eastAsia="宋体" w:hint="default"/>
          <w:b/>
          <w:bCs/>
          <w:sz w:val="26"/>
          <w:szCs w:val="26"/>
        </w:rPr>
      </w:pPr>
    </w:p>
    <w:p>
      <w:pPr>
        <w:pStyle w:val="BodyText"/>
        <w:spacing w:line="309" w:lineRule="auto"/>
        <w:ind w:right="151"/>
        <w:jc w:val="both"/>
      </w:pPr>
      <w:r>
        <w:rPr/>
        <w:t>（</w:t>
      </w:r>
      <w:r>
        <w:rPr>
          <w:rFonts w:ascii="Times New Roman" w:hAnsi="Times New Roman" w:cs="Times New Roman" w:eastAsia="Times New Roman" w:hint="default"/>
        </w:rPr>
        <w:t>1</w:t>
      </w:r>
      <w:r>
        <w:rPr/>
        <w:t>）销售商品收入确认和计量的总体原则公司已将商品所有权上的主要风险和报酬转移给购买方；公司既没有保留与所有 </w:t>
      </w:r>
      <w:r>
        <w:rPr>
          <w:spacing w:val="-2"/>
        </w:rPr>
        <w:t>权相联系的继续管理权，也没有对已售出的商品实施有效控制；收入的金额能够可靠地计量；相关的经济利益很可能流入企</w:t>
      </w:r>
      <w:r>
        <w:rPr>
          <w:spacing w:val="-66"/>
        </w:rPr>
        <w:t> </w:t>
      </w:r>
      <w:r>
        <w:rPr>
          <w:spacing w:val="-66"/>
        </w:rPr>
      </w:r>
      <w:r>
        <w:rPr/>
        <w:t>业；相关的已发生或将发生的成本能够可靠地计量时，确认商品销售收入实现。（</w:t>
      </w:r>
      <w:r>
        <w:rPr>
          <w:rFonts w:ascii="Times New Roman" w:hAnsi="Times New Roman" w:cs="Times New Roman" w:eastAsia="Times New Roman" w:hint="default"/>
        </w:rPr>
        <w:t>2</w:t>
      </w:r>
      <w:r>
        <w:rPr/>
        <w:t>）本公司销售商品收入确认的确认标准</w:t>
      </w:r>
    </w:p>
    <w:p>
      <w:pPr>
        <w:spacing w:after="0" w:line="309" w:lineRule="auto"/>
        <w:jc w:val="both"/>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19" w:lineRule="auto" w:before="44"/>
        <w:ind w:left="153" w:right="91"/>
        <w:jc w:val="left"/>
      </w:pPr>
      <w:r>
        <w:rPr>
          <w:spacing w:val="-2"/>
        </w:rPr>
        <w:t>及收入确认时间的具体判断标准系统集成销售收入确认原则：公司系统集成类产品的销售包括为客户提供方案设计、设备安</w:t>
      </w:r>
      <w:r>
        <w:rPr>
          <w:spacing w:val="-64"/>
        </w:rPr>
        <w:t> </w:t>
      </w:r>
      <w:r>
        <w:rPr>
          <w:spacing w:val="-64"/>
        </w:rPr>
      </w:r>
      <w:r>
        <w:rPr/>
        <w:t>装、调试及系统试运行等配套服务，经验收合格后确认销售收入。</w:t>
      </w:r>
    </w:p>
    <w:p>
      <w:pPr>
        <w:spacing w:line="240" w:lineRule="auto" w:before="12"/>
        <w:rPr>
          <w:rFonts w:ascii="宋体" w:hAnsi="宋体" w:cs="宋体" w:eastAsia="宋体" w:hint="default"/>
          <w:sz w:val="22"/>
          <w:szCs w:val="22"/>
        </w:rPr>
      </w:pPr>
    </w:p>
    <w:p>
      <w:pPr>
        <w:pStyle w:val="Heading5"/>
        <w:spacing w:line="240" w:lineRule="auto"/>
        <w:ind w:right="91"/>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13"/>
        <w:rPr>
          <w:rFonts w:ascii="宋体" w:hAnsi="宋体" w:cs="宋体" w:eastAsia="宋体" w:hint="default"/>
          <w:b/>
          <w:bCs/>
          <w:sz w:val="24"/>
          <w:szCs w:val="24"/>
        </w:rPr>
      </w:pPr>
    </w:p>
    <w:p>
      <w:pPr>
        <w:pStyle w:val="Heading4"/>
        <w:spacing w:line="273" w:lineRule="auto"/>
        <w:ind w:right="91"/>
        <w:jc w:val="left"/>
      </w:pPr>
      <w:r>
        <w:rPr>
          <w:spacing w:val="-1"/>
        </w:rPr>
        <w:t>与交易相关的经济利益很可能流入企业，收入的金额能够可靠地计量时。分别下列情况确定让渡资产使用</w:t>
      </w:r>
      <w:r>
        <w:rPr>
          <w:spacing w:val="-81"/>
        </w:rPr>
        <w:t> </w:t>
      </w:r>
      <w:r>
        <w:rPr>
          <w:spacing w:val="-81"/>
        </w:rPr>
      </w:r>
      <w:r>
        <w:rPr/>
        <w:t>权收入金额：</w:t>
      </w:r>
    </w:p>
    <w:p>
      <w:pPr>
        <w:pStyle w:val="Heading4"/>
        <w:spacing w:line="240" w:lineRule="auto" w:before="7"/>
        <w:ind w:right="91"/>
        <w:jc w:val="left"/>
      </w:pPr>
      <w:r>
        <w:rPr/>
        <w:t>①利息收入金额，按照他人使用本企业货币资金的时间和实际利率计算确定。</w:t>
      </w:r>
    </w:p>
    <w:p>
      <w:pPr>
        <w:pStyle w:val="Heading4"/>
        <w:spacing w:line="240" w:lineRule="auto" w:before="37"/>
        <w:ind w:left="153" w:right="91"/>
        <w:jc w:val="left"/>
      </w:pPr>
      <w:r>
        <w:rPr/>
        <w:t>②使用费收入金额，按照有关合同或协议约定的收费时间和方法计算确定。</w:t>
      </w:r>
    </w:p>
    <w:p>
      <w:pPr>
        <w:spacing w:line="240" w:lineRule="auto" w:before="7"/>
        <w:rPr>
          <w:rFonts w:ascii="宋体" w:hAnsi="宋体" w:cs="宋体" w:eastAsia="宋体" w:hint="default"/>
          <w:sz w:val="26"/>
          <w:szCs w:val="26"/>
        </w:rPr>
      </w:pPr>
    </w:p>
    <w:p>
      <w:pPr>
        <w:pStyle w:val="Heading5"/>
        <w:spacing w:line="240" w:lineRule="auto"/>
        <w:ind w:right="91"/>
        <w:jc w:val="left"/>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91"/>
        <w:jc w:val="left"/>
        <w:rPr>
          <w:b w:val="0"/>
          <w:bCs w:val="0"/>
        </w:rPr>
      </w:pPr>
      <w:r>
        <w:rPr/>
        <w:t>（</w:t>
      </w:r>
      <w:r>
        <w:rPr>
          <w:rFonts w:ascii="Times New Roman" w:hAnsi="Times New Roman" w:cs="Times New Roman" w:eastAsia="Times New Roman" w:hint="default"/>
        </w:rPr>
        <w:t>4</w:t>
      </w:r>
      <w:r>
        <w:rPr/>
        <w:t>）按完工百分比法确认提供劳务的收入和建造合同收入时，确定合同完工进度的依据和方法</w:t>
      </w:r>
      <w:r>
        <w:rPr>
          <w:b w:val="0"/>
          <w:bCs w:val="0"/>
        </w:rPr>
      </w:r>
    </w:p>
    <w:p>
      <w:pPr>
        <w:spacing w:line="240" w:lineRule="auto" w:before="12"/>
        <w:rPr>
          <w:rFonts w:ascii="宋体" w:hAnsi="宋体" w:cs="宋体" w:eastAsia="宋体" w:hint="default"/>
          <w:b/>
          <w:bCs/>
          <w:sz w:val="24"/>
          <w:szCs w:val="24"/>
        </w:rPr>
      </w:pPr>
    </w:p>
    <w:p>
      <w:pPr>
        <w:pStyle w:val="Heading4"/>
        <w:spacing w:line="273" w:lineRule="auto"/>
        <w:ind w:left="153" w:right="91"/>
        <w:jc w:val="left"/>
      </w:pPr>
      <w:r>
        <w:rPr>
          <w:spacing w:val="-1"/>
        </w:rPr>
        <w:t>在资产负债表日提供劳务交易的结果能够可靠估计的，采用完工百分比法确认提供劳务收入。提供劳务交</w:t>
      </w:r>
      <w:r>
        <w:rPr>
          <w:spacing w:val="-81"/>
        </w:rPr>
        <w:t> </w:t>
      </w:r>
      <w:r>
        <w:rPr>
          <w:spacing w:val="-81"/>
        </w:rPr>
      </w:r>
      <w:r>
        <w:rPr/>
        <w:t>易的完工进度，依据已经发生的成本占估计总成本的比例确定。 </w:t>
      </w:r>
      <w:r>
        <w:rPr>
          <w:spacing w:val="3"/>
        </w:rPr>
        <w:t>按照已收或应收的合同或协议价款确定提供劳务收入总额，但已收或应收的合同或协议价款不公允的除</w:t>
      </w:r>
      <w:r>
        <w:rPr>
          <w:spacing w:val="-78"/>
        </w:rPr>
        <w:t> </w:t>
      </w:r>
      <w:r>
        <w:rPr>
          <w:spacing w:val="-78"/>
        </w:rPr>
      </w:r>
      <w:r>
        <w:rPr>
          <w:spacing w:val="-1"/>
        </w:rPr>
        <w:t>外。资产负债表日按照提供劳务收入总额乘以完工进度扣除以前会计期间累计已确认提供劳务收入后的金</w:t>
      </w:r>
      <w:r>
        <w:rPr>
          <w:spacing w:val="-81"/>
        </w:rPr>
        <w:t> </w:t>
      </w:r>
      <w:r>
        <w:rPr>
          <w:spacing w:val="-81"/>
        </w:rPr>
      </w:r>
      <w:r>
        <w:rPr>
          <w:spacing w:val="-1"/>
        </w:rPr>
        <w:t>额，确认当期提供劳务收入；同时，按照提供劳务估计总成本乘以完工进度扣除以前会计期间累计已确认</w:t>
      </w:r>
      <w:r>
        <w:rPr>
          <w:spacing w:val="-83"/>
        </w:rPr>
        <w:t> </w:t>
      </w:r>
      <w:r>
        <w:rPr>
          <w:spacing w:val="-83"/>
        </w:rPr>
      </w:r>
      <w:r>
        <w:rPr/>
        <w:t>劳务成本后的金额，结转当期劳务成本。 在资产负债表日提供劳务交易结果不能够可靠估计的，分别下列情况处理：</w:t>
      </w:r>
    </w:p>
    <w:p>
      <w:pPr>
        <w:pStyle w:val="Heading4"/>
        <w:spacing w:line="273" w:lineRule="auto" w:before="7"/>
        <w:ind w:left="153" w:right="91"/>
        <w:jc w:val="left"/>
      </w:pPr>
      <w:r>
        <w:rPr>
          <w:spacing w:val="-1"/>
        </w:rPr>
        <w:t>①已经发生的劳务成本预计能够得到补偿的，按照已经发生的劳务成本金额确认提供劳务收入，并按相同</w:t>
      </w:r>
      <w:r>
        <w:rPr>
          <w:spacing w:val="-81"/>
        </w:rPr>
        <w:t> </w:t>
      </w:r>
      <w:r>
        <w:rPr>
          <w:spacing w:val="-81"/>
        </w:rPr>
      </w:r>
      <w:r>
        <w:rPr/>
        <w:t>金额结转劳务成本。</w:t>
      </w:r>
    </w:p>
    <w:p>
      <w:pPr>
        <w:pStyle w:val="Heading4"/>
        <w:spacing w:line="273" w:lineRule="auto" w:before="7"/>
        <w:ind w:left="153" w:right="91"/>
        <w:jc w:val="left"/>
      </w:pPr>
      <w:r>
        <w:rPr>
          <w:spacing w:val="-1"/>
        </w:rPr>
        <w:t>②已经发生的劳务成本预计不能够得到补偿的，将已经发生的劳务成本计入当期损益，不确认提供劳务收</w:t>
      </w:r>
      <w:r>
        <w:rPr>
          <w:spacing w:val="-81"/>
        </w:rPr>
        <w:t> </w:t>
      </w:r>
      <w:r>
        <w:rPr>
          <w:spacing w:val="-81"/>
        </w:rPr>
      </w:r>
      <w:r>
        <w:rPr/>
        <w:t>入。</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Heading5"/>
        <w:spacing w:line="240" w:lineRule="auto"/>
        <w:ind w:right="91"/>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91"/>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政府补助，是本公司从政府无偿取得的货币性资产与非货币性资产。分为与资产相关的政府补助和与收益相关的政府补助。</w:t>
      </w:r>
    </w:p>
    <w:p>
      <w:pPr>
        <w:spacing w:line="240" w:lineRule="auto" w:before="0"/>
        <w:rPr>
          <w:rFonts w:ascii="宋体" w:hAnsi="宋体" w:cs="宋体" w:eastAsia="宋体" w:hint="default"/>
          <w:sz w:val="18"/>
          <w:szCs w:val="18"/>
        </w:rPr>
      </w:pPr>
    </w:p>
    <w:p>
      <w:pPr>
        <w:pStyle w:val="Heading5"/>
        <w:spacing w:line="240" w:lineRule="auto" w:before="124"/>
        <w:ind w:right="91"/>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12"/>
        <w:rPr>
          <w:rFonts w:ascii="宋体" w:hAnsi="宋体" w:cs="宋体" w:eastAsia="宋体" w:hint="default"/>
          <w:b/>
          <w:bCs/>
          <w:sz w:val="24"/>
          <w:szCs w:val="24"/>
        </w:rPr>
      </w:pPr>
    </w:p>
    <w:p>
      <w:pPr>
        <w:pStyle w:val="Heading4"/>
        <w:spacing w:line="273" w:lineRule="auto"/>
        <w:ind w:left="153" w:right="91"/>
        <w:jc w:val="left"/>
      </w:pPr>
      <w:r>
        <w:rPr>
          <w:spacing w:val="-1"/>
        </w:rPr>
        <w:t>与购建固定资产、无形资产等长期资产相关的政府补助，确认为递延收益，按照所建造或购买的资产使用</w:t>
      </w:r>
      <w:r>
        <w:rPr>
          <w:spacing w:val="-83"/>
        </w:rPr>
        <w:t> </w:t>
      </w:r>
      <w:r>
        <w:rPr>
          <w:spacing w:val="-83"/>
        </w:rPr>
      </w:r>
      <w:r>
        <w:rPr/>
        <w:t>年限分期计入营业外收入； </w:t>
      </w:r>
      <w:r>
        <w:rPr>
          <w:spacing w:val="-1"/>
        </w:rPr>
        <w:t>与收益相关的政府补助，用于补偿企业以后期间的相关费用或损失的，取得时确认为递延收益，在确认相</w:t>
      </w:r>
      <w:r>
        <w:rPr>
          <w:spacing w:val="-83"/>
        </w:rPr>
        <w:t> </w:t>
      </w:r>
      <w:r>
        <w:rPr>
          <w:spacing w:val="-83"/>
        </w:rPr>
      </w:r>
      <w:r>
        <w:rPr>
          <w:spacing w:val="-1"/>
        </w:rPr>
        <w:t>关费用的期间计入当期营业外收入；用于补偿企业已发生的相关费用或损失的，取得时直接计入当期营业</w:t>
      </w:r>
      <w:r>
        <w:rPr>
          <w:spacing w:val="-81"/>
        </w:rPr>
        <w:t> </w:t>
      </w:r>
      <w:r>
        <w:rPr>
          <w:spacing w:val="-81"/>
        </w:rPr>
      </w:r>
      <w:r>
        <w:rPr/>
        <w:t>外收入。</w:t>
      </w:r>
    </w:p>
    <w:p>
      <w:pPr>
        <w:spacing w:after="0" w:line="273" w:lineRule="auto"/>
        <w:jc w:val="left"/>
        <w:sectPr>
          <w:pgSz w:w="11910" w:h="16840"/>
          <w:pgMar w:header="747" w:footer="982" w:top="1060" w:bottom="1180" w:left="980" w:right="940"/>
        </w:sectPr>
      </w:pPr>
    </w:p>
    <w:p>
      <w:pPr>
        <w:spacing w:line="240" w:lineRule="auto" w:before="3"/>
        <w:rPr>
          <w:rFonts w:ascii="宋体" w:hAnsi="宋体" w:cs="宋体" w:eastAsia="宋体" w:hint="default"/>
          <w:sz w:val="25"/>
          <w:szCs w:val="25"/>
        </w:rPr>
      </w:pPr>
    </w:p>
    <w:p>
      <w:pPr>
        <w:pStyle w:val="Heading5"/>
        <w:spacing w:line="240" w:lineRule="auto" w:before="38"/>
        <w:ind w:right="0"/>
        <w:jc w:val="left"/>
        <w:rPr>
          <w:b w:val="0"/>
          <w:bCs w:val="0"/>
        </w:rPr>
      </w:pPr>
      <w:r>
        <w:rPr>
          <w:rFonts w:ascii="Times New Roman" w:hAnsi="Times New Roman" w:cs="Times New Roman" w:eastAsia="Times New Roman" w:hint="default"/>
        </w:rPr>
        <w:t>27</w:t>
      </w:r>
      <w:r>
        <w:rPr/>
        <w:t>、递延所得税资产和递延所得税负债</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对于可抵扣暂时性差异确认递延所得税资产，以未来期间很可能取得的用来抵扣可抵扣暂时性差异的应纳税所得额为限。</w:t>
      </w:r>
    </w:p>
    <w:p>
      <w:pPr>
        <w:spacing w:line="240" w:lineRule="auto" w:before="0"/>
        <w:rPr>
          <w:rFonts w:ascii="宋体" w:hAnsi="宋体" w:cs="宋体" w:eastAsia="宋体" w:hint="default"/>
          <w:sz w:val="18"/>
          <w:szCs w:val="18"/>
        </w:rPr>
      </w:pPr>
    </w:p>
    <w:p>
      <w:pPr>
        <w:pStyle w:val="Heading5"/>
        <w:spacing w:line="240" w:lineRule="auto" w:before="123"/>
        <w:ind w:right="0"/>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t>对于应纳税暂时性差异，除特殊情况外，确认递延所得税负债。</w:t>
      </w:r>
    </w:p>
    <w:p>
      <w:pPr>
        <w:spacing w:line="240" w:lineRule="auto" w:before="0"/>
        <w:rPr>
          <w:rFonts w:ascii="宋体" w:hAnsi="宋体" w:cs="宋体" w:eastAsia="宋体" w:hint="default"/>
          <w:sz w:val="18"/>
          <w:szCs w:val="18"/>
        </w:rPr>
      </w:pPr>
    </w:p>
    <w:p>
      <w:pPr>
        <w:pStyle w:val="Heading5"/>
        <w:spacing w:line="240" w:lineRule="auto" w:before="124"/>
        <w:ind w:right="0"/>
        <w:jc w:val="left"/>
        <w:rPr>
          <w:b w:val="0"/>
          <w:bCs w:val="0"/>
        </w:rPr>
      </w:pPr>
      <w:r>
        <w:rPr>
          <w:rFonts w:ascii="Times New Roman" w:hAnsi="Times New Roman" w:cs="Times New Roman" w:eastAsia="Times New Roman" w:hint="default"/>
        </w:rPr>
        <w:t>28</w:t>
      </w:r>
      <w:r>
        <w:rPr/>
        <w:t>、经营租赁、融资租赁</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）经营租赁会计处理</w:t>
      </w:r>
      <w:r>
        <w:rPr>
          <w:b w:val="0"/>
          <w:bCs w:val="0"/>
        </w:rPr>
      </w:r>
    </w:p>
    <w:p>
      <w:pPr>
        <w:spacing w:line="240" w:lineRule="auto" w:before="12"/>
        <w:rPr>
          <w:rFonts w:ascii="宋体" w:hAnsi="宋体" w:cs="宋体" w:eastAsia="宋体" w:hint="default"/>
          <w:b/>
          <w:bCs/>
          <w:sz w:val="24"/>
          <w:szCs w:val="24"/>
        </w:rPr>
      </w:pPr>
    </w:p>
    <w:p>
      <w:pPr>
        <w:pStyle w:val="Heading4"/>
        <w:spacing w:line="266" w:lineRule="auto"/>
        <w:ind w:right="0"/>
        <w:jc w:val="left"/>
      </w:pPr>
      <w:r>
        <w:rPr/>
        <w:t>（</w:t>
      </w:r>
      <w:r>
        <w:rPr>
          <w:rFonts w:ascii="Times New Roman" w:hAnsi="Times New Roman" w:cs="Times New Roman" w:eastAsia="Times New Roman" w:hint="default"/>
        </w:rPr>
        <w:t>1</w:t>
      </w:r>
      <w:r>
        <w:rPr/>
        <w:t>）公司租入资产所支付的租赁费，在不扣除免租期的整个租赁期内，按直线法进行分摊，计入当期费</w:t>
      </w:r>
      <w:r>
        <w:rPr>
          <w:spacing w:val="-35"/>
        </w:rPr>
        <w:t> </w:t>
      </w:r>
      <w:r>
        <w:rPr>
          <w:spacing w:val="-35"/>
        </w:rPr>
      </w:r>
      <w:r>
        <w:rPr/>
        <w:t>用。公司支付的与租赁交易相关的初始直接费用，计入当期费用。 </w:t>
      </w:r>
      <w:r>
        <w:rPr>
          <w:spacing w:val="-2"/>
        </w:rPr>
        <w:t>资产出租方承担了应由公司承担的与租赁相关的费用时，公司将该部分费用从租金总额中扣除，按扣除后</w:t>
      </w:r>
      <w:r>
        <w:rPr>
          <w:spacing w:val="-95"/>
        </w:rPr>
        <w:t> </w:t>
      </w:r>
      <w:r>
        <w:rPr>
          <w:spacing w:val="-95"/>
        </w:rPr>
      </w:r>
      <w:r>
        <w:rPr/>
        <w:t>的租金费用在租赁期内分摊，计入当期费用。</w:t>
      </w:r>
    </w:p>
    <w:p>
      <w:pPr>
        <w:pStyle w:val="Heading4"/>
        <w:spacing w:line="268" w:lineRule="auto" w:before="14"/>
        <w:ind w:left="153" w:right="0"/>
        <w:jc w:val="left"/>
      </w:pPr>
      <w:r>
        <w:rPr/>
        <w:t>（</w:t>
      </w:r>
      <w:r>
        <w:rPr>
          <w:rFonts w:ascii="Times New Roman" w:hAnsi="Times New Roman" w:cs="Times New Roman" w:eastAsia="Times New Roman" w:hint="default"/>
        </w:rPr>
        <w:t>2</w:t>
      </w:r>
      <w:r>
        <w:rPr/>
        <w:t>）公司出租资产所收取的租赁费，在不扣除免租期的整个租赁期内，按直线法进行分摊，确认为租赁</w:t>
      </w:r>
      <w:r>
        <w:rPr>
          <w:spacing w:val="-35"/>
        </w:rPr>
        <w:t> </w:t>
      </w:r>
      <w:r>
        <w:rPr>
          <w:spacing w:val="-35"/>
        </w:rPr>
      </w:r>
      <w:r>
        <w:rPr>
          <w:spacing w:val="-1"/>
        </w:rPr>
        <w:t>收入。公司支付的与租赁交易相关的初始直接费用，计入当期费用；如金额较大的，则予以资本化，在整</w:t>
      </w:r>
      <w:r>
        <w:rPr>
          <w:spacing w:val="-83"/>
        </w:rPr>
        <w:t> </w:t>
      </w:r>
      <w:r>
        <w:rPr>
          <w:spacing w:val="-83"/>
        </w:rPr>
      </w:r>
      <w:r>
        <w:rPr/>
        <w:t>个租赁期间内按照与租赁收入确认相同的基础分期计入当期收益。 </w:t>
      </w:r>
      <w:r>
        <w:rPr>
          <w:spacing w:val="-1"/>
        </w:rPr>
        <w:t>公司承担了应由承租方承担的与租赁相关的费用时，公司将该部分费用从租金收入总额中扣除，按扣除后</w:t>
      </w:r>
      <w:r>
        <w:rPr>
          <w:spacing w:val="-81"/>
        </w:rPr>
        <w:t> </w:t>
      </w:r>
      <w:r>
        <w:rPr>
          <w:spacing w:val="-81"/>
        </w:rPr>
      </w:r>
      <w:r>
        <w:rPr/>
        <w:t>的租金费用在租赁期内分配。</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）融资租赁会计处理</w:t>
      </w:r>
      <w:r>
        <w:rPr>
          <w:b w:val="0"/>
          <w:bCs w:val="0"/>
        </w:rPr>
      </w:r>
    </w:p>
    <w:p>
      <w:pPr>
        <w:spacing w:line="240" w:lineRule="auto" w:before="12"/>
        <w:rPr>
          <w:rFonts w:ascii="宋体" w:hAnsi="宋体" w:cs="宋体" w:eastAsia="宋体" w:hint="default"/>
          <w:b/>
          <w:bCs/>
          <w:sz w:val="24"/>
          <w:szCs w:val="24"/>
        </w:rPr>
      </w:pPr>
    </w:p>
    <w:p>
      <w:pPr>
        <w:pStyle w:val="Heading4"/>
        <w:spacing w:line="273" w:lineRule="auto"/>
        <w:ind w:right="151"/>
        <w:jc w:val="both"/>
      </w:pPr>
      <w:r>
        <w:rPr>
          <w:spacing w:val="-1"/>
        </w:rPr>
        <w:t>融资租入资产：公司在承租开始日，将租赁资产公允价值与最低租赁付款额现值两者中较低者作为租入资</w:t>
      </w:r>
      <w:r>
        <w:rPr>
          <w:spacing w:val="-81"/>
        </w:rPr>
        <w:t> </w:t>
      </w:r>
      <w:r>
        <w:rPr>
          <w:spacing w:val="-81"/>
        </w:rPr>
      </w:r>
      <w:r>
        <w:rPr>
          <w:spacing w:val="-1"/>
        </w:rPr>
        <w:t>产的入账价值，将最低租赁付款额作为长期应付款的入账价值，其差额作为未确认的融资费用。公司采用</w:t>
      </w:r>
      <w:r>
        <w:rPr>
          <w:spacing w:val="-83"/>
        </w:rPr>
        <w:t> </w:t>
      </w:r>
      <w:r>
        <w:rPr>
          <w:spacing w:val="-83"/>
        </w:rPr>
      </w:r>
      <w:r>
        <w:rPr>
          <w:spacing w:val="-1"/>
        </w:rPr>
        <w:t>实际利率法对未确认的融资费用，在资产租赁期间内摊销，计入财务费用。公司发生的初始直接费用，计</w:t>
      </w:r>
      <w:r>
        <w:rPr>
          <w:spacing w:val="-82"/>
        </w:rPr>
        <w:t> </w:t>
      </w:r>
      <w:r>
        <w:rPr>
          <w:spacing w:val="-82"/>
        </w:rPr>
      </w:r>
      <w:r>
        <w:rPr/>
        <w:t>入租入资产价值。</w:t>
      </w:r>
    </w:p>
    <w:p>
      <w:pPr>
        <w:spacing w:after="0" w:line="273" w:lineRule="auto"/>
        <w:jc w:val="both"/>
        <w:sectPr>
          <w:pgSz w:w="11910" w:h="16840"/>
          <w:pgMar w:header="747" w:footer="982" w:top="1060" w:bottom="1180" w:left="980" w:right="980"/>
        </w:sectPr>
      </w:pPr>
    </w:p>
    <w:p>
      <w:pPr>
        <w:spacing w:line="240" w:lineRule="auto" w:before="3"/>
        <w:rPr>
          <w:rFonts w:ascii="宋体" w:hAnsi="宋体" w:cs="宋体" w:eastAsia="宋体" w:hint="default"/>
          <w:sz w:val="25"/>
          <w:szCs w:val="25"/>
        </w:rPr>
      </w:pPr>
    </w:p>
    <w:p>
      <w:pPr>
        <w:pStyle w:val="Heading5"/>
        <w:spacing w:line="240" w:lineRule="auto" w:before="38"/>
        <w:ind w:right="0"/>
        <w:jc w:val="left"/>
        <w:rPr>
          <w:b w:val="0"/>
          <w:bCs w:val="0"/>
        </w:rPr>
      </w:pPr>
      <w:r>
        <w:rPr/>
        <w:t>（</w:t>
      </w:r>
      <w:r>
        <w:rPr>
          <w:rFonts w:ascii="Times New Roman" w:hAnsi="Times New Roman" w:cs="Times New Roman" w:eastAsia="Times New Roman" w:hint="default"/>
        </w:rPr>
        <w:t>3</w:t>
      </w:r>
      <w:r>
        <w:rPr/>
        <w:t>）售后租回的会计处理</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29</w:t>
      </w:r>
      <w:r>
        <w:rPr/>
        <w:t>、持有待售资产</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）持有待售资产确认标准</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2</w:t>
      </w:r>
      <w:r>
        <w:rPr/>
        <w:t>）持有待售资产的会计处理方法</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30</w:t>
      </w:r>
      <w:r>
        <w:rPr/>
        <w:t>、资产证券化业务</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31</w:t>
      </w:r>
      <w:r>
        <w:rPr/>
        <w:t>、套期会计</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32</w:t>
      </w:r>
      <w:r>
        <w:rPr/>
        <w:t>、主要会计政策、会计估计的变更</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t>本报告期主要会计政策、会计估计是否变更</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5"/>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t>本报告期主要会计政策是否变更</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本报告期主要会计估计是否变更</w:t>
      </w:r>
    </w:p>
    <w:p>
      <w:pPr>
        <w:pStyle w:val="BodyText"/>
        <w:spacing w:line="240" w:lineRule="auto" w:before="117"/>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5"/>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33</w:t>
      </w:r>
      <w:r>
        <w:rPr/>
        <w:t>、前期会计差错更正</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t>本报告期是否发现前期会计差错</w:t>
      </w:r>
    </w:p>
    <w:p>
      <w:pPr>
        <w:pStyle w:val="BodyText"/>
        <w:spacing w:line="338" w:lineRule="auto" w:before="116"/>
        <w:ind w:right="883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无</w:t>
      </w:r>
    </w:p>
    <w:p>
      <w:pPr>
        <w:spacing w:line="240" w:lineRule="auto" w:before="13"/>
        <w:rPr>
          <w:rFonts w:ascii="宋体" w:hAnsi="宋体" w:cs="宋体" w:eastAsia="宋体" w:hint="default"/>
          <w:sz w:val="21"/>
          <w:szCs w:val="21"/>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t>本报告期是否发现采用追溯重述法的前期会计差错</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5"/>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t>本报告期是否发现采用未来适用法的前期会计差错</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82" w:top="1060" w:bottom="1180" w:left="980" w:right="980"/>
        </w:sectPr>
      </w:pPr>
    </w:p>
    <w:p>
      <w:pPr>
        <w:spacing w:line="240" w:lineRule="auto" w:before="1"/>
        <w:rPr>
          <w:rFonts w:ascii="宋体" w:hAnsi="宋体" w:cs="宋体" w:eastAsia="宋体" w:hint="default"/>
          <w:sz w:val="25"/>
          <w:szCs w:val="25"/>
        </w:rPr>
      </w:pPr>
    </w:p>
    <w:p>
      <w:pPr>
        <w:pStyle w:val="Heading5"/>
        <w:spacing w:line="240" w:lineRule="auto" w:before="38"/>
        <w:ind w:right="91"/>
        <w:jc w:val="left"/>
        <w:rPr>
          <w:b w:val="0"/>
          <w:bCs w:val="0"/>
        </w:rPr>
      </w:pPr>
      <w:r>
        <w:rPr>
          <w:rFonts w:ascii="Times New Roman" w:hAnsi="Times New Roman" w:cs="Times New Roman" w:eastAsia="Times New Roman" w:hint="default"/>
        </w:rPr>
        <w:t>34</w:t>
      </w:r>
      <w:r>
        <w:rPr/>
        <w:t>、其他主要会计政策、会计估计和财务报表编制方法</w:t>
      </w:r>
      <w:r>
        <w:rPr>
          <w:b w:val="0"/>
          <w:bCs w:val="0"/>
        </w:rPr>
      </w:r>
    </w:p>
    <w:p>
      <w:pPr>
        <w:spacing w:line="240" w:lineRule="auto" w:before="4"/>
        <w:rPr>
          <w:rFonts w:ascii="宋体" w:hAnsi="宋体" w:cs="宋体" w:eastAsia="宋体" w:hint="default"/>
          <w:b/>
          <w:bCs/>
          <w:sz w:val="23"/>
          <w:szCs w:val="23"/>
        </w:rPr>
      </w:pPr>
    </w:p>
    <w:p>
      <w:pPr>
        <w:pStyle w:val="Heading2"/>
        <w:spacing w:line="240" w:lineRule="auto"/>
        <w:ind w:right="91"/>
        <w:jc w:val="left"/>
        <w:rPr>
          <w:b w:val="0"/>
          <w:bCs w:val="0"/>
        </w:rPr>
      </w:pPr>
      <w:r>
        <w:rPr/>
        <w:t>五、税项</w:t>
      </w:r>
      <w:r>
        <w:rPr>
          <w:b w:val="0"/>
          <w:bCs w:val="0"/>
        </w:rPr>
      </w:r>
    </w:p>
    <w:p>
      <w:pPr>
        <w:spacing w:line="240" w:lineRule="auto" w:before="4"/>
        <w:rPr>
          <w:rFonts w:ascii="宋体" w:hAnsi="宋体" w:cs="宋体" w:eastAsia="宋体" w:hint="default"/>
          <w:b/>
          <w:bCs/>
          <w:sz w:val="25"/>
          <w:szCs w:val="25"/>
        </w:rPr>
      </w:pPr>
    </w:p>
    <w:p>
      <w:pPr>
        <w:pStyle w:val="Heading5"/>
        <w:spacing w:line="240" w:lineRule="auto"/>
        <w:ind w:right="91"/>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515"/>
        <w:gridCol w:w="3026"/>
        <w:gridCol w:w="3026"/>
      </w:tblGrid>
      <w:tr>
        <w:trPr>
          <w:trHeight w:val="401"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4" w:hRule="exact"/>
        </w:trPr>
        <w:tc>
          <w:tcPr>
            <w:tcW w:w="3515" w:type="dxa"/>
            <w:tcBorders>
              <w:top w:val="single" w:sz="4" w:space="0" w:color="000000"/>
              <w:left w:val="single" w:sz="4" w:space="0" w:color="000000"/>
              <w:bottom w:val="nil" w:sz="6" w:space="0" w:color="auto"/>
              <w:right w:val="single" w:sz="4" w:space="0" w:color="000000"/>
            </w:tcBorders>
            <w:shd w:val="clear" w:color="auto" w:fill="D3D3D3"/>
          </w:tcPr>
          <w:p>
            <w:pPr/>
          </w:p>
        </w:tc>
        <w:tc>
          <w:tcPr>
            <w:tcW w:w="3026"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 </w:t>
            </w:r>
            <w:r>
              <w:rPr>
                <w:rFonts w:ascii="宋体" w:hAnsi="宋体" w:cs="宋体" w:eastAsia="宋体" w:hint="default"/>
                <w:spacing w:val="-6"/>
                <w:sz w:val="18"/>
                <w:szCs w:val="18"/>
              </w:rPr>
              <w:t>务收入为基础计算销项税额，在扣除当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期允许抵扣的进项税额后，差额部分为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应交增值税</w:t>
            </w:r>
          </w:p>
        </w:tc>
        <w:tc>
          <w:tcPr>
            <w:tcW w:w="30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w:t>
            </w:r>
          </w:p>
        </w:tc>
      </w:tr>
      <w:tr>
        <w:trPr>
          <w:trHeight w:val="391" w:hRule="exact"/>
        </w:trPr>
        <w:tc>
          <w:tcPr>
            <w:tcW w:w="351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6" w:type="dxa"/>
            <w:vMerge/>
            <w:tcBorders>
              <w:left w:val="single" w:sz="4" w:space="0" w:color="000000"/>
              <w:right w:val="single" w:sz="4" w:space="0" w:color="000000"/>
            </w:tcBorders>
          </w:tcPr>
          <w:p>
            <w:pPr/>
          </w:p>
        </w:tc>
        <w:tc>
          <w:tcPr>
            <w:tcW w:w="3026" w:type="dxa"/>
            <w:vMerge/>
            <w:tcBorders>
              <w:left w:val="single" w:sz="4" w:space="0" w:color="000000"/>
              <w:right w:val="single" w:sz="4" w:space="0" w:color="000000"/>
            </w:tcBorders>
          </w:tcPr>
          <w:p>
            <w:pPr/>
          </w:p>
        </w:tc>
      </w:tr>
      <w:tr>
        <w:trPr>
          <w:trHeight w:val="473" w:hRule="exact"/>
        </w:trPr>
        <w:tc>
          <w:tcPr>
            <w:tcW w:w="3515" w:type="dxa"/>
            <w:tcBorders>
              <w:top w:val="nil" w:sz="6" w:space="0" w:color="auto"/>
              <w:left w:val="single" w:sz="4" w:space="0" w:color="000000"/>
              <w:bottom w:val="single" w:sz="4" w:space="0" w:color="000000"/>
              <w:right w:val="single" w:sz="4" w:space="0" w:color="000000"/>
            </w:tcBorders>
            <w:shd w:val="clear" w:color="auto" w:fill="D3D3D3"/>
          </w:tcPr>
          <w:p>
            <w:pPr/>
          </w:p>
        </w:tc>
        <w:tc>
          <w:tcPr>
            <w:tcW w:w="3026" w:type="dxa"/>
            <w:vMerge/>
            <w:tcBorders>
              <w:left w:val="single" w:sz="4" w:space="0" w:color="000000"/>
              <w:bottom w:val="single" w:sz="4" w:space="0" w:color="000000"/>
              <w:right w:val="single" w:sz="4" w:space="0" w:color="000000"/>
            </w:tcBorders>
          </w:tcPr>
          <w:p>
            <w:pPr/>
          </w:p>
        </w:tc>
        <w:tc>
          <w:tcPr>
            <w:tcW w:w="3026" w:type="dxa"/>
            <w:vMerge/>
            <w:tcBorders>
              <w:left w:val="single" w:sz="4" w:space="0" w:color="000000"/>
              <w:bottom w:val="single" w:sz="4" w:space="0" w:color="000000"/>
              <w:right w:val="single" w:sz="4" w:space="0" w:color="000000"/>
            </w:tcBorders>
          </w:tcPr>
          <w:p>
            <w:pP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r>
      <w:tr>
        <w:trPr>
          <w:trHeight w:val="403"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0.06%</w:t>
            </w:r>
            <w:r>
              <w:rPr>
                <w:rFonts w:ascii="宋体" w:hAnsi="宋体" w:cs="宋体" w:eastAsia="宋体" w:hint="default"/>
                <w:sz w:val="18"/>
                <w:szCs w:val="18"/>
              </w:rPr>
              <w:t>、</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r>
              <w:rPr>
                <w:rFonts w:ascii="Times New Roman" w:hAnsi="Times New Roman" w:cs="Times New Roman" w:eastAsia="Times New Roman" w:hint="default"/>
                <w:sz w:val="18"/>
                <w:szCs w:val="18"/>
              </w:rPr>
              <w:t>0.12%</w:t>
            </w:r>
          </w:p>
        </w:tc>
      </w:tr>
    </w:tbl>
    <w:p>
      <w:pPr>
        <w:pStyle w:val="BodyText"/>
        <w:spacing w:line="240" w:lineRule="auto" w:before="51"/>
        <w:ind w:right="91"/>
        <w:jc w:val="left"/>
      </w:pPr>
      <w:r>
        <w:rPr/>
        <w:t>各分公司、分厂执行的所得税税率</w:t>
      </w:r>
    </w:p>
    <w:p>
      <w:pPr>
        <w:spacing w:line="240" w:lineRule="auto" w:before="0"/>
        <w:rPr>
          <w:rFonts w:ascii="宋体" w:hAnsi="宋体" w:cs="宋体" w:eastAsia="宋体" w:hint="default"/>
          <w:sz w:val="18"/>
          <w:szCs w:val="18"/>
        </w:rPr>
      </w:pPr>
    </w:p>
    <w:p>
      <w:pPr>
        <w:pStyle w:val="Heading5"/>
        <w:spacing w:line="240" w:lineRule="auto" w:before="123"/>
        <w:ind w:right="91"/>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12"/>
        <w:rPr>
          <w:rFonts w:ascii="宋体" w:hAnsi="宋体" w:cs="宋体" w:eastAsia="宋体" w:hint="default"/>
          <w:b/>
          <w:bCs/>
          <w:sz w:val="26"/>
          <w:szCs w:val="26"/>
        </w:rPr>
      </w:pPr>
    </w:p>
    <w:p>
      <w:pPr>
        <w:pStyle w:val="BodyText"/>
        <w:spacing w:line="300" w:lineRule="auto"/>
        <w:ind w:left="153" w:right="181"/>
        <w:jc w:val="left"/>
      </w:pPr>
      <w:r>
        <w:rPr/>
        <w:t>根据浙江省科学技术厅、浙江省财政厅、浙江省国家税务局和浙江省地方税务局联合发布的浙科发高【</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258</w:t>
      </w:r>
      <w:r>
        <w:rPr/>
        <w:t>号《关于 认定杭州华扬电子有限公司等</w:t>
      </w:r>
      <w:r>
        <w:rPr>
          <w:rFonts w:ascii="Times New Roman" w:hAnsi="Times New Roman" w:cs="Times New Roman" w:eastAsia="Times New Roman" w:hint="default"/>
        </w:rPr>
        <w:t>203</w:t>
      </w:r>
      <w:r>
        <w:rPr/>
        <w:t>家企业为</w:t>
      </w:r>
      <w:r>
        <w:rPr>
          <w:rFonts w:ascii="Times New Roman" w:hAnsi="Times New Roman" w:cs="Times New Roman" w:eastAsia="Times New Roman" w:hint="default"/>
        </w:rPr>
        <w:t>2010</w:t>
      </w:r>
      <w:r>
        <w:rPr/>
        <w:t>年第二批高新技术企业的通知》的文件，公司于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rFonts w:ascii="Times New Roman" w:hAnsi="Times New Roman" w:cs="Times New Roman" w:eastAsia="Times New Roman" w:hint="default"/>
        </w:rPr>
        <w:t>11</w:t>
      </w:r>
      <w:r>
        <w:rPr/>
        <w:t>月通过高新技术 企业认定，根据国家税务总局国税函</w:t>
      </w:r>
      <w:r>
        <w:rPr>
          <w:rFonts w:ascii="Times New Roman" w:hAnsi="Times New Roman" w:cs="Times New Roman" w:eastAsia="Times New Roman" w:hint="default"/>
        </w:rPr>
        <w:t>[2008]985</w:t>
      </w:r>
      <w:r>
        <w:rPr/>
        <w:t>号《关于高新技术企业</w:t>
      </w:r>
      <w:r>
        <w:rPr>
          <w:rFonts w:ascii="Times New Roman" w:hAnsi="Times New Roman" w:cs="Times New Roman" w:eastAsia="Times New Roman" w:hint="default"/>
        </w:rPr>
        <w:t>2008</w:t>
      </w:r>
      <w:r>
        <w:rPr/>
        <w:t>年度企业所得税问题的通知》和国税函</w:t>
      </w:r>
      <w:r>
        <w:rPr>
          <w:rFonts w:ascii="Times New Roman" w:hAnsi="Times New Roman" w:cs="Times New Roman" w:eastAsia="Times New Roman" w:hint="default"/>
        </w:rPr>
        <w:t>[2009]203 </w:t>
      </w:r>
      <w:r>
        <w:rPr>
          <w:spacing w:val="-2"/>
        </w:rPr>
        <w:t>号《国家税务总局关于实施高新技术企业所得税优惠有关问题的通知》的规定，公司</w:t>
      </w:r>
      <w:r>
        <w:rPr>
          <w:rFonts w:ascii="Times New Roman" w:hAnsi="Times New Roman" w:cs="Times New Roman" w:eastAsia="Times New Roman" w:hint="default"/>
          <w:spacing w:val="-2"/>
        </w:rPr>
        <w:t>2012</w:t>
      </w:r>
      <w:r>
        <w:rPr>
          <w:spacing w:val="-2"/>
        </w:rPr>
        <w:t>年度企业所得税按应纳税所得额的</w:t>
      </w:r>
      <w:r>
        <w:rPr>
          <w:spacing w:val="-62"/>
        </w:rPr>
        <w:t> </w:t>
      </w:r>
      <w:r>
        <w:rPr>
          <w:rFonts w:ascii="Times New Roman" w:hAnsi="Times New Roman" w:cs="Times New Roman" w:eastAsia="Times New Roman" w:hint="default"/>
        </w:rPr>
        <w:t>15%</w:t>
      </w:r>
      <w:r>
        <w:rPr/>
        <w:t>税率计缴。 根据浙江省科学技术厅、浙江省财政厅、浙江省国家税务局和浙江省国家税务局、浙江省地方税务局联合发布的浙科发高</w:t>
      </w:r>
    </w:p>
    <w:p>
      <w:pPr>
        <w:pStyle w:val="BodyText"/>
        <w:spacing w:line="300" w:lineRule="auto" w:before="31"/>
        <w:ind w:right="91"/>
        <w:jc w:val="left"/>
      </w:pPr>
      <w:r>
        <w:rPr>
          <w:spacing w:val="-2"/>
        </w:rPr>
        <w:t>【</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311</w:t>
      </w:r>
      <w:r>
        <w:rPr>
          <w:spacing w:val="-2"/>
        </w:rPr>
        <w:t>号《关于认定杭州新星光电有限公司等</w:t>
      </w:r>
      <w:r>
        <w:rPr>
          <w:rFonts w:ascii="Times New Roman" w:hAnsi="Times New Roman" w:cs="Times New Roman" w:eastAsia="Times New Roman" w:hint="default"/>
          <w:spacing w:val="-2"/>
        </w:rPr>
        <w:t>236</w:t>
      </w:r>
      <w:r>
        <w:rPr>
          <w:spacing w:val="-2"/>
        </w:rPr>
        <w:t>家企业为</w:t>
      </w:r>
      <w:r>
        <w:rPr>
          <w:rFonts w:ascii="Times New Roman" w:hAnsi="Times New Roman" w:cs="Times New Roman" w:eastAsia="Times New Roman" w:hint="default"/>
          <w:spacing w:val="-2"/>
        </w:rPr>
        <w:t>2012</w:t>
      </w:r>
      <w:r>
        <w:rPr>
          <w:spacing w:val="-2"/>
        </w:rPr>
        <w:t>年第一批高新技术企业的通知》的文件，子公司浙江汉</w:t>
      </w:r>
      <w:r>
        <w:rPr>
          <w:spacing w:val="-52"/>
        </w:rPr>
        <w:t> </w:t>
      </w:r>
      <w:r>
        <w:rPr>
          <w:spacing w:val="-52"/>
        </w:rPr>
      </w:r>
      <w:r>
        <w:rPr/>
        <w:t>爵科技有限公司于</w:t>
      </w:r>
      <w:r>
        <w:rPr>
          <w:spacing w:val="-21"/>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月通过高新技术企业认定，根据国家税务总局国税函</w:t>
      </w:r>
      <w:r>
        <w:rPr>
          <w:rFonts w:ascii="Times New Roman" w:hAnsi="Times New Roman" w:cs="Times New Roman" w:eastAsia="Times New Roman" w:hint="default"/>
        </w:rPr>
        <w:t>[2008]985</w:t>
      </w:r>
      <w:r>
        <w:rPr/>
        <w:t>号《关于高新技术企业</w:t>
      </w:r>
      <w:r>
        <w:rPr>
          <w:rFonts w:ascii="Times New Roman" w:hAnsi="Times New Roman" w:cs="Times New Roman" w:eastAsia="Times New Roman" w:hint="default"/>
        </w:rPr>
        <w:t>2008</w:t>
      </w:r>
      <w:r>
        <w:rPr/>
        <w:t>年度 </w:t>
      </w:r>
      <w:r>
        <w:rPr>
          <w:spacing w:val="-1"/>
        </w:rPr>
        <w:t>企业所得税问题的通知》和国税函</w:t>
      </w:r>
      <w:r>
        <w:rPr>
          <w:rFonts w:ascii="Times New Roman" w:hAnsi="Times New Roman" w:cs="Times New Roman" w:eastAsia="Times New Roman" w:hint="default"/>
          <w:spacing w:val="-1"/>
        </w:rPr>
        <w:t>[2009]203</w:t>
      </w:r>
      <w:r>
        <w:rPr>
          <w:spacing w:val="-1"/>
        </w:rPr>
        <w:t>号《国家税务总局关于实施高新技术企业所得税优惠有关问题的通知》的规定，</w:t>
      </w:r>
      <w:r>
        <w:rPr>
          <w:spacing w:val="-56"/>
        </w:rPr>
        <w:t> </w:t>
      </w:r>
      <w:r>
        <w:rPr>
          <w:spacing w:val="-56"/>
        </w:rPr>
      </w:r>
      <w:r>
        <w:rPr>
          <w:rFonts w:ascii="Times New Roman" w:hAnsi="Times New Roman" w:cs="Times New Roman" w:eastAsia="Times New Roman" w:hint="default"/>
        </w:rPr>
        <w:t>2012</w:t>
      </w:r>
      <w:r>
        <w:rPr/>
        <w:t>年度企业所得税按应纳税所得额的</w:t>
      </w:r>
      <w:r>
        <w:rPr>
          <w:rFonts w:ascii="Times New Roman" w:hAnsi="Times New Roman" w:cs="Times New Roman" w:eastAsia="Times New Roman" w:hint="default"/>
        </w:rPr>
        <w:t>15%</w:t>
      </w:r>
      <w:r>
        <w:rPr/>
        <w:t>税率计缴。</w:t>
      </w:r>
    </w:p>
    <w:p>
      <w:pPr>
        <w:spacing w:line="240" w:lineRule="auto" w:before="10"/>
        <w:rPr>
          <w:rFonts w:ascii="宋体" w:hAnsi="宋体" w:cs="宋体" w:eastAsia="宋体" w:hint="default"/>
          <w:sz w:val="22"/>
          <w:szCs w:val="22"/>
        </w:rPr>
      </w:pPr>
    </w:p>
    <w:p>
      <w:pPr>
        <w:pStyle w:val="Heading5"/>
        <w:spacing w:line="240" w:lineRule="auto"/>
        <w:ind w:right="91"/>
        <w:jc w:val="left"/>
        <w:rPr>
          <w:b w:val="0"/>
          <w:bCs w:val="0"/>
        </w:rPr>
      </w:pPr>
      <w:r>
        <w:rPr>
          <w:rFonts w:ascii="Times New Roman" w:hAnsi="Times New Roman" w:cs="Times New Roman" w:eastAsia="Times New Roman" w:hint="default"/>
        </w:rPr>
        <w:t>3</w:t>
      </w:r>
      <w:r>
        <w:rPr/>
        <w:t>、其他说明</w:t>
      </w:r>
      <w:r>
        <w:rPr>
          <w:b w:val="0"/>
          <w:bCs w:val="0"/>
        </w:rPr>
      </w:r>
    </w:p>
    <w:p>
      <w:pPr>
        <w:spacing w:line="240" w:lineRule="auto" w:before="12"/>
        <w:rPr>
          <w:rFonts w:ascii="宋体" w:hAnsi="宋体" w:cs="宋体" w:eastAsia="宋体" w:hint="default"/>
          <w:b/>
          <w:bCs/>
          <w:sz w:val="24"/>
          <w:szCs w:val="24"/>
        </w:rPr>
      </w:pPr>
    </w:p>
    <w:p>
      <w:pPr>
        <w:pStyle w:val="Heading4"/>
        <w:spacing w:line="256" w:lineRule="auto"/>
        <w:ind w:left="153" w:right="192"/>
        <w:jc w:val="both"/>
      </w:pPr>
      <w:r>
        <w:rPr/>
        <w:t>公司</w:t>
      </w:r>
      <w:r>
        <w:rPr>
          <w:rFonts w:ascii="Times New Roman" w:hAnsi="Times New Roman" w:cs="Times New Roman" w:eastAsia="Times New Roman" w:hint="default"/>
        </w:rPr>
        <w:t>2010</w:t>
      </w:r>
      <w:r>
        <w:rPr/>
        <w:t>年被认定为高新技术企业，</w:t>
      </w:r>
      <w:r>
        <w:rPr>
          <w:rFonts w:ascii="Times New Roman" w:hAnsi="Times New Roman" w:cs="Times New Roman" w:eastAsia="Times New Roman" w:hint="default"/>
        </w:rPr>
        <w:t>2012</w:t>
      </w:r>
      <w:r>
        <w:rPr/>
        <w:t>年度按</w:t>
      </w:r>
      <w:r>
        <w:rPr>
          <w:rFonts w:ascii="Times New Roman" w:hAnsi="Times New Roman" w:cs="Times New Roman" w:eastAsia="Times New Roman" w:hint="default"/>
        </w:rPr>
        <w:t>15%</w:t>
      </w:r>
      <w:r>
        <w:rPr/>
        <w:t>的税率计缴；浙江汉爵科技有限公司</w:t>
      </w:r>
      <w:r>
        <w:rPr>
          <w:rFonts w:ascii="Times New Roman" w:hAnsi="Times New Roman" w:cs="Times New Roman" w:eastAsia="Times New Roman" w:hint="default"/>
        </w:rPr>
        <w:t>2012</w:t>
      </w:r>
      <w:r>
        <w:rPr/>
        <w:t>年被认定为 高新技术企业，</w:t>
      </w:r>
      <w:r>
        <w:rPr>
          <w:rFonts w:ascii="Times New Roman" w:hAnsi="Times New Roman" w:cs="Times New Roman" w:eastAsia="Times New Roman" w:hint="default"/>
        </w:rPr>
        <w:t>2012</w:t>
      </w:r>
      <w:r>
        <w:rPr/>
        <w:t>年度按</w:t>
      </w:r>
      <w:r>
        <w:rPr>
          <w:rFonts w:ascii="Times New Roman" w:hAnsi="Times New Roman" w:cs="Times New Roman" w:eastAsia="Times New Roman" w:hint="default"/>
        </w:rPr>
        <w:t>15%</w:t>
      </w:r>
      <w:r>
        <w:rPr/>
        <w:t>的税率计缴；上海汉鼎信息技术有限公司、四川通普集成系统工程有限责</w:t>
      </w:r>
      <w:r>
        <w:rPr>
          <w:spacing w:val="-100"/>
        </w:rPr>
        <w:t> </w:t>
      </w:r>
      <w:r>
        <w:rPr>
          <w:spacing w:val="-100"/>
        </w:rPr>
      </w:r>
      <w:r>
        <w:rPr/>
        <w:t>任公司</w:t>
      </w:r>
      <w:r>
        <w:rPr>
          <w:rFonts w:ascii="Times New Roman" w:hAnsi="Times New Roman" w:cs="Times New Roman" w:eastAsia="Times New Roman" w:hint="default"/>
        </w:rPr>
        <w:t>2012</w:t>
      </w:r>
      <w:r>
        <w:rPr/>
        <w:t>年度按</w:t>
      </w:r>
      <w:r>
        <w:rPr>
          <w:rFonts w:ascii="Times New Roman" w:hAnsi="Times New Roman" w:cs="Times New Roman" w:eastAsia="Times New Roman" w:hint="default"/>
        </w:rPr>
        <w:t>25</w:t>
      </w:r>
      <w:r>
        <w:rPr/>
        <w:t>％的税率计缴；</w:t>
      </w:r>
    </w:p>
    <w:p>
      <w:pPr>
        <w:spacing w:after="0" w:line="256" w:lineRule="auto"/>
        <w:jc w:val="both"/>
        <w:sectPr>
          <w:pgSz w:w="11910" w:h="16840"/>
          <w:pgMar w:header="747" w:footer="982" w:top="1060" w:bottom="1180" w:left="980" w:right="94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六、企业合并及合并财务报表</w:t>
      </w:r>
      <w:r>
        <w:rPr>
          <w:b w:val="0"/>
          <w:bCs w:val="0"/>
        </w:rPr>
      </w:r>
    </w:p>
    <w:p>
      <w:pPr>
        <w:spacing w:line="240" w:lineRule="auto" w:before="4"/>
        <w:rPr>
          <w:rFonts w:ascii="宋体" w:hAnsi="宋体" w:cs="宋体" w:eastAsia="宋体" w:hint="default"/>
          <w:b/>
          <w:bCs/>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57" w:hRule="exact"/>
        </w:trPr>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从母公</w:t>
            </w:r>
          </w:p>
        </w:tc>
      </w:tr>
      <w:tr>
        <w:trPr>
          <w:trHeight w:val="311"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司所有</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者权益</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冲减子</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公司少</w:t>
            </w:r>
          </w:p>
        </w:tc>
      </w:tr>
      <w:tr>
        <w:trPr>
          <w:trHeight w:val="2496"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66"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65"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11" w:right="6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38" w:lineRule="auto"/>
              <w:ind w:left="65"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66"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6" w:right="65"/>
              <w:jc w:val="both"/>
              <w:rPr>
                <w:rFonts w:ascii="宋体" w:hAnsi="宋体" w:cs="宋体" w:eastAsia="宋体" w:hint="default"/>
                <w:sz w:val="18"/>
                <w:szCs w:val="18"/>
              </w:rPr>
            </w:pPr>
            <w:r>
              <w:rPr>
                <w:rFonts w:ascii="宋体" w:hAnsi="宋体" w:cs="宋体" w:eastAsia="宋体" w:hint="default"/>
                <w:sz w:val="18"/>
                <w:szCs w:val="18"/>
              </w:rPr>
              <w:t>数股东 分担的 本期亏 损超过 少数股 东在该 子公司 年初所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享有份</w:t>
            </w:r>
          </w:p>
        </w:tc>
      </w:tr>
      <w:tr>
        <w:trPr>
          <w:trHeight w:val="313"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额后的</w:t>
            </w: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公共安</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全产品</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1560"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上海汉 鼎信息 技术有 限公司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信息技 术服务 业</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及系 统、安 防产品 及系 统、技</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术服务</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等。</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通过设立或投资等方式取得的子公司的其他说明</w:t>
      </w:r>
    </w:p>
    <w:p>
      <w:pPr>
        <w:spacing w:line="240" w:lineRule="auto" w:before="0"/>
        <w:rPr>
          <w:rFonts w:ascii="宋体" w:hAnsi="宋体" w:cs="宋体" w:eastAsia="宋体" w:hint="default"/>
          <w:sz w:val="18"/>
          <w:szCs w:val="18"/>
        </w:rPr>
      </w:pPr>
    </w:p>
    <w:p>
      <w:pPr>
        <w:pStyle w:val="Heading5"/>
        <w:spacing w:line="240" w:lineRule="auto" w:before="124"/>
        <w:ind w:right="0"/>
        <w:jc w:val="left"/>
        <w:rPr>
          <w:b w:val="0"/>
          <w:bCs w:val="0"/>
        </w:rPr>
      </w:pP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1298" w:hRule="exact"/>
        </w:trPr>
        <w:tc>
          <w:tcPr>
            <w:tcW w:w="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66"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5" w:right="65"/>
              <w:jc w:val="both"/>
              <w:rPr>
                <w:rFonts w:ascii="宋体" w:hAnsi="宋体" w:cs="宋体" w:eastAsia="宋体" w:hint="default"/>
                <w:sz w:val="18"/>
                <w:szCs w:val="18"/>
              </w:rPr>
            </w:pPr>
            <w:r>
              <w:rPr>
                <w:rFonts w:ascii="宋体" w:hAnsi="宋体" w:cs="宋体" w:eastAsia="宋体" w:hint="default"/>
                <w:sz w:val="18"/>
                <w:szCs w:val="18"/>
              </w:rPr>
              <w:t>实质上 构成对 子公司 净投资</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111" w:right="6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338" w:lineRule="auto"/>
              <w:ind w:left="65"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67" w:right="65"/>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66"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6" w:right="65"/>
              <w:jc w:val="both"/>
              <w:rPr>
                <w:rFonts w:ascii="宋体" w:hAnsi="宋体" w:cs="宋体" w:eastAsia="宋体" w:hint="default"/>
                <w:sz w:val="18"/>
                <w:szCs w:val="18"/>
              </w:rPr>
            </w:pPr>
            <w:r>
              <w:rPr>
                <w:rFonts w:ascii="宋体" w:hAnsi="宋体" w:cs="宋体" w:eastAsia="宋体" w:hint="default"/>
                <w:sz w:val="18"/>
                <w:szCs w:val="18"/>
              </w:rPr>
              <w:t>少数股 东权益 中用于 冲减少</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6" w:right="65"/>
              <w:jc w:val="both"/>
              <w:rPr>
                <w:rFonts w:ascii="宋体" w:hAnsi="宋体" w:cs="宋体" w:eastAsia="宋体" w:hint="default"/>
                <w:sz w:val="18"/>
                <w:szCs w:val="18"/>
              </w:rPr>
            </w:pPr>
            <w:r>
              <w:rPr>
                <w:rFonts w:ascii="宋体" w:hAnsi="宋体" w:cs="宋体" w:eastAsia="宋体" w:hint="default"/>
                <w:sz w:val="18"/>
                <w:szCs w:val="18"/>
              </w:rPr>
              <w:t>从母公 司所有 者权益 冲减子</w:t>
            </w:r>
          </w:p>
        </w:tc>
      </w:tr>
    </w:tbl>
    <w:p>
      <w:pPr>
        <w:spacing w:after="0" w:line="316" w:lineRule="auto"/>
        <w:jc w:val="both"/>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17" w:hRule="exact"/>
        </w:trPr>
        <w:tc>
          <w:tcPr>
            <w:tcW w:w="685"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的其他</w:t>
            </w: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数股东</w:t>
            </w: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公司少</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项目余</w:t>
            </w: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损益的</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数股东</w:t>
            </w:r>
          </w:p>
        </w:tc>
      </w:tr>
      <w:tr>
        <w:trPr>
          <w:trHeight w:val="313"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分担的</w:t>
            </w:r>
          </w:p>
        </w:tc>
      </w:tr>
      <w:tr>
        <w:trPr>
          <w:trHeight w:val="311"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本期亏</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损超过</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少数股</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东在该</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子公司</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年初所</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享有份</w:t>
            </w:r>
          </w:p>
        </w:tc>
      </w:tr>
      <w:tr>
        <w:trPr>
          <w:trHeight w:val="313"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额后的</w:t>
            </w:r>
          </w:p>
        </w:tc>
      </w:tr>
      <w:tr>
        <w:trPr>
          <w:trHeight w:val="357" w:hRule="exact"/>
        </w:trPr>
        <w:tc>
          <w:tcPr>
            <w:tcW w:w="685"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软件的</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技术开</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发及成</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1249"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10"/>
              <w:jc w:val="both"/>
              <w:rPr>
                <w:rFonts w:ascii="宋体" w:hAnsi="宋体" w:cs="宋体" w:eastAsia="宋体" w:hint="default"/>
                <w:sz w:val="18"/>
                <w:szCs w:val="18"/>
              </w:rPr>
            </w:pPr>
            <w:r>
              <w:rPr>
                <w:rFonts w:ascii="宋体" w:hAnsi="宋体" w:cs="宋体" w:eastAsia="宋体" w:hint="default"/>
                <w:sz w:val="18"/>
                <w:szCs w:val="18"/>
              </w:rPr>
              <w:t>浙江汉 爵科技 有限公 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浙江杭 州</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信息技 术服务 业</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果转 让，节 能技术 开发，</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楼宇智</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能化系</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统设备</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安装等</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通过同一控制下企业合并取得的子公司的其他说明</w:t>
      </w:r>
    </w:p>
    <w:p>
      <w:pPr>
        <w:spacing w:line="240" w:lineRule="auto" w:before="0"/>
        <w:rPr>
          <w:rFonts w:ascii="宋体" w:hAnsi="宋体" w:cs="宋体" w:eastAsia="宋体" w:hint="default"/>
          <w:sz w:val="18"/>
          <w:szCs w:val="18"/>
        </w:rPr>
      </w:pPr>
    </w:p>
    <w:p>
      <w:pPr>
        <w:pStyle w:val="Heading5"/>
        <w:spacing w:line="240" w:lineRule="auto" w:before="124"/>
        <w:ind w:right="0"/>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57" w:hRule="exact"/>
        </w:trPr>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从母公</w:t>
            </w:r>
          </w:p>
        </w:tc>
      </w:tr>
      <w:tr>
        <w:trPr>
          <w:trHeight w:val="311"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司所有</w:t>
            </w:r>
          </w:p>
        </w:tc>
      </w:tr>
      <w:tr>
        <w:trPr>
          <w:trHeight w:val="2496"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319" w:lineRule="auto"/>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319"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319"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319"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319"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319" w:lineRule="auto"/>
              <w:ind w:left="66"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47"/>
              <w:ind w:left="65"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319" w:lineRule="auto"/>
              <w:ind w:left="111" w:right="6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338" w:lineRule="auto"/>
              <w:ind w:left="65"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319" w:lineRule="auto"/>
              <w:ind w:left="67" w:right="65"/>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319" w:lineRule="auto"/>
              <w:ind w:left="66"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47"/>
              <w:ind w:left="66" w:right="65"/>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6" w:right="65"/>
              <w:jc w:val="both"/>
              <w:rPr>
                <w:rFonts w:ascii="宋体" w:hAnsi="宋体" w:cs="宋体" w:eastAsia="宋体" w:hint="default"/>
                <w:sz w:val="18"/>
                <w:szCs w:val="18"/>
              </w:rPr>
            </w:pPr>
            <w:r>
              <w:rPr>
                <w:rFonts w:ascii="宋体" w:hAnsi="宋体" w:cs="宋体" w:eastAsia="宋体" w:hint="default"/>
                <w:sz w:val="18"/>
                <w:szCs w:val="18"/>
              </w:rPr>
              <w:t>者权益 冲减子 公司少 数股东 分担的 本期亏 损超过 少数股</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东在该</w:t>
            </w:r>
          </w:p>
        </w:tc>
      </w:tr>
      <w:tr>
        <w:trPr>
          <w:trHeight w:val="317" w:hRule="exact"/>
        </w:trPr>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子公司</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17" w:hRule="exact"/>
        </w:trPr>
        <w:tc>
          <w:tcPr>
            <w:tcW w:w="685"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年初所</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享有份</w:t>
            </w:r>
          </w:p>
        </w:tc>
      </w:tr>
      <w:tr>
        <w:trPr>
          <w:trHeight w:val="313"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额后的</w:t>
            </w:r>
          </w:p>
        </w:tc>
      </w:tr>
      <w:tr>
        <w:trPr>
          <w:trHeight w:val="357" w:hRule="exact"/>
        </w:trPr>
        <w:tc>
          <w:tcPr>
            <w:tcW w:w="685"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建筑智</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能化工</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四川通</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程专业</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1247"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普集成 系统工 程有限 责任公</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四川省 成都市</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信息技 术服务 业</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承包、 建筑智 能化系 统集成</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1,800.0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20" w:right="0"/>
              <w:jc w:val="left"/>
              <w:rPr>
                <w:rFonts w:ascii="Times New Roman" w:hAnsi="Times New Roman" w:cs="Times New Roman" w:eastAsia="Times New Roman" w:hint="default"/>
                <w:sz w:val="18"/>
                <w:szCs w:val="18"/>
              </w:rPr>
            </w:pPr>
            <w:r>
              <w:rPr>
                <w:rFonts w:ascii="Times New Roman"/>
                <w:sz w:val="18"/>
              </w:rPr>
              <w:t>75%</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20" w:right="0"/>
              <w:jc w:val="left"/>
              <w:rPr>
                <w:rFonts w:ascii="Times New Roman" w:hAnsi="Times New Roman" w:cs="Times New Roman" w:eastAsia="Times New Roman" w:hint="default"/>
                <w:sz w:val="18"/>
                <w:szCs w:val="18"/>
              </w:rPr>
            </w:pPr>
            <w:r>
              <w:rPr>
                <w:rFonts w:ascii="Times New Roman"/>
                <w:sz w:val="18"/>
              </w:rPr>
              <w:t>75%</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477.41</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专项工</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程设计</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等</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通过非同一控制下企业合并取得的子公司的其他说明</w:t>
      </w:r>
    </w:p>
    <w:p>
      <w:pPr>
        <w:spacing w:line="240" w:lineRule="auto" w:before="0"/>
        <w:rPr>
          <w:rFonts w:ascii="宋体" w:hAnsi="宋体" w:cs="宋体" w:eastAsia="宋体" w:hint="default"/>
          <w:sz w:val="18"/>
          <w:szCs w:val="18"/>
        </w:rPr>
      </w:pPr>
    </w:p>
    <w:p>
      <w:pPr>
        <w:pStyle w:val="Heading5"/>
        <w:spacing w:line="240" w:lineRule="auto" w:before="124"/>
        <w:ind w:right="0"/>
        <w:jc w:val="left"/>
        <w:rPr>
          <w:b w:val="0"/>
          <w:bCs w:val="0"/>
        </w:rPr>
      </w:pPr>
      <w:r>
        <w:rPr>
          <w:rFonts w:ascii="Times New Roman" w:hAnsi="Times New Roman" w:cs="Times New Roman" w:eastAsia="Times New Roman" w:hint="default"/>
        </w:rPr>
        <w:t>2</w:t>
      </w:r>
      <w:r>
        <w:rPr/>
        <w:t>、特殊目的主体或通过受托经营或承租等方式形成控制权的经营实体</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82"/>
        <w:gridCol w:w="4699"/>
      </w:tblGrid>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与公司主要业务往来</w:t>
            </w:r>
          </w:p>
        </w:tc>
        <w:tc>
          <w:tcPr>
            <w:tcW w:w="4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z w:val="18"/>
                <w:szCs w:val="18"/>
              </w:rPr>
              <w:t>在合并报表内确认的主要资产、负债期末余额</w:t>
            </w:r>
          </w:p>
        </w:tc>
      </w:tr>
    </w:tbl>
    <w:p>
      <w:pPr>
        <w:pStyle w:val="BodyText"/>
        <w:spacing w:line="357" w:lineRule="auto" w:before="51"/>
        <w:ind w:left="153" w:right="3651"/>
        <w:jc w:val="left"/>
      </w:pPr>
      <w:r>
        <w:rPr/>
        <w:t>特殊目的主体或通过受托经营或承租等方式形成控制权的经营实体的其他说明 无</w:t>
      </w:r>
    </w:p>
    <w:p>
      <w:pPr>
        <w:spacing w:line="240" w:lineRule="auto" w:before="12"/>
        <w:rPr>
          <w:rFonts w:ascii="宋体" w:hAnsi="宋体" w:cs="宋体" w:eastAsia="宋体" w:hint="default"/>
          <w:sz w:val="20"/>
          <w:szCs w:val="20"/>
        </w:rPr>
      </w:pPr>
    </w:p>
    <w:p>
      <w:pPr>
        <w:pStyle w:val="Heading5"/>
        <w:spacing w:line="240" w:lineRule="auto"/>
        <w:ind w:right="0"/>
        <w:jc w:val="both"/>
        <w:rPr>
          <w:b w:val="0"/>
          <w:bCs w:val="0"/>
        </w:rPr>
      </w:pPr>
      <w:r>
        <w:rPr>
          <w:rFonts w:ascii="Times New Roman" w:hAnsi="Times New Roman" w:cs="Times New Roman" w:eastAsia="Times New Roman" w:hint="default"/>
        </w:rPr>
        <w:t>3</w:t>
      </w:r>
      <w:r>
        <w:rPr/>
        <w:t>、合并范围发生变更的说明</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both"/>
      </w:pPr>
      <w:r>
        <w:rPr/>
        <w:t>合并报表范围发生变更说明</w:t>
      </w:r>
    </w:p>
    <w:p>
      <w:pPr>
        <w:pStyle w:val="Heading3"/>
        <w:spacing w:line="240" w:lineRule="auto" w:before="89"/>
        <w:ind w:right="0"/>
        <w:jc w:val="both"/>
        <w:rPr>
          <w:b w:val="0"/>
          <w:bCs w:val="0"/>
        </w:rPr>
      </w:pPr>
      <w:r>
        <w:rPr>
          <w:rFonts w:ascii="Times New Roman" w:hAnsi="Times New Roman" w:cs="Times New Roman" w:eastAsia="Times New Roman" w:hint="default"/>
        </w:rPr>
        <w:t>1</w:t>
      </w:r>
      <w:r>
        <w:rPr/>
        <w:t>、与上期相比本期新增合并单位</w:t>
      </w:r>
      <w:r>
        <w:rPr>
          <w:rFonts w:ascii="Times New Roman" w:hAnsi="Times New Roman" w:cs="Times New Roman" w:eastAsia="Times New Roman" w:hint="default"/>
        </w:rPr>
        <w:t>2</w:t>
      </w:r>
      <w:r>
        <w:rPr/>
        <w:t>家，原因为：</w:t>
      </w:r>
      <w:r>
        <w:rPr>
          <w:b w:val="0"/>
          <w:bCs w:val="0"/>
        </w:rPr>
      </w:r>
    </w:p>
    <w:p>
      <w:pPr>
        <w:pStyle w:val="Heading3"/>
        <w:spacing w:line="256" w:lineRule="auto"/>
        <w:ind w:right="0" w:hanging="1"/>
        <w:jc w:val="left"/>
        <w:rPr>
          <w:b w:val="0"/>
          <w:bCs w:val="0"/>
        </w:rPr>
      </w:pPr>
      <w:r>
        <w:rPr>
          <w:w w:val="95"/>
        </w:rPr>
        <w:t>（</w:t>
      </w:r>
      <w:r>
        <w:rPr>
          <w:rFonts w:ascii="Times New Roman" w:hAnsi="Times New Roman" w:cs="Times New Roman" w:eastAsia="Times New Roman" w:hint="default"/>
          <w:w w:val="95"/>
        </w:rPr>
        <w:t>1</w:t>
      </w:r>
      <w:r>
        <w:rPr>
          <w:w w:val="95"/>
        </w:rPr>
        <w:t>） </w:t>
      </w:r>
      <w:r>
        <w:rPr>
          <w:rFonts w:ascii="Times New Roman" w:hAnsi="Times New Roman" w:cs="Times New Roman" w:eastAsia="Times New Roman" w:hint="default"/>
          <w:w w:val="95"/>
        </w:rPr>
        <w:t>2012</w:t>
      </w:r>
      <w:r>
        <w:rPr>
          <w:w w:val="95"/>
        </w:rPr>
        <w:t>年</w:t>
      </w:r>
      <w:r>
        <w:rPr>
          <w:rFonts w:ascii="Times New Roman" w:hAnsi="Times New Roman" w:cs="Times New Roman" w:eastAsia="Times New Roman" w:hint="default"/>
          <w:w w:val="95"/>
        </w:rPr>
        <w:t>9</w:t>
      </w:r>
      <w:r>
        <w:rPr>
          <w:w w:val="95"/>
        </w:rPr>
        <w:t>月，公司出资设立上海汉鼎信息技术有限公司，本公司拥有其</w:t>
      </w:r>
      <w:r>
        <w:rPr>
          <w:rFonts w:ascii="Times New Roman" w:hAnsi="Times New Roman" w:cs="Times New Roman" w:eastAsia="Times New Roman" w:hint="default"/>
          <w:w w:val="95"/>
        </w:rPr>
        <w:t>100.00%</w:t>
      </w:r>
      <w:r>
        <w:rPr>
          <w:w w:val="95"/>
        </w:rPr>
        <w:t>的股权，将其纳入合</w:t>
      </w:r>
      <w:r>
        <w:rPr>
          <w:spacing w:val="-36"/>
          <w:w w:val="95"/>
        </w:rPr>
        <w:t> </w:t>
      </w:r>
      <w:r>
        <w:rPr>
          <w:spacing w:val="-36"/>
          <w:w w:val="95"/>
        </w:rPr>
      </w:r>
      <w:r>
        <w:rPr/>
        <w:t>并范围。</w:t>
      </w:r>
      <w:r>
        <w:rPr>
          <w:b w:val="0"/>
          <w:bCs w:val="0"/>
        </w:rPr>
      </w:r>
    </w:p>
    <w:p>
      <w:pPr>
        <w:pStyle w:val="Heading3"/>
        <w:spacing w:line="240" w:lineRule="auto" w:before="22"/>
        <w:ind w:right="0"/>
        <w:jc w:val="both"/>
        <w:rPr>
          <w:b w:val="0"/>
          <w:bCs w:val="0"/>
        </w:rPr>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月，公司受让了黄门马、马纲、徐文跃和张勇持有的四川通普集成系统工程有限责任公司</w:t>
      </w:r>
      <w:r>
        <w:rPr>
          <w:b w:val="0"/>
          <w:bCs w:val="0"/>
        </w:rPr>
      </w:r>
    </w:p>
    <w:p>
      <w:pPr>
        <w:pStyle w:val="Heading3"/>
        <w:spacing w:line="240" w:lineRule="auto"/>
        <w:ind w:right="0"/>
        <w:jc w:val="both"/>
        <w:rPr>
          <w:b w:val="0"/>
          <w:bCs w:val="0"/>
        </w:rPr>
      </w:pPr>
      <w:r>
        <w:rPr>
          <w:rFonts w:ascii="Times New Roman" w:hAnsi="Times New Roman" w:cs="Times New Roman" w:eastAsia="Times New Roman" w:hint="default"/>
        </w:rPr>
        <w:t>75%</w:t>
      </w:r>
      <w:r>
        <w:rPr/>
        <w:t>的股权，自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月起将其纳入合并范围。</w:t>
      </w:r>
      <w:r>
        <w:rPr>
          <w:b w:val="0"/>
          <w:bCs w:val="0"/>
        </w:rPr>
      </w:r>
    </w:p>
    <w:p>
      <w:pPr>
        <w:pStyle w:val="Heading3"/>
        <w:spacing w:line="240" w:lineRule="auto"/>
        <w:ind w:left="153" w:right="0"/>
        <w:jc w:val="both"/>
        <w:rPr>
          <w:b w:val="0"/>
          <w:bCs w:val="0"/>
        </w:rPr>
      </w:pPr>
      <w:r>
        <w:rPr>
          <w:rFonts w:ascii="Times New Roman" w:hAnsi="Times New Roman" w:cs="Times New Roman" w:eastAsia="Times New Roman" w:hint="default"/>
        </w:rPr>
        <w:t>2</w:t>
      </w:r>
      <w:r>
        <w:rPr/>
        <w:t>、报告期内无减少合并单位。</w:t>
      </w:r>
      <w:r>
        <w:rPr>
          <w:b w:val="0"/>
          <w:bCs w:val="0"/>
        </w:rPr>
      </w:r>
    </w:p>
    <w:p>
      <w:pPr>
        <w:pStyle w:val="BodyText"/>
        <w:spacing w:line="340" w:lineRule="auto" w:before="87"/>
        <w:ind w:right="5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与上年相比本年（期）新增合并单位</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家，原因为</w:t>
      </w:r>
    </w:p>
    <w:p>
      <w:pPr>
        <w:pStyle w:val="Heading4"/>
        <w:spacing w:line="256" w:lineRule="auto"/>
        <w:ind w:left="206" w:right="147"/>
        <w:jc w:val="both"/>
      </w:pPr>
      <w:r>
        <w:rPr/>
        <w:t>（</w:t>
      </w:r>
      <w:r>
        <w:rPr>
          <w:rFonts w:ascii="Times New Roman" w:hAnsi="Times New Roman" w:cs="Times New Roman" w:eastAsia="Times New Roman" w:hint="default"/>
        </w:rPr>
        <w:t>1</w:t>
      </w:r>
      <w:r>
        <w:rPr/>
        <w:t>）</w:t>
      </w:r>
      <w:r>
        <w:rPr>
          <w:spacing w:val="-37"/>
        </w:rPr>
        <w:t> </w:t>
      </w:r>
      <w:r>
        <w:rPr/>
        <w:t>根据公司第二届董事会第三次会议决议，公司于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r>
        <w:rPr/>
        <w:t>日以</w:t>
      </w:r>
      <w:r>
        <w:rPr>
          <w:rFonts w:ascii="Times New Roman" w:hAnsi="Times New Roman" w:cs="Times New Roman" w:eastAsia="Times New Roman" w:hint="default"/>
        </w:rPr>
        <w:t>2,000</w:t>
      </w:r>
      <w:r>
        <w:rPr/>
        <w:t>万元投资设立上海汉鼎信息</w:t>
      </w:r>
      <w:r>
        <w:rPr>
          <w:spacing w:val="-100"/>
        </w:rPr>
        <w:t> </w:t>
      </w:r>
      <w:r>
        <w:rPr>
          <w:spacing w:val="-100"/>
        </w:rPr>
      </w:r>
      <w:r>
        <w:rPr>
          <w:spacing w:val="-2"/>
        </w:rPr>
        <w:t>技术有限公司，占其</w:t>
      </w:r>
      <w:r>
        <w:rPr>
          <w:rFonts w:ascii="Times New Roman" w:hAnsi="Times New Roman" w:cs="Times New Roman" w:eastAsia="Times New Roman" w:hint="default"/>
          <w:spacing w:val="-2"/>
        </w:rPr>
        <w:t>100%</w:t>
      </w:r>
      <w:r>
        <w:rPr>
          <w:spacing w:val="-2"/>
        </w:rPr>
        <w:t>股权，公司于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21</w:t>
      </w:r>
      <w:r>
        <w:rPr>
          <w:spacing w:val="-2"/>
        </w:rPr>
        <w:t>日支付投资款</w:t>
      </w:r>
      <w:r>
        <w:rPr>
          <w:rFonts w:ascii="Times New Roman" w:hAnsi="Times New Roman" w:cs="Times New Roman" w:eastAsia="Times New Roman" w:hint="default"/>
          <w:spacing w:val="-2"/>
        </w:rPr>
        <w:t>2,000</w:t>
      </w:r>
      <w:r>
        <w:rPr>
          <w:spacing w:val="-2"/>
        </w:rPr>
        <w:t>万元，出资业经上海川立会计师事</w:t>
      </w:r>
      <w:r>
        <w:rPr/>
        <w:t> </w:t>
      </w:r>
      <w:r>
        <w:rPr>
          <w:spacing w:val="-1"/>
        </w:rPr>
        <w:t>务所（普通合伙）审验，并于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27</w:t>
      </w:r>
      <w:r>
        <w:rPr>
          <w:spacing w:val="-1"/>
        </w:rPr>
        <w:t>日出具了沪川立会师内验字</w:t>
      </w:r>
      <w:r>
        <w:rPr>
          <w:rFonts w:ascii="Times New Roman" w:hAnsi="Times New Roman" w:cs="Times New Roman" w:eastAsia="Times New Roman" w:hint="default"/>
          <w:spacing w:val="-1"/>
        </w:rPr>
        <w:t>[2012]</w:t>
      </w:r>
      <w:r>
        <w:rPr>
          <w:spacing w:val="-1"/>
        </w:rPr>
        <w:t>第</w:t>
      </w:r>
      <w:r>
        <w:rPr>
          <w:rFonts w:ascii="Times New Roman" w:hAnsi="Times New Roman" w:cs="Times New Roman" w:eastAsia="Times New Roman" w:hint="default"/>
          <w:spacing w:val="-1"/>
        </w:rPr>
        <w:t>4761</w:t>
      </w:r>
      <w:r>
        <w:rPr>
          <w:spacing w:val="-1"/>
        </w:rPr>
        <w:t>号验资报告。</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17"/>
        </w:rPr>
        <w:t> </w:t>
      </w:r>
      <w:r>
        <w:rPr>
          <w:spacing w:val="-2"/>
        </w:rPr>
        <w:t>月</w:t>
      </w:r>
      <w:r>
        <w:rPr>
          <w:rFonts w:ascii="Times New Roman" w:hAnsi="Times New Roman" w:cs="Times New Roman" w:eastAsia="Times New Roman" w:hint="default"/>
          <w:spacing w:val="-2"/>
        </w:rPr>
        <w:t>29</w:t>
      </w:r>
      <w:r>
        <w:rPr>
          <w:spacing w:val="-2"/>
        </w:rPr>
        <w:t>号上海汉鼎信息技术有限公司取得上海市工商行政管理局黄浦分局核发的企业法人营业执照。公司自</w:t>
      </w:r>
      <w:r>
        <w:rPr>
          <w:spacing w:val="-88"/>
        </w:rPr>
        <w:t> </w:t>
      </w:r>
      <w:r>
        <w:rPr>
          <w:spacing w:val="-88"/>
        </w:rPr>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日起，将其纳入合并财务报表范围。</w:t>
      </w:r>
    </w:p>
    <w:p>
      <w:pPr>
        <w:pStyle w:val="Heading4"/>
        <w:spacing w:line="256" w:lineRule="auto" w:before="5"/>
        <w:ind w:left="206" w:right="145"/>
        <w:jc w:val="left"/>
      </w:pPr>
      <w:r>
        <w:rPr>
          <w:spacing w:val="-4"/>
        </w:rPr>
        <w:t>（</w:t>
      </w:r>
      <w:r>
        <w:rPr>
          <w:rFonts w:ascii="Times New Roman" w:hAnsi="Times New Roman" w:cs="Times New Roman" w:eastAsia="Times New Roman" w:hint="default"/>
          <w:spacing w:val="-4"/>
        </w:rPr>
        <w:t>2</w:t>
      </w:r>
      <w:r>
        <w:rPr>
          <w:spacing w:val="-4"/>
        </w:rPr>
        <w:t>）根据</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20</w:t>
      </w:r>
      <w:r>
        <w:rPr>
          <w:spacing w:val="-4"/>
        </w:rPr>
        <w:t>日公司与黄门马、马纲、徐文跃和张勇签署的《股权转让协议书》，公司拟以</w:t>
      </w:r>
      <w:r>
        <w:rPr>
          <w:rFonts w:ascii="Times New Roman" w:hAnsi="Times New Roman" w:cs="Times New Roman" w:eastAsia="Times New Roman" w:hint="default"/>
          <w:spacing w:val="-4"/>
        </w:rPr>
        <w:t>1800</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9"/>
        </w:rPr>
      </w:r>
      <w:r>
        <w:rPr/>
        <w:t>万元受让四川通普集成系统工程有限责任公司</w:t>
      </w:r>
      <w:r>
        <w:rPr>
          <w:rFonts w:ascii="Times New Roman" w:hAnsi="Times New Roman" w:cs="Times New Roman" w:eastAsia="Times New Roman" w:hint="default"/>
        </w:rPr>
        <w:t>75%</w:t>
      </w:r>
      <w:r>
        <w:rPr/>
        <w:t>股权。公司于</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日支付股权转让款</w:t>
      </w:r>
      <w:r>
        <w:rPr>
          <w:rFonts w:ascii="Times New Roman" w:hAnsi="Times New Roman" w:cs="Times New Roman" w:eastAsia="Times New Roman" w:hint="default"/>
        </w:rPr>
        <w:t>1,000</w:t>
      </w:r>
      <w:r>
        <w:rPr/>
        <w:t>万</w:t>
      </w:r>
    </w:p>
    <w:p>
      <w:pPr>
        <w:spacing w:after="0" w:line="256"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56" w:lineRule="auto" w:before="35"/>
        <w:ind w:left="206" w:right="148"/>
        <w:jc w:val="both"/>
      </w:pPr>
      <w:r>
        <w:rPr>
          <w:spacing w:val="-1"/>
        </w:rPr>
        <w:t>元，并办理了相应的财产权交接手续，四川通普集成系统工程有限责任公司董事会成员变更，公司占</w:t>
      </w:r>
      <w:r>
        <w:rPr>
          <w:rFonts w:ascii="Times New Roman" w:hAnsi="Times New Roman" w:cs="Times New Roman" w:eastAsia="Times New Roman" w:hint="default"/>
          <w:spacing w:val="-1"/>
        </w:rPr>
        <w:t>60%</w:t>
      </w:r>
      <w:r>
        <w:rPr>
          <w:rFonts w:ascii="Times New Roman" w:hAnsi="Times New Roman" w:cs="Times New Roman" w:eastAsia="Times New Roman" w:hint="default"/>
          <w:spacing w:val="-48"/>
        </w:rPr>
        <w:t> </w:t>
      </w:r>
      <w:r>
        <w:rPr>
          <w:spacing w:val="-2"/>
        </w:rPr>
        <w:t>席位，自</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13</w:t>
      </w:r>
      <w:r>
        <w:rPr>
          <w:spacing w:val="-2"/>
        </w:rPr>
        <w:t>日起拥有四川通普集成系统工程有限责任公司的实质控制权，故将该日确定为购买</w:t>
      </w:r>
      <w:r>
        <w:rPr>
          <w:spacing w:val="-87"/>
        </w:rPr>
        <w:t> </w:t>
      </w:r>
      <w:r>
        <w:rPr>
          <w:spacing w:val="-87"/>
        </w:rPr>
      </w:r>
      <w:r>
        <w:rPr/>
        <w:t>日，自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13</w:t>
      </w:r>
      <w:r>
        <w:rPr/>
        <w:t>日起，将其纳入合并财务报表范围。</w:t>
      </w:r>
    </w:p>
    <w:p>
      <w:pPr>
        <w:pStyle w:val="BodyText"/>
        <w:spacing w:line="240" w:lineRule="auto" w:before="71"/>
        <w:ind w:right="0"/>
        <w:jc w:val="both"/>
      </w:pPr>
      <w:r>
        <w:rPr/>
        <w:t>与上年相比本年（期）减少合并单位</w:t>
      </w:r>
      <w:r>
        <w:rPr>
          <w:spacing w:val="-46"/>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家，原因为</w:t>
      </w:r>
    </w:p>
    <w:p>
      <w:pPr>
        <w:spacing w:line="240" w:lineRule="auto" w:before="6"/>
        <w:rPr>
          <w:rFonts w:ascii="宋体" w:hAnsi="宋体" w:cs="宋体" w:eastAsia="宋体" w:hint="default"/>
          <w:sz w:val="26"/>
          <w:szCs w:val="26"/>
        </w:rPr>
      </w:pPr>
    </w:p>
    <w:p>
      <w:pPr>
        <w:pStyle w:val="Heading5"/>
        <w:spacing w:line="240" w:lineRule="auto"/>
        <w:ind w:right="0"/>
        <w:jc w:val="both"/>
        <w:rPr>
          <w:b w:val="0"/>
          <w:bCs w:val="0"/>
        </w:rPr>
      </w:pPr>
      <w:r>
        <w:rPr>
          <w:rFonts w:ascii="Times New Roman" w:hAnsi="Times New Roman" w:cs="Times New Roman" w:eastAsia="Times New Roman" w:hint="default"/>
        </w:rPr>
        <w:t>4</w:t>
      </w:r>
      <w:r>
        <w:rPr/>
        <w:t>、报告期内新纳入合并范围的主体和报告期内不再纳入合并范围的主体</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right="0"/>
        <w:jc w:val="left"/>
      </w:pPr>
      <w:r>
        <w:rPr/>
        <w:t>本期新纳入合并范围的子公司、特殊目的主体、通过受托经营或承租等方式形成控制权的经营实体</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073"/>
        <w:gridCol w:w="2850"/>
        <w:gridCol w:w="2646"/>
      </w:tblGrid>
      <w:tr>
        <w:trPr>
          <w:trHeight w:val="402" w:hRule="exact"/>
        </w:trPr>
        <w:tc>
          <w:tcPr>
            <w:tcW w:w="40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67"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上海汉鼎信息技术有限公司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19,764,822.08</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-235,177.92</w:t>
            </w:r>
          </w:p>
        </w:tc>
      </w:tr>
      <w:tr>
        <w:trPr>
          <w:trHeight w:val="40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四川通普集成系统工程有限责任公司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19,096,390.74</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4,307,148.69</w:t>
            </w:r>
          </w:p>
        </w:tc>
      </w:tr>
    </w:tbl>
    <w:p>
      <w:pPr>
        <w:pStyle w:val="BodyText"/>
        <w:spacing w:line="240" w:lineRule="auto" w:before="51"/>
        <w:ind w:right="0"/>
        <w:jc w:val="left"/>
      </w:pPr>
      <w:r>
        <w:rPr/>
        <w:t>本期不再纳入合并范围的子公司、特殊目的主体、通过受托经营或承租等方式形成控制权的经营实体</w:t>
      </w:r>
    </w:p>
    <w:p>
      <w:pPr>
        <w:pStyle w:val="BodyText"/>
        <w:spacing w:line="240" w:lineRule="auto" w:before="117"/>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073"/>
        <w:gridCol w:w="2850"/>
        <w:gridCol w:w="2646"/>
      </w:tblGrid>
      <w:tr>
        <w:trPr>
          <w:trHeight w:val="401" w:hRule="exact"/>
        </w:trPr>
        <w:tc>
          <w:tcPr>
            <w:tcW w:w="40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79"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6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7"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r>
        <w:trPr>
          <w:trHeight w:val="403"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850" w:type="dxa"/>
            <w:tcBorders>
              <w:top w:val="single" w:sz="4" w:space="0" w:color="000000"/>
              <w:left w:val="single" w:sz="4" w:space="0" w:color="000000"/>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新纳入合并范围的主体和不再纳入合并范围的主体的其他说明</w:t>
      </w:r>
    </w:p>
    <w:p>
      <w:pPr>
        <w:spacing w:line="240" w:lineRule="auto" w:before="0"/>
        <w:rPr>
          <w:rFonts w:ascii="宋体" w:hAnsi="宋体" w:cs="宋体" w:eastAsia="宋体" w:hint="default"/>
          <w:sz w:val="18"/>
          <w:szCs w:val="18"/>
        </w:rPr>
      </w:pPr>
    </w:p>
    <w:p>
      <w:pPr>
        <w:pStyle w:val="Heading5"/>
        <w:spacing w:line="240" w:lineRule="auto" w:before="123"/>
        <w:ind w:right="0"/>
        <w:jc w:val="left"/>
        <w:rPr>
          <w:b w:val="0"/>
          <w:bCs w:val="0"/>
        </w:rPr>
      </w:pPr>
      <w:r>
        <w:rPr>
          <w:rFonts w:ascii="Times New Roman" w:hAnsi="Times New Roman" w:cs="Times New Roman" w:eastAsia="Times New Roman" w:hint="default"/>
        </w:rPr>
        <w:t>5</w:t>
      </w:r>
      <w:r>
        <w:rPr/>
        <w:t>、报告期内发生的同一控制下企业合并</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94"/>
        <w:gridCol w:w="1555"/>
        <w:gridCol w:w="1555"/>
        <w:gridCol w:w="1555"/>
        <w:gridCol w:w="1554"/>
        <w:gridCol w:w="1555"/>
      </w:tblGrid>
      <w:tr>
        <w:trPr>
          <w:trHeight w:val="713" w:hRule="exact"/>
        </w:trPr>
        <w:tc>
          <w:tcPr>
            <w:tcW w:w="1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31" w:right="0"/>
              <w:jc w:val="left"/>
              <w:rPr>
                <w:rFonts w:ascii="宋体" w:hAnsi="宋体" w:cs="宋体" w:eastAsia="宋体" w:hint="default"/>
                <w:sz w:val="18"/>
                <w:szCs w:val="18"/>
              </w:rPr>
            </w:pPr>
            <w:r>
              <w:rPr>
                <w:rFonts w:ascii="宋体" w:hAnsi="宋体" w:cs="宋体" w:eastAsia="宋体" w:hint="default"/>
                <w:sz w:val="18"/>
                <w:szCs w:val="18"/>
              </w:rPr>
              <w:t>被合并方</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1" w:right="53"/>
              <w:jc w:val="left"/>
              <w:rPr>
                <w:rFonts w:ascii="宋体" w:hAnsi="宋体" w:cs="宋体" w:eastAsia="宋体" w:hint="default"/>
                <w:sz w:val="18"/>
                <w:szCs w:val="18"/>
              </w:rPr>
            </w:pPr>
            <w:r>
              <w:rPr>
                <w:rFonts w:ascii="宋体" w:hAnsi="宋体" w:cs="宋体" w:eastAsia="宋体" w:hint="default"/>
                <w:sz w:val="18"/>
                <w:szCs w:val="18"/>
              </w:rPr>
              <w:t>属于同一控制下企 业合并的判断依据</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91" w:right="53" w:hanging="540"/>
              <w:jc w:val="left"/>
              <w:rPr>
                <w:rFonts w:ascii="宋体" w:hAnsi="宋体" w:cs="宋体" w:eastAsia="宋体" w:hint="default"/>
                <w:sz w:val="18"/>
                <w:szCs w:val="18"/>
              </w:rPr>
            </w:pPr>
            <w:r>
              <w:rPr>
                <w:rFonts w:ascii="宋体" w:hAnsi="宋体" w:cs="宋体" w:eastAsia="宋体" w:hint="default"/>
                <w:sz w:val="18"/>
                <w:szCs w:val="18"/>
              </w:rPr>
              <w:t>同一控制的实际控 制人</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21" w:right="53" w:hanging="270"/>
              <w:jc w:val="left"/>
              <w:rPr>
                <w:rFonts w:ascii="宋体" w:hAnsi="宋体" w:cs="宋体" w:eastAsia="宋体" w:hint="default"/>
                <w:sz w:val="18"/>
                <w:szCs w:val="18"/>
              </w:rPr>
            </w:pPr>
            <w:r>
              <w:rPr>
                <w:rFonts w:ascii="宋体" w:hAnsi="宋体" w:cs="宋体" w:eastAsia="宋体" w:hint="default"/>
                <w:sz w:val="18"/>
                <w:szCs w:val="18"/>
              </w:rPr>
              <w:t>合并本期期初至合 并日的收入</w:t>
            </w:r>
          </w:p>
        </w:tc>
        <w:tc>
          <w:tcPr>
            <w:tcW w:w="15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11" w:right="50" w:hanging="360"/>
              <w:jc w:val="left"/>
              <w:rPr>
                <w:rFonts w:ascii="宋体" w:hAnsi="宋体" w:cs="宋体" w:eastAsia="宋体" w:hint="default"/>
                <w:sz w:val="18"/>
                <w:szCs w:val="18"/>
              </w:rPr>
            </w:pPr>
            <w:r>
              <w:rPr>
                <w:rFonts w:ascii="宋体" w:hAnsi="宋体" w:cs="宋体" w:eastAsia="宋体" w:hint="default"/>
                <w:sz w:val="18"/>
                <w:szCs w:val="18"/>
              </w:rPr>
              <w:t>合并本期至合并日 的净利润</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2" w:right="50"/>
              <w:jc w:val="left"/>
              <w:rPr>
                <w:rFonts w:ascii="宋体" w:hAnsi="宋体" w:cs="宋体" w:eastAsia="宋体" w:hint="default"/>
                <w:sz w:val="18"/>
                <w:szCs w:val="18"/>
              </w:rPr>
            </w:pPr>
            <w:r>
              <w:rPr>
                <w:rFonts w:ascii="宋体" w:hAnsi="宋体" w:cs="宋体" w:eastAsia="宋体" w:hint="default"/>
                <w:sz w:val="18"/>
                <w:szCs w:val="18"/>
              </w:rPr>
              <w:t>合并本期至合并日 的经营活动现金流</w:t>
            </w:r>
          </w:p>
        </w:tc>
      </w:tr>
      <w:tr>
        <w:trPr>
          <w:trHeight w:val="403" w:hRule="exact"/>
        </w:trPr>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同一控制下企业合并的其他说明</w:t>
      </w:r>
    </w:p>
    <w:p>
      <w:pPr>
        <w:spacing w:line="240" w:lineRule="auto" w:before="0"/>
        <w:rPr>
          <w:rFonts w:ascii="宋体" w:hAnsi="宋体" w:cs="宋体" w:eastAsia="宋体" w:hint="default"/>
          <w:sz w:val="18"/>
          <w:szCs w:val="18"/>
        </w:rPr>
      </w:pPr>
    </w:p>
    <w:p>
      <w:pPr>
        <w:pStyle w:val="Heading5"/>
        <w:spacing w:line="240" w:lineRule="auto" w:before="123"/>
        <w:ind w:right="0"/>
        <w:jc w:val="left"/>
        <w:rPr>
          <w:b w:val="0"/>
          <w:bCs w:val="0"/>
        </w:rPr>
      </w:pPr>
      <w:r>
        <w:rPr>
          <w:rFonts w:ascii="Times New Roman" w:hAnsi="Times New Roman" w:cs="Times New Roman" w:eastAsia="Times New Roman" w:hint="default"/>
        </w:rPr>
        <w:t>6</w:t>
      </w:r>
      <w:r>
        <w:rPr/>
        <w:t>、报告期内发生的非同一控制下企业合并</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before="44"/>
        <w:ind w:left="0" w:right="158"/>
        <w:jc w:val="right"/>
      </w:pPr>
      <w:r>
        <w:rPr/>
        <w:pict>
          <v:shape style="position:absolute;margin-left:56.459999pt;margin-top:-114.547958pt;width:479.1pt;height:134.3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77"/>
                    <w:gridCol w:w="3031"/>
                    <w:gridCol w:w="3859"/>
                  </w:tblGrid>
                  <w:tr>
                    <w:trPr>
                      <w:trHeight w:val="402" w:hRule="exact"/>
                    </w:trPr>
                    <w:tc>
                      <w:tcPr>
                        <w:tcW w:w="2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30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8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商誉计算方法</w:t>
                        </w:r>
                      </w:p>
                    </w:tc>
                  </w:tr>
                  <w:tr>
                    <w:trPr>
                      <w:trHeight w:val="362" w:hRule="exact"/>
                    </w:trPr>
                    <w:tc>
                      <w:tcPr>
                        <w:tcW w:w="2677" w:type="dxa"/>
                        <w:tcBorders>
                          <w:top w:val="single" w:sz="4" w:space="0" w:color="000000"/>
                          <w:left w:val="single" w:sz="4" w:space="0" w:color="000000"/>
                          <w:bottom w:val="nil" w:sz="6" w:space="0" w:color="auto"/>
                          <w:right w:val="single" w:sz="4" w:space="0" w:color="000000"/>
                        </w:tcBorders>
                      </w:tcPr>
                      <w:p>
                        <w:pPr/>
                      </w:p>
                    </w:tc>
                    <w:tc>
                      <w:tcPr>
                        <w:tcW w:w="3031" w:type="dxa"/>
                        <w:tcBorders>
                          <w:top w:val="single" w:sz="4" w:space="0" w:color="000000"/>
                          <w:left w:val="single" w:sz="4" w:space="0" w:color="000000"/>
                          <w:bottom w:val="nil" w:sz="6" w:space="0" w:color="auto"/>
                          <w:right w:val="single" w:sz="4" w:space="0" w:color="000000"/>
                        </w:tcBorders>
                      </w:tcPr>
                      <w:p>
                        <w:pPr/>
                      </w:p>
                    </w:tc>
                    <w:tc>
                      <w:tcPr>
                        <w:tcW w:w="38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本公司的合并成本为人民币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18,000,000.00</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元，在</w:t>
                        </w:r>
                      </w:p>
                    </w:tc>
                  </w:tr>
                  <w:tr>
                    <w:trPr>
                      <w:trHeight w:val="306" w:hRule="exact"/>
                    </w:trPr>
                    <w:tc>
                      <w:tcPr>
                        <w:tcW w:w="2677" w:type="dxa"/>
                        <w:tcBorders>
                          <w:top w:val="nil" w:sz="6" w:space="0" w:color="auto"/>
                          <w:left w:val="single" w:sz="4" w:space="0" w:color="000000"/>
                          <w:bottom w:val="nil" w:sz="6" w:space="0" w:color="auto"/>
                          <w:right w:val="single" w:sz="4" w:space="0" w:color="000000"/>
                        </w:tcBorders>
                      </w:tcPr>
                      <w:p>
                        <w:pPr/>
                      </w:p>
                    </w:tc>
                    <w:tc>
                      <w:tcPr>
                        <w:tcW w:w="3031" w:type="dxa"/>
                        <w:tcBorders>
                          <w:top w:val="nil" w:sz="6" w:space="0" w:color="auto"/>
                          <w:left w:val="single" w:sz="4" w:space="0" w:color="000000"/>
                          <w:bottom w:val="nil" w:sz="6" w:space="0" w:color="auto"/>
                          <w:right w:val="single" w:sz="4" w:space="0" w:color="000000"/>
                        </w:tcBorders>
                      </w:tcPr>
                      <w:p>
                        <w:pPr/>
                      </w:p>
                    </w:tc>
                    <w:tc>
                      <w:tcPr>
                        <w:tcW w:w="3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合并中取得四川通普集成系统工程有限责任公司</w:t>
                        </w:r>
                      </w:p>
                    </w:tc>
                  </w:tr>
                  <w:tr>
                    <w:trPr>
                      <w:trHeight w:val="941" w:hRule="exact"/>
                    </w:trPr>
                    <w:tc>
                      <w:tcPr>
                        <w:tcW w:w="26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122"/>
                          <w:jc w:val="left"/>
                          <w:rPr>
                            <w:rFonts w:ascii="宋体" w:hAnsi="宋体" w:cs="宋体" w:eastAsia="宋体" w:hint="default"/>
                            <w:sz w:val="18"/>
                            <w:szCs w:val="18"/>
                          </w:rPr>
                        </w:pPr>
                        <w:r>
                          <w:rPr>
                            <w:rFonts w:ascii="宋体" w:hAnsi="宋体" w:cs="宋体" w:eastAsia="宋体" w:hint="default"/>
                            <w:sz w:val="18"/>
                            <w:szCs w:val="18"/>
                          </w:rPr>
                          <w:t>四川通普集成系统工程有限责任 公司</w:t>
                        </w:r>
                      </w:p>
                    </w:tc>
                    <w:tc>
                      <w:tcPr>
                        <w:tcW w:w="303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6,908,068.46</w:t>
                        </w:r>
                      </w:p>
                    </w:tc>
                    <w:tc>
                      <w:tcPr>
                        <w:tcW w:w="3859"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2" w:right="44"/>
                          <w:jc w:val="left"/>
                          <w:rPr>
                            <w:rFonts w:ascii="宋体" w:hAnsi="宋体" w:cs="宋体" w:eastAsia="宋体" w:hint="default"/>
                            <w:sz w:val="18"/>
                            <w:szCs w:val="18"/>
                          </w:rPr>
                        </w:pPr>
                        <w:r>
                          <w:rPr>
                            <w:rFonts w:ascii="Times New Roman" w:hAnsi="Times New Roman" w:cs="Times New Roman" w:eastAsia="Times New Roman" w:hint="default"/>
                            <w:sz w:val="18"/>
                            <w:szCs w:val="18"/>
                          </w:rPr>
                          <w:t>75.00%</w:t>
                        </w:r>
                        <w:r>
                          <w:rPr>
                            <w:rFonts w:ascii="宋体" w:hAnsi="宋体" w:cs="宋体" w:eastAsia="宋体" w:hint="default"/>
                            <w:sz w:val="18"/>
                            <w:szCs w:val="18"/>
                          </w:rPr>
                          <w:t>权益</w:t>
                        </w:r>
                        <w:r>
                          <w:rPr>
                            <w:rFonts w:ascii="Times New Roman" w:hAnsi="Times New Roman" w:cs="Times New Roman" w:eastAsia="Times New Roman" w:hint="default"/>
                            <w:sz w:val="18"/>
                            <w:szCs w:val="18"/>
                          </w:rPr>
                          <w:t>,</w:t>
                        </w:r>
                        <w:r>
                          <w:rPr>
                            <w:rFonts w:ascii="宋体" w:hAnsi="宋体" w:cs="宋体" w:eastAsia="宋体" w:hint="default"/>
                            <w:sz w:val="18"/>
                            <w:szCs w:val="18"/>
                          </w:rPr>
                          <w:t>四川通普集成系统工程有限责任公 司可辨认净资产在购买日的公允价值为人民币 </w:t>
                        </w:r>
                        <w:r>
                          <w:rPr>
                            <w:rFonts w:ascii="Times New Roman" w:hAnsi="Times New Roman" w:cs="Times New Roman" w:eastAsia="Times New Roman" w:hint="default"/>
                            <w:sz w:val="18"/>
                            <w:szCs w:val="18"/>
                          </w:rPr>
                          <w:t>14,789,242.05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元，合并成本超过按比例获得的四</w:t>
                        </w:r>
                      </w:p>
                    </w:tc>
                  </w:tr>
                  <w:tr>
                    <w:trPr>
                      <w:trHeight w:val="308" w:hRule="exact"/>
                    </w:trPr>
                    <w:tc>
                      <w:tcPr>
                        <w:tcW w:w="2677" w:type="dxa"/>
                        <w:tcBorders>
                          <w:top w:val="nil" w:sz="6" w:space="0" w:color="auto"/>
                          <w:left w:val="single" w:sz="4" w:space="0" w:color="000000"/>
                          <w:bottom w:val="nil" w:sz="6" w:space="0" w:color="auto"/>
                          <w:right w:val="single" w:sz="4" w:space="0" w:color="000000"/>
                        </w:tcBorders>
                      </w:tcPr>
                      <w:p>
                        <w:pPr/>
                      </w:p>
                    </w:tc>
                    <w:tc>
                      <w:tcPr>
                        <w:tcW w:w="3031" w:type="dxa"/>
                        <w:tcBorders>
                          <w:top w:val="nil" w:sz="6" w:space="0" w:color="auto"/>
                          <w:left w:val="single" w:sz="4" w:space="0" w:color="000000"/>
                          <w:bottom w:val="nil" w:sz="6" w:space="0" w:color="auto"/>
                          <w:right w:val="single" w:sz="4" w:space="0" w:color="000000"/>
                        </w:tcBorders>
                      </w:tcPr>
                      <w:p>
                        <w:pPr/>
                      </w:p>
                    </w:tc>
                    <w:tc>
                      <w:tcPr>
                        <w:tcW w:w="3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川通普集成系统工程有限责任公司可辨认净资产</w:t>
                        </w:r>
                      </w:p>
                    </w:tc>
                  </w:tr>
                  <w:tr>
                    <w:trPr>
                      <w:trHeight w:val="357" w:hRule="exact"/>
                    </w:trPr>
                    <w:tc>
                      <w:tcPr>
                        <w:tcW w:w="2677" w:type="dxa"/>
                        <w:tcBorders>
                          <w:top w:val="nil" w:sz="6" w:space="0" w:color="auto"/>
                          <w:left w:val="single" w:sz="4" w:space="0" w:color="000000"/>
                          <w:bottom w:val="single" w:sz="4" w:space="0" w:color="000000"/>
                          <w:right w:val="single" w:sz="4" w:space="0" w:color="000000"/>
                        </w:tcBorders>
                      </w:tcPr>
                      <w:p>
                        <w:pPr/>
                      </w:p>
                    </w:tc>
                    <w:tc>
                      <w:tcPr>
                        <w:tcW w:w="3031" w:type="dxa"/>
                        <w:tcBorders>
                          <w:top w:val="nil" w:sz="6" w:space="0" w:color="auto"/>
                          <w:left w:val="single" w:sz="4" w:space="0" w:color="000000"/>
                          <w:bottom w:val="single" w:sz="4" w:space="0" w:color="000000"/>
                          <w:right w:val="single" w:sz="4" w:space="0" w:color="000000"/>
                        </w:tcBorders>
                      </w:tcPr>
                      <w:p>
                        <w:pPr/>
                      </w:p>
                    </w:tc>
                    <w:tc>
                      <w:tcPr>
                        <w:tcW w:w="38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公允价值份额人民币</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6,908,068.46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元确认为商誉</w:t>
                        </w:r>
                      </w:p>
                    </w:tc>
                  </w:tr>
                </w:tbl>
                <w:p>
                  <w:pPr/>
                </w:p>
              </w:txbxContent>
            </v:textbox>
            <w10:wrap type="none"/>
          </v:shape>
        </w:pict>
      </w:r>
      <w:r>
        <w:rPr/>
        <w:t>。</w:t>
      </w:r>
    </w:p>
    <w:p>
      <w:pPr>
        <w:spacing w:line="240" w:lineRule="auto" w:before="4"/>
        <w:rPr>
          <w:rFonts w:ascii="宋体" w:hAnsi="宋体" w:cs="宋体" w:eastAsia="宋体" w:hint="default"/>
          <w:sz w:val="9"/>
          <w:szCs w:val="9"/>
        </w:rPr>
      </w:pPr>
    </w:p>
    <w:p>
      <w:pPr>
        <w:pStyle w:val="BodyText"/>
        <w:spacing w:line="240" w:lineRule="auto" w:before="44"/>
        <w:ind w:right="0"/>
        <w:jc w:val="left"/>
      </w:pPr>
      <w:r>
        <w:rPr/>
        <w:t>非同一控制下企业合并的其他说明</w:t>
      </w:r>
    </w:p>
    <w:p>
      <w:pPr>
        <w:pStyle w:val="Heading4"/>
        <w:spacing w:line="256" w:lineRule="auto" w:before="90"/>
        <w:ind w:left="153" w:right="0"/>
        <w:jc w:val="left"/>
      </w:pPr>
      <w:r>
        <w:rPr>
          <w:spacing w:val="-2"/>
        </w:rPr>
        <w:t>本公司以</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13</w:t>
      </w:r>
      <w:r>
        <w:rPr>
          <w:spacing w:val="-2"/>
        </w:rPr>
        <w:t>日为购买日，以人民币</w:t>
      </w:r>
      <w:r>
        <w:rPr>
          <w:rFonts w:ascii="Times New Roman" w:hAnsi="Times New Roman" w:cs="Times New Roman" w:eastAsia="Times New Roman" w:hint="default"/>
          <w:spacing w:val="-2"/>
        </w:rPr>
        <w:t>1,800</w:t>
      </w:r>
      <w:r>
        <w:rPr>
          <w:spacing w:val="-2"/>
        </w:rPr>
        <w:t>万元作为合并成本购买了四川通普集成系统工程有限责</w:t>
      </w:r>
      <w:r>
        <w:rPr>
          <w:spacing w:val="-82"/>
        </w:rPr>
        <w:t> </w:t>
      </w:r>
      <w:r>
        <w:rPr/>
        <w:t>任公司</w:t>
      </w:r>
      <w:r>
        <w:rPr>
          <w:rFonts w:ascii="Times New Roman" w:hAnsi="Times New Roman" w:cs="Times New Roman" w:eastAsia="Times New Roman" w:hint="default"/>
        </w:rPr>
        <w:t>75%</w:t>
      </w:r>
      <w:r>
        <w:rPr/>
        <w:t>的股权。</w:t>
      </w:r>
    </w:p>
    <w:p>
      <w:pPr>
        <w:spacing w:after="0" w:line="256"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61" w:lineRule="auto" w:before="35"/>
        <w:ind w:left="153" w:right="96"/>
        <w:jc w:val="left"/>
      </w:pPr>
      <w:r>
        <w:rPr>
          <w:spacing w:val="-3"/>
        </w:rPr>
        <w:t>购买日的确定依据：根据</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20</w:t>
      </w:r>
      <w:r>
        <w:rPr>
          <w:spacing w:val="-3"/>
        </w:rPr>
        <w:t>日公司与黄门马、马纲、徐文跃和张勇签署的《股权转让协议书》，</w:t>
      </w:r>
      <w:r>
        <w:rPr>
          <w:spacing w:val="-88"/>
        </w:rPr>
        <w:t> </w:t>
      </w:r>
      <w:r>
        <w:rPr>
          <w:spacing w:val="-88"/>
        </w:rPr>
      </w:r>
      <w:r>
        <w:rPr>
          <w:spacing w:val="-2"/>
        </w:rPr>
        <w:t>公司以</w:t>
      </w:r>
      <w:r>
        <w:rPr>
          <w:rFonts w:ascii="Times New Roman" w:hAnsi="Times New Roman" w:cs="Times New Roman" w:eastAsia="Times New Roman" w:hint="default"/>
          <w:spacing w:val="-2"/>
        </w:rPr>
        <w:t>1800</w:t>
      </w:r>
      <w:r>
        <w:rPr>
          <w:spacing w:val="-2"/>
        </w:rPr>
        <w:t>万元受让黄门马、马纲、徐文跃和张勇持有的四川通普集成系统工程有限责任公司</w:t>
      </w:r>
      <w:r>
        <w:rPr>
          <w:rFonts w:ascii="Times New Roman" w:hAnsi="Times New Roman" w:cs="Times New Roman" w:eastAsia="Times New Roman" w:hint="default"/>
          <w:spacing w:val="-2"/>
        </w:rPr>
        <w:t>75%</w:t>
      </w:r>
      <w:r>
        <w:rPr>
          <w:spacing w:val="-2"/>
        </w:rPr>
        <w:t>的股权。</w:t>
      </w:r>
      <w:r>
        <w:rPr>
          <w:spacing w:val="-101"/>
        </w:rPr>
        <w:t> </w:t>
      </w:r>
      <w:r>
        <w:rPr/>
        <w:t>公司于</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日支付股权转让款</w:t>
      </w:r>
      <w:r>
        <w:rPr>
          <w:rFonts w:ascii="Times New Roman" w:hAnsi="Times New Roman" w:cs="Times New Roman" w:eastAsia="Times New Roman" w:hint="default"/>
        </w:rPr>
        <w:t>1,000</w:t>
      </w:r>
      <w:r>
        <w:rPr/>
        <w:t>万元，并办理了相应的财产权交接手续，</w:t>
      </w:r>
      <w:r>
        <w:rPr>
          <w:rFonts w:ascii="Times New Roman" w:hAnsi="Times New Roman" w:cs="Times New Roman" w:eastAsia="Times New Roman" w:hint="default"/>
        </w:rPr>
        <w:t>2012</w:t>
      </w:r>
      <w:r>
        <w:rPr>
          <w:rFonts w:ascii="Times New Roman" w:hAnsi="Times New Roman" w:cs="Times New Roman" w:eastAsia="Times New Roman" w:hint="default"/>
          <w:spacing w:val="36"/>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13</w:t>
      </w:r>
      <w:r>
        <w:rPr/>
        <w:t>日四 川通普集成系统工程有限责任公司董事会成员变更，董事会成员</w:t>
      </w:r>
      <w:r>
        <w:rPr>
          <w:rFonts w:ascii="Times New Roman" w:hAnsi="Times New Roman" w:cs="Times New Roman" w:eastAsia="Times New Roman" w:hint="default"/>
        </w:rPr>
        <w:t>5</w:t>
      </w:r>
      <w:r>
        <w:rPr/>
        <w:t>名，公司占</w:t>
      </w:r>
      <w:r>
        <w:rPr>
          <w:rFonts w:ascii="Times New Roman" w:hAnsi="Times New Roman" w:cs="Times New Roman" w:eastAsia="Times New Roman" w:hint="default"/>
        </w:rPr>
        <w:t>3</w:t>
      </w:r>
      <w:r>
        <w:rPr/>
        <w:t>名，自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13</w:t>
      </w:r>
      <w:r>
        <w:rPr/>
        <w:t>日起拥 有四川通普集成系统工程有限责任公司的实质控制权，故将该日确定为购买日，自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13</w:t>
      </w:r>
      <w:r>
        <w:rPr/>
        <w:t>日起，将 其纳入合并财务报表范围。 四川通普集成系统工程有限责任公司是于</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日在成都市成立的公司，总部位于成都市，主要从</w:t>
      </w:r>
      <w:r>
        <w:rPr>
          <w:spacing w:val="-37"/>
        </w:rPr>
        <w:t> </w:t>
      </w:r>
      <w:r>
        <w:rPr>
          <w:spacing w:val="-37"/>
        </w:rPr>
      </w:r>
      <w:r>
        <w:rPr/>
        <w:t>事建筑智能化工程专业承包、建筑智能化子系统集成（综合布线、广播、保安）专项工程设计。在被合并</w:t>
      </w:r>
      <w:r>
        <w:rPr/>
        <w:t> 之前，四川通普集成系统工程有限责任公司的第一大自然人股东为黄门马。</w:t>
      </w:r>
    </w:p>
    <w:p>
      <w:pPr>
        <w:spacing w:line="240" w:lineRule="auto" w:before="2"/>
        <w:rPr>
          <w:rFonts w:ascii="宋体" w:hAnsi="宋体" w:cs="宋体" w:eastAsia="宋体" w:hint="default"/>
          <w:sz w:val="25"/>
          <w:szCs w:val="25"/>
        </w:rPr>
      </w:pPr>
    </w:p>
    <w:p>
      <w:pPr>
        <w:pStyle w:val="Heading5"/>
        <w:spacing w:line="240" w:lineRule="auto"/>
        <w:ind w:right="101"/>
        <w:jc w:val="left"/>
        <w:rPr>
          <w:b w:val="0"/>
          <w:bCs w:val="0"/>
        </w:rPr>
      </w:pPr>
      <w:r>
        <w:rPr>
          <w:rFonts w:ascii="Times New Roman" w:hAnsi="Times New Roman" w:cs="Times New Roman" w:eastAsia="Times New Roman" w:hint="default"/>
        </w:rPr>
        <w:t>7</w:t>
      </w:r>
      <w:r>
        <w:rPr/>
        <w:t>、报告期内出售丧失控制权的股权而减少子公司</w:t>
      </w:r>
      <w:r>
        <w:rPr>
          <w:b w:val="0"/>
          <w:bCs w:val="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985"/>
        <w:gridCol w:w="2488"/>
        <w:gridCol w:w="3095"/>
      </w:tblGrid>
      <w:tr>
        <w:trPr>
          <w:trHeight w:val="402" w:hRule="exact"/>
        </w:trPr>
        <w:tc>
          <w:tcPr>
            <w:tcW w:w="3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出售日</w:t>
            </w:r>
          </w:p>
        </w:tc>
        <w:tc>
          <w:tcPr>
            <w:tcW w:w="30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1" w:right="0"/>
              <w:jc w:val="left"/>
              <w:rPr>
                <w:rFonts w:ascii="宋体" w:hAnsi="宋体" w:cs="宋体" w:eastAsia="宋体" w:hint="default"/>
                <w:sz w:val="18"/>
                <w:szCs w:val="18"/>
              </w:rPr>
            </w:pPr>
            <w:r>
              <w:rPr>
                <w:rFonts w:ascii="宋体" w:hAnsi="宋体" w:cs="宋体" w:eastAsia="宋体" w:hint="default"/>
                <w:sz w:val="18"/>
                <w:szCs w:val="18"/>
              </w:rPr>
              <w:t>损益确认方法</w:t>
            </w:r>
          </w:p>
        </w:tc>
      </w:tr>
      <w:tr>
        <w:trPr>
          <w:trHeight w:val="402"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488" w:type="dxa"/>
            <w:tcBorders>
              <w:top w:val="single" w:sz="4" w:space="0" w:color="000000"/>
              <w:left w:val="single" w:sz="4" w:space="0" w:color="000000"/>
              <w:bottom w:val="single" w:sz="4" w:space="0" w:color="000000"/>
              <w:right w:val="single" w:sz="4" w:space="0" w:color="000000"/>
            </w:tcBorders>
          </w:tcPr>
          <w:p>
            <w:pPr/>
          </w:p>
        </w:tc>
        <w:tc>
          <w:tcPr>
            <w:tcW w:w="30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01"/>
        <w:jc w:val="left"/>
      </w:pPr>
      <w:r>
        <w:rPr/>
        <w:t>出售丧失控制权的股权而减少的子公司的其他说明</w:t>
      </w:r>
    </w:p>
    <w:p>
      <w:pPr>
        <w:spacing w:line="240" w:lineRule="auto" w:before="0"/>
        <w:rPr>
          <w:rFonts w:ascii="宋体" w:hAnsi="宋体" w:cs="宋体" w:eastAsia="宋体" w:hint="default"/>
          <w:sz w:val="18"/>
          <w:szCs w:val="18"/>
        </w:rPr>
      </w:pPr>
    </w:p>
    <w:p>
      <w:pPr>
        <w:pStyle w:val="Heading5"/>
        <w:spacing w:line="240" w:lineRule="auto" w:before="124"/>
        <w:ind w:right="101"/>
        <w:jc w:val="left"/>
        <w:rPr>
          <w:b w:val="0"/>
          <w:bCs w:val="0"/>
        </w:rPr>
      </w:pPr>
      <w:r>
        <w:rPr>
          <w:rFonts w:ascii="Times New Roman" w:hAnsi="Times New Roman" w:cs="Times New Roman" w:eastAsia="Times New Roman" w:hint="default"/>
        </w:rPr>
        <w:t>8</w:t>
      </w:r>
      <w:r>
        <w:rPr/>
        <w:t>、报告期内发生的反向购买</w:t>
      </w:r>
      <w:r>
        <w:rPr>
          <w:b w:val="0"/>
          <w:bCs w:val="0"/>
        </w:rPr>
      </w:r>
    </w:p>
    <w:p>
      <w:pPr>
        <w:spacing w:line="240" w:lineRule="auto" w:before="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借壳方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判断构成反向购买的依据</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80" w:right="0"/>
              <w:jc w:val="left"/>
              <w:rPr>
                <w:rFonts w:ascii="宋体" w:hAnsi="宋体" w:cs="宋体" w:eastAsia="宋体" w:hint="default"/>
                <w:sz w:val="18"/>
                <w:szCs w:val="18"/>
              </w:rPr>
            </w:pPr>
            <w:r>
              <w:rPr>
                <w:rFonts w:ascii="宋体" w:hAnsi="宋体" w:cs="宋体" w:eastAsia="宋体" w:hint="default"/>
                <w:sz w:val="18"/>
                <w:szCs w:val="18"/>
              </w:rPr>
              <w:t>合并成本的确定方法</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0" w:right="109" w:hanging="270"/>
              <w:jc w:val="left"/>
              <w:rPr>
                <w:rFonts w:ascii="宋体" w:hAnsi="宋体" w:cs="宋体" w:eastAsia="宋体" w:hint="default"/>
                <w:sz w:val="18"/>
                <w:szCs w:val="18"/>
              </w:rPr>
            </w:pPr>
            <w:r>
              <w:rPr>
                <w:rFonts w:ascii="宋体" w:hAnsi="宋体" w:cs="宋体" w:eastAsia="宋体" w:hint="default"/>
                <w:sz w:val="18"/>
                <w:szCs w:val="18"/>
              </w:rPr>
              <w:t>合并中确认的商誉或计入当 期的损益的计算方法</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01"/>
        <w:jc w:val="left"/>
      </w:pPr>
      <w:r>
        <w:rPr/>
        <w:t>反向购买的其他说明</w:t>
      </w:r>
    </w:p>
    <w:p>
      <w:pPr>
        <w:spacing w:line="240" w:lineRule="auto" w:before="0"/>
        <w:rPr>
          <w:rFonts w:ascii="宋体" w:hAnsi="宋体" w:cs="宋体" w:eastAsia="宋体" w:hint="default"/>
          <w:sz w:val="18"/>
          <w:szCs w:val="18"/>
        </w:rPr>
      </w:pPr>
    </w:p>
    <w:p>
      <w:pPr>
        <w:pStyle w:val="Heading5"/>
        <w:spacing w:line="240" w:lineRule="auto" w:before="124"/>
        <w:ind w:right="101"/>
        <w:jc w:val="left"/>
        <w:rPr>
          <w:b w:val="0"/>
          <w:bCs w:val="0"/>
        </w:rPr>
      </w:pPr>
      <w:r>
        <w:rPr>
          <w:rFonts w:ascii="Times New Roman" w:hAnsi="Times New Roman" w:cs="Times New Roman" w:eastAsia="Times New Roman" w:hint="default"/>
        </w:rPr>
        <w:t>9</w:t>
      </w:r>
      <w:r>
        <w:rPr/>
        <w:t>、本报告期发生的吸收合并</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21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641"/>
        <w:gridCol w:w="1481"/>
        <w:gridCol w:w="1482"/>
        <w:gridCol w:w="1482"/>
        <w:gridCol w:w="1482"/>
      </w:tblGrid>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85" w:right="0"/>
              <w:jc w:val="left"/>
              <w:rPr>
                <w:rFonts w:ascii="宋体" w:hAnsi="宋体" w:cs="宋体" w:eastAsia="宋体" w:hint="default"/>
                <w:sz w:val="18"/>
                <w:szCs w:val="18"/>
              </w:rPr>
            </w:pPr>
            <w:r>
              <w:rPr>
                <w:rFonts w:ascii="宋体" w:hAnsi="宋体" w:cs="宋体" w:eastAsia="宋体" w:hint="default"/>
                <w:sz w:val="18"/>
                <w:szCs w:val="18"/>
              </w:rPr>
              <w:t>吸收合并的类型</w:t>
            </w:r>
          </w:p>
        </w:tc>
        <w:tc>
          <w:tcPr>
            <w:tcW w:w="296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5" w:right="0"/>
              <w:jc w:val="left"/>
              <w:rPr>
                <w:rFonts w:ascii="宋体" w:hAnsi="宋体" w:cs="宋体" w:eastAsia="宋体" w:hint="default"/>
                <w:sz w:val="18"/>
                <w:szCs w:val="18"/>
              </w:rPr>
            </w:pPr>
            <w:r>
              <w:rPr>
                <w:rFonts w:ascii="宋体" w:hAnsi="宋体" w:cs="宋体" w:eastAsia="宋体" w:hint="default"/>
                <w:sz w:val="18"/>
                <w:szCs w:val="18"/>
              </w:rPr>
              <w:t>并入的主要资产</w:t>
            </w:r>
          </w:p>
        </w:tc>
        <w:tc>
          <w:tcPr>
            <w:tcW w:w="296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7" w:right="0"/>
              <w:jc w:val="left"/>
              <w:rPr>
                <w:rFonts w:ascii="宋体" w:hAnsi="宋体" w:cs="宋体" w:eastAsia="宋体" w:hint="default"/>
                <w:sz w:val="18"/>
                <w:szCs w:val="18"/>
              </w:rPr>
            </w:pPr>
            <w:r>
              <w:rPr>
                <w:rFonts w:ascii="宋体" w:hAnsi="宋体" w:cs="宋体" w:eastAsia="宋体" w:hint="default"/>
                <w:sz w:val="18"/>
                <w:szCs w:val="18"/>
              </w:rPr>
              <w:t>并入的主要负债</w:t>
            </w:r>
          </w:p>
        </w:tc>
      </w:tr>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5" w:right="0"/>
              <w:jc w:val="left"/>
              <w:rPr>
                <w:rFonts w:ascii="宋体" w:hAnsi="宋体" w:cs="宋体" w:eastAsia="宋体" w:hint="default"/>
                <w:sz w:val="18"/>
                <w:szCs w:val="18"/>
              </w:rPr>
            </w:pPr>
            <w:r>
              <w:rPr>
                <w:rFonts w:ascii="宋体" w:hAnsi="宋体" w:cs="宋体" w:eastAsia="宋体" w:hint="default"/>
                <w:sz w:val="18"/>
                <w:szCs w:val="18"/>
              </w:rPr>
              <w:t>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3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481" w:type="dxa"/>
            <w:tcBorders>
              <w:top w:val="single" w:sz="4" w:space="0" w:color="000000"/>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5" w:right="0"/>
              <w:jc w:val="left"/>
              <w:rPr>
                <w:rFonts w:ascii="宋体" w:hAnsi="宋体" w:cs="宋体" w:eastAsia="宋体" w:hint="default"/>
                <w:sz w:val="18"/>
                <w:szCs w:val="18"/>
              </w:rPr>
            </w:pPr>
            <w:r>
              <w:rPr>
                <w:rFonts w:ascii="宋体" w:hAnsi="宋体" w:cs="宋体" w:eastAsia="宋体" w:hint="default"/>
                <w:sz w:val="18"/>
                <w:szCs w:val="18"/>
              </w:rPr>
              <w:t>非同一控制下吸收合并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3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481" w:type="dxa"/>
            <w:tcBorders>
              <w:top w:val="single" w:sz="4" w:space="0" w:color="000000"/>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01"/>
        <w:jc w:val="left"/>
      </w:pPr>
      <w:r>
        <w:rPr/>
        <w:t>吸收合并的其他说明</w:t>
      </w:r>
    </w:p>
    <w:p>
      <w:pPr>
        <w:spacing w:line="240" w:lineRule="auto" w:before="0"/>
        <w:rPr>
          <w:rFonts w:ascii="宋体" w:hAnsi="宋体" w:cs="宋体" w:eastAsia="宋体" w:hint="default"/>
          <w:sz w:val="18"/>
          <w:szCs w:val="18"/>
        </w:rPr>
      </w:pPr>
    </w:p>
    <w:p>
      <w:pPr>
        <w:pStyle w:val="Heading5"/>
        <w:spacing w:line="240" w:lineRule="auto" w:before="124"/>
        <w:ind w:right="101"/>
        <w:jc w:val="left"/>
        <w:rPr>
          <w:b w:val="0"/>
          <w:bCs w:val="0"/>
        </w:rPr>
      </w:pPr>
      <w:r>
        <w:rPr>
          <w:rFonts w:ascii="Times New Roman" w:hAnsi="Times New Roman" w:cs="Times New Roman" w:eastAsia="Times New Roman" w:hint="default"/>
        </w:rPr>
        <w:t>10</w:t>
      </w:r>
      <w:r>
        <w:rPr/>
        <w:t>、境外经营实体主要报表项目的折算汇率</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101"/>
        <w:jc w:val="left"/>
      </w:pPr>
      <w:r>
        <w:rPr/>
        <w:t>无</w:t>
      </w:r>
    </w:p>
    <w:p>
      <w:pPr>
        <w:spacing w:line="240" w:lineRule="auto" w:before="2"/>
        <w:rPr>
          <w:rFonts w:ascii="宋体" w:hAnsi="宋体" w:cs="宋体" w:eastAsia="宋体" w:hint="default"/>
          <w:sz w:val="25"/>
          <w:szCs w:val="25"/>
        </w:rPr>
      </w:pPr>
    </w:p>
    <w:p>
      <w:pPr>
        <w:pStyle w:val="Heading2"/>
        <w:spacing w:line="240" w:lineRule="auto"/>
        <w:ind w:right="101"/>
        <w:jc w:val="left"/>
        <w:rPr>
          <w:b w:val="0"/>
          <w:bCs w:val="0"/>
        </w:rPr>
      </w:pPr>
      <w:r>
        <w:rPr/>
        <w:t>七、合并财务报表主要项目注释</w:t>
      </w:r>
      <w:r>
        <w:rPr>
          <w:b w:val="0"/>
          <w:bCs w:val="0"/>
        </w:rPr>
      </w:r>
    </w:p>
    <w:p>
      <w:pPr>
        <w:spacing w:line="240" w:lineRule="auto" w:before="4"/>
        <w:rPr>
          <w:rFonts w:ascii="宋体" w:hAnsi="宋体" w:cs="宋体" w:eastAsia="宋体" w:hint="default"/>
          <w:b/>
          <w:bCs/>
          <w:sz w:val="25"/>
          <w:szCs w:val="25"/>
        </w:rPr>
      </w:pPr>
    </w:p>
    <w:p>
      <w:pPr>
        <w:pStyle w:val="Heading5"/>
        <w:spacing w:line="240" w:lineRule="auto"/>
        <w:ind w:right="101"/>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210"/>
        <w:jc w:val="right"/>
      </w:pPr>
      <w:r>
        <w:rPr/>
        <w:t>单位： 元</w:t>
      </w:r>
    </w:p>
    <w:p>
      <w:pPr>
        <w:spacing w:after="0" w:line="240" w:lineRule="auto"/>
        <w:jc w:val="right"/>
        <w:sectPr>
          <w:pgSz w:w="11910" w:h="16840"/>
          <w:pgMar w:header="747" w:footer="982" w:top="1060" w:bottom="1180" w:left="980" w:right="9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8"/>
        <w:gridCol w:w="1327"/>
        <w:gridCol w:w="930"/>
        <w:gridCol w:w="1462"/>
        <w:gridCol w:w="1328"/>
        <w:gridCol w:w="929"/>
        <w:gridCol w:w="1594"/>
      </w:tblGrid>
      <w:tr>
        <w:trPr>
          <w:trHeight w:val="402" w:hRule="exact"/>
        </w:trPr>
        <w:tc>
          <w:tcPr>
            <w:tcW w:w="19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1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98" w:type="dxa"/>
            <w:vMerge/>
            <w:tcBorders>
              <w:left w:val="single" w:sz="4" w:space="0" w:color="000000"/>
              <w:bottom w:val="single" w:sz="4" w:space="0" w:color="000000"/>
              <w:right w:val="single" w:sz="4" w:space="0" w:color="000000"/>
            </w:tcBorders>
            <w:shd w:val="clear" w:color="auto" w:fill="D3D3D3"/>
          </w:tcPr>
          <w:p>
            <w:pP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折算率</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5"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135,786.34</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406,249.51</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135,786.34</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406,249.51</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317,565,058.70</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61,046,525.70</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317,565,058.70</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61,046,525.70</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5,564,133.40</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2,676,134.51</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5,564,133.40</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2,676,134.51</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323,264,978.44</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64,128,909.72</w:t>
            </w:r>
          </w:p>
        </w:tc>
      </w:tr>
    </w:tbl>
    <w:p>
      <w:pPr>
        <w:pStyle w:val="BodyText"/>
        <w:spacing w:line="357" w:lineRule="auto" w:before="51"/>
        <w:ind w:left="153" w:right="2571"/>
        <w:jc w:val="left"/>
      </w:pPr>
      <w:r>
        <w:rPr/>
        <w:t>如有因抵押、质押或冻结等对使用有限制、存放在境外、有潜在回收风险的款项应单独说明 无</w:t>
      </w:r>
    </w:p>
    <w:p>
      <w:pPr>
        <w:spacing w:line="240" w:lineRule="auto" w:before="12"/>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3"/>
        <w:ind w:right="0"/>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）应收票据的分类</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988"/>
        <w:gridCol w:w="2658"/>
        <w:gridCol w:w="2922"/>
      </w:tblGrid>
      <w:tr>
        <w:trPr>
          <w:trHeight w:val="402"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1,293,500.00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1,130,000.00</w:t>
            </w: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1,293,500.00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1,130,000.00</w:t>
            </w:r>
          </w:p>
        </w:tc>
      </w:tr>
    </w:tbl>
    <w:p>
      <w:pPr>
        <w:spacing w:line="240" w:lineRule="auto" w:before="8"/>
        <w:rPr>
          <w:rFonts w:ascii="宋体" w:hAnsi="宋体" w:cs="宋体" w:eastAsia="宋体" w:hint="default"/>
          <w:sz w:val="19"/>
          <w:szCs w:val="19"/>
        </w:rPr>
      </w:pPr>
    </w:p>
    <w:p>
      <w:pPr>
        <w:pStyle w:val="Heading5"/>
        <w:spacing w:line="240" w:lineRule="auto" w:before="38"/>
        <w:ind w:right="0"/>
        <w:jc w:val="left"/>
        <w:rPr>
          <w:b w:val="0"/>
          <w:bCs w:val="0"/>
        </w:rPr>
      </w:pPr>
      <w:r>
        <w:rPr/>
        <w:t>（</w:t>
      </w:r>
      <w:r>
        <w:rPr>
          <w:rFonts w:ascii="Times New Roman" w:hAnsi="Times New Roman" w:cs="Times New Roman" w:eastAsia="Times New Roman" w:hint="default"/>
        </w:rPr>
        <w:t>2</w:t>
      </w:r>
      <w:r>
        <w:rPr/>
        <w:t>）期末已质押的应收票据情况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4"/>
        <w:gridCol w:w="1914"/>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9"/>
          <w:szCs w:val="19"/>
        </w:rPr>
      </w:pPr>
    </w:p>
    <w:p>
      <w:pPr>
        <w:pStyle w:val="Heading5"/>
        <w:spacing w:line="240" w:lineRule="auto" w:before="38"/>
        <w:ind w:right="0"/>
        <w:jc w:val="left"/>
        <w:rPr>
          <w:b w:val="0"/>
          <w:bCs w:val="0"/>
        </w:rPr>
      </w:pPr>
      <w:r>
        <w:rPr/>
        <w:t>（</w:t>
      </w:r>
      <w:r>
        <w:rPr>
          <w:rFonts w:ascii="Times New Roman" w:hAnsi="Times New Roman" w:cs="Times New Roman" w:eastAsia="Times New Roman" w:hint="default"/>
        </w:rPr>
        <w:t>3</w:t>
      </w:r>
      <w:r>
        <w:rPr/>
        <w:t>）因出票人无力履约而将票据转为应收账款的票据，以及期末公司已经背书给他方但尚未到期的票据情况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无此事项</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982" w:top="1060" w:bottom="1180" w:left="980" w:right="980"/>
        </w:sectPr>
      </w:pPr>
    </w:p>
    <w:p>
      <w:pPr>
        <w:spacing w:line="240" w:lineRule="auto" w:before="10"/>
        <w:rPr>
          <w:rFonts w:ascii="宋体" w:hAnsi="宋体" w:cs="宋体" w:eastAsia="宋体" w:hint="default"/>
          <w:sz w:val="15"/>
          <w:szCs w:val="15"/>
        </w:rPr>
      </w:pPr>
    </w:p>
    <w:p>
      <w:pPr>
        <w:pStyle w:val="BodyText"/>
        <w:spacing w:line="360" w:lineRule="auto"/>
        <w:ind w:right="-20"/>
        <w:jc w:val="left"/>
      </w:pPr>
      <w:r>
        <w:rPr/>
        <w:t>说明 公司已经背书给其他方但尚未到期的票据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pStyle w:val="BodyText"/>
        <w:spacing w:line="240" w:lineRule="auto"/>
        <w:ind w:right="0"/>
        <w:jc w:val="left"/>
      </w:pPr>
      <w:r>
        <w:rPr/>
        <w:t>单位： 元</w:t>
      </w:r>
    </w:p>
    <w:p>
      <w:pPr>
        <w:spacing w:after="0" w:line="240" w:lineRule="auto"/>
        <w:jc w:val="left"/>
        <w:sectPr>
          <w:type w:val="continuous"/>
          <w:pgSz w:w="11910" w:h="16840"/>
          <w:pgMar w:top="1060" w:bottom="1180" w:left="980" w:right="980"/>
          <w:cols w:num="2" w:equalWidth="0">
            <w:col w:w="3395" w:space="543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4"/>
        <w:gridCol w:w="1914"/>
        <w:gridCol w:w="1915"/>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4"/>
        <w:gridCol w:w="1914"/>
        <w:gridCol w:w="1915"/>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徐州开元名都置业有限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徐州开元名都置业有限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徐州开元名都置业有限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徐州开元名都置业有限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325,000.00</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19"/>
          <w:szCs w:val="19"/>
        </w:rPr>
      </w:pPr>
    </w:p>
    <w:p>
      <w:pPr>
        <w:pStyle w:val="Heading5"/>
        <w:spacing w:line="240" w:lineRule="auto" w:before="38"/>
        <w:ind w:right="0"/>
        <w:jc w:val="left"/>
        <w:rPr>
          <w:b w:val="0"/>
          <w:bCs w:val="0"/>
        </w:rPr>
      </w:pPr>
      <w:r>
        <w:rPr>
          <w:rFonts w:ascii="Times New Roman" w:hAnsi="Times New Roman" w:cs="Times New Roman" w:eastAsia="Times New Roman" w:hint="default"/>
        </w:rPr>
        <w:t>4</w:t>
      </w:r>
      <w:r>
        <w:rPr/>
        <w:t>、应收股利</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4"/>
        <w:ind w:right="0"/>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64"/>
        <w:gridCol w:w="1860"/>
        <w:gridCol w:w="1860"/>
        <w:gridCol w:w="1860"/>
        <w:gridCol w:w="2126"/>
      </w:tblGrid>
      <w:tr>
        <w:trPr>
          <w:trHeight w:val="402" w:hRule="exact"/>
        </w:trPr>
        <w:tc>
          <w:tcPr>
            <w:tcW w:w="1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定存利息</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5,653,226.52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3,452,975.43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2,200,251.09</w:t>
            </w:r>
          </w:p>
        </w:tc>
      </w:tr>
      <w:tr>
        <w:trPr>
          <w:trHeight w:val="402" w:hRule="exact"/>
        </w:trPr>
        <w:tc>
          <w:tcPr>
            <w:tcW w:w="1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5,653,226.52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3,452,975.43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2,200,251.09</w:t>
            </w:r>
          </w:p>
        </w:tc>
      </w:tr>
    </w:tbl>
    <w:p>
      <w:pPr>
        <w:spacing w:line="240" w:lineRule="auto" w:before="8"/>
        <w:rPr>
          <w:rFonts w:ascii="宋体" w:hAnsi="宋体" w:cs="宋体" w:eastAsia="宋体" w:hint="default"/>
          <w:sz w:val="19"/>
          <w:szCs w:val="19"/>
        </w:rPr>
      </w:pPr>
    </w:p>
    <w:p>
      <w:pPr>
        <w:pStyle w:val="Heading5"/>
        <w:spacing w:line="240" w:lineRule="auto" w:before="38"/>
        <w:ind w:right="0"/>
        <w:jc w:val="left"/>
        <w:rPr>
          <w:b w:val="0"/>
          <w:bCs w:val="0"/>
        </w:rPr>
      </w:pPr>
      <w:r>
        <w:rPr/>
        <w:t>（</w:t>
      </w:r>
      <w:r>
        <w:rPr>
          <w:rFonts w:ascii="Times New Roman" w:hAnsi="Times New Roman" w:cs="Times New Roman" w:eastAsia="Times New Roman" w:hint="default"/>
        </w:rPr>
        <w:t>2</w:t>
      </w:r>
      <w:r>
        <w:rPr/>
        <w:t>）逾期利息</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spacing w:line="559" w:lineRule="auto" w:before="124"/>
        <w:ind w:left="154" w:right="383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）应收利息的说明</w:t>
      </w:r>
      <w:r>
        <w:rPr>
          <w:rFonts w:ascii="宋体" w:hAnsi="宋体" w:cs="宋体" w:eastAsia="宋体" w:hint="default"/>
          <w:b/>
          <w:bCs/>
          <w:w w:val="99"/>
          <w:sz w:val="20"/>
          <w:szCs w:val="20"/>
        </w:rPr>
        <w:t> </w:t>
      </w:r>
      <w:r>
        <w:rPr>
          <w:rFonts w:ascii="宋体" w:hAnsi="宋体" w:cs="宋体" w:eastAsia="宋体" w:hint="default"/>
          <w:sz w:val="18"/>
          <w:szCs w:val="18"/>
        </w:rPr>
        <w:t>期末应收利息中无持本公司</w:t>
      </w:r>
      <w:r>
        <w:rPr>
          <w:rFonts w:ascii="Times New Roman" w:hAnsi="Times New Roman" w:cs="Times New Roman" w:eastAsia="Times New Roman" w:hint="default"/>
          <w:sz w:val="18"/>
          <w:szCs w:val="18"/>
        </w:rPr>
        <w:t>5</w:t>
      </w:r>
      <w:r>
        <w:rPr>
          <w:rFonts w:ascii="宋体" w:hAnsi="宋体" w:cs="宋体" w:eastAsia="宋体" w:hint="default"/>
          <w:sz w:val="18"/>
          <w:szCs w:val="18"/>
        </w:rPr>
        <w:t>％以上（含</w:t>
      </w:r>
      <w:r>
        <w:rPr>
          <w:rFonts w:ascii="Times New Roman" w:hAnsi="Times New Roman" w:cs="Times New Roman" w:eastAsia="Times New Roman" w:hint="default"/>
          <w:sz w:val="18"/>
          <w:szCs w:val="18"/>
        </w:rPr>
        <w:t>5</w:t>
      </w:r>
      <w:r>
        <w:rPr>
          <w:rFonts w:ascii="宋体" w:hAnsi="宋体" w:cs="宋体" w:eastAsia="宋体" w:hint="default"/>
          <w:sz w:val="18"/>
          <w:szCs w:val="18"/>
        </w:rPr>
        <w:t>％）表决权股份的股东单位欠款。 </w:t>
      </w: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、应收账款</w:t>
      </w:r>
      <w:r>
        <w:rPr>
          <w:rFonts w:ascii="宋体" w:hAnsi="宋体" w:cs="宋体" w:eastAsia="宋体" w:hint="default"/>
          <w:sz w:val="20"/>
          <w:szCs w:val="20"/>
        </w:rPr>
      </w:r>
    </w:p>
    <w:p>
      <w:pPr>
        <w:pStyle w:val="Heading5"/>
        <w:spacing w:line="240" w:lineRule="auto" w:before="41"/>
        <w:ind w:right="0"/>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00"/>
        <w:gridCol w:w="929"/>
        <w:gridCol w:w="929"/>
        <w:gridCol w:w="929"/>
        <w:gridCol w:w="930"/>
        <w:gridCol w:w="797"/>
        <w:gridCol w:w="930"/>
        <w:gridCol w:w="1062"/>
        <w:gridCol w:w="1064"/>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1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000" w:type="dxa"/>
            <w:vMerge/>
            <w:tcBorders>
              <w:left w:val="single" w:sz="4" w:space="0" w:color="000000"/>
              <w:right w:val="single" w:sz="4" w:space="0" w:color="000000"/>
            </w:tcBorders>
            <w:shd w:val="clear" w:color="auto" w:fill="D3D3D3"/>
          </w:tcPr>
          <w:p>
            <w:pP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3D3D3"/>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2" w:right="0"/>
              <w:jc w:val="center"/>
              <w:rPr>
                <w:rFonts w:ascii="Times New Roman" w:hAnsi="Times New Roman" w:cs="Times New Roman" w:eastAsia="Times New Roman" w:hint="default"/>
                <w:sz w:val="18"/>
                <w:szCs w:val="18"/>
              </w:rPr>
            </w:pPr>
            <w:r>
              <w:rPr>
                <w:rFonts w:ascii="Times New Roman"/>
                <w:sz w:val="18"/>
              </w:rPr>
              <w:t>149,156,00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8" w:right="0"/>
              <w:jc w:val="center"/>
              <w:rPr>
                <w:rFonts w:ascii="Times New Roman" w:hAnsi="Times New Roman" w:cs="Times New Roman" w:eastAsia="Times New Roman" w:hint="default"/>
                <w:sz w:val="18"/>
                <w:szCs w:val="18"/>
              </w:rPr>
            </w:pPr>
            <w:r>
              <w:rPr>
                <w:rFonts w:ascii="Times New Roman"/>
                <w:sz w:val="18"/>
              </w:rPr>
              <w:t>8,828,797.7</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5.92%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center"/>
              <w:rPr>
                <w:rFonts w:ascii="Times New Roman" w:hAnsi="Times New Roman" w:cs="Times New Roman" w:eastAsia="Times New Roman" w:hint="default"/>
                <w:sz w:val="18"/>
                <w:szCs w:val="18"/>
              </w:rPr>
            </w:pPr>
            <w:r>
              <w:rPr>
                <w:rFonts w:ascii="Times New Roman"/>
                <w:sz w:val="18"/>
              </w:rPr>
              <w:t>59,772,80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6" w:right="0"/>
              <w:jc w:val="left"/>
              <w:rPr>
                <w:rFonts w:ascii="Times New Roman" w:hAnsi="Times New Roman" w:cs="Times New Roman" w:eastAsia="Times New Roman" w:hint="default"/>
                <w:sz w:val="18"/>
                <w:szCs w:val="18"/>
              </w:rPr>
            </w:pPr>
            <w:r>
              <w:rPr>
                <w:rFonts w:ascii="Times New Roman"/>
                <w:sz w:val="18"/>
              </w:rPr>
              <w:t>100%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3,327,161.88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7" w:right="0"/>
              <w:jc w:val="left"/>
              <w:rPr>
                <w:rFonts w:ascii="Times New Roman" w:hAnsi="Times New Roman" w:cs="Times New Roman" w:eastAsia="Times New Roman" w:hint="default"/>
                <w:sz w:val="18"/>
                <w:szCs w:val="18"/>
              </w:rPr>
            </w:pPr>
            <w:r>
              <w:rPr>
                <w:rFonts w:ascii="Times New Roman"/>
                <w:sz w:val="18"/>
              </w:rPr>
              <w:t>5.57%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000"/>
        <w:gridCol w:w="929"/>
        <w:gridCol w:w="929"/>
        <w:gridCol w:w="929"/>
        <w:gridCol w:w="930"/>
        <w:gridCol w:w="797"/>
        <w:gridCol w:w="930"/>
        <w:gridCol w:w="1062"/>
        <w:gridCol w:w="1064"/>
      </w:tblGrid>
      <w:tr>
        <w:trPr>
          <w:trHeight w:val="362" w:hRule="exact"/>
        </w:trPr>
        <w:tc>
          <w:tcPr>
            <w:tcW w:w="2000"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1" w:right="0"/>
              <w:jc w:val="left"/>
              <w:rPr>
                <w:rFonts w:ascii="Times New Roman" w:hAnsi="Times New Roman" w:cs="Times New Roman" w:eastAsia="Times New Roman" w:hint="default"/>
                <w:sz w:val="18"/>
                <w:szCs w:val="18"/>
              </w:rPr>
            </w:pPr>
            <w:r>
              <w:rPr>
                <w:rFonts w:ascii="Times New Roman"/>
                <w:sz w:val="18"/>
              </w:rPr>
              <w:t>5.19</w:t>
            </w: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7</w:t>
            </w:r>
          </w:p>
        </w:tc>
        <w:tc>
          <w:tcPr>
            <w:tcW w:w="93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5.22</w:t>
            </w:r>
          </w:p>
        </w:tc>
        <w:tc>
          <w:tcPr>
            <w:tcW w:w="93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149,156,00</w:t>
            </w:r>
          </w:p>
          <w:p>
            <w:pPr>
              <w:pStyle w:val="TableParagraph"/>
              <w:spacing w:line="240" w:lineRule="auto" w:before="105"/>
              <w:ind w:left="581" w:right="0"/>
              <w:jc w:val="left"/>
              <w:rPr>
                <w:rFonts w:ascii="Times New Roman" w:hAnsi="Times New Roman" w:cs="Times New Roman" w:eastAsia="Times New Roman" w:hint="default"/>
                <w:sz w:val="18"/>
                <w:szCs w:val="18"/>
              </w:rPr>
            </w:pPr>
            <w:r>
              <w:rPr>
                <w:rFonts w:ascii="Times New Roman"/>
                <w:sz w:val="18"/>
              </w:rPr>
              <w:t>5.19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8,828,797.7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5.92%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59,772,80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5.22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100%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3,327,161.88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7" w:right="0"/>
              <w:jc w:val="left"/>
              <w:rPr>
                <w:rFonts w:ascii="Times New Roman" w:hAnsi="Times New Roman" w:cs="Times New Roman" w:eastAsia="Times New Roman" w:hint="default"/>
                <w:sz w:val="18"/>
                <w:szCs w:val="18"/>
              </w:rPr>
            </w:pPr>
            <w:r>
              <w:rPr>
                <w:rFonts w:ascii="Times New Roman"/>
                <w:sz w:val="18"/>
              </w:rPr>
              <w:t>5.57%</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149,156,00</w:t>
            </w:r>
          </w:p>
          <w:p>
            <w:pPr>
              <w:pStyle w:val="TableParagraph"/>
              <w:spacing w:line="240" w:lineRule="auto" w:before="105"/>
              <w:ind w:left="581" w:right="0"/>
              <w:jc w:val="left"/>
              <w:rPr>
                <w:rFonts w:ascii="Times New Roman" w:hAnsi="Times New Roman" w:cs="Times New Roman" w:eastAsia="Times New Roman" w:hint="default"/>
                <w:sz w:val="18"/>
                <w:szCs w:val="18"/>
              </w:rPr>
            </w:pPr>
            <w:r>
              <w:rPr>
                <w:rFonts w:ascii="Times New Roman"/>
                <w:sz w:val="18"/>
              </w:rPr>
              <w:t>5.19</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8,828,797.7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9" w:right="0"/>
              <w:jc w:val="lef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59,772,80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5.22</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3,327,161.88</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pStyle w:val="BodyText"/>
        <w:spacing w:line="360" w:lineRule="auto" w:before="51"/>
        <w:ind w:left="153" w:right="-19"/>
        <w:jc w:val="left"/>
      </w:pPr>
      <w:r>
        <w:rPr/>
        <w:t>应收账款种类的说明 期末单项金额重大并单项计提坏账准备的应收账款</w:t>
      </w:r>
    </w:p>
    <w:p>
      <w:pPr>
        <w:pStyle w:val="BodyText"/>
        <w:spacing w:line="338" w:lineRule="auto" w:before="26"/>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115" w:space="471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66"/>
        <w:gridCol w:w="1594"/>
        <w:gridCol w:w="929"/>
        <w:gridCol w:w="1727"/>
        <w:gridCol w:w="1462"/>
        <w:gridCol w:w="929"/>
        <w:gridCol w:w="1462"/>
      </w:tblGrid>
      <w:tr>
        <w:trPr>
          <w:trHeight w:val="402" w:hRule="exact"/>
        </w:trPr>
        <w:tc>
          <w:tcPr>
            <w:tcW w:w="14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4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466" w:type="dxa"/>
            <w:vMerge/>
            <w:tcBorders>
              <w:left w:val="single" w:sz="4" w:space="0" w:color="000000"/>
              <w:right w:val="single" w:sz="4" w:space="0" w:color="000000"/>
            </w:tcBorders>
            <w:shd w:val="clear" w:color="auto" w:fill="D3D3D3"/>
          </w:tcPr>
          <w:p>
            <w:pPr/>
          </w:p>
        </w:tc>
        <w:tc>
          <w:tcPr>
            <w:tcW w:w="25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46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7" w:type="dxa"/>
            <w:vMerge/>
            <w:tcBorders>
              <w:left w:val="single" w:sz="4" w:space="0" w:color="000000"/>
              <w:bottom w:val="single" w:sz="4" w:space="0" w:color="000000"/>
              <w:right w:val="single" w:sz="4" w:space="0" w:color="000000"/>
            </w:tcBorders>
            <w:shd w:val="clear" w:color="auto" w:fill="D3D3D3"/>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6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1"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130,485,163.87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87.48%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6,524,258.20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54,405,217.04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91.02%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2,720,260.85</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15,008,220.37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1,500,822.03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5,130,277.03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513,027.70</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3,425,309.80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685,061.96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82,607.50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0.14%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16,521.50</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82,607.50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41,303.75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154,703.65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0.26%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77,351.83</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154,703.65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77,351.83</w:t>
            </w:r>
          </w:p>
        </w:tc>
        <w:tc>
          <w:tcPr>
            <w:tcW w:w="1462"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149,156,005.19</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8,828,797.77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59,772,805.22</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3,327,161.88</w:t>
            </w:r>
          </w:p>
        </w:tc>
      </w:tr>
    </w:tbl>
    <w:p>
      <w:pPr>
        <w:pStyle w:val="BodyText"/>
        <w:spacing w:line="240" w:lineRule="auto" w:before="51"/>
        <w:ind w:right="0"/>
        <w:jc w:val="left"/>
      </w:pPr>
      <w:r>
        <w:rPr/>
        <w:t>组合中，采用余额百分比法计提坏账准备的应收账款</w:t>
      </w:r>
    </w:p>
    <w:p>
      <w:pPr>
        <w:pStyle w:val="BodyText"/>
        <w:spacing w:line="340" w:lineRule="auto" w:before="116"/>
        <w:ind w:right="59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338" w:lineRule="auto" w:before="40"/>
        <w:ind w:right="54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期末单项金额虽不重大但单项计提坏账准备的应收账款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3"/>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无此事项</w:t>
      </w:r>
    </w:p>
    <w:p>
      <w:pPr>
        <w:spacing w:after="0" w:line="240" w:lineRule="auto"/>
        <w:jc w:val="left"/>
        <w:sectPr>
          <w:type w:val="continuous"/>
          <w:pgSz w:w="11910" w:h="16840"/>
          <w:pgMar w:top="1060" w:bottom="1180" w:left="980" w:right="980"/>
        </w:sectPr>
      </w:pPr>
    </w:p>
    <w:p>
      <w:pPr>
        <w:spacing w:line="240" w:lineRule="auto" w:before="3"/>
        <w:rPr>
          <w:rFonts w:ascii="宋体" w:hAnsi="宋体" w:cs="宋体" w:eastAsia="宋体" w:hint="default"/>
          <w:sz w:val="25"/>
          <w:szCs w:val="25"/>
        </w:rPr>
      </w:pPr>
    </w:p>
    <w:p>
      <w:pPr>
        <w:pStyle w:val="Heading5"/>
        <w:spacing w:line="240" w:lineRule="auto" w:before="38"/>
        <w:ind w:right="0"/>
        <w:jc w:val="left"/>
        <w:rPr>
          <w:b w:val="0"/>
          <w:bCs w:val="0"/>
        </w:rPr>
      </w:pPr>
      <w:r>
        <w:rPr/>
        <w:t>（</w:t>
      </w:r>
      <w:r>
        <w:rPr>
          <w:rFonts w:ascii="Times New Roman" w:hAnsi="Times New Roman" w:cs="Times New Roman" w:eastAsia="Times New Roman" w:hint="default"/>
        </w:rPr>
        <w:t>4</w:t>
      </w:r>
      <w:r>
        <w:rPr/>
        <w:t>）本报告期应收账款中持有公司</w:t>
      </w:r>
      <w:r>
        <w:rPr>
          <w:spacing w:val="-54"/>
        </w:rPr>
        <w:t> </w:t>
      </w:r>
      <w:r>
        <w:rPr>
          <w:rFonts w:ascii="Times New Roman" w:hAnsi="Times New Roman" w:cs="Times New Roman" w:eastAsia="Times New Roman" w:hint="default"/>
        </w:rPr>
        <w:t>5</w:t>
      </w:r>
      <w:r>
        <w:rPr/>
        <w:t>％（含</w:t>
      </w:r>
      <w:r>
        <w:rPr>
          <w:spacing w:val="-53"/>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3"/>
        <w:ind w:right="0"/>
        <w:jc w:val="left"/>
        <w:rPr>
          <w:b w:val="0"/>
          <w:bCs w:val="0"/>
        </w:rPr>
      </w:pP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拉萨市暖心燃气热力有 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25.64%</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伊厦成都国际商贸城股 份有限公司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13,630,142.60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9.14%</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苏州工业园区金鸡湖大 酒店有限公司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10,910,569.31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7.31%</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杭州金基房地产开发有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8,896,942.12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4,142,857.14</w:t>
            </w:r>
            <w:r>
              <w:rPr>
                <w:rFonts w:ascii="宋体" w:hAnsi="宋体" w:cs="宋体" w:eastAsia="宋体" w:hint="default"/>
                <w:sz w:val="18"/>
                <w:szCs w:val="18"/>
              </w:rPr>
              <w:t>；</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4,754,084.98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5.96%</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四川华西集团有限公司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7,755,567.57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6,006,040.09</w:t>
            </w:r>
            <w:r>
              <w:rPr>
                <w:rFonts w:ascii="宋体" w:hAnsi="宋体" w:cs="宋体" w:eastAsia="宋体" w:hint="default"/>
                <w:sz w:val="18"/>
                <w:szCs w:val="18"/>
              </w:rPr>
              <w:t>；</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1,749,527.48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79,443,221.60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53.25%</w:t>
            </w:r>
          </w:p>
        </w:tc>
      </w:tr>
    </w:tbl>
    <w:p>
      <w:pPr>
        <w:spacing w:line="240" w:lineRule="auto" w:before="8"/>
        <w:rPr>
          <w:rFonts w:ascii="宋体" w:hAnsi="宋体" w:cs="宋体" w:eastAsia="宋体" w:hint="default"/>
          <w:sz w:val="19"/>
          <w:szCs w:val="19"/>
        </w:rPr>
      </w:pPr>
    </w:p>
    <w:p>
      <w:pPr>
        <w:pStyle w:val="Heading5"/>
        <w:spacing w:line="240" w:lineRule="auto" w:before="38"/>
        <w:ind w:right="0"/>
        <w:jc w:val="left"/>
        <w:rPr>
          <w:b w:val="0"/>
          <w:bCs w:val="0"/>
        </w:rPr>
      </w:pPr>
      <w:r>
        <w:rPr/>
        <w:t>（</w:t>
      </w:r>
      <w:r>
        <w:rPr>
          <w:rFonts w:ascii="Times New Roman" w:hAnsi="Times New Roman" w:cs="Times New Roman" w:eastAsia="Times New Roman" w:hint="default"/>
        </w:rPr>
        <w:t>6</w:t>
      </w:r>
      <w:r>
        <w:rPr/>
        <w:t>）应收关联方账款情况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30"/>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71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浙江百家乐房地产开发有限 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5"/>
              <w:jc w:val="left"/>
              <w:rPr>
                <w:rFonts w:ascii="宋体" w:hAnsi="宋体" w:cs="宋体" w:eastAsia="宋体" w:hint="default"/>
                <w:sz w:val="18"/>
                <w:szCs w:val="18"/>
              </w:rPr>
            </w:pPr>
            <w:r>
              <w:rPr>
                <w:rFonts w:ascii="宋体" w:hAnsi="宋体" w:cs="宋体" w:eastAsia="宋体" w:hint="default"/>
                <w:sz w:val="18"/>
                <w:szCs w:val="18"/>
              </w:rPr>
              <w:t>董事蔡福益担任董事、总经理 的公司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1,150,463.00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0.77%</w:t>
            </w:r>
          </w:p>
        </w:tc>
      </w:tr>
      <w:tr>
        <w:trPr>
          <w:trHeight w:val="71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杭州玄坛源实业有限公司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41"/>
              <w:jc w:val="left"/>
              <w:rPr>
                <w:rFonts w:ascii="宋体" w:hAnsi="宋体" w:cs="宋体" w:eastAsia="宋体" w:hint="default"/>
                <w:sz w:val="18"/>
                <w:szCs w:val="18"/>
              </w:rPr>
            </w:pPr>
            <w:r>
              <w:rPr>
                <w:rFonts w:ascii="宋体" w:hAnsi="宋体" w:cs="宋体" w:eastAsia="宋体" w:hint="default"/>
                <w:sz w:val="18"/>
                <w:szCs w:val="18"/>
              </w:rPr>
              <w:t>董事蔡福益间接持有其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w:t>
            </w:r>
            <w:r>
              <w:rPr>
                <w:rFonts w:ascii="宋体" w:hAnsi="宋体" w:cs="宋体" w:eastAsia="宋体" w:hint="default"/>
                <w:sz w:val="18"/>
                <w:szCs w:val="18"/>
              </w:rPr>
              <w:t>的 股份并担任董事的企业</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861,544.84</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0.58%</w:t>
            </w:r>
          </w:p>
        </w:tc>
      </w:tr>
      <w:tr>
        <w:trPr>
          <w:trHeight w:val="71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杭州国润房地产有限公司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5"/>
              <w:jc w:val="left"/>
              <w:rPr>
                <w:rFonts w:ascii="宋体" w:hAnsi="宋体" w:cs="宋体" w:eastAsia="宋体" w:hint="default"/>
                <w:sz w:val="18"/>
                <w:szCs w:val="18"/>
              </w:rPr>
            </w:pPr>
            <w:r>
              <w:rPr>
                <w:rFonts w:ascii="宋体" w:hAnsi="宋体" w:cs="宋体" w:eastAsia="宋体" w:hint="default"/>
                <w:sz w:val="18"/>
                <w:szCs w:val="18"/>
              </w:rPr>
              <w:t>董事蔡福益持股并担任董事长 的企业</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2,137.50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8"/>
        <w:rPr>
          <w:rFonts w:ascii="宋体" w:hAnsi="宋体" w:cs="宋体" w:eastAsia="宋体" w:hint="default"/>
          <w:sz w:val="19"/>
          <w:szCs w:val="19"/>
        </w:rPr>
      </w:pPr>
    </w:p>
    <w:p>
      <w:pPr>
        <w:pStyle w:val="Heading5"/>
        <w:spacing w:line="240" w:lineRule="auto" w:before="38"/>
        <w:ind w:right="0"/>
        <w:jc w:val="left"/>
        <w:rPr>
          <w:b w:val="0"/>
          <w:bCs w:val="0"/>
        </w:rPr>
      </w:pPr>
      <w:r>
        <w:rPr/>
        <w:t>（</w:t>
      </w:r>
      <w:r>
        <w:rPr>
          <w:rFonts w:ascii="Times New Roman" w:hAnsi="Times New Roman" w:cs="Times New Roman" w:eastAsia="Times New Roman" w:hint="default"/>
        </w:rPr>
        <w:t>7</w:t>
      </w:r>
      <w:r>
        <w:rPr/>
        <w:t>）终止确认的应收款项情况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3"/>
        <w:ind w:right="0"/>
        <w:jc w:val="left"/>
        <w:rPr>
          <w:b w:val="0"/>
          <w:bCs w:val="0"/>
        </w:rPr>
      </w:pPr>
      <w:r>
        <w:rPr/>
        <w:t>（</w:t>
      </w:r>
      <w:r>
        <w:rPr>
          <w:rFonts w:ascii="Times New Roman" w:hAnsi="Times New Roman" w:cs="Times New Roman" w:eastAsia="Times New Roman" w:hint="default"/>
        </w:rPr>
        <w:t>8</w:t>
      </w:r>
      <w:r>
        <w:rPr/>
        <w:t>）以应收款项为标的进行证券化的，列示继续涉入形成的资产、负债的金额</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t>无此事项</w:t>
      </w:r>
    </w:p>
    <w:p>
      <w:pPr>
        <w:spacing w:after="0" w:line="240" w:lineRule="auto"/>
        <w:jc w:val="left"/>
        <w:sectPr>
          <w:pgSz w:w="11910" w:h="16840"/>
          <w:pgMar w:header="747" w:footer="982" w:top="1060" w:bottom="1180" w:left="980" w:right="980"/>
        </w:sectPr>
      </w:pPr>
    </w:p>
    <w:p>
      <w:pPr>
        <w:spacing w:line="240" w:lineRule="auto" w:before="1"/>
        <w:rPr>
          <w:rFonts w:ascii="宋体" w:hAnsi="宋体" w:cs="宋体" w:eastAsia="宋体" w:hint="default"/>
          <w:sz w:val="25"/>
          <w:szCs w:val="25"/>
        </w:rPr>
      </w:pPr>
    </w:p>
    <w:p>
      <w:pPr>
        <w:pStyle w:val="Heading5"/>
        <w:spacing w:line="240" w:lineRule="auto" w:before="38"/>
        <w:ind w:right="0"/>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2"/>
        <w:gridCol w:w="1058"/>
        <w:gridCol w:w="792"/>
        <w:gridCol w:w="1057"/>
        <w:gridCol w:w="794"/>
        <w:gridCol w:w="1058"/>
        <w:gridCol w:w="925"/>
        <w:gridCol w:w="1190"/>
        <w:gridCol w:w="791"/>
      </w:tblGrid>
      <w:tr>
        <w:trPr>
          <w:trHeight w:val="402" w:hRule="exact"/>
        </w:trPr>
        <w:tc>
          <w:tcPr>
            <w:tcW w:w="19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02" w:type="dxa"/>
            <w:vMerge/>
            <w:tcBorders>
              <w:left w:val="single" w:sz="4" w:space="0" w:color="000000"/>
              <w:right w:val="single" w:sz="4" w:space="0" w:color="000000"/>
            </w:tcBorders>
            <w:shd w:val="clear" w:color="auto" w:fill="D3D3D3"/>
          </w:tcPr>
          <w:p>
            <w:pP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902" w:type="dxa"/>
            <w:vMerge/>
            <w:tcBorders>
              <w:left w:val="single" w:sz="4" w:space="0" w:color="000000"/>
              <w:bottom w:val="single" w:sz="4" w:space="0" w:color="000000"/>
              <w:right w:val="single" w:sz="4" w:space="0" w:color="000000"/>
            </w:tcBorders>
            <w:shd w:val="clear" w:color="auto" w:fill="D3D3D3"/>
          </w:tcPr>
          <w:p>
            <w:pP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4"/>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4"/>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3"/>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1"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4" w:hRule="exact"/>
        </w:trPr>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53,795,819.6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5,419,216.93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35,653,715.2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2,640,769.31</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7.41%</w:t>
            </w:r>
          </w:p>
        </w:tc>
      </w:tr>
      <w:tr>
        <w:trPr>
          <w:trHeight w:val="714"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53,795,819.6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5,419,216.93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35,653,715.2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2,640,769.31</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7.41%</w:t>
            </w:r>
          </w:p>
        </w:tc>
      </w:tr>
      <w:tr>
        <w:trPr>
          <w:trHeight w:val="715"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53,795,819.6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5,419,216.93</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35,653,715.2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2,640,769.31</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pStyle w:val="BodyText"/>
        <w:spacing w:line="357" w:lineRule="auto" w:before="51"/>
        <w:ind w:left="153" w:right="-19"/>
        <w:jc w:val="left"/>
      </w:pPr>
      <w:r>
        <w:rPr/>
        <w:t>其他应收款种类的说明 期末单项金额重大并单项计提坏账准备的其他应收款</w:t>
      </w:r>
    </w:p>
    <w:p>
      <w:pPr>
        <w:pStyle w:val="BodyText"/>
        <w:spacing w:line="338" w:lineRule="auto" w:before="2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组合中，采用账龄分析法计提坏账准备的其他应收款</w:t>
      </w:r>
    </w:p>
    <w:p>
      <w:pPr>
        <w:pStyle w:val="BodyText"/>
        <w:spacing w:line="240" w:lineRule="auto" w:before="42"/>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295" w:space="453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47"/>
        <w:gridCol w:w="1841"/>
        <w:gridCol w:w="659"/>
        <w:gridCol w:w="1447"/>
        <w:gridCol w:w="1450"/>
        <w:gridCol w:w="656"/>
        <w:gridCol w:w="1668"/>
      </w:tblGrid>
      <w:tr>
        <w:trPr>
          <w:trHeight w:val="402" w:hRule="exact"/>
        </w:trPr>
        <w:tc>
          <w:tcPr>
            <w:tcW w:w="18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94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847" w:type="dxa"/>
            <w:vMerge/>
            <w:tcBorders>
              <w:left w:val="single" w:sz="4" w:space="0" w:color="000000"/>
              <w:right w:val="single" w:sz="4" w:space="0" w:color="000000"/>
            </w:tcBorders>
            <w:shd w:val="clear" w:color="auto" w:fill="D3D3D3"/>
          </w:tcPr>
          <w:p>
            <w:pPr/>
          </w:p>
        </w:tc>
        <w:tc>
          <w:tcPr>
            <w:tcW w:w="249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6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847" w:type="dxa"/>
            <w:vMerge/>
            <w:tcBorders>
              <w:left w:val="single" w:sz="4" w:space="0" w:color="000000"/>
              <w:bottom w:val="single" w:sz="4" w:space="0" w:color="000000"/>
              <w:right w:val="single" w:sz="4" w:space="0" w:color="000000"/>
            </w:tcBorders>
            <w:shd w:val="clear" w:color="auto" w:fill="D3D3D3"/>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89" w:right="0"/>
              <w:jc w:val="left"/>
              <w:rPr>
                <w:rFonts w:ascii="Times New Roman" w:hAnsi="Times New Roman" w:cs="Times New Roman" w:eastAsia="Times New Roman" w:hint="default"/>
                <w:sz w:val="18"/>
                <w:szCs w:val="18"/>
              </w:rPr>
            </w:pPr>
            <w:r>
              <w:rPr>
                <w:rFonts w:ascii="Times New Roman"/>
                <w:sz w:val="18"/>
              </w:rPr>
              <w:t>(%)</w:t>
            </w:r>
          </w:p>
        </w:tc>
        <w:tc>
          <w:tcPr>
            <w:tcW w:w="1447" w:type="dxa"/>
            <w:vMerge/>
            <w:tcBorders>
              <w:left w:val="single" w:sz="4" w:space="0" w:color="000000"/>
              <w:bottom w:val="single" w:sz="4" w:space="0" w:color="000000"/>
              <w:right w:val="single" w:sz="4" w:space="0" w:color="000000"/>
            </w:tcBorders>
            <w:shd w:val="clear" w:color="auto" w:fill="D3D3D3"/>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88" w:right="0"/>
              <w:jc w:val="left"/>
              <w:rPr>
                <w:rFonts w:ascii="Times New Roman" w:hAnsi="Times New Roman" w:cs="Times New Roman" w:eastAsia="Times New Roman" w:hint="default"/>
                <w:sz w:val="18"/>
                <w:szCs w:val="18"/>
              </w:rPr>
            </w:pPr>
            <w:r>
              <w:rPr>
                <w:rFonts w:ascii="Times New Roman"/>
                <w:sz w:val="18"/>
              </w:rPr>
              <w:t>(%)</w:t>
            </w:r>
          </w:p>
        </w:tc>
        <w:tc>
          <w:tcPr>
            <w:tcW w:w="166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27,547,589.70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51.21%</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1,377,379.50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21,214,563.82</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1,060,728.19</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13,815,615.02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25.68%</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1,381,561.50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13,077,891.59</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36.68%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1,307,789.16</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11,853,438.42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22.03%</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2,370,687.68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1,361,259.80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272,251.96</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579,176.50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289,588.25</w:t>
            </w:r>
          </w:p>
        </w:tc>
        <w:tc>
          <w:tcPr>
            <w:tcW w:w="1450"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53,795,819.64</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5,419,216.93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35,653,715.21</w:t>
            </w: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2,640,769.31</w:t>
            </w:r>
          </w:p>
        </w:tc>
      </w:tr>
    </w:tbl>
    <w:p>
      <w:pPr>
        <w:pStyle w:val="BodyText"/>
        <w:spacing w:line="240" w:lineRule="auto" w:before="51"/>
        <w:ind w:right="0"/>
        <w:jc w:val="left"/>
      </w:pPr>
      <w:r>
        <w:rPr/>
        <w:t>组合中，采用余额百分比法计提坏账准备的其他应收款</w:t>
      </w:r>
    </w:p>
    <w:p>
      <w:pPr>
        <w:pStyle w:val="BodyText"/>
        <w:spacing w:line="338" w:lineRule="auto" w:before="117"/>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338" w:lineRule="auto" w:before="43"/>
        <w:ind w:right="52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期末单项金额虽不重大但单项计提坏账准备的其他应收款</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80" w:left="980" w:right="980"/>
        </w:sectPr>
      </w:pPr>
    </w:p>
    <w:p>
      <w:pPr>
        <w:spacing w:line="240" w:lineRule="auto" w:before="1"/>
        <w:rPr>
          <w:rFonts w:ascii="宋体" w:hAnsi="宋体" w:cs="宋体" w:eastAsia="宋体" w:hint="default"/>
          <w:sz w:val="25"/>
          <w:szCs w:val="25"/>
        </w:rPr>
      </w:pPr>
    </w:p>
    <w:p>
      <w:pPr>
        <w:pStyle w:val="Heading5"/>
        <w:spacing w:line="240" w:lineRule="auto" w:before="38"/>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3"/>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3"/>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52"/>
        </w:rPr>
        <w:t> </w:t>
      </w:r>
      <w:r>
        <w:rPr>
          <w:rFonts w:ascii="Times New Roman" w:hAnsi="Times New Roman" w:cs="Times New Roman" w:eastAsia="Times New Roman" w:hint="default"/>
        </w:rPr>
        <w:t>5</w:t>
      </w:r>
      <w:r>
        <w:rPr/>
        <w:t>％（含</w:t>
      </w:r>
      <w:r>
        <w:rPr>
          <w:spacing w:val="-53"/>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4"/>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4"/>
        <w:ind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25"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盐城市机电设备招标投 标交易中心</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4,558,390.00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8.47%</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四川烟草工业有限责任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2,296,540.90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4.27%</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杭州余杭旅游集团有限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2,128,939.70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759,3</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3.70</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1,369,616.00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3.96%</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桐乡市世贸中心置业有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3.72%</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杭州西溪国家湿地公园 三期工程有限公司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12,633,870.60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23.49%</w:t>
            </w:r>
          </w:p>
        </w:tc>
      </w:tr>
    </w:tbl>
    <w:p>
      <w:pPr>
        <w:spacing w:line="240" w:lineRule="auto" w:before="8"/>
        <w:rPr>
          <w:rFonts w:ascii="宋体" w:hAnsi="宋体" w:cs="宋体" w:eastAsia="宋体" w:hint="default"/>
          <w:sz w:val="19"/>
          <w:szCs w:val="19"/>
        </w:rPr>
      </w:pPr>
    </w:p>
    <w:p>
      <w:pPr>
        <w:pStyle w:val="Heading5"/>
        <w:spacing w:line="240" w:lineRule="auto" w:before="38"/>
        <w:ind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3"/>
        <w:ind w:right="0"/>
        <w:jc w:val="left"/>
        <w:rPr>
          <w:b w:val="0"/>
          <w:bCs w:val="0"/>
        </w:rPr>
      </w:pPr>
      <w:r>
        <w:rPr/>
        <w:t>（</w:t>
      </w:r>
      <w:r>
        <w:rPr>
          <w:rFonts w:ascii="Times New Roman" w:hAnsi="Times New Roman" w:cs="Times New Roman" w:eastAsia="Times New Roman" w:hint="default"/>
        </w:rPr>
        <w:t>8</w:t>
      </w:r>
      <w:r>
        <w:rPr/>
        <w:t>）终止确认的其他应收款项情况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t>无此事项</w:t>
      </w:r>
    </w:p>
    <w:p>
      <w:pPr>
        <w:spacing w:after="0" w:line="240" w:lineRule="auto"/>
        <w:jc w:val="left"/>
        <w:sectPr>
          <w:pgSz w:w="11910" w:h="16840"/>
          <w:pgMar w:header="747" w:footer="982" w:top="1060" w:bottom="1180" w:left="980" w:right="980"/>
        </w:sectPr>
      </w:pPr>
    </w:p>
    <w:p>
      <w:pPr>
        <w:spacing w:line="240" w:lineRule="auto" w:before="1"/>
        <w:rPr>
          <w:rFonts w:ascii="宋体" w:hAnsi="宋体" w:cs="宋体" w:eastAsia="宋体" w:hint="default"/>
          <w:sz w:val="25"/>
          <w:szCs w:val="25"/>
        </w:rPr>
      </w:pPr>
    </w:p>
    <w:p>
      <w:pPr>
        <w:pStyle w:val="Heading5"/>
        <w:spacing w:line="240" w:lineRule="auto" w:before="38"/>
        <w:ind w:right="0"/>
        <w:jc w:val="left"/>
        <w:rPr>
          <w:b w:val="0"/>
          <w:bCs w:val="0"/>
        </w:rPr>
      </w:pPr>
      <w:r>
        <w:rPr/>
        <w:t>（</w:t>
      </w:r>
      <w:r>
        <w:rPr>
          <w:rFonts w:ascii="Times New Roman" w:hAnsi="Times New Roman" w:cs="Times New Roman" w:eastAsia="Times New Roman" w:hint="default"/>
        </w:rPr>
        <w:t>9</w:t>
      </w:r>
      <w:r>
        <w:rPr/>
        <w:t>）以其他应收款为标的进行证券化的，列示继续涉入形成的资产、负债的金额</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3"/>
        <w:ind w:right="0"/>
        <w:jc w:val="left"/>
        <w:rPr>
          <w:b w:val="0"/>
          <w:bCs w:val="0"/>
        </w:rPr>
      </w:pPr>
      <w:r>
        <w:rPr>
          <w:rFonts w:ascii="Times New Roman" w:hAnsi="Times New Roman" w:cs="Times New Roman" w:eastAsia="Times New Roman" w:hint="default"/>
        </w:rPr>
        <w:t>8</w:t>
      </w:r>
      <w:r>
        <w:rPr/>
        <w:t>、预付款项</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02"/>
        <w:gridCol w:w="3187"/>
        <w:gridCol w:w="1062"/>
        <w:gridCol w:w="3054"/>
        <w:gridCol w:w="1062"/>
      </w:tblGrid>
      <w:tr>
        <w:trPr>
          <w:trHeight w:val="402" w:hRule="exact"/>
        </w:trPr>
        <w:tc>
          <w:tcPr>
            <w:tcW w:w="12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202" w:type="dxa"/>
            <w:vMerge/>
            <w:tcBorders>
              <w:left w:val="single" w:sz="4" w:space="0" w:color="000000"/>
              <w:bottom w:val="single" w:sz="4" w:space="0" w:color="000000"/>
              <w:right w:val="single" w:sz="4" w:space="0" w:color="000000"/>
            </w:tcBorders>
            <w:shd w:val="clear" w:color="auto" w:fill="D3D3D3"/>
          </w:tcPr>
          <w:p>
            <w:pP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9"/>
              <w:jc w:val="righ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9"/>
              <w:jc w:val="righ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11,771,966.33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93.93%</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9,532,157.94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97.07%</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760,532.00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6.07%</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287,994.79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2.93%</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12,532,498.33</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9,820,152.73</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Heading5"/>
        <w:spacing w:line="240" w:lineRule="auto" w:before="38"/>
        <w:ind w:right="0"/>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成都宇业数码科技有限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3,849,025.57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货物尚未交付</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待认证进项税</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1,990,289.69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未认证</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四川久远新方向智能科 技有限公司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货物尚未交付</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四川华新建筑劳务有限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劳务尚未提供</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湖南省财政国库管理局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462,870.00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未检测</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7,302,185.26</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19"/>
          <w:szCs w:val="19"/>
        </w:rPr>
      </w:pPr>
    </w:p>
    <w:p>
      <w:pPr>
        <w:pStyle w:val="Heading5"/>
        <w:spacing w:line="240" w:lineRule="auto" w:before="38"/>
        <w:ind w:right="0"/>
        <w:jc w:val="left"/>
        <w:rPr>
          <w:b w:val="0"/>
          <w:bCs w:val="0"/>
        </w:rPr>
      </w:pPr>
      <w:r>
        <w:rPr/>
        <w:t>（</w:t>
      </w:r>
      <w:r>
        <w:rPr>
          <w:rFonts w:ascii="Times New Roman" w:hAnsi="Times New Roman" w:cs="Times New Roman" w:eastAsia="Times New Roman" w:hint="default"/>
        </w:rPr>
        <w:t>3</w:t>
      </w:r>
      <w:r>
        <w:rPr/>
        <w:t>）本报告期预付款项中持有本公司</w:t>
      </w:r>
      <w:r>
        <w:rPr>
          <w:spacing w:val="-52"/>
        </w:rPr>
        <w:t> </w:t>
      </w:r>
      <w:r>
        <w:rPr>
          <w:rFonts w:ascii="Times New Roman" w:hAnsi="Times New Roman" w:cs="Times New Roman" w:eastAsia="Times New Roman" w:hint="default"/>
        </w:rPr>
        <w:t>5</w:t>
      </w:r>
      <w:r>
        <w:rPr/>
        <w:t>％（含</w:t>
      </w:r>
      <w:r>
        <w:rPr>
          <w:spacing w:val="-53"/>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3"/>
        <w:ind w:right="0"/>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8"/>
        <w:gridCol w:w="3984"/>
        <w:gridCol w:w="3985"/>
      </w:tblGrid>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8"/>
        <w:gridCol w:w="1460"/>
        <w:gridCol w:w="1194"/>
        <w:gridCol w:w="1330"/>
        <w:gridCol w:w="1327"/>
        <w:gridCol w:w="1330"/>
        <w:gridCol w:w="1328"/>
      </w:tblGrid>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5,932,594.63</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5,932,594.63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5,574,434.46</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5,574,434.46</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171,669,111.04</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171,669,111.04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81,533,696.89</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81,533,696.89</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177,601,705.67</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177,601,705.67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87,108,131.35</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87,108,131.35</w:t>
            </w:r>
          </w:p>
        </w:tc>
      </w:tr>
    </w:tbl>
    <w:p>
      <w:pPr>
        <w:spacing w:line="240" w:lineRule="auto" w:before="8"/>
        <w:rPr>
          <w:rFonts w:ascii="宋体" w:hAnsi="宋体" w:cs="宋体" w:eastAsia="宋体" w:hint="default"/>
          <w:sz w:val="19"/>
          <w:szCs w:val="19"/>
        </w:rPr>
      </w:pPr>
    </w:p>
    <w:p>
      <w:pPr>
        <w:pStyle w:val="Heading5"/>
        <w:spacing w:line="240" w:lineRule="auto" w:before="38"/>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4"/>
        <w:ind w:right="0"/>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4"/>
        <w:ind w:right="0"/>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3"/>
        <w:ind w:right="0"/>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3"/>
        <w:ind w:right="0"/>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3"/>
        <w:ind w:right="0"/>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3"/>
        <w:ind w:right="0"/>
        <w:jc w:val="left"/>
        <w:rPr>
          <w:b w:val="0"/>
          <w:bCs w:val="0"/>
        </w:rPr>
      </w:pPr>
      <w:r>
        <w:rPr>
          <w:rFonts w:ascii="Times New Roman" w:hAnsi="Times New Roman" w:cs="Times New Roman" w:eastAsia="Times New Roman" w:hint="default"/>
        </w:rPr>
        <w:t>14</w:t>
      </w:r>
      <w:r>
        <w:rPr/>
        <w:t>、对合营企业投资和联营企业投资</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8"/>
          <w:szCs w:val="18"/>
        </w:rPr>
      </w:pPr>
    </w:p>
    <w:p>
      <w:pPr>
        <w:pStyle w:val="Heading5"/>
        <w:spacing w:line="240" w:lineRule="auto"/>
        <w:ind w:right="0"/>
        <w:jc w:val="left"/>
        <w:rPr>
          <w:b w:val="0"/>
          <w:bCs w:val="0"/>
        </w:rPr>
      </w:pPr>
      <w:r>
        <w:rPr>
          <w:rFonts w:ascii="Times New Roman" w:hAnsi="Times New Roman" w:cs="Times New Roman" w:eastAsia="Times New Roman" w:hint="default"/>
        </w:rPr>
        <w:t>15</w:t>
      </w:r>
      <w:r>
        <w:rPr/>
        <w:t>、长期股权投资</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4"/>
        <w:ind w:right="0"/>
        <w:jc w:val="left"/>
        <w:rPr>
          <w:b w:val="0"/>
          <w:bCs w:val="0"/>
        </w:rPr>
      </w:pPr>
      <w:r>
        <w:rPr>
          <w:rFonts w:ascii="Times New Roman" w:hAnsi="Times New Roman" w:cs="Times New Roman" w:eastAsia="Times New Roman" w:hint="default"/>
        </w:rPr>
        <w:t>16</w:t>
      </w:r>
      <w:r>
        <w:rPr/>
        <w:t>、投资性房地产</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无此事项</w:t>
      </w:r>
    </w:p>
    <w:p>
      <w:pPr>
        <w:spacing w:after="0" w:line="240" w:lineRule="auto"/>
        <w:jc w:val="left"/>
        <w:sectPr>
          <w:pgSz w:w="11910" w:h="16840"/>
          <w:pgMar w:header="747" w:footer="982" w:top="1060" w:bottom="1180" w:left="980" w:right="980"/>
        </w:sectPr>
      </w:pPr>
    </w:p>
    <w:p>
      <w:pPr>
        <w:spacing w:line="240" w:lineRule="auto" w:before="1"/>
        <w:rPr>
          <w:rFonts w:ascii="宋体" w:hAnsi="宋体" w:cs="宋体" w:eastAsia="宋体" w:hint="default"/>
          <w:sz w:val="25"/>
          <w:szCs w:val="25"/>
        </w:rPr>
      </w:pPr>
    </w:p>
    <w:p>
      <w:pPr>
        <w:pStyle w:val="Heading5"/>
        <w:spacing w:line="240" w:lineRule="auto" w:before="38"/>
        <w:ind w:right="0"/>
        <w:jc w:val="left"/>
        <w:rPr>
          <w:b w:val="0"/>
          <w:bCs w:val="0"/>
        </w:rPr>
      </w:pPr>
      <w:r>
        <w:rPr>
          <w:rFonts w:ascii="Times New Roman" w:hAnsi="Times New Roman" w:cs="Times New Roman" w:eastAsia="Times New Roman" w:hint="default"/>
        </w:rPr>
        <w:t>17</w:t>
      </w:r>
      <w:r>
        <w:rPr/>
        <w:t>、固定资产</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29"/>
        <w:gridCol w:w="1462"/>
        <w:gridCol w:w="1327"/>
        <w:gridCol w:w="1595"/>
        <w:gridCol w:w="1594"/>
        <w:gridCol w:w="1462"/>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76,329,282.39</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53" w:right="0"/>
              <w:jc w:val="left"/>
              <w:rPr>
                <w:rFonts w:ascii="Times New Roman" w:hAnsi="Times New Roman" w:cs="Times New Roman" w:eastAsia="Times New Roman" w:hint="default"/>
                <w:sz w:val="18"/>
                <w:szCs w:val="18"/>
              </w:rPr>
            </w:pPr>
            <w:r>
              <w:rPr>
                <w:rFonts w:ascii="Times New Roman"/>
                <w:sz w:val="18"/>
              </w:rPr>
              <w:t>22,550,353.25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5,982.00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98,873,653.64</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69,753,911.89</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53" w:right="0"/>
              <w:jc w:val="left"/>
              <w:rPr>
                <w:rFonts w:ascii="Times New Roman" w:hAnsi="Times New Roman" w:cs="Times New Roman" w:eastAsia="Times New Roman" w:hint="default"/>
                <w:sz w:val="18"/>
                <w:szCs w:val="18"/>
              </w:rPr>
            </w:pPr>
            <w:r>
              <w:rPr>
                <w:rFonts w:ascii="Times New Roman"/>
                <w:sz w:val="18"/>
              </w:rPr>
              <w:t>12,987,254.33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82,741,166.22</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4,282,039.00</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7,373,738.00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11,655,777.00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生产设备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543,350.00</w:t>
            </w:r>
          </w:p>
        </w:tc>
        <w:tc>
          <w:tcPr>
            <w:tcW w:w="2922" w:type="dxa"/>
            <w:gridSpan w:val="2"/>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543,350.00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1,749,981.50</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2,189,360.92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5,982.00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3,933,360.42</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4,604,675.08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188,868.47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5,728,727.68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5,203.12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10,517,068.11</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1,961,293.40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4,046,408.29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6,007,701.69</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1,680,699.30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186,902.89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1,137,040.99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3,004,643.18</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生产设备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382,107.42</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92,411.28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474,518.70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580,574.96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1,965.58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452,867.12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5,203.12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1,030,204.54</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面净值合计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71,724,607.31</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88,356,585.53</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67,792,618.49</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76,733,464.53</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2,601,339.70</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8,651,133.82</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生产设备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161,242.58</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68,831.30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462" w:type="dxa"/>
            <w:tcBorders>
              <w:top w:val="single" w:sz="4" w:space="0" w:color="000000"/>
              <w:left w:val="single" w:sz="4" w:space="0" w:color="000000"/>
              <w:bottom w:val="single" w:sz="4" w:space="0" w:color="000000"/>
              <w:right w:val="single" w:sz="4" w:space="0" w:color="000000"/>
            </w:tcBorders>
          </w:tcPr>
          <w:p>
            <w:pP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2,903,155.88</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面价值合计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71,724,607.31</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88,356,585.53</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67,792,618.49</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76,733,464.53</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2,601,339.70</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8,651,133.82</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生产设备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161,242.58</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68,831.30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1,169,406.54</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2,903,155.88</w:t>
            </w:r>
          </w:p>
        </w:tc>
      </w:tr>
    </w:tbl>
    <w:p>
      <w:pPr>
        <w:pStyle w:val="BodyText"/>
        <w:spacing w:line="240" w:lineRule="auto" w:before="51"/>
        <w:ind w:right="0"/>
        <w:jc w:val="left"/>
      </w:pPr>
      <w:r>
        <w:rPr/>
        <w:t>本期折旧额</w:t>
      </w:r>
      <w:r>
        <w:rPr>
          <w:spacing w:val="-47"/>
        </w:rPr>
        <w:t> </w:t>
      </w:r>
      <w:r>
        <w:rPr>
          <w:rFonts w:ascii="Times New Roman" w:hAnsi="Times New Roman" w:cs="Times New Roman" w:eastAsia="Times New Roman" w:hint="default"/>
        </w:rPr>
        <w:t>5,728,727.68</w:t>
      </w:r>
      <w:r>
        <w:rPr>
          <w:rFonts w:ascii="Times New Roman" w:hAnsi="Times New Roman" w:cs="Times New Roman" w:eastAsia="Times New Roman" w:hint="default"/>
          <w:spacing w:val="-2"/>
        </w:rPr>
        <w:t> </w:t>
      </w:r>
      <w:r>
        <w:rPr/>
        <w:t>元；本期由在建工程转入固定资产原价为</w:t>
      </w:r>
      <w:r>
        <w:rPr>
          <w:spacing w:val="-47"/>
        </w:rPr>
        <w:t> </w:t>
      </w:r>
      <w:r>
        <w:rPr>
          <w:rFonts w:ascii="Times New Roman" w:hAnsi="Times New Roman" w:cs="Times New Roman" w:eastAsia="Times New Roman" w:hint="default"/>
        </w:rPr>
        <w:t>4,700,676.31</w:t>
      </w:r>
      <w:r>
        <w:rPr>
          <w:rFonts w:ascii="Times New Roman" w:hAnsi="Times New Roman" w:cs="Times New Roman" w:eastAsia="Times New Roman" w:hint="default"/>
          <w:spacing w:val="-2"/>
        </w:rPr>
        <w:t> </w:t>
      </w:r>
      <w:r>
        <w:rPr/>
        <w:t>元。</w:t>
      </w:r>
    </w:p>
    <w:p>
      <w:pPr>
        <w:spacing w:line="240" w:lineRule="auto" w:before="5"/>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4"/>
        <w:ind w:right="0"/>
        <w:jc w:val="left"/>
        <w:rPr>
          <w:b w:val="0"/>
          <w:bCs w:val="0"/>
        </w:rPr>
      </w:pPr>
      <w:r>
        <w:rPr/>
        <w:t>（</w:t>
      </w:r>
      <w:r>
        <w:rPr>
          <w:rFonts w:ascii="Times New Roman" w:hAnsi="Times New Roman" w:cs="Times New Roman" w:eastAsia="Times New Roman" w:hint="default"/>
        </w:rPr>
        <w:t>3</w:t>
      </w:r>
      <w:r>
        <w:rPr/>
        <w:t>）通过融资租赁租入的固定资产</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无此事项</w:t>
      </w:r>
    </w:p>
    <w:p>
      <w:pPr>
        <w:spacing w:after="0" w:line="240" w:lineRule="auto"/>
        <w:jc w:val="left"/>
        <w:sectPr>
          <w:pgSz w:w="11910" w:h="16840"/>
          <w:pgMar w:header="747" w:footer="982" w:top="1060" w:bottom="1180" w:left="980" w:right="980"/>
        </w:sectPr>
      </w:pPr>
    </w:p>
    <w:p>
      <w:pPr>
        <w:spacing w:line="240" w:lineRule="auto" w:before="1"/>
        <w:rPr>
          <w:rFonts w:ascii="宋体" w:hAnsi="宋体" w:cs="宋体" w:eastAsia="宋体" w:hint="default"/>
          <w:sz w:val="25"/>
          <w:szCs w:val="25"/>
        </w:rPr>
      </w:pPr>
    </w:p>
    <w:p>
      <w:pPr>
        <w:pStyle w:val="Heading5"/>
        <w:spacing w:line="240" w:lineRule="auto" w:before="38"/>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3"/>
        <w:ind w:right="0"/>
        <w:jc w:val="left"/>
        <w:rPr>
          <w:b w:val="0"/>
          <w:bCs w:val="0"/>
        </w:rPr>
      </w:pPr>
      <w:r>
        <w:rPr/>
        <w:t>（</w:t>
      </w:r>
      <w:r>
        <w:rPr>
          <w:rFonts w:ascii="Times New Roman" w:hAnsi="Times New Roman" w:cs="Times New Roman" w:eastAsia="Times New Roman" w:hint="default"/>
        </w:rPr>
        <w:t>5</w:t>
      </w:r>
      <w:r>
        <w:rPr/>
        <w:t>）期末持有待售的固定资产情况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3"/>
        <w:ind w:right="0"/>
        <w:jc w:val="left"/>
        <w:rPr>
          <w:b w:val="0"/>
          <w:bCs w:val="0"/>
        </w:rPr>
      </w:pPr>
      <w:r>
        <w:rPr/>
        <w:t>（</w:t>
      </w:r>
      <w:r>
        <w:rPr>
          <w:rFonts w:ascii="Times New Roman" w:hAnsi="Times New Roman" w:cs="Times New Roman" w:eastAsia="Times New Roman" w:hint="default"/>
        </w:rPr>
        <w:t>6</w:t>
      </w:r>
      <w:r>
        <w:rPr/>
        <w:t>）未办妥产权证书的固定资产情况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4"/>
        <w:ind w:right="0"/>
        <w:jc w:val="left"/>
        <w:rPr>
          <w:b w:val="0"/>
          <w:bCs w:val="0"/>
        </w:rPr>
      </w:pPr>
      <w:r>
        <w:rPr>
          <w:rFonts w:ascii="Times New Roman" w:hAnsi="Times New Roman" w:cs="Times New Roman" w:eastAsia="Times New Roman" w:hint="default"/>
        </w:rPr>
        <w:t>18</w:t>
      </w:r>
      <w:r>
        <w:rPr/>
        <w:t>、在建工程</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6"/>
        <w:gridCol w:w="1195"/>
        <w:gridCol w:w="1195"/>
        <w:gridCol w:w="1194"/>
        <w:gridCol w:w="1195"/>
        <w:gridCol w:w="1195"/>
        <w:gridCol w:w="1327"/>
      </w:tblGrid>
      <w:tr>
        <w:trPr>
          <w:trHeight w:val="402" w:hRule="exact"/>
        </w:trPr>
        <w:tc>
          <w:tcPr>
            <w:tcW w:w="2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66"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天际大厦房产装修项目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831,800.00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831,800.00</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831,800.00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831,800.00</w:t>
            </w:r>
          </w:p>
        </w:tc>
      </w:tr>
    </w:tbl>
    <w:p>
      <w:pPr>
        <w:spacing w:line="240" w:lineRule="auto" w:before="8"/>
        <w:rPr>
          <w:rFonts w:ascii="宋体" w:hAnsi="宋体" w:cs="宋体" w:eastAsia="宋体" w:hint="default"/>
          <w:sz w:val="19"/>
          <w:szCs w:val="19"/>
        </w:rPr>
      </w:pPr>
    </w:p>
    <w:p>
      <w:pPr>
        <w:pStyle w:val="Heading5"/>
        <w:spacing w:line="240" w:lineRule="auto" w:before="38"/>
        <w:ind w:right="0"/>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3"/>
        <w:ind w:right="0"/>
        <w:jc w:val="left"/>
        <w:rPr>
          <w:b w:val="0"/>
          <w:bCs w:val="0"/>
        </w:rPr>
      </w:pPr>
      <w:r>
        <w:rPr/>
        <w:t>（</w:t>
      </w:r>
      <w:r>
        <w:rPr>
          <w:rFonts w:ascii="Times New Roman" w:hAnsi="Times New Roman" w:cs="Times New Roman" w:eastAsia="Times New Roman" w:hint="default"/>
        </w:rPr>
        <w:t>3</w:t>
      </w:r>
      <w:r>
        <w:rPr/>
        <w:t>）在建工程减值准备</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4"/>
        <w:ind w:right="0"/>
        <w:jc w:val="left"/>
        <w:rPr>
          <w:b w:val="0"/>
          <w:bCs w:val="0"/>
        </w:rPr>
      </w:pPr>
      <w:r>
        <w:rPr/>
        <w:t>（</w:t>
      </w:r>
      <w:r>
        <w:rPr>
          <w:rFonts w:ascii="Times New Roman" w:hAnsi="Times New Roman" w:cs="Times New Roman" w:eastAsia="Times New Roman" w:hint="default"/>
        </w:rPr>
        <w:t>4</w:t>
      </w:r>
      <w:r>
        <w:rPr/>
        <w:t>）重大在建工程的工程进度情况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4"/>
        <w:ind w:right="0"/>
        <w:jc w:val="left"/>
        <w:rPr>
          <w:b w:val="0"/>
          <w:bCs w:val="0"/>
        </w:rPr>
      </w:pPr>
      <w:r>
        <w:rPr>
          <w:rFonts w:ascii="Times New Roman" w:hAnsi="Times New Roman" w:cs="Times New Roman" w:eastAsia="Times New Roman" w:hint="default"/>
        </w:rPr>
        <w:t>19</w:t>
      </w:r>
      <w:r>
        <w:rPr/>
        <w:t>、工程物资</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4"/>
        <w:ind w:right="0"/>
        <w:jc w:val="left"/>
        <w:rPr>
          <w:b w:val="0"/>
          <w:bCs w:val="0"/>
        </w:rPr>
      </w:pPr>
      <w:r>
        <w:rPr>
          <w:rFonts w:ascii="Times New Roman" w:hAnsi="Times New Roman" w:cs="Times New Roman" w:eastAsia="Times New Roman" w:hint="default"/>
        </w:rPr>
        <w:t>20</w:t>
      </w:r>
      <w:r>
        <w:rPr/>
        <w:t>、固定资产清理</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无此事项</w:t>
      </w:r>
    </w:p>
    <w:p>
      <w:pPr>
        <w:spacing w:after="0" w:line="240" w:lineRule="auto"/>
        <w:jc w:val="left"/>
        <w:sectPr>
          <w:pgSz w:w="11910" w:h="16840"/>
          <w:pgMar w:header="747" w:footer="982" w:top="1060" w:bottom="1180" w:left="980" w:right="980"/>
        </w:sectPr>
      </w:pPr>
    </w:p>
    <w:p>
      <w:pPr>
        <w:spacing w:line="240" w:lineRule="auto" w:before="1"/>
        <w:rPr>
          <w:rFonts w:ascii="宋体" w:hAnsi="宋体" w:cs="宋体" w:eastAsia="宋体" w:hint="default"/>
          <w:sz w:val="25"/>
          <w:szCs w:val="25"/>
        </w:rPr>
      </w:pPr>
    </w:p>
    <w:p>
      <w:pPr>
        <w:pStyle w:val="Heading5"/>
        <w:spacing w:line="240" w:lineRule="auto" w:before="38"/>
        <w:ind w:right="0"/>
        <w:jc w:val="left"/>
        <w:rPr>
          <w:b w:val="0"/>
          <w:bCs w:val="0"/>
        </w:rPr>
      </w:pPr>
      <w:r>
        <w:rPr>
          <w:rFonts w:ascii="Times New Roman" w:hAnsi="Times New Roman" w:cs="Times New Roman" w:eastAsia="Times New Roman" w:hint="default"/>
        </w:rPr>
        <w:t>21</w:t>
      </w:r>
      <w:r>
        <w:rPr/>
        <w:t>、生产性生物资产</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3"/>
        <w:ind w:right="0"/>
        <w:jc w:val="left"/>
        <w:rPr>
          <w:b w:val="0"/>
          <w:bCs w:val="0"/>
        </w:rPr>
      </w:pPr>
      <w:r>
        <w:rPr>
          <w:rFonts w:ascii="Times New Roman" w:hAnsi="Times New Roman" w:cs="Times New Roman" w:eastAsia="Times New Roman" w:hint="default"/>
        </w:rPr>
        <w:t>22</w:t>
      </w:r>
      <w:r>
        <w:rPr/>
        <w:t>、油气资产</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3"/>
        <w:ind w:right="0"/>
        <w:jc w:val="left"/>
        <w:rPr>
          <w:b w:val="0"/>
          <w:bCs w:val="0"/>
        </w:rPr>
      </w:pPr>
      <w:r>
        <w:rPr>
          <w:rFonts w:ascii="Times New Roman" w:hAnsi="Times New Roman" w:cs="Times New Roman" w:eastAsia="Times New Roman" w:hint="default"/>
        </w:rPr>
        <w:t>23</w:t>
      </w:r>
      <w:r>
        <w:rPr/>
        <w:t>、无形资产</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6"/>
        <w:gridCol w:w="1843"/>
        <w:gridCol w:w="1843"/>
        <w:gridCol w:w="1843"/>
        <w:gridCol w:w="1842"/>
      </w:tblGrid>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156,100.00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3,246,554.10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3,402,654.10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实用新型专利</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156,100.00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156,100.00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3,246,554.10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3,246,554.10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39,746.62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115,167.04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154,913.66</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实用新型专利</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39,746.62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23,794.63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63,541.25</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91,372.41</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91,372.41</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116,353.38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3,246,554.10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115,167.04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3,247,740.44</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实用新型专利</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116,353.38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23,794.63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92,558.75</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3,246,554.10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91,372.41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3,155,181.69</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实用新型专利</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116,353.38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3,246,554.10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115,167.04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3,247,740.44</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实用新型专利</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116,353.38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23,794.63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92,558.75</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3,246,554.10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91,372.41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3,155,181.69</w:t>
            </w:r>
          </w:p>
        </w:tc>
      </w:tr>
    </w:tbl>
    <w:p>
      <w:pPr>
        <w:pStyle w:val="BodyText"/>
        <w:spacing w:line="240" w:lineRule="auto" w:before="51"/>
        <w:ind w:right="0"/>
        <w:jc w:val="left"/>
      </w:pPr>
      <w:r>
        <w:rPr/>
        <w:t>本期摊销额</w:t>
      </w:r>
      <w:r>
        <w:rPr>
          <w:spacing w:val="-46"/>
        </w:rPr>
        <w:t> </w:t>
      </w:r>
      <w:r>
        <w:rPr>
          <w:rFonts w:ascii="Times New Roman" w:hAnsi="Times New Roman" w:cs="Times New Roman" w:eastAsia="Times New Roman" w:hint="default"/>
        </w:rPr>
        <w:t>115,167.04</w:t>
      </w:r>
      <w:r>
        <w:rPr>
          <w:rFonts w:ascii="Times New Roman" w:hAnsi="Times New Roman" w:cs="Times New Roman" w:eastAsia="Times New Roman" w:hint="default"/>
          <w:spacing w:val="-1"/>
        </w:rPr>
        <w:t> </w:t>
      </w:r>
      <w:r>
        <w:rPr/>
        <w:t>元。</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）公司开发项目支出</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4"/>
        <w:ind w:right="0"/>
        <w:jc w:val="left"/>
        <w:rPr>
          <w:b w:val="0"/>
          <w:bCs w:val="0"/>
        </w:rPr>
      </w:pPr>
      <w:r>
        <w:rPr>
          <w:rFonts w:ascii="Times New Roman" w:hAnsi="Times New Roman" w:cs="Times New Roman" w:eastAsia="Times New Roman" w:hint="default"/>
        </w:rPr>
        <w:t>24</w:t>
      </w:r>
      <w:r>
        <w:rPr/>
        <w:t>、商誉</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17"/>
        <w:gridCol w:w="1459"/>
        <w:gridCol w:w="1460"/>
        <w:gridCol w:w="1460"/>
        <w:gridCol w:w="1460"/>
        <w:gridCol w:w="1198"/>
      </w:tblGrid>
      <w:tr>
        <w:trPr>
          <w:trHeight w:val="402" w:hRule="exact"/>
        </w:trPr>
        <w:tc>
          <w:tcPr>
            <w:tcW w:w="25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77"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 w:right="0"/>
              <w:jc w:val="left"/>
              <w:rPr>
                <w:rFonts w:ascii="宋体" w:hAnsi="宋体" w:cs="宋体" w:eastAsia="宋体" w:hint="default"/>
                <w:sz w:val="18"/>
                <w:szCs w:val="18"/>
              </w:rPr>
            </w:pPr>
            <w:r>
              <w:rPr>
                <w:rFonts w:ascii="宋体" w:hAnsi="宋体" w:cs="宋体" w:eastAsia="宋体" w:hint="default"/>
                <w:sz w:val="18"/>
                <w:szCs w:val="18"/>
              </w:rPr>
              <w:t>期末减值准备</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28"/>
        <w:gridCol w:w="1459"/>
        <w:gridCol w:w="1460"/>
        <w:gridCol w:w="1460"/>
        <w:gridCol w:w="1460"/>
        <w:gridCol w:w="1199"/>
      </w:tblGrid>
      <w:tr>
        <w:trPr>
          <w:trHeight w:val="362" w:hRule="exact"/>
        </w:trPr>
        <w:tc>
          <w:tcPr>
            <w:tcW w:w="2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事项</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99"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71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四川通普集成系统工程有限责 任公司</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6,908,068.46</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6,908,068.46</w:t>
            </w:r>
          </w:p>
        </w:tc>
        <w:tc>
          <w:tcPr>
            <w:tcW w:w="1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6,908,068.46</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6,908,068.46</w:t>
            </w:r>
          </w:p>
        </w:tc>
        <w:tc>
          <w:tcPr>
            <w:tcW w:w="119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both"/>
      </w:pPr>
      <w:r>
        <w:rPr/>
        <w:t>说明商誉的减值测试方法和减值准备计提方法</w:t>
      </w:r>
    </w:p>
    <w:p>
      <w:pPr>
        <w:pStyle w:val="Heading4"/>
        <w:spacing w:line="256" w:lineRule="auto" w:before="90"/>
        <w:ind w:right="111" w:hanging="1"/>
        <w:jc w:val="both"/>
      </w:pPr>
      <w:r>
        <w:rPr>
          <w:spacing w:val="-2"/>
        </w:rPr>
        <w:t>（</w:t>
      </w:r>
      <w:r>
        <w:rPr>
          <w:rFonts w:ascii="Times New Roman" w:hAnsi="Times New Roman" w:cs="Times New Roman" w:eastAsia="Times New Roman" w:hint="default"/>
          <w:spacing w:val="-2"/>
        </w:rPr>
        <w:t>1</w:t>
      </w:r>
      <w:r>
        <w:rPr>
          <w:spacing w:val="-2"/>
        </w:rPr>
        <w:t>）商誉的计算过程。本公司于</w:t>
      </w:r>
      <w:r>
        <w:rPr>
          <w:rFonts w:ascii="Times New Roman" w:hAnsi="Times New Roman" w:cs="Times New Roman" w:eastAsia="Times New Roman" w:hint="default"/>
          <w:spacing w:val="-2"/>
        </w:rPr>
        <w:t>2012</w:t>
      </w:r>
      <w:r>
        <w:rPr>
          <w:spacing w:val="-2"/>
        </w:rPr>
        <w:t>年支付人民币</w:t>
      </w:r>
      <w:r>
        <w:rPr>
          <w:rFonts w:ascii="Times New Roman" w:hAnsi="Times New Roman" w:cs="Times New Roman" w:eastAsia="Times New Roman" w:hint="default"/>
          <w:spacing w:val="-2"/>
        </w:rPr>
        <w:t>18,000,000.00</w:t>
      </w:r>
      <w:r>
        <w:rPr>
          <w:spacing w:val="-2"/>
        </w:rPr>
        <w:t>元合并成本收购四川通普集成系统工程有</w:t>
      </w:r>
      <w:r>
        <w:rPr>
          <w:spacing w:val="-81"/>
        </w:rPr>
        <w:t> </w:t>
      </w:r>
      <w:r>
        <w:rPr>
          <w:spacing w:val="-81"/>
        </w:rPr>
      </w:r>
      <w:r>
        <w:rPr/>
        <w:t>限责任公司</w:t>
      </w:r>
      <w:r>
        <w:rPr>
          <w:rFonts w:ascii="Times New Roman" w:hAnsi="Times New Roman" w:cs="Times New Roman" w:eastAsia="Times New Roman" w:hint="default"/>
        </w:rPr>
        <w:t>75.00%</w:t>
      </w:r>
      <w:r>
        <w:rPr/>
        <w:t>的权益。合并成本超过按比例获得的四川通普集成系统工程有限责任公司可辨认资产、 负债公允价值的差额人民币</w:t>
      </w:r>
      <w:r>
        <w:rPr>
          <w:rFonts w:ascii="Times New Roman" w:hAnsi="Times New Roman" w:cs="Times New Roman" w:eastAsia="Times New Roman" w:hint="default"/>
        </w:rPr>
        <w:t>6,908,068.46</w:t>
      </w:r>
      <w:r>
        <w:rPr/>
        <w:t>元，确认为与四川通普集成系统工程有限责任公司相关的商誉。</w:t>
      </w:r>
    </w:p>
    <w:p>
      <w:pPr>
        <w:spacing w:line="240" w:lineRule="auto" w:before="3"/>
        <w:rPr>
          <w:rFonts w:ascii="宋体" w:hAnsi="宋体" w:cs="宋体" w:eastAsia="宋体" w:hint="default"/>
          <w:sz w:val="24"/>
          <w:szCs w:val="24"/>
        </w:rPr>
      </w:pPr>
    </w:p>
    <w:p>
      <w:pPr>
        <w:pStyle w:val="Heading4"/>
        <w:spacing w:line="240" w:lineRule="auto"/>
        <w:ind w:right="0"/>
        <w:jc w:val="both"/>
      </w:pPr>
      <w:r>
        <w:rPr/>
        <w:t>（</w:t>
      </w:r>
      <w:r>
        <w:rPr>
          <w:rFonts w:ascii="Times New Roman" w:hAnsi="Times New Roman" w:cs="Times New Roman" w:eastAsia="Times New Roman" w:hint="default"/>
        </w:rPr>
        <w:t>2</w:t>
      </w:r>
      <w:r>
        <w:rPr/>
        <w:t>）商誉减值测试的方法</w:t>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2282"/>
        <w:gridCol w:w="6240"/>
      </w:tblGrid>
      <w:tr>
        <w:trPr>
          <w:trHeight w:val="355" w:hRule="exact"/>
        </w:trPr>
        <w:tc>
          <w:tcPr>
            <w:tcW w:w="22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left="652" w:right="0"/>
              <w:jc w:val="left"/>
              <w:rPr>
                <w:rFonts w:ascii="宋体" w:hAnsi="宋体" w:cs="宋体" w:eastAsia="宋体" w:hint="default"/>
                <w:sz w:val="16"/>
                <w:szCs w:val="16"/>
              </w:rPr>
            </w:pPr>
            <w:r>
              <w:rPr>
                <w:rFonts w:ascii="宋体" w:hAnsi="宋体" w:cs="宋体" w:eastAsia="宋体" w:hint="default"/>
                <w:sz w:val="16"/>
                <w:szCs w:val="16"/>
              </w:rPr>
              <w:t>减值测试方法</w:t>
            </w:r>
          </w:p>
        </w:tc>
        <w:tc>
          <w:tcPr>
            <w:tcW w:w="624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5"/>
              <w:ind w:right="7"/>
              <w:jc w:val="center"/>
              <w:rPr>
                <w:rFonts w:ascii="宋体" w:hAnsi="宋体" w:cs="宋体" w:eastAsia="宋体" w:hint="default"/>
                <w:sz w:val="16"/>
                <w:szCs w:val="16"/>
              </w:rPr>
            </w:pPr>
            <w:r>
              <w:rPr>
                <w:rFonts w:ascii="宋体" w:hAnsi="宋体" w:cs="宋体" w:eastAsia="宋体" w:hint="default"/>
                <w:sz w:val="16"/>
                <w:szCs w:val="16"/>
              </w:rPr>
              <w:t>计提方法</w:t>
            </w:r>
          </w:p>
        </w:tc>
      </w:tr>
      <w:tr>
        <w:trPr>
          <w:trHeight w:val="976" w:hRule="exact"/>
        </w:trPr>
        <w:tc>
          <w:tcPr>
            <w:tcW w:w="2282" w:type="dxa"/>
            <w:tcBorders>
              <w:top w:val="single" w:sz="12" w:space="0" w:color="000000"/>
              <w:left w:val="single" w:sz="6" w:space="0" w:color="000000"/>
              <w:bottom w:val="single" w:sz="12" w:space="0" w:color="000000"/>
              <w:right w:val="single" w:sz="6" w:space="0" w:color="000000"/>
            </w:tcBorders>
          </w:tcPr>
          <w:p>
            <w:pPr>
              <w:pStyle w:val="TableParagraph"/>
              <w:spacing w:line="357" w:lineRule="auto" w:before="25"/>
              <w:ind w:left="2" w:right="-17"/>
              <w:jc w:val="both"/>
              <w:rPr>
                <w:rFonts w:ascii="宋体" w:hAnsi="宋体" w:cs="宋体" w:eastAsia="宋体" w:hint="default"/>
                <w:sz w:val="16"/>
                <w:szCs w:val="16"/>
              </w:rPr>
            </w:pPr>
            <w:r>
              <w:rPr>
                <w:rFonts w:ascii="宋体" w:hAnsi="宋体" w:cs="宋体" w:eastAsia="宋体" w:hint="default"/>
                <w:spacing w:val="-8"/>
                <w:sz w:val="16"/>
                <w:szCs w:val="16"/>
              </w:rPr>
              <w:t>以投资取得的子公司（包括商誉）</w:t>
            </w:r>
            <w:r>
              <w:rPr>
                <w:rFonts w:ascii="宋体" w:hAnsi="宋体" w:cs="宋体" w:eastAsia="宋体" w:hint="default"/>
                <w:spacing w:val="-59"/>
                <w:w w:val="99"/>
                <w:sz w:val="16"/>
                <w:szCs w:val="16"/>
              </w:rPr>
              <w:t> </w:t>
            </w:r>
            <w:r>
              <w:rPr>
                <w:rFonts w:ascii="宋体" w:hAnsi="宋体" w:cs="宋体" w:eastAsia="宋体" w:hint="default"/>
                <w:sz w:val="16"/>
                <w:szCs w:val="16"/>
              </w:rPr>
              <w:t>为资产组，预计其未来净现金流</w:t>
            </w:r>
            <w:r>
              <w:rPr>
                <w:rFonts w:ascii="宋体" w:hAnsi="宋体" w:cs="宋体" w:eastAsia="宋体" w:hint="default"/>
                <w:spacing w:val="-62"/>
                <w:sz w:val="16"/>
                <w:szCs w:val="16"/>
              </w:rPr>
              <w:t> </w:t>
            </w:r>
            <w:r>
              <w:rPr>
                <w:rFonts w:ascii="宋体" w:hAnsi="宋体" w:cs="宋体" w:eastAsia="宋体" w:hint="default"/>
                <w:spacing w:val="-62"/>
                <w:sz w:val="16"/>
                <w:szCs w:val="16"/>
              </w:rPr>
            </w:r>
            <w:r>
              <w:rPr>
                <w:rFonts w:ascii="宋体" w:hAnsi="宋体" w:cs="宋体" w:eastAsia="宋体" w:hint="default"/>
                <w:sz w:val="16"/>
                <w:szCs w:val="16"/>
              </w:rPr>
              <w:t>量的现值作为可收回金额</w:t>
            </w:r>
          </w:p>
        </w:tc>
        <w:tc>
          <w:tcPr>
            <w:tcW w:w="624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资产组可收回金额低于资产组账面价值差额抵减商誉的账面价值</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Heading5"/>
        <w:spacing w:line="240" w:lineRule="auto" w:before="38"/>
        <w:ind w:right="0"/>
        <w:jc w:val="left"/>
        <w:rPr>
          <w:b w:val="0"/>
          <w:bCs w:val="0"/>
        </w:rPr>
      </w:pPr>
      <w:r>
        <w:rPr>
          <w:rFonts w:ascii="Times New Roman" w:hAnsi="Times New Roman" w:cs="Times New Roman" w:eastAsia="Times New Roman" w:hint="default"/>
        </w:rPr>
        <w:t>25</w:t>
      </w:r>
      <w:r>
        <w:rPr/>
        <w:t>、长期待摊费用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装修支出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143,218.35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143,218.35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143,218.35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143,218.35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长期待摊费用的说明</w:t>
      </w:r>
    </w:p>
    <w:p>
      <w:pPr>
        <w:spacing w:line="240" w:lineRule="auto" w:before="0"/>
        <w:rPr>
          <w:rFonts w:ascii="宋体" w:hAnsi="宋体" w:cs="宋体" w:eastAsia="宋体" w:hint="default"/>
          <w:sz w:val="18"/>
          <w:szCs w:val="18"/>
        </w:rPr>
      </w:pPr>
    </w:p>
    <w:p>
      <w:pPr>
        <w:pStyle w:val="Heading5"/>
        <w:spacing w:line="240" w:lineRule="auto" w:before="124"/>
        <w:ind w:right="0"/>
        <w:jc w:val="left"/>
        <w:rPr>
          <w:b w:val="0"/>
          <w:bCs w:val="0"/>
        </w:rPr>
      </w:pPr>
      <w:r>
        <w:rPr>
          <w:rFonts w:ascii="Times New Roman" w:hAnsi="Times New Roman" w:cs="Times New Roman" w:eastAsia="Times New Roman" w:hint="default"/>
        </w:rPr>
        <w:t>26</w:t>
      </w:r>
      <w:r>
        <w:rPr/>
        <w:t>、递延所得税资产和递延所得税负债</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right="0"/>
        <w:jc w:val="left"/>
      </w:pPr>
      <w:r>
        <w:rPr/>
        <w:t>已确认的递延所得税资产和递延所得税负债</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22"/>
        <w:gridCol w:w="2923"/>
        <w:gridCol w:w="2922"/>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66,583.01</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2,336,008.35</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895,989.70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2,402,591.36</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895,989.70</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pStyle w:val="BodyText"/>
        <w:spacing w:line="360" w:lineRule="auto" w:before="51"/>
        <w:ind w:left="153" w:right="7071"/>
        <w:jc w:val="left"/>
      </w:pPr>
      <w:r>
        <w:rPr/>
        <w:t>未确认递延所得税资产明细 无此事项 应纳税差异和可抵扣差异项目明细</w:t>
      </w:r>
    </w:p>
    <w:p>
      <w:pPr>
        <w:spacing w:after="0" w:line="36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6"/>
        <w:gridCol w:w="2923"/>
        <w:gridCol w:w="2789"/>
      </w:tblGrid>
      <w:tr>
        <w:trPr>
          <w:trHeight w:val="402" w:hRule="exact"/>
        </w:trPr>
        <w:tc>
          <w:tcPr>
            <w:tcW w:w="38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2" w:hRule="exact"/>
        </w:trPr>
        <w:tc>
          <w:tcPr>
            <w:tcW w:w="3856" w:type="dxa"/>
            <w:vMerge/>
            <w:tcBorders>
              <w:left w:val="single" w:sz="4" w:space="0" w:color="000000"/>
              <w:bottom w:val="single" w:sz="4" w:space="0" w:color="000000"/>
              <w:right w:val="single" w:sz="4" w:space="0" w:color="000000"/>
            </w:tcBorders>
            <w:shd w:val="clear" w:color="auto" w:fill="D3D3D3"/>
          </w:tcPr>
          <w:p>
            <w:pP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1"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14,248,014.70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5,967,931.19</w:t>
            </w:r>
          </w:p>
        </w:tc>
      </w:tr>
      <w:tr>
        <w:trPr>
          <w:trHeight w:val="403"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14,248,014.70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5,967,931.19</w:t>
            </w:r>
          </w:p>
        </w:tc>
      </w:tr>
      <w:tr>
        <w:trPr>
          <w:trHeight w:val="401"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266,332.02</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266,332.02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8"/>
        <w:rPr>
          <w:rFonts w:ascii="宋体" w:hAnsi="宋体" w:cs="宋体" w:eastAsia="宋体" w:hint="default"/>
          <w:sz w:val="19"/>
          <w:szCs w:val="19"/>
        </w:rPr>
      </w:pPr>
    </w:p>
    <w:p>
      <w:pPr>
        <w:pStyle w:val="Heading5"/>
        <w:spacing w:line="240" w:lineRule="auto" w:before="38"/>
        <w:ind w:right="0"/>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right="0"/>
        <w:jc w:val="left"/>
      </w:pPr>
      <w:r>
        <w:rPr/>
        <w:t>互抵后的递延所得税资产及负债的组成项目</w:t>
      </w:r>
    </w:p>
    <w:p>
      <w:pPr>
        <w:pStyle w:val="BodyText"/>
        <w:spacing w:line="240" w:lineRule="auto" w:before="116"/>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61"/>
        <w:gridCol w:w="1627"/>
        <w:gridCol w:w="1627"/>
        <w:gridCol w:w="1626"/>
        <w:gridCol w:w="1628"/>
      </w:tblGrid>
      <w:tr>
        <w:trPr>
          <w:trHeight w:val="317" w:hRule="exact"/>
        </w:trPr>
        <w:tc>
          <w:tcPr>
            <w:tcW w:w="3061" w:type="dxa"/>
            <w:tcBorders>
              <w:top w:val="single" w:sz="4" w:space="0" w:color="000000"/>
              <w:left w:val="single" w:sz="4" w:space="0" w:color="000000"/>
              <w:bottom w:val="nil" w:sz="6" w:space="0" w:color="auto"/>
              <w:right w:val="single" w:sz="4" w:space="0" w:color="000000"/>
            </w:tcBorders>
            <w:shd w:val="clear" w:color="auto" w:fill="D3D3D3"/>
          </w:tcPr>
          <w:p>
            <w:pPr/>
          </w:p>
        </w:tc>
        <w:tc>
          <w:tcPr>
            <w:tcW w:w="162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87" w:right="89"/>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87" w:right="89"/>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87" w:right="86"/>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2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89" w:right="86"/>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1" w:hRule="exact"/>
        </w:trPr>
        <w:tc>
          <w:tcPr>
            <w:tcW w:w="306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27" w:type="dxa"/>
            <w:vMerge/>
            <w:tcBorders>
              <w:left w:val="single" w:sz="4" w:space="0" w:color="000000"/>
              <w:right w:val="single" w:sz="4" w:space="0" w:color="000000"/>
            </w:tcBorders>
            <w:shd w:val="clear" w:color="auto" w:fill="D3D3D3"/>
          </w:tcPr>
          <w:p>
            <w:pPr/>
          </w:p>
        </w:tc>
        <w:tc>
          <w:tcPr>
            <w:tcW w:w="1627" w:type="dxa"/>
            <w:vMerge/>
            <w:tcBorders>
              <w:left w:val="single" w:sz="4" w:space="0" w:color="000000"/>
              <w:right w:val="single" w:sz="4" w:space="0" w:color="000000"/>
            </w:tcBorders>
            <w:shd w:val="clear" w:color="auto" w:fill="D3D3D3"/>
          </w:tcPr>
          <w:p>
            <w:pPr/>
          </w:p>
        </w:tc>
        <w:tc>
          <w:tcPr>
            <w:tcW w:w="1626" w:type="dxa"/>
            <w:vMerge/>
            <w:tcBorders>
              <w:left w:val="single" w:sz="4" w:space="0" w:color="000000"/>
              <w:right w:val="single" w:sz="4" w:space="0" w:color="000000"/>
            </w:tcBorders>
            <w:shd w:val="clear" w:color="auto" w:fill="D3D3D3"/>
          </w:tcPr>
          <w:p>
            <w:pPr/>
          </w:p>
        </w:tc>
        <w:tc>
          <w:tcPr>
            <w:tcW w:w="1628" w:type="dxa"/>
            <w:vMerge/>
            <w:tcBorders>
              <w:left w:val="single" w:sz="4" w:space="0" w:color="000000"/>
              <w:right w:val="single" w:sz="4" w:space="0" w:color="000000"/>
            </w:tcBorders>
            <w:shd w:val="clear" w:color="auto" w:fill="D3D3D3"/>
          </w:tcPr>
          <w:p>
            <w:pPr/>
          </w:p>
        </w:tc>
      </w:tr>
      <w:tr>
        <w:trPr>
          <w:trHeight w:val="317" w:hRule="exact"/>
        </w:trPr>
        <w:tc>
          <w:tcPr>
            <w:tcW w:w="3061" w:type="dxa"/>
            <w:tcBorders>
              <w:top w:val="nil" w:sz="6" w:space="0" w:color="auto"/>
              <w:left w:val="single" w:sz="4" w:space="0" w:color="000000"/>
              <w:bottom w:val="single" w:sz="4" w:space="0" w:color="000000"/>
              <w:right w:val="single" w:sz="4" w:space="0" w:color="000000"/>
            </w:tcBorders>
            <w:shd w:val="clear" w:color="auto" w:fill="D3D3D3"/>
          </w:tcPr>
          <w:p>
            <w:pPr/>
          </w:p>
        </w:tc>
        <w:tc>
          <w:tcPr>
            <w:tcW w:w="1627" w:type="dxa"/>
            <w:vMerge/>
            <w:tcBorders>
              <w:left w:val="single" w:sz="4" w:space="0" w:color="000000"/>
              <w:bottom w:val="single" w:sz="4" w:space="0" w:color="000000"/>
              <w:right w:val="single" w:sz="4" w:space="0" w:color="000000"/>
            </w:tcBorders>
            <w:shd w:val="clear" w:color="auto" w:fill="D3D3D3"/>
          </w:tcPr>
          <w:p>
            <w:pPr/>
          </w:p>
        </w:tc>
        <w:tc>
          <w:tcPr>
            <w:tcW w:w="1627" w:type="dxa"/>
            <w:vMerge/>
            <w:tcBorders>
              <w:left w:val="single" w:sz="4" w:space="0" w:color="000000"/>
              <w:bottom w:val="single" w:sz="4" w:space="0" w:color="000000"/>
              <w:right w:val="single" w:sz="4" w:space="0" w:color="000000"/>
            </w:tcBorders>
            <w:shd w:val="clear" w:color="auto" w:fill="D3D3D3"/>
          </w:tcPr>
          <w:p>
            <w:pPr/>
          </w:p>
        </w:tc>
        <w:tc>
          <w:tcPr>
            <w:tcW w:w="1626" w:type="dxa"/>
            <w:vMerge/>
            <w:tcBorders>
              <w:left w:val="single" w:sz="4" w:space="0" w:color="000000"/>
              <w:bottom w:val="single" w:sz="4" w:space="0" w:color="000000"/>
              <w:right w:val="single" w:sz="4" w:space="0" w:color="000000"/>
            </w:tcBorders>
            <w:shd w:val="clear" w:color="auto" w:fill="D3D3D3"/>
          </w:tcPr>
          <w:p>
            <w:pPr/>
          </w:p>
        </w:tc>
        <w:tc>
          <w:tcPr>
            <w:tcW w:w="1628"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3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9" w:right="0"/>
              <w:jc w:val="left"/>
              <w:rPr>
                <w:rFonts w:ascii="Times New Roman" w:hAnsi="Times New Roman" w:cs="Times New Roman" w:eastAsia="Times New Roman" w:hint="default"/>
                <w:sz w:val="18"/>
                <w:szCs w:val="18"/>
              </w:rPr>
            </w:pPr>
            <w:r>
              <w:rPr>
                <w:rFonts w:ascii="Times New Roman"/>
                <w:sz w:val="18"/>
              </w:rPr>
              <w:t>2,402,591.36</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83" w:right="0"/>
              <w:jc w:val="left"/>
              <w:rPr>
                <w:rFonts w:ascii="Times New Roman" w:hAnsi="Times New Roman" w:cs="Times New Roman" w:eastAsia="Times New Roman" w:hint="default"/>
                <w:sz w:val="18"/>
                <w:szCs w:val="18"/>
              </w:rPr>
            </w:pPr>
            <w:r>
              <w:rPr>
                <w:rFonts w:ascii="Times New Roman"/>
                <w:sz w:val="18"/>
              </w:rPr>
              <w:t>895,989.70</w:t>
            </w:r>
          </w:p>
        </w:tc>
        <w:tc>
          <w:tcPr>
            <w:tcW w:w="162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5"/>
        <w:spacing w:line="240" w:lineRule="auto" w:before="38"/>
        <w:ind w:right="0"/>
        <w:jc w:val="left"/>
        <w:rPr>
          <w:b w:val="0"/>
          <w:bCs w:val="0"/>
        </w:rPr>
      </w:pPr>
      <w:r>
        <w:rPr>
          <w:rFonts w:ascii="Times New Roman" w:hAnsi="Times New Roman" w:cs="Times New Roman" w:eastAsia="Times New Roman" w:hint="default"/>
        </w:rPr>
        <w:t>27</w:t>
      </w:r>
      <w:r>
        <w:rPr/>
        <w:t>、资产减值准备明细</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6"/>
        <w:gridCol w:w="1528"/>
        <w:gridCol w:w="1528"/>
        <w:gridCol w:w="1398"/>
        <w:gridCol w:w="1398"/>
        <w:gridCol w:w="1452"/>
      </w:tblGrid>
      <w:tr>
        <w:trPr>
          <w:trHeight w:val="403" w:hRule="exact"/>
        </w:trPr>
        <w:tc>
          <w:tcPr>
            <w:tcW w:w="2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2266" w:type="dxa"/>
            <w:vMerge/>
            <w:tcBorders>
              <w:left w:val="single" w:sz="4" w:space="0" w:color="000000"/>
              <w:bottom w:val="single" w:sz="4" w:space="0" w:color="000000"/>
              <w:right w:val="single" w:sz="4" w:space="0" w:color="000000"/>
            </w:tcBorders>
            <w:shd w:val="clear" w:color="auto" w:fill="D3D3D3"/>
          </w:tcPr>
          <w:p>
            <w:pPr/>
          </w:p>
        </w:tc>
        <w:tc>
          <w:tcPr>
            <w:tcW w:w="1528" w:type="dxa"/>
            <w:vMerge/>
            <w:tcBorders>
              <w:left w:val="single" w:sz="4" w:space="0" w:color="000000"/>
              <w:bottom w:val="single" w:sz="4" w:space="0" w:color="000000"/>
              <w:right w:val="single" w:sz="4" w:space="0" w:color="000000"/>
            </w:tcBorders>
            <w:shd w:val="clear" w:color="auto" w:fill="D3D3D3"/>
          </w:tcPr>
          <w:p>
            <w:pPr/>
          </w:p>
        </w:tc>
        <w:tc>
          <w:tcPr>
            <w:tcW w:w="1528" w:type="dxa"/>
            <w:vMerge/>
            <w:tcBorders>
              <w:left w:val="single" w:sz="4" w:space="0" w:color="000000"/>
              <w:bottom w:val="single" w:sz="4" w:space="0" w:color="000000"/>
              <w:right w:val="single" w:sz="4" w:space="0" w:color="000000"/>
            </w:tcBorders>
            <w:shd w:val="clear" w:color="auto" w:fill="D3D3D3"/>
          </w:tcPr>
          <w:p>
            <w:pPr/>
          </w:p>
        </w:tc>
        <w:tc>
          <w:tcPr>
            <w:tcW w:w="1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1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5,967,931.19</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8,280,083.51</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14,248,014.70</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十二、无形资产减值准备</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5,967,931.19</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8,280,083.51</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14,248,014.70</w:t>
            </w:r>
          </w:p>
        </w:tc>
      </w:tr>
    </w:tbl>
    <w:p>
      <w:pPr>
        <w:pStyle w:val="Heading6"/>
        <w:spacing w:line="304" w:lineRule="auto" w:before="35"/>
        <w:ind w:right="0"/>
        <w:jc w:val="left"/>
      </w:pPr>
      <w:r>
        <w:rPr/>
        <w:t>资产减值明细情况的说明</w:t>
      </w:r>
      <w:r>
        <w:rPr>
          <w:w w:val="100"/>
        </w:rPr>
        <w:t> </w:t>
      </w:r>
      <w:r>
        <w:rPr/>
        <w:t>报告期内，公司控股合并四川通普集成系统工程有限责任公司，该合并系非同一控制下的企业合并，购买日四</w:t>
      </w:r>
      <w:r>
        <w:rPr>
          <w:spacing w:val="-65"/>
        </w:rPr>
        <w:t> </w:t>
      </w:r>
      <w:r>
        <w:rPr>
          <w:spacing w:val="-65"/>
        </w:rPr>
      </w:r>
      <w:r>
        <w:rPr/>
        <w:t>川通普集成系统工程有限责任公司的坏账准备为</w:t>
      </w:r>
      <w:r>
        <w:rPr>
          <w:rFonts w:ascii="Times New Roman" w:hAnsi="Times New Roman" w:cs="Times New Roman" w:eastAsia="Times New Roman" w:hint="default"/>
        </w:rPr>
        <w:t>1,577,179.02</w:t>
      </w:r>
      <w:r>
        <w:rPr/>
        <w:t>元。</w:t>
      </w:r>
    </w:p>
    <w:p>
      <w:pPr>
        <w:spacing w:line="240" w:lineRule="auto" w:before="2"/>
        <w:rPr>
          <w:rFonts w:ascii="宋体" w:hAnsi="宋体" w:cs="宋体" w:eastAsia="宋体" w:hint="default"/>
          <w:sz w:val="21"/>
          <w:szCs w:val="21"/>
        </w:rPr>
      </w:pPr>
    </w:p>
    <w:p>
      <w:pPr>
        <w:pStyle w:val="Heading5"/>
        <w:spacing w:line="240" w:lineRule="auto"/>
        <w:ind w:left="153" w:right="0"/>
        <w:jc w:val="left"/>
        <w:rPr>
          <w:b w:val="0"/>
          <w:bCs w:val="0"/>
        </w:rPr>
      </w:pPr>
      <w:r>
        <w:rPr>
          <w:rFonts w:ascii="Times New Roman" w:hAnsi="Times New Roman" w:cs="Times New Roman" w:eastAsia="Times New Roman" w:hint="default"/>
        </w:rPr>
        <w:t>28</w:t>
      </w:r>
      <w:r>
        <w:rPr/>
        <w:t>、其他非流动资产</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预付购房款</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1,189,795.00</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1,189,795.00</w:t>
            </w:r>
          </w:p>
        </w:tc>
        <w:tc>
          <w:tcPr>
            <w:tcW w:w="305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5"/>
        <w:spacing w:line="240" w:lineRule="auto"/>
        <w:ind w:right="0"/>
        <w:jc w:val="left"/>
        <w:rPr>
          <w:b w:val="0"/>
          <w:bCs w:val="0"/>
        </w:rPr>
      </w:pPr>
      <w:r>
        <w:rPr>
          <w:rFonts w:ascii="Times New Roman" w:hAnsi="Times New Roman" w:cs="Times New Roman" w:eastAsia="Times New Roman" w:hint="default"/>
        </w:rPr>
        <w:t>29</w:t>
      </w:r>
      <w:r>
        <w:rPr/>
        <w:t>、短期借款</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22" w:type="dxa"/>
            <w:tcBorders>
              <w:top w:val="single" w:sz="4" w:space="0" w:color="000000"/>
              <w:left w:val="single" w:sz="4" w:space="0" w:color="000000"/>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15,000,000.00</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5"/>
        <w:spacing w:line="240" w:lineRule="auto" w:before="38"/>
        <w:ind w:right="0"/>
        <w:jc w:val="left"/>
        <w:rPr>
          <w:b w:val="0"/>
          <w:bCs w:val="0"/>
        </w:rPr>
      </w:pPr>
      <w:r>
        <w:rPr/>
        <w:t>（</w:t>
      </w:r>
      <w:r>
        <w:rPr>
          <w:rFonts w:ascii="Times New Roman" w:hAnsi="Times New Roman" w:cs="Times New Roman" w:eastAsia="Times New Roman" w:hint="default"/>
        </w:rPr>
        <w:t>2</w:t>
      </w:r>
      <w:r>
        <w:rPr/>
        <w:t>）已到期未偿还的短期借款情况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4"/>
        <w:ind w:right="0"/>
        <w:jc w:val="left"/>
        <w:rPr>
          <w:b w:val="0"/>
          <w:bCs w:val="0"/>
        </w:rPr>
      </w:pPr>
      <w:r>
        <w:rPr>
          <w:rFonts w:ascii="Times New Roman" w:hAnsi="Times New Roman" w:cs="Times New Roman" w:eastAsia="Times New Roman" w:hint="default"/>
        </w:rPr>
        <w:t>30</w:t>
      </w:r>
      <w:r>
        <w:rPr/>
        <w:t>、交易性金融负债</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4"/>
        <w:ind w:right="0"/>
        <w:jc w:val="left"/>
        <w:rPr>
          <w:b w:val="0"/>
          <w:bCs w:val="0"/>
        </w:rPr>
      </w:pPr>
      <w:r>
        <w:rPr>
          <w:rFonts w:ascii="Times New Roman" w:hAnsi="Times New Roman" w:cs="Times New Roman" w:eastAsia="Times New Roman" w:hint="default"/>
        </w:rPr>
        <w:t>31</w:t>
      </w:r>
      <w:r>
        <w:rPr/>
        <w:t>、应付票据</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10,746,922.45</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2,259,992.50</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10,746,922.45</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2,259,992.50</w:t>
            </w:r>
          </w:p>
        </w:tc>
      </w:tr>
    </w:tbl>
    <w:p>
      <w:pPr>
        <w:pStyle w:val="BodyText"/>
        <w:spacing w:line="240" w:lineRule="auto" w:before="51"/>
        <w:ind w:right="0"/>
        <w:jc w:val="left"/>
      </w:pPr>
      <w:r>
        <w:rPr/>
        <w:t>下一会计期间将到期的金额</w:t>
      </w:r>
      <w:r>
        <w:rPr>
          <w:spacing w:val="-47"/>
        </w:rPr>
        <w:t> </w:t>
      </w:r>
      <w:r>
        <w:rPr>
          <w:rFonts w:ascii="Times New Roman" w:hAnsi="Times New Roman" w:cs="Times New Roman" w:eastAsia="Times New Roman" w:hint="default"/>
        </w:rPr>
        <w:t>10,746,922.45</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7"/>
          <w:szCs w:val="17"/>
        </w:rPr>
      </w:pPr>
    </w:p>
    <w:p>
      <w:pPr>
        <w:pStyle w:val="Heading5"/>
        <w:spacing w:line="240" w:lineRule="auto"/>
        <w:ind w:right="0"/>
        <w:jc w:val="left"/>
        <w:rPr>
          <w:b w:val="0"/>
          <w:bCs w:val="0"/>
        </w:rPr>
      </w:pPr>
      <w:r>
        <w:rPr>
          <w:rFonts w:ascii="Times New Roman" w:hAnsi="Times New Roman" w:cs="Times New Roman" w:eastAsia="Times New Roman" w:hint="default"/>
        </w:rPr>
        <w:t>32</w:t>
      </w:r>
      <w:r>
        <w:rPr/>
        <w:t>、应付账款</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124,603,342.34</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55,178,286.56</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4,992,012.65</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3,289,557.14</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654,358.97</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601,241.16</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961,930.69</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474,863.68</w:t>
            </w:r>
          </w:p>
        </w:tc>
      </w:tr>
    </w:tbl>
    <w:p>
      <w:pPr>
        <w:spacing w:after="0" w:line="240" w:lineRule="auto"/>
        <w:jc w:val="right"/>
        <w:rPr>
          <w:rFonts w:ascii="Times New Roman" w:hAnsi="Times New Roman" w:cs="Times New Roman" w:eastAsia="Times New Roman" w:hint="default"/>
          <w:sz w:val="18"/>
          <w:szCs w:val="18"/>
        </w:rPr>
        <w:sectPr>
          <w:footerReference w:type="default" r:id="rId15"/>
          <w:pgSz w:w="11910" w:h="16840"/>
          <w:pgMar w:footer="982" w:header="747"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590"/>
        <w:gridCol w:w="2923"/>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131,211,644.65</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88" w:right="0"/>
              <w:jc w:val="left"/>
              <w:rPr>
                <w:rFonts w:ascii="Times New Roman" w:hAnsi="Times New Roman" w:cs="Times New Roman" w:eastAsia="Times New Roman" w:hint="default"/>
                <w:sz w:val="18"/>
                <w:szCs w:val="18"/>
              </w:rPr>
            </w:pPr>
            <w:r>
              <w:rPr>
                <w:rFonts w:ascii="Times New Roman"/>
                <w:sz w:val="18"/>
              </w:rPr>
              <w:t>59,543,948.54</w:t>
            </w:r>
          </w:p>
        </w:tc>
      </w:tr>
    </w:tbl>
    <w:p>
      <w:pPr>
        <w:spacing w:line="240" w:lineRule="auto" w:before="8"/>
        <w:rPr>
          <w:rFonts w:ascii="宋体" w:hAnsi="宋体" w:cs="宋体" w:eastAsia="宋体" w:hint="default"/>
          <w:sz w:val="19"/>
          <w:szCs w:val="19"/>
        </w:rPr>
      </w:pPr>
    </w:p>
    <w:p>
      <w:pPr>
        <w:pStyle w:val="Heading5"/>
        <w:spacing w:line="240" w:lineRule="auto" w:before="38"/>
        <w:ind w:right="0"/>
        <w:jc w:val="left"/>
        <w:rPr>
          <w:b w:val="0"/>
          <w:bCs w:val="0"/>
        </w:rPr>
      </w:pPr>
      <w:r>
        <w:rPr/>
        <w:t>（</w:t>
      </w:r>
      <w:r>
        <w:rPr>
          <w:rFonts w:ascii="Times New Roman" w:hAnsi="Times New Roman" w:cs="Times New Roman" w:eastAsia="Times New Roman" w:hint="default"/>
        </w:rPr>
        <w:t>2</w:t>
      </w:r>
      <w:r>
        <w:rPr/>
        <w:t>）本报告期应付账款中应付持有公司</w:t>
      </w:r>
      <w:r>
        <w:rPr>
          <w:spacing w:val="-54"/>
        </w:rPr>
        <w:t> </w:t>
      </w:r>
      <w:r>
        <w:rPr>
          <w:rFonts w:ascii="Times New Roman" w:hAnsi="Times New Roman" w:cs="Times New Roman" w:eastAsia="Times New Roman" w:hint="default"/>
        </w:rPr>
        <w:t>5</w:t>
      </w:r>
      <w:r>
        <w:rPr/>
        <w:t>％（含</w:t>
      </w:r>
      <w:r>
        <w:rPr>
          <w:spacing w:val="-53"/>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4"/>
        <w:ind w:right="0"/>
        <w:jc w:val="left"/>
        <w:rPr>
          <w:b w:val="0"/>
          <w:bCs w:val="0"/>
        </w:rPr>
      </w:pPr>
      <w:r>
        <w:rPr/>
        <w:t>（</w:t>
      </w:r>
      <w:r>
        <w:rPr>
          <w:rFonts w:ascii="Times New Roman" w:hAnsi="Times New Roman" w:cs="Times New Roman" w:eastAsia="Times New Roman" w:hint="default"/>
        </w:rPr>
        <w:t>3</w:t>
      </w:r>
      <w:r>
        <w:rPr/>
        <w:t>）账龄超过一年的大额应付账款情况的说明</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6"/>
        <w:ind w:right="0"/>
        <w:jc w:val="left"/>
        <w:rPr>
          <w:b w:val="0"/>
          <w:bCs w:val="0"/>
        </w:rPr>
      </w:pPr>
      <w:r>
        <w:rPr>
          <w:rFonts w:ascii="Times New Roman" w:hAnsi="Times New Roman" w:cs="Times New Roman" w:eastAsia="Times New Roman" w:hint="default"/>
        </w:rPr>
        <w:t>33</w:t>
      </w:r>
      <w:r>
        <w:rPr/>
        <w:t>、预收账款</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56"/>
        <w:gridCol w:w="2790"/>
        <w:gridCol w:w="2922"/>
      </w:tblGrid>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27,199,063.99</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24,777,485.09</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312,958.10</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27,289,063.99</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25,090,443.19</w:t>
            </w:r>
          </w:p>
        </w:tc>
      </w:tr>
    </w:tbl>
    <w:p>
      <w:pPr>
        <w:spacing w:line="240" w:lineRule="auto" w:before="8"/>
        <w:rPr>
          <w:rFonts w:ascii="宋体" w:hAnsi="宋体" w:cs="宋体" w:eastAsia="宋体" w:hint="default"/>
          <w:sz w:val="19"/>
          <w:szCs w:val="19"/>
        </w:rPr>
      </w:pPr>
    </w:p>
    <w:p>
      <w:pPr>
        <w:pStyle w:val="Heading5"/>
        <w:spacing w:line="240" w:lineRule="auto" w:before="38"/>
        <w:ind w:right="0"/>
        <w:jc w:val="left"/>
        <w:rPr>
          <w:b w:val="0"/>
          <w:bCs w:val="0"/>
        </w:rPr>
      </w:pPr>
      <w:r>
        <w:rPr/>
        <w:t>（</w:t>
      </w:r>
      <w:r>
        <w:rPr>
          <w:rFonts w:ascii="Times New Roman" w:hAnsi="Times New Roman" w:cs="Times New Roman" w:eastAsia="Times New Roman" w:hint="default"/>
        </w:rPr>
        <w:t>2</w:t>
      </w:r>
      <w:r>
        <w:rPr/>
        <w:t>）本报告期预收账款中预收持有公司</w:t>
      </w:r>
      <w:r>
        <w:rPr>
          <w:spacing w:val="-54"/>
        </w:rPr>
        <w:t> </w:t>
      </w:r>
      <w:r>
        <w:rPr>
          <w:rFonts w:ascii="Times New Roman" w:hAnsi="Times New Roman" w:cs="Times New Roman" w:eastAsia="Times New Roman" w:hint="default"/>
        </w:rPr>
        <w:t>5</w:t>
      </w:r>
      <w:r>
        <w:rPr/>
        <w:t>％（含</w:t>
      </w:r>
      <w:r>
        <w:rPr>
          <w:spacing w:val="-53"/>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4"/>
        <w:ind w:right="0"/>
        <w:jc w:val="left"/>
        <w:rPr>
          <w:b w:val="0"/>
          <w:bCs w:val="0"/>
        </w:rPr>
      </w:pPr>
      <w:r>
        <w:rPr/>
        <w:t>（</w:t>
      </w:r>
      <w:r>
        <w:rPr>
          <w:rFonts w:ascii="Times New Roman" w:hAnsi="Times New Roman" w:cs="Times New Roman" w:eastAsia="Times New Roman" w:hint="default"/>
        </w:rPr>
        <w:t>3</w:t>
      </w:r>
      <w:r>
        <w:rPr/>
        <w:t>）账龄超过一年的大额预收账款情况的说明</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6"/>
        <w:ind w:right="0"/>
        <w:jc w:val="left"/>
        <w:rPr>
          <w:b w:val="0"/>
          <w:bCs w:val="0"/>
        </w:rPr>
      </w:pPr>
      <w:r>
        <w:rPr>
          <w:rFonts w:ascii="Times New Roman" w:hAnsi="Times New Roman" w:cs="Times New Roman" w:eastAsia="Times New Roman" w:hint="default"/>
        </w:rPr>
        <w:t>34</w:t>
      </w:r>
      <w:r>
        <w:rPr/>
        <w:t>、应付职工薪酬</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7"/>
        <w:gridCol w:w="1861"/>
        <w:gridCol w:w="1993"/>
        <w:gridCol w:w="2257"/>
        <w:gridCol w:w="1860"/>
      </w:tblGrid>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1,794,085.08</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17,188,995.83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15,315,636.89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3,667,444.02</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507,876.85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507,876.85</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71,079.11</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1,649,062.57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1,559,252.83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160,888.85</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27,406.00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511,368.66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536,590.66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2,184.00</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292,711.71</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776,280.70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568,330.72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500,661.69</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2,185,281.90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20,633,584.61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18,487,687.95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4,331,178.56</w:t>
            </w:r>
          </w:p>
        </w:tc>
      </w:tr>
    </w:tbl>
    <w:p>
      <w:pPr>
        <w:spacing w:after="0" w:line="240" w:lineRule="auto"/>
        <w:jc w:val="right"/>
        <w:rPr>
          <w:rFonts w:ascii="Times New Roman" w:hAnsi="Times New Roman" w:cs="Times New Roman" w:eastAsia="Times New Roman" w:hint="default"/>
          <w:sz w:val="18"/>
          <w:szCs w:val="18"/>
        </w:rPr>
        <w:sectPr>
          <w:footerReference w:type="default" r:id="rId16"/>
          <w:pgSz w:w="11910" w:h="16840"/>
          <w:pgMar w:footer="982" w:header="747" w:top="1060" w:bottom="1180" w:left="980" w:right="980"/>
          <w:pgNumType w:start="101"/>
        </w:sectPr>
      </w:pPr>
    </w:p>
    <w:p>
      <w:pPr>
        <w:spacing w:line="240" w:lineRule="auto" w:before="3"/>
        <w:rPr>
          <w:rFonts w:ascii="宋体" w:hAnsi="宋体" w:cs="宋体" w:eastAsia="宋体" w:hint="default"/>
          <w:sz w:val="25"/>
          <w:szCs w:val="25"/>
        </w:rPr>
      </w:pPr>
    </w:p>
    <w:p>
      <w:pPr>
        <w:pStyle w:val="Heading5"/>
        <w:spacing w:line="240" w:lineRule="auto" w:before="38"/>
        <w:ind w:right="0"/>
        <w:jc w:val="left"/>
        <w:rPr>
          <w:b w:val="0"/>
          <w:bCs w:val="0"/>
        </w:rPr>
      </w:pPr>
      <w:r>
        <w:rPr>
          <w:rFonts w:ascii="Times New Roman" w:hAnsi="Times New Roman" w:cs="Times New Roman" w:eastAsia="Times New Roman" w:hint="default"/>
        </w:rPr>
        <w:t>35</w:t>
      </w:r>
      <w:r>
        <w:rPr/>
        <w:t>、应交税费</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22"/>
        <w:gridCol w:w="2789"/>
        <w:gridCol w:w="2657"/>
      </w:tblGrid>
      <w:tr>
        <w:trPr>
          <w:trHeight w:val="401"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2,111,142.94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395,677.31</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11,929,523.61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6,466,338.56</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9,013,725.64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3,273,353.75</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656,681.80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23,034.36</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945,965.90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506,925.37</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31,325.99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32,430.34</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86,102.95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369,291.99</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384,427.46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217,033.54</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283,061.48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157,348.32</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430,914.34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213,854.33</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25,268.81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24,639.78</w:t>
            </w:r>
          </w:p>
        </w:tc>
      </w:tr>
      <w:tr>
        <w:trPr>
          <w:trHeight w:val="403"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25,898,140.92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11,679,927.65</w:t>
            </w:r>
          </w:p>
        </w:tc>
      </w:tr>
    </w:tbl>
    <w:p>
      <w:pPr>
        <w:spacing w:line="240" w:lineRule="auto" w:before="8"/>
        <w:rPr>
          <w:rFonts w:ascii="宋体" w:hAnsi="宋体" w:cs="宋体" w:eastAsia="宋体" w:hint="default"/>
          <w:sz w:val="19"/>
          <w:szCs w:val="19"/>
        </w:rPr>
      </w:pPr>
    </w:p>
    <w:p>
      <w:pPr>
        <w:pStyle w:val="Heading5"/>
        <w:spacing w:line="240" w:lineRule="auto" w:before="38"/>
        <w:ind w:right="0"/>
        <w:jc w:val="left"/>
        <w:rPr>
          <w:b w:val="0"/>
          <w:bCs w:val="0"/>
        </w:rPr>
      </w:pPr>
      <w:r>
        <w:rPr>
          <w:rFonts w:ascii="Times New Roman" w:hAnsi="Times New Roman" w:cs="Times New Roman" w:eastAsia="Times New Roman" w:hint="default"/>
        </w:rPr>
        <w:t>36</w:t>
      </w:r>
      <w:r>
        <w:rPr/>
        <w:t>、应付利息</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3"/>
        <w:ind w:right="0"/>
        <w:jc w:val="left"/>
        <w:rPr>
          <w:b w:val="0"/>
          <w:bCs w:val="0"/>
        </w:rPr>
      </w:pPr>
      <w:r>
        <w:rPr>
          <w:rFonts w:ascii="Times New Roman" w:hAnsi="Times New Roman" w:cs="Times New Roman" w:eastAsia="Times New Roman" w:hint="default"/>
        </w:rPr>
        <w:t>37</w:t>
      </w:r>
      <w:r>
        <w:rPr/>
        <w:t>、应付股利</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3"/>
        <w:ind w:right="0"/>
        <w:jc w:val="left"/>
        <w:rPr>
          <w:b w:val="0"/>
          <w:bCs w:val="0"/>
        </w:rPr>
      </w:pPr>
      <w:r>
        <w:rPr>
          <w:rFonts w:ascii="Times New Roman" w:hAnsi="Times New Roman" w:cs="Times New Roman" w:eastAsia="Times New Roman" w:hint="default"/>
        </w:rPr>
        <w:t>38</w:t>
      </w:r>
      <w:r>
        <w:rPr/>
        <w:t>、其他应付款</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3056"/>
        <w:gridCol w:w="2789"/>
      </w:tblGrid>
      <w:tr>
        <w:trPr>
          <w:trHeight w:val="401"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13,220,381.12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1,955,375.86</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2,136,824.74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189,671.03</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173,971.03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145,172.08</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150,228.25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105,056.17</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15,681,405.14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2,395,275.14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3"/>
        <w:rPr>
          <w:rFonts w:ascii="宋体" w:hAnsi="宋体" w:cs="宋体" w:eastAsia="宋体" w:hint="default"/>
          <w:sz w:val="25"/>
          <w:szCs w:val="25"/>
        </w:rPr>
      </w:pPr>
    </w:p>
    <w:p>
      <w:pPr>
        <w:pStyle w:val="Heading5"/>
        <w:spacing w:line="240" w:lineRule="auto" w:before="38"/>
        <w:ind w:right="0"/>
        <w:jc w:val="left"/>
        <w:rPr>
          <w:b w:val="0"/>
          <w:bCs w:val="0"/>
        </w:rPr>
      </w:pPr>
      <w:r>
        <w:rPr/>
        <w:t>（</w:t>
      </w:r>
      <w:r>
        <w:rPr>
          <w:rFonts w:ascii="Times New Roman" w:hAnsi="Times New Roman" w:cs="Times New Roman" w:eastAsia="Times New Roman" w:hint="default"/>
        </w:rPr>
        <w:t>2</w:t>
      </w:r>
      <w:r>
        <w:rPr/>
        <w:t>）本报告期其他应付款中应付持有公司</w:t>
      </w:r>
      <w:r>
        <w:rPr>
          <w:spacing w:val="-54"/>
        </w:rPr>
        <w:t> </w:t>
      </w:r>
      <w:r>
        <w:rPr>
          <w:rFonts w:ascii="Times New Roman" w:hAnsi="Times New Roman" w:cs="Times New Roman" w:eastAsia="Times New Roman" w:hint="default"/>
        </w:rPr>
        <w:t>5</w:t>
      </w:r>
      <w:r>
        <w:rPr/>
        <w:t>％（含</w:t>
      </w:r>
      <w:r>
        <w:rPr>
          <w:spacing w:val="-53"/>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3"/>
        <w:ind w:right="0"/>
        <w:jc w:val="left"/>
        <w:rPr>
          <w:b w:val="0"/>
          <w:bCs w:val="0"/>
        </w:rPr>
      </w:pPr>
      <w:r>
        <w:rPr/>
        <w:t>（</w:t>
      </w:r>
      <w:r>
        <w:rPr>
          <w:rFonts w:ascii="Times New Roman" w:hAnsi="Times New Roman" w:cs="Times New Roman" w:eastAsia="Times New Roman" w:hint="default"/>
        </w:rPr>
        <w:t>3</w:t>
      </w:r>
      <w:r>
        <w:rPr/>
        <w:t>）账龄超过一年的大额其他应付款情况的说明</w:t>
      </w:r>
      <w:r>
        <w:rPr>
          <w:b w:val="0"/>
          <w:bCs w:val="0"/>
        </w:rPr>
      </w:r>
    </w:p>
    <w:p>
      <w:pPr>
        <w:spacing w:line="240" w:lineRule="auto" w:before="2"/>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2804"/>
        <w:gridCol w:w="1415"/>
        <w:gridCol w:w="1135"/>
        <w:gridCol w:w="3168"/>
      </w:tblGrid>
      <w:tr>
        <w:trPr>
          <w:trHeight w:val="355" w:hRule="exact"/>
        </w:trPr>
        <w:tc>
          <w:tcPr>
            <w:tcW w:w="28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1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未偿还原因</w:t>
            </w:r>
          </w:p>
        </w:tc>
        <w:tc>
          <w:tcPr>
            <w:tcW w:w="316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备注（报表日后已还款的应予注明）</w:t>
            </w:r>
          </w:p>
        </w:tc>
      </w:tr>
      <w:tr>
        <w:trPr>
          <w:trHeight w:val="353" w:hRule="exact"/>
        </w:trPr>
        <w:tc>
          <w:tcPr>
            <w:tcW w:w="28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四川辰宇装饰设计工程有限公司</w:t>
            </w:r>
          </w:p>
        </w:tc>
        <w:tc>
          <w:tcPr>
            <w:tcW w:w="14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1,350,000.00</w:t>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期后支付</w:t>
            </w:r>
            <w:r>
              <w:rPr>
                <w:rFonts w:ascii="Times New Roman" w:hAnsi="Times New Roman" w:cs="Times New Roman" w:eastAsia="Times New Roman" w:hint="default"/>
                <w:sz w:val="18"/>
                <w:szCs w:val="18"/>
              </w:rPr>
              <w:t>570,000.00</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3"/>
          <w:szCs w:val="23"/>
        </w:rPr>
      </w:pPr>
    </w:p>
    <w:p>
      <w:pPr>
        <w:pStyle w:val="Heading5"/>
        <w:spacing w:line="240" w:lineRule="auto" w:before="38"/>
        <w:ind w:right="0"/>
        <w:jc w:val="left"/>
        <w:rPr>
          <w:b w:val="0"/>
          <w:bCs w:val="0"/>
        </w:rPr>
      </w:pPr>
      <w:r>
        <w:rPr/>
        <w:t>（</w:t>
      </w:r>
      <w:r>
        <w:rPr>
          <w:rFonts w:ascii="Times New Roman" w:hAnsi="Times New Roman" w:cs="Times New Roman" w:eastAsia="Times New Roman" w:hint="default"/>
        </w:rPr>
        <w:t>4</w:t>
      </w:r>
      <w:r>
        <w:rPr/>
        <w:t>）金额较大的其他应付款说明内容</w:t>
      </w:r>
      <w:r>
        <w:rPr>
          <w:b w:val="0"/>
          <w:bCs w:val="0"/>
        </w:rPr>
      </w:r>
    </w:p>
    <w:p>
      <w:pPr>
        <w:spacing w:line="240" w:lineRule="auto" w:before="1"/>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3227"/>
        <w:gridCol w:w="1555"/>
        <w:gridCol w:w="1686"/>
        <w:gridCol w:w="2054"/>
      </w:tblGrid>
      <w:tr>
        <w:trPr>
          <w:trHeight w:val="355" w:hRule="exact"/>
        </w:trPr>
        <w:tc>
          <w:tcPr>
            <w:tcW w:w="32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性质或内容</w:t>
            </w:r>
          </w:p>
        </w:tc>
        <w:tc>
          <w:tcPr>
            <w:tcW w:w="2054" w:type="dxa"/>
            <w:tcBorders>
              <w:top w:val="single" w:sz="6" w:space="0" w:color="000000"/>
              <w:left w:val="single" w:sz="6" w:space="0" w:color="000000"/>
              <w:bottom w:val="single" w:sz="12" w:space="0" w:color="000000"/>
              <w:right w:val="nil" w:sz="6" w:space="0" w:color="auto"/>
            </w:tcBorders>
          </w:tcPr>
          <w:p>
            <w:pPr>
              <w:pStyle w:val="TableParagraph"/>
              <w:tabs>
                <w:tab w:pos="539" w:val="left" w:leader="none"/>
              </w:tabs>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备</w:t>
              <w:tab/>
              <w:t>注</w:t>
            </w:r>
          </w:p>
        </w:tc>
      </w:tr>
      <w:tr>
        <w:trPr>
          <w:trHeight w:val="352" w:hRule="exact"/>
        </w:trPr>
        <w:tc>
          <w:tcPr>
            <w:tcW w:w="3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黄门马</w:t>
            </w:r>
          </w:p>
        </w:tc>
        <w:tc>
          <w:tcPr>
            <w:tcW w:w="1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3,504,300.00</w:t>
            </w:r>
          </w:p>
        </w:tc>
        <w:tc>
          <w:tcPr>
            <w:tcW w:w="16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投资款</w:t>
            </w:r>
          </w:p>
        </w:tc>
        <w:tc>
          <w:tcPr>
            <w:tcW w:w="2054"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马纲</w:t>
            </w:r>
          </w:p>
        </w:tc>
        <w:tc>
          <w:tcPr>
            <w:tcW w:w="1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3,048,000.00</w:t>
            </w:r>
          </w:p>
        </w:tc>
        <w:tc>
          <w:tcPr>
            <w:tcW w:w="16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投资款</w:t>
            </w:r>
          </w:p>
        </w:tc>
        <w:tc>
          <w:tcPr>
            <w:tcW w:w="2054"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重庆航天火箭电子技术有限公司</w:t>
            </w:r>
          </w:p>
        </w:tc>
        <w:tc>
          <w:tcPr>
            <w:tcW w:w="1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1,522,512.00</w:t>
            </w:r>
          </w:p>
        </w:tc>
        <w:tc>
          <w:tcPr>
            <w:tcW w:w="16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20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期后支付</w:t>
            </w:r>
            <w:r>
              <w:rPr>
                <w:rFonts w:ascii="Times New Roman" w:hAnsi="Times New Roman" w:cs="Times New Roman" w:eastAsia="Times New Roman" w:hint="default"/>
                <w:sz w:val="18"/>
                <w:szCs w:val="18"/>
              </w:rPr>
              <w:t>230,890.00</w:t>
            </w:r>
          </w:p>
        </w:tc>
      </w:tr>
      <w:tr>
        <w:trPr>
          <w:trHeight w:val="352" w:hRule="exact"/>
        </w:trPr>
        <w:tc>
          <w:tcPr>
            <w:tcW w:w="3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四川辰宇装饰设计工程有限公司</w:t>
            </w:r>
          </w:p>
        </w:tc>
        <w:tc>
          <w:tcPr>
            <w:tcW w:w="1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1,350,000.00</w:t>
            </w:r>
          </w:p>
        </w:tc>
        <w:tc>
          <w:tcPr>
            <w:tcW w:w="16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履约保证金</w:t>
            </w:r>
          </w:p>
        </w:tc>
        <w:tc>
          <w:tcPr>
            <w:tcW w:w="20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期后支付</w:t>
            </w:r>
            <w:r>
              <w:rPr>
                <w:rFonts w:ascii="Times New Roman" w:hAnsi="Times New Roman" w:cs="Times New Roman" w:eastAsia="Times New Roman" w:hint="default"/>
                <w:sz w:val="18"/>
                <w:szCs w:val="18"/>
              </w:rPr>
              <w:t>570,000.00</w:t>
            </w:r>
          </w:p>
        </w:tc>
      </w:tr>
      <w:tr>
        <w:trPr>
          <w:trHeight w:val="353" w:hRule="exact"/>
        </w:trPr>
        <w:tc>
          <w:tcPr>
            <w:tcW w:w="3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浙江京安电子工程有限公司</w:t>
            </w:r>
          </w:p>
        </w:tc>
        <w:tc>
          <w:tcPr>
            <w:tcW w:w="1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987,042.09</w:t>
            </w:r>
          </w:p>
        </w:tc>
        <w:tc>
          <w:tcPr>
            <w:tcW w:w="16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诚信保证金</w:t>
            </w:r>
          </w:p>
        </w:tc>
        <w:tc>
          <w:tcPr>
            <w:tcW w:w="2054"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1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760,300.00</w:t>
            </w:r>
          </w:p>
        </w:tc>
        <w:tc>
          <w:tcPr>
            <w:tcW w:w="16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投资款</w:t>
            </w:r>
          </w:p>
        </w:tc>
        <w:tc>
          <w:tcPr>
            <w:tcW w:w="2054"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3"/>
          <w:szCs w:val="23"/>
        </w:rPr>
      </w:pPr>
    </w:p>
    <w:p>
      <w:pPr>
        <w:pStyle w:val="Heading5"/>
        <w:spacing w:line="240" w:lineRule="auto" w:before="38"/>
        <w:ind w:right="0"/>
        <w:jc w:val="left"/>
        <w:rPr>
          <w:b w:val="0"/>
          <w:bCs w:val="0"/>
        </w:rPr>
      </w:pPr>
      <w:r>
        <w:rPr>
          <w:rFonts w:ascii="Times New Roman" w:hAnsi="Times New Roman" w:cs="Times New Roman" w:eastAsia="Times New Roman" w:hint="default"/>
        </w:rPr>
        <w:t>39</w:t>
      </w:r>
      <w:r>
        <w:rPr/>
        <w:t>、预计负债</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3"/>
        <w:ind w:right="0"/>
        <w:jc w:val="left"/>
        <w:rPr>
          <w:b w:val="0"/>
          <w:bCs w:val="0"/>
        </w:rPr>
      </w:pPr>
      <w:r>
        <w:rPr>
          <w:rFonts w:ascii="Times New Roman" w:hAnsi="Times New Roman" w:cs="Times New Roman" w:eastAsia="Times New Roman" w:hint="default"/>
        </w:rPr>
        <w:t>40</w:t>
      </w:r>
      <w:r>
        <w:rPr/>
        <w:t>、一年内到期的非流动负债</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3"/>
        <w:ind w:right="0"/>
        <w:jc w:val="left"/>
        <w:rPr>
          <w:b w:val="0"/>
          <w:bCs w:val="0"/>
        </w:rPr>
      </w:pPr>
      <w:r>
        <w:rPr>
          <w:rFonts w:ascii="Times New Roman" w:hAnsi="Times New Roman" w:cs="Times New Roman" w:eastAsia="Times New Roman" w:hint="default"/>
        </w:rPr>
        <w:t>41</w:t>
      </w:r>
      <w:r>
        <w:rPr/>
        <w:t>、其他流动负债</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3"/>
        <w:ind w:right="0"/>
        <w:jc w:val="left"/>
        <w:rPr>
          <w:b w:val="0"/>
          <w:bCs w:val="0"/>
        </w:rPr>
      </w:pPr>
      <w:r>
        <w:rPr>
          <w:rFonts w:ascii="Times New Roman" w:hAnsi="Times New Roman" w:cs="Times New Roman" w:eastAsia="Times New Roman" w:hint="default"/>
        </w:rPr>
        <w:t>42</w:t>
      </w:r>
      <w:r>
        <w:rPr/>
        <w:t>、长期借款</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4"/>
        <w:ind w:right="0"/>
        <w:jc w:val="left"/>
        <w:rPr>
          <w:b w:val="0"/>
          <w:bCs w:val="0"/>
        </w:rPr>
      </w:pPr>
      <w:r>
        <w:rPr>
          <w:rFonts w:ascii="Times New Roman" w:hAnsi="Times New Roman" w:cs="Times New Roman" w:eastAsia="Times New Roman" w:hint="default"/>
        </w:rPr>
        <w:t>43</w:t>
      </w:r>
      <w:r>
        <w:rPr/>
        <w:t>、应付债券</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4"/>
        <w:ind w:right="0"/>
        <w:jc w:val="left"/>
        <w:rPr>
          <w:b w:val="0"/>
          <w:bCs w:val="0"/>
        </w:rPr>
      </w:pPr>
      <w:r>
        <w:rPr>
          <w:rFonts w:ascii="Times New Roman" w:hAnsi="Times New Roman" w:cs="Times New Roman" w:eastAsia="Times New Roman" w:hint="default"/>
        </w:rPr>
        <w:t>44</w:t>
      </w:r>
      <w:r>
        <w:rPr/>
        <w:t>、长期应付款</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无此事项</w:t>
      </w:r>
    </w:p>
    <w:p>
      <w:pPr>
        <w:spacing w:after="0" w:line="240" w:lineRule="auto"/>
        <w:jc w:val="left"/>
        <w:sectPr>
          <w:pgSz w:w="11910" w:h="16840"/>
          <w:pgMar w:header="747" w:footer="982" w:top="1060" w:bottom="1180" w:left="980" w:right="980"/>
        </w:sectPr>
      </w:pPr>
    </w:p>
    <w:p>
      <w:pPr>
        <w:spacing w:line="240" w:lineRule="auto" w:before="1"/>
        <w:rPr>
          <w:rFonts w:ascii="宋体" w:hAnsi="宋体" w:cs="宋体" w:eastAsia="宋体" w:hint="default"/>
          <w:sz w:val="25"/>
          <w:szCs w:val="25"/>
        </w:rPr>
      </w:pPr>
    </w:p>
    <w:p>
      <w:pPr>
        <w:pStyle w:val="Heading5"/>
        <w:spacing w:line="240" w:lineRule="auto" w:before="38"/>
        <w:ind w:right="91"/>
        <w:jc w:val="left"/>
        <w:rPr>
          <w:b w:val="0"/>
          <w:bCs w:val="0"/>
        </w:rPr>
      </w:pPr>
      <w:r>
        <w:rPr>
          <w:rFonts w:ascii="Times New Roman" w:hAnsi="Times New Roman" w:cs="Times New Roman" w:eastAsia="Times New Roman" w:hint="default"/>
        </w:rPr>
        <w:t>45</w:t>
      </w:r>
      <w:r>
        <w:rPr/>
        <w:t>、专项应付款</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91"/>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3"/>
        <w:ind w:right="91"/>
        <w:jc w:val="left"/>
        <w:rPr>
          <w:b w:val="0"/>
          <w:bCs w:val="0"/>
        </w:rPr>
      </w:pPr>
      <w:r>
        <w:rPr>
          <w:rFonts w:ascii="Times New Roman" w:hAnsi="Times New Roman" w:cs="Times New Roman" w:eastAsia="Times New Roman" w:hint="default"/>
        </w:rPr>
        <w:t>46</w:t>
      </w:r>
      <w:r>
        <w:rPr/>
        <w:t>、其他非流动负债</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5"/>
        <w:spacing w:line="240" w:lineRule="auto"/>
        <w:ind w:right="91"/>
        <w:jc w:val="left"/>
        <w:rPr>
          <w:b w:val="0"/>
          <w:bCs w:val="0"/>
        </w:rPr>
      </w:pPr>
      <w:r>
        <w:rPr>
          <w:rFonts w:ascii="Times New Roman" w:hAnsi="Times New Roman" w:cs="Times New Roman" w:eastAsia="Times New Roman" w:hint="default"/>
        </w:rPr>
        <w:t>47</w:t>
      </w:r>
      <w:r>
        <w:rPr/>
        <w:t>、股本</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9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1195"/>
        <w:gridCol w:w="1196"/>
        <w:gridCol w:w="1196"/>
        <w:gridCol w:w="1195"/>
        <w:gridCol w:w="1196"/>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3D3D3"/>
          </w:tcPr>
          <w:p>
            <w:pP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196"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65,000,000.00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22,000,000.00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22,000,000.00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87,000,000.00</w:t>
            </w:r>
          </w:p>
        </w:tc>
      </w:tr>
    </w:tbl>
    <w:p>
      <w:pPr>
        <w:pStyle w:val="BodyText"/>
        <w:spacing w:line="240" w:lineRule="auto" w:before="51"/>
        <w:ind w:right="0"/>
        <w:jc w:val="both"/>
        <w:rPr>
          <w:rFonts w:ascii="Times New Roman" w:hAnsi="Times New Roman" w:cs="Times New Roman" w:eastAsia="Times New Roman" w:hint="default"/>
        </w:rPr>
      </w:pPr>
      <w:r>
        <w:rPr/>
        <w:t>股本变动情况说明，本报告期内有增资或减资行为的，应披露执行验资的会计师事务所名称和验资报告文号；运行不足</w:t>
      </w:r>
      <w:r>
        <w:rPr>
          <w:spacing w:val="-46"/>
        </w:rPr>
        <w:t> </w:t>
      </w:r>
      <w:r>
        <w:rPr>
          <w:rFonts w:ascii="Times New Roman" w:hAnsi="Times New Roman" w:cs="Times New Roman" w:eastAsia="Times New Roman" w:hint="default"/>
        </w:rPr>
        <w:t>3</w:t>
      </w:r>
    </w:p>
    <w:p>
      <w:pPr>
        <w:pStyle w:val="BodyText"/>
        <w:spacing w:line="240" w:lineRule="auto" w:before="64"/>
        <w:ind w:left="153" w:right="0"/>
        <w:jc w:val="both"/>
      </w:pPr>
      <w:r>
        <w:rPr/>
        <w:t>年的股份有限公司，设立前的年份只需说明净资产情况；有限责任公司整体变更为股份公司应说明公司设立时的验资情况</w:t>
      </w:r>
    </w:p>
    <w:p>
      <w:pPr>
        <w:pStyle w:val="Heading4"/>
        <w:spacing w:line="256" w:lineRule="auto" w:before="89"/>
        <w:ind w:left="153" w:right="116"/>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21</w:t>
      </w:r>
      <w:r>
        <w:rPr/>
        <w:t>日，经中国证券监督管理委员会证监许可</w:t>
      </w:r>
      <w:r>
        <w:rPr>
          <w:rFonts w:ascii="Times New Roman" w:hAnsi="Times New Roman" w:cs="Times New Roman" w:eastAsia="Times New Roman" w:hint="default"/>
        </w:rPr>
        <w:t>[2012]226</w:t>
      </w:r>
      <w:r>
        <w:rPr/>
        <w:t>号文核准，公司获准向社会公开发行人民</w:t>
      </w:r>
      <w:r>
        <w:rPr>
          <w:spacing w:val="-74"/>
        </w:rPr>
        <w:t> </w:t>
      </w:r>
      <w:r>
        <w:rPr>
          <w:spacing w:val="-74"/>
        </w:rPr>
      </w:r>
      <w:r>
        <w:rPr>
          <w:spacing w:val="-8"/>
        </w:rPr>
        <w:t>币普通股（</w:t>
      </w:r>
      <w:r>
        <w:rPr>
          <w:rFonts w:ascii="Times New Roman" w:hAnsi="Times New Roman" w:cs="Times New Roman" w:eastAsia="Times New Roman" w:hint="default"/>
          <w:spacing w:val="-8"/>
        </w:rPr>
        <w:t>A</w:t>
      </w:r>
      <w:r>
        <w:rPr>
          <w:spacing w:val="-8"/>
        </w:rPr>
        <w:t>股）</w:t>
      </w:r>
      <w:r>
        <w:rPr>
          <w:rFonts w:ascii="Times New Roman" w:hAnsi="Times New Roman" w:cs="Times New Roman" w:eastAsia="Times New Roman" w:hint="default"/>
          <w:spacing w:val="-8"/>
        </w:rPr>
        <w:t>2,200</w:t>
      </w:r>
      <w:r>
        <w:rPr>
          <w:spacing w:val="-8"/>
        </w:rPr>
        <w:t>万股（每股面值</w:t>
      </w:r>
      <w:r>
        <w:rPr>
          <w:rFonts w:ascii="Times New Roman" w:hAnsi="Times New Roman" w:cs="Times New Roman" w:eastAsia="Times New Roman" w:hint="default"/>
          <w:spacing w:val="-8"/>
        </w:rPr>
        <w:t>1</w:t>
      </w:r>
      <w:r>
        <w:rPr>
          <w:spacing w:val="-8"/>
        </w:rPr>
        <w:t>元），每股发行价格为人民币</w:t>
      </w:r>
      <w:r>
        <w:rPr>
          <w:rFonts w:ascii="Times New Roman" w:hAnsi="Times New Roman" w:cs="Times New Roman" w:eastAsia="Times New Roman" w:hint="default"/>
          <w:spacing w:val="-8"/>
        </w:rPr>
        <w:t>18.00</w:t>
      </w:r>
      <w:r>
        <w:rPr>
          <w:spacing w:val="-8"/>
        </w:rPr>
        <w:t>元，募集资金总额为</w:t>
      </w:r>
      <w:r>
        <w:rPr>
          <w:rFonts w:ascii="Times New Roman" w:hAnsi="Times New Roman" w:cs="Times New Roman" w:eastAsia="Times New Roman" w:hint="default"/>
          <w:spacing w:val="-8"/>
        </w:rPr>
        <w:t>396,000,000.00</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spacing w:val="-3"/>
        </w:rPr>
        <w:t>元，减除发行费用人民币</w:t>
      </w:r>
      <w:r>
        <w:rPr>
          <w:rFonts w:ascii="Times New Roman" w:hAnsi="Times New Roman" w:cs="Times New Roman" w:eastAsia="Times New Roman" w:hint="default"/>
          <w:spacing w:val="-3"/>
        </w:rPr>
        <w:t>45,524,000.00</w:t>
      </w:r>
      <w:r>
        <w:rPr>
          <w:spacing w:val="-3"/>
        </w:rPr>
        <w:t>元后，募集资金净额</w:t>
      </w:r>
      <w:r>
        <w:rPr>
          <w:rFonts w:ascii="Times New Roman" w:hAnsi="Times New Roman" w:cs="Times New Roman" w:eastAsia="Times New Roman" w:hint="default"/>
          <w:spacing w:val="-3"/>
        </w:rPr>
        <w:t>350,476,000.00</w:t>
      </w:r>
      <w:r>
        <w:rPr>
          <w:spacing w:val="-3"/>
        </w:rPr>
        <w:t>元，其中：计入股本</w:t>
      </w:r>
      <w:r>
        <w:rPr>
          <w:rFonts w:ascii="Times New Roman" w:hAnsi="Times New Roman" w:cs="Times New Roman" w:eastAsia="Times New Roman" w:hint="default"/>
          <w:spacing w:val="-3"/>
        </w:rPr>
        <w:t>22,000,000.00</w:t>
      </w:r>
      <w:r>
        <w:rPr>
          <w:rFonts w:ascii="Times New Roman" w:hAnsi="Times New Roman" w:cs="Times New Roman" w:eastAsia="Times New Roman" w:hint="default"/>
          <w:spacing w:val="-45"/>
        </w:rPr>
        <w:t> </w:t>
      </w:r>
      <w:r>
        <w:rPr>
          <w:rFonts w:ascii="Times New Roman" w:hAnsi="Times New Roman" w:cs="Times New Roman" w:eastAsia="Times New Roman" w:hint="default"/>
          <w:spacing w:val="-45"/>
        </w:rPr>
      </w:r>
      <w:r>
        <w:rPr/>
        <w:t>元，计入资本公积（股本溢价）</w:t>
      </w:r>
      <w:r>
        <w:rPr>
          <w:rFonts w:ascii="Times New Roman" w:hAnsi="Times New Roman" w:cs="Times New Roman" w:eastAsia="Times New Roman" w:hint="default"/>
        </w:rPr>
        <w:t>328,476,000.00</w:t>
      </w:r>
      <w:r>
        <w:rPr/>
        <w:t>元。上述股本变动业经立信会计师事务所（特殊普通合伙） 验证，并出具信会师报字</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110609</w:t>
      </w:r>
      <w:r>
        <w:rPr/>
        <w:t>号验资报告。</w:t>
      </w:r>
    </w:p>
    <w:p>
      <w:pPr>
        <w:spacing w:line="240" w:lineRule="auto" w:before="1"/>
        <w:rPr>
          <w:rFonts w:ascii="宋体" w:hAnsi="宋体" w:cs="宋体" w:eastAsia="宋体" w:hint="default"/>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48</w:t>
      </w:r>
      <w:r>
        <w:rPr/>
        <w:t>、库存股</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both"/>
      </w:pPr>
      <w:r>
        <w:rPr/>
        <w:t>无此事项</w:t>
      </w:r>
    </w:p>
    <w:p>
      <w:pPr>
        <w:spacing w:line="240" w:lineRule="auto" w:before="0"/>
        <w:rPr>
          <w:rFonts w:ascii="宋体" w:hAnsi="宋体" w:cs="宋体" w:eastAsia="宋体" w:hint="default"/>
          <w:sz w:val="18"/>
          <w:szCs w:val="18"/>
        </w:rPr>
      </w:pPr>
    </w:p>
    <w:p>
      <w:pPr>
        <w:pStyle w:val="Heading5"/>
        <w:spacing w:line="240" w:lineRule="auto" w:before="123"/>
        <w:ind w:right="0"/>
        <w:jc w:val="both"/>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both"/>
      </w:pPr>
      <w:r>
        <w:rPr/>
        <w:t>无此事项</w:t>
      </w:r>
    </w:p>
    <w:p>
      <w:pPr>
        <w:spacing w:line="240" w:lineRule="auto" w:before="0"/>
        <w:rPr>
          <w:rFonts w:ascii="宋体" w:hAnsi="宋体" w:cs="宋体" w:eastAsia="宋体" w:hint="default"/>
          <w:sz w:val="18"/>
          <w:szCs w:val="18"/>
        </w:rPr>
      </w:pPr>
    </w:p>
    <w:p>
      <w:pPr>
        <w:pStyle w:val="Heading5"/>
        <w:spacing w:line="240" w:lineRule="auto" w:before="123"/>
        <w:ind w:right="0"/>
        <w:jc w:val="both"/>
        <w:rPr>
          <w:b w:val="0"/>
          <w:bCs w:val="0"/>
        </w:rPr>
      </w:pPr>
      <w:r>
        <w:rPr>
          <w:rFonts w:ascii="Times New Roman" w:hAnsi="Times New Roman" w:cs="Times New Roman" w:eastAsia="Times New Roman" w:hint="default"/>
        </w:rPr>
        <w:t>50</w:t>
      </w:r>
      <w:r>
        <w:rPr/>
        <w:t>、资本公积</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left="0" w:right="19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4"/>
        <w:gridCol w:w="1860"/>
        <w:gridCol w:w="1994"/>
        <w:gridCol w:w="1726"/>
        <w:gridCol w:w="1594"/>
      </w:tblGrid>
      <w:tr>
        <w:trPr>
          <w:trHeight w:val="401"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）投资者投入的资本</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23,504,635.26</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328,476,000.00</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351,980,635.26</w:t>
            </w:r>
          </w:p>
        </w:tc>
      </w:tr>
      <w:tr>
        <w:trPr>
          <w:trHeight w:val="714"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0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）同一控制下企业合并的 影响</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23,504,735.26</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328,476,000.00</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351,980,735.26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40"/>
        </w:sectPr>
      </w:pPr>
    </w:p>
    <w:p>
      <w:pPr>
        <w:spacing w:line="240" w:lineRule="auto" w:before="1"/>
        <w:rPr>
          <w:rFonts w:ascii="宋体" w:hAnsi="宋体" w:cs="宋体" w:eastAsia="宋体" w:hint="default"/>
          <w:sz w:val="25"/>
          <w:szCs w:val="25"/>
        </w:rPr>
      </w:pPr>
    </w:p>
    <w:p>
      <w:pPr>
        <w:pStyle w:val="Heading5"/>
        <w:spacing w:line="240" w:lineRule="auto" w:before="38"/>
        <w:ind w:right="0"/>
        <w:jc w:val="left"/>
        <w:rPr>
          <w:b w:val="0"/>
          <w:bCs w:val="0"/>
        </w:rPr>
      </w:pPr>
      <w:r>
        <w:rPr>
          <w:rFonts w:ascii="Times New Roman" w:hAnsi="Times New Roman" w:cs="Times New Roman" w:eastAsia="Times New Roman" w:hint="default"/>
        </w:rPr>
        <w:t>51</w:t>
      </w:r>
      <w:r>
        <w:rPr/>
        <w:t>、盈余公积</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4"/>
        <w:gridCol w:w="1860"/>
        <w:gridCol w:w="1994"/>
        <w:gridCol w:w="1726"/>
        <w:gridCol w:w="1594"/>
      </w:tblGrid>
      <w:tr>
        <w:trPr>
          <w:trHeight w:val="401"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10,639,893.70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5,217,204.59</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15,857,098.29</w:t>
            </w:r>
          </w:p>
        </w:tc>
      </w:tr>
      <w:tr>
        <w:trPr>
          <w:trHeight w:val="403"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10,639,893.70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5,217,204.59</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15,857,098.29</w:t>
            </w:r>
          </w:p>
        </w:tc>
      </w:tr>
    </w:tbl>
    <w:p>
      <w:pPr>
        <w:pStyle w:val="Heading6"/>
        <w:spacing w:line="240" w:lineRule="auto"/>
        <w:ind w:left="154" w:right="0"/>
        <w:jc w:val="left"/>
        <w:rPr>
          <w:sz w:val="21"/>
          <w:szCs w:val="21"/>
        </w:rPr>
      </w:pPr>
      <w:r>
        <w:rPr/>
        <w:t>盈余公积变动情况：根据公司法规定，公司按母公司净利润的</w:t>
      </w:r>
      <w:r>
        <w:rPr>
          <w:spacing w:val="-60"/>
        </w:rPr>
        <w:t> </w:t>
      </w:r>
      <w:r>
        <w:rPr>
          <w:rFonts w:ascii="Times New Roman" w:hAnsi="Times New Roman" w:cs="Times New Roman" w:eastAsia="Times New Roman" w:hint="default"/>
        </w:rPr>
        <w:t>10%</w:t>
      </w:r>
      <w:r>
        <w:rPr/>
        <w:t>提取法定盈余公积金</w:t>
      </w:r>
      <w:r>
        <w:rPr>
          <w:sz w:val="21"/>
          <w:szCs w:val="21"/>
        </w:rPr>
        <w:t>。</w:t>
      </w:r>
    </w:p>
    <w:p>
      <w:pPr>
        <w:spacing w:line="240" w:lineRule="auto" w:before="4"/>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52</w:t>
      </w:r>
      <w:r>
        <w:rPr/>
        <w:t>、一般风险准备</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3"/>
        <w:ind w:right="0"/>
        <w:jc w:val="left"/>
        <w:rPr>
          <w:b w:val="0"/>
          <w:bCs w:val="0"/>
        </w:rPr>
      </w:pPr>
      <w:r>
        <w:rPr>
          <w:rFonts w:ascii="Times New Roman" w:hAnsi="Times New Roman" w:cs="Times New Roman" w:eastAsia="Times New Roman" w:hint="default"/>
        </w:rPr>
        <w:t>53</w:t>
      </w:r>
      <w:r>
        <w:rPr/>
        <w:t>、未分配利润</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8"/>
        <w:gridCol w:w="3728"/>
        <w:gridCol w:w="2122"/>
      </w:tblGrid>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88,550,168.09</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88,550,168.09</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55,598,274.01</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5,217,204.59</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8,700,000.00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130,231,237.51</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26"/>
          <w:szCs w:val="26"/>
        </w:rPr>
      </w:pPr>
    </w:p>
    <w:p>
      <w:pPr>
        <w:pStyle w:val="Heading4"/>
        <w:spacing w:line="256" w:lineRule="auto" w:before="35"/>
        <w:ind w:left="153" w:right="148"/>
        <w:jc w:val="both"/>
      </w:pPr>
      <w:r>
        <w:rPr>
          <w:spacing w:val="14"/>
        </w:rPr>
        <w:t>未分配利润的其他说明：根据公司</w:t>
      </w:r>
      <w:r>
        <w:rPr>
          <w:rFonts w:ascii="Times New Roman" w:hAnsi="Times New Roman" w:cs="Times New Roman" w:eastAsia="Times New Roman" w:hint="default"/>
          <w:spacing w:val="14"/>
        </w:rPr>
        <w:t>2012</w:t>
      </w:r>
      <w:r>
        <w:rPr>
          <w:spacing w:val="14"/>
        </w:rPr>
        <w:t>年第二次临时股东大会决议，公司以</w:t>
      </w:r>
      <w:r>
        <w:rPr>
          <w:rFonts w:ascii="Times New Roman" w:hAnsi="Times New Roman" w:cs="Times New Roman" w:eastAsia="Times New Roman" w:hint="default"/>
          <w:spacing w:val="14"/>
        </w:rPr>
        <w:t>2012</w:t>
      </w:r>
      <w:r>
        <w:rPr>
          <w:spacing w:val="14"/>
        </w:rPr>
        <w:t>年</w:t>
      </w:r>
      <w:r>
        <w:rPr>
          <w:rFonts w:ascii="Times New Roman" w:hAnsi="Times New Roman" w:cs="Times New Roman" w:eastAsia="Times New Roman" w:hint="default"/>
          <w:spacing w:val="14"/>
        </w:rPr>
        <w:t>6</w:t>
      </w:r>
      <w:r>
        <w:rPr>
          <w:spacing w:val="14"/>
        </w:rPr>
        <w:t>月</w:t>
      </w:r>
      <w:r>
        <w:rPr>
          <w:rFonts w:ascii="Times New Roman" w:hAnsi="Times New Roman" w:cs="Times New Roman" w:eastAsia="Times New Roman" w:hint="default"/>
          <w:spacing w:val="14"/>
        </w:rPr>
        <w:t>30</w:t>
      </w:r>
      <w:r>
        <w:rPr>
          <w:spacing w:val="14"/>
        </w:rPr>
        <w:t>日总股</w:t>
      </w:r>
      <w:r>
        <w:rPr>
          <w:spacing w:val="-77"/>
        </w:rPr>
        <w:t> </w:t>
      </w:r>
      <w:r>
        <w:rPr/>
        <w:t>本</w:t>
      </w:r>
      <w:r>
        <w:rPr>
          <w:spacing w:val="-93"/>
        </w:rPr>
        <w:t> </w:t>
      </w:r>
      <w:r>
        <w:rPr>
          <w:spacing w:val="-93"/>
        </w:rPr>
      </w:r>
      <w:r>
        <w:rPr>
          <w:rFonts w:ascii="Times New Roman" w:hAnsi="Times New Roman" w:cs="Times New Roman" w:eastAsia="Times New Roman" w:hint="default"/>
        </w:rPr>
        <w:t>87,000,000.00</w:t>
      </w:r>
      <w:r>
        <w:rPr/>
        <w:t>股为基数，向全体股东每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1</w:t>
      </w:r>
      <w:r>
        <w:rPr/>
        <w:t>元（含税），共计派发现金股利</w:t>
      </w:r>
      <w:r>
        <w:rPr>
          <w:spacing w:val="-32"/>
        </w:rPr>
        <w:t> </w:t>
      </w:r>
      <w:r>
        <w:rPr>
          <w:rFonts w:ascii="Times New Roman" w:hAnsi="Times New Roman" w:cs="Times New Roman" w:eastAsia="Times New Roman" w:hint="default"/>
        </w:rPr>
        <w:t>8,700,000.00</w:t>
      </w:r>
      <w:r>
        <w:rPr/>
        <w:t>元（含 税）。</w:t>
      </w:r>
    </w:p>
    <w:p>
      <w:pPr>
        <w:spacing w:line="240" w:lineRule="auto" w:before="6"/>
        <w:rPr>
          <w:rFonts w:ascii="宋体" w:hAnsi="宋体" w:cs="宋体" w:eastAsia="宋体" w:hint="default"/>
          <w:sz w:val="25"/>
          <w:szCs w:val="25"/>
        </w:rPr>
      </w:pPr>
    </w:p>
    <w:p>
      <w:pPr>
        <w:pStyle w:val="Heading5"/>
        <w:spacing w:line="240" w:lineRule="auto"/>
        <w:ind w:right="0"/>
        <w:jc w:val="both"/>
        <w:rPr>
          <w:b w:val="0"/>
          <w:bCs w:val="0"/>
        </w:rPr>
      </w:pPr>
      <w:r>
        <w:rPr>
          <w:rFonts w:ascii="Times New Roman" w:hAnsi="Times New Roman" w:cs="Times New Roman" w:eastAsia="Times New Roman" w:hint="default"/>
        </w:rPr>
        <w:t>54</w:t>
      </w:r>
      <w:r>
        <w:rPr/>
        <w:t>、营业收入、营业成本</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left="153" w:right="0"/>
        <w:jc w:val="both"/>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2"/>
        <w:gridCol w:w="3058"/>
        <w:gridCol w:w="3190"/>
      </w:tblGrid>
      <w:tr>
        <w:trPr>
          <w:trHeight w:val="402" w:hRule="exact"/>
        </w:trPr>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398,323,967.55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330,086,511.51</w:t>
            </w:r>
          </w:p>
        </w:tc>
      </w:tr>
      <w:tr>
        <w:trPr>
          <w:trHeight w:val="402" w:hRule="exact"/>
        </w:trPr>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4,821,060.19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3,342,221.05</w:t>
            </w:r>
          </w:p>
        </w:tc>
      </w:tr>
      <w:tr>
        <w:trPr>
          <w:trHeight w:val="402" w:hRule="exact"/>
        </w:trPr>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287,148,730.82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243,062,743.31</w:t>
            </w:r>
          </w:p>
        </w:tc>
      </w:tr>
    </w:tbl>
    <w:p>
      <w:pPr>
        <w:spacing w:line="240" w:lineRule="auto" w:before="8"/>
        <w:rPr>
          <w:rFonts w:ascii="宋体" w:hAnsi="宋体" w:cs="宋体" w:eastAsia="宋体" w:hint="default"/>
          <w:sz w:val="19"/>
          <w:szCs w:val="19"/>
        </w:rPr>
      </w:pPr>
    </w:p>
    <w:p>
      <w:pPr>
        <w:pStyle w:val="Heading5"/>
        <w:spacing w:line="240" w:lineRule="auto" w:before="38"/>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398,323,967.55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285,888,311.82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330,086,511.51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242,186,951.81</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398,323,967.55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285,888,311.82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330,086,511.51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242,186,951.81</w:t>
            </w:r>
          </w:p>
        </w:tc>
      </w:tr>
    </w:tbl>
    <w:p>
      <w:pPr>
        <w:spacing w:line="240" w:lineRule="auto" w:before="8"/>
        <w:rPr>
          <w:rFonts w:ascii="宋体" w:hAnsi="宋体" w:cs="宋体" w:eastAsia="宋体" w:hint="default"/>
          <w:sz w:val="19"/>
          <w:szCs w:val="19"/>
        </w:rPr>
      </w:pPr>
    </w:p>
    <w:p>
      <w:pPr>
        <w:pStyle w:val="Heading5"/>
        <w:spacing w:line="240" w:lineRule="auto" w:before="38"/>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智慧建筑</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305,867,474.82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219,717,161.90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292,809,984.77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212,397,957.52</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智慧公共安全</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35,788,491.64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23,305,273.12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34,853,511.85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27,539,001.42</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智慧节能</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45,596,674.36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32,705,136.98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369,479.65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294,477.23</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智能产品销售</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11,071,326.73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10,160,739.82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2,053,535.24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1,955,515.64</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398,323,967.55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285,888,311.82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330,086,511.51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242,186,951.81</w:t>
            </w:r>
          </w:p>
        </w:tc>
      </w:tr>
    </w:tbl>
    <w:p>
      <w:pPr>
        <w:spacing w:line="240" w:lineRule="auto" w:before="8"/>
        <w:rPr>
          <w:rFonts w:ascii="宋体" w:hAnsi="宋体" w:cs="宋体" w:eastAsia="宋体" w:hint="default"/>
          <w:sz w:val="19"/>
          <w:szCs w:val="19"/>
        </w:rPr>
      </w:pPr>
    </w:p>
    <w:p>
      <w:pPr>
        <w:pStyle w:val="Heading5"/>
        <w:spacing w:line="240" w:lineRule="auto" w:before="38"/>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北京区域中心</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50,480,652.20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36,468,654.65</w:t>
            </w:r>
          </w:p>
        </w:tc>
        <w:tc>
          <w:tcPr>
            <w:tcW w:w="1727"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长沙区域中心</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14,483,912.85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11,660,964.65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206,824.71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139,373.17</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上海区域中心</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73,305,847.27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53,867,939.39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38,588,109.66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28,375,855.74</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深圳区域中心</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28,847,855.12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19,988,776.42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41,251,862.79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31,708,154.44</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四川区域中心</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80,899,283.48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55,762,466.02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79,500,295.00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55,129,419.04</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浙江省</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146,231,851.00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105,818,728.89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170,539,419.35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126,834,149.42</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4,074,565.63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2,320,781.80</w:t>
            </w:r>
          </w:p>
        </w:tc>
        <w:tc>
          <w:tcPr>
            <w:tcW w:w="1727"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398,323,967.55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285,888,311.82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330,086,511.51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242,186,951.81</w:t>
            </w:r>
          </w:p>
        </w:tc>
      </w:tr>
    </w:tbl>
    <w:p>
      <w:pPr>
        <w:spacing w:line="240" w:lineRule="auto" w:before="8"/>
        <w:rPr>
          <w:rFonts w:ascii="宋体" w:hAnsi="宋体" w:cs="宋体" w:eastAsia="宋体" w:hint="default"/>
          <w:sz w:val="19"/>
          <w:szCs w:val="19"/>
        </w:rPr>
      </w:pPr>
    </w:p>
    <w:p>
      <w:pPr>
        <w:pStyle w:val="Heading5"/>
        <w:spacing w:line="240" w:lineRule="auto" w:before="38"/>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94"/>
        <w:gridCol w:w="2848"/>
        <w:gridCol w:w="4127"/>
      </w:tblGrid>
      <w:tr>
        <w:trPr>
          <w:trHeight w:val="401" w:hRule="exact"/>
        </w:trPr>
        <w:tc>
          <w:tcPr>
            <w:tcW w:w="2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714"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left"/>
              <w:rPr>
                <w:rFonts w:ascii="宋体" w:hAnsi="宋体" w:cs="宋体" w:eastAsia="宋体" w:hint="default"/>
                <w:sz w:val="18"/>
                <w:szCs w:val="18"/>
              </w:rPr>
            </w:pPr>
            <w:r>
              <w:rPr>
                <w:rFonts w:ascii="宋体" w:hAnsi="宋体" w:cs="宋体" w:eastAsia="宋体" w:hint="default"/>
                <w:sz w:val="18"/>
                <w:szCs w:val="18"/>
              </w:rPr>
              <w:t>拉萨市暖心燃气热力有限责任公 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41,250,000.00</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10.23%</w:t>
            </w:r>
          </w:p>
        </w:tc>
      </w:tr>
      <w:tr>
        <w:trPr>
          <w:trHeight w:val="403"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7"/>
              <w:jc w:val="center"/>
              <w:rPr>
                <w:rFonts w:ascii="宋体" w:hAnsi="宋体" w:cs="宋体" w:eastAsia="宋体" w:hint="default"/>
                <w:sz w:val="18"/>
                <w:szCs w:val="18"/>
              </w:rPr>
            </w:pPr>
            <w:r>
              <w:rPr>
                <w:rFonts w:ascii="宋体" w:hAnsi="宋体" w:cs="宋体" w:eastAsia="宋体" w:hint="default"/>
                <w:sz w:val="18"/>
                <w:szCs w:val="18"/>
              </w:rPr>
              <w:t>苏州工业园区金鸡湖大酒店有限</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23,081,021.52</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94"/>
        <w:gridCol w:w="2848"/>
        <w:gridCol w:w="4127"/>
      </w:tblGrid>
      <w:tr>
        <w:trPr>
          <w:trHeight w:val="36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848" w:type="dxa"/>
            <w:tcBorders>
              <w:top w:val="single" w:sz="4" w:space="0" w:color="000000"/>
              <w:left w:val="single" w:sz="4" w:space="0" w:color="000000"/>
              <w:bottom w:val="single" w:sz="4" w:space="0" w:color="000000"/>
              <w:right w:val="single" w:sz="4" w:space="0" w:color="000000"/>
            </w:tcBorders>
          </w:tcPr>
          <w:p>
            <w:pPr/>
          </w:p>
        </w:tc>
        <w:tc>
          <w:tcPr>
            <w:tcW w:w="412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伊厦成都国际商贸城股份有限公 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19,422,000.00</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4.82%</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厦门市杏林建设开发公司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16,315,198.17</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长沙开福万达广场投资有限公司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14,449,393.59</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3.58%</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114,517,613.28</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28.41%</w:t>
            </w:r>
          </w:p>
        </w:tc>
      </w:tr>
    </w:tbl>
    <w:p>
      <w:pPr>
        <w:spacing w:line="240" w:lineRule="auto" w:before="8"/>
        <w:rPr>
          <w:rFonts w:ascii="宋体" w:hAnsi="宋体" w:cs="宋体" w:eastAsia="宋体" w:hint="default"/>
          <w:sz w:val="19"/>
          <w:szCs w:val="19"/>
        </w:rPr>
      </w:pPr>
    </w:p>
    <w:p>
      <w:pPr>
        <w:pStyle w:val="Heading5"/>
        <w:spacing w:line="240" w:lineRule="auto" w:before="38"/>
        <w:ind w:right="0"/>
        <w:jc w:val="left"/>
        <w:rPr>
          <w:b w:val="0"/>
          <w:bCs w:val="0"/>
        </w:rPr>
      </w:pPr>
      <w:r>
        <w:rPr>
          <w:rFonts w:ascii="Times New Roman" w:hAnsi="Times New Roman" w:cs="Times New Roman" w:eastAsia="Times New Roman" w:hint="default"/>
        </w:rPr>
        <w:t>55</w:t>
      </w:r>
      <w:r>
        <w:rPr/>
        <w:t>、合同项目收入</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6"/>
        <w:gridCol w:w="1592"/>
        <w:gridCol w:w="1594"/>
        <w:gridCol w:w="1595"/>
      </w:tblGrid>
      <w:tr>
        <w:trPr>
          <w:trHeight w:val="713" w:hRule="exact"/>
        </w:trPr>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固定造价合同</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41" w:right="23" w:hanging="119"/>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已办理结算的金额</w:t>
            </w:r>
          </w:p>
        </w:tc>
      </w:tr>
      <w:tr>
        <w:trPr>
          <w:trHeight w:val="1026" w:hRule="exact"/>
        </w:trPr>
        <w:tc>
          <w:tcPr>
            <w:tcW w:w="1596" w:type="dxa"/>
            <w:vMerge/>
            <w:tcBorders>
              <w:left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拉萨市城市供暖试 点工程户内燃气壁 挂炉供暖项目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59,037,500.00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29,560,385.72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11,689,614.28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41,250,000.00</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59,037,500.00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29,560,385.72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11,689,614.28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41,250,000.00</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成本加成合同</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41" w:right="23" w:hanging="119"/>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已办理结算的金额</w:t>
            </w:r>
          </w:p>
        </w:tc>
      </w:tr>
    </w:tbl>
    <w:p>
      <w:pPr>
        <w:spacing w:line="240" w:lineRule="auto" w:before="9"/>
        <w:rPr>
          <w:rFonts w:ascii="宋体" w:hAnsi="宋体" w:cs="宋体" w:eastAsia="宋体" w:hint="default"/>
          <w:sz w:val="19"/>
          <w:szCs w:val="19"/>
        </w:rPr>
      </w:pPr>
    </w:p>
    <w:p>
      <w:pPr>
        <w:pStyle w:val="Heading5"/>
        <w:spacing w:line="240" w:lineRule="auto" w:before="38"/>
        <w:ind w:right="0"/>
        <w:jc w:val="left"/>
        <w:rPr>
          <w:b w:val="0"/>
          <w:bCs w:val="0"/>
        </w:rPr>
      </w:pPr>
      <w:r>
        <w:rPr>
          <w:rFonts w:ascii="Times New Roman" w:hAnsi="Times New Roman" w:cs="Times New Roman" w:eastAsia="Times New Roman" w:hint="default"/>
        </w:rPr>
        <w:t>56</w:t>
      </w:r>
      <w:r>
        <w:rPr/>
        <w:t>、营业税金及附加</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794"/>
        <w:gridCol w:w="1992"/>
        <w:gridCol w:w="1861"/>
        <w:gridCol w:w="2921"/>
      </w:tblGrid>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317" w:hRule="exact"/>
        </w:trPr>
        <w:tc>
          <w:tcPr>
            <w:tcW w:w="27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992" w:type="dxa"/>
            <w:tcBorders>
              <w:top w:val="single" w:sz="4" w:space="0" w:color="000000"/>
              <w:left w:val="single" w:sz="4" w:space="0" w:color="000000"/>
              <w:bottom w:val="nil" w:sz="6" w:space="0" w:color="auto"/>
              <w:right w:val="single" w:sz="4" w:space="0" w:color="000000"/>
            </w:tcBorders>
          </w:tcPr>
          <w:p>
            <w:pPr/>
          </w:p>
        </w:tc>
        <w:tc>
          <w:tcPr>
            <w:tcW w:w="1861" w:type="dxa"/>
            <w:tcBorders>
              <w:top w:val="single" w:sz="4" w:space="0" w:color="000000"/>
              <w:left w:val="single" w:sz="4" w:space="0" w:color="000000"/>
              <w:bottom w:val="nil" w:sz="6" w:space="0" w:color="auto"/>
              <w:right w:val="single" w:sz="4" w:space="0" w:color="000000"/>
            </w:tcBorders>
          </w:tcPr>
          <w:p>
            <w:pPr/>
          </w:p>
        </w:tc>
        <w:tc>
          <w:tcPr>
            <w:tcW w:w="29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公司和子公司智能化安装服务按建</w:t>
            </w:r>
          </w:p>
        </w:tc>
      </w:tr>
      <w:tr>
        <w:trPr>
          <w:trHeight w:val="392" w:hRule="exact"/>
        </w:trPr>
        <w:tc>
          <w:tcPr>
            <w:tcW w:w="27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992"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10,180,755.49</w:t>
            </w:r>
          </w:p>
        </w:tc>
        <w:tc>
          <w:tcPr>
            <w:tcW w:w="1861"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8,091,393.81</w:t>
            </w:r>
          </w:p>
        </w:tc>
        <w:tc>
          <w:tcPr>
            <w:tcW w:w="292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筑业 </w:t>
            </w:r>
            <w:r>
              <w:rPr>
                <w:rFonts w:ascii="Times New Roman" w:hAnsi="Times New Roman" w:cs="Times New Roman" w:eastAsia="Times New Roman" w:hint="default"/>
                <w:sz w:val="18"/>
                <w:szCs w:val="18"/>
              </w:rPr>
              <w:t>3%  </w:t>
            </w:r>
            <w:r>
              <w:rPr>
                <w:rFonts w:ascii="宋体" w:hAnsi="宋体" w:cs="宋体" w:eastAsia="宋体" w:hint="default"/>
                <w:sz w:val="18"/>
                <w:szCs w:val="18"/>
              </w:rPr>
              <w:t>计缴</w:t>
            </w:r>
            <w:r>
              <w:rPr>
                <w:rFonts w:ascii="宋体" w:hAnsi="宋体" w:cs="宋体" w:eastAsia="宋体" w:hint="default"/>
                <w:spacing w:val="-75"/>
                <w:sz w:val="18"/>
                <w:szCs w:val="18"/>
              </w:rPr>
              <w:t>，</w:t>
            </w:r>
            <w:r>
              <w:rPr>
                <w:rFonts w:ascii="宋体" w:hAnsi="宋体" w:cs="宋体" w:eastAsia="宋体" w:hint="default"/>
                <w:sz w:val="18"/>
                <w:szCs w:val="18"/>
              </w:rPr>
              <w:t>设计等其他业务按服</w:t>
            </w:r>
          </w:p>
        </w:tc>
      </w:tr>
      <w:tr>
        <w:trPr>
          <w:trHeight w:val="317" w:hRule="exact"/>
        </w:trPr>
        <w:tc>
          <w:tcPr>
            <w:tcW w:w="27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992" w:type="dxa"/>
            <w:tcBorders>
              <w:top w:val="nil" w:sz="6" w:space="0" w:color="auto"/>
              <w:left w:val="single" w:sz="4" w:space="0" w:color="000000"/>
              <w:bottom w:val="single" w:sz="4" w:space="0" w:color="000000"/>
              <w:right w:val="single" w:sz="4" w:space="0" w:color="000000"/>
            </w:tcBorders>
          </w:tcPr>
          <w:p>
            <w:pPr/>
          </w:p>
        </w:tc>
        <w:tc>
          <w:tcPr>
            <w:tcW w:w="1861" w:type="dxa"/>
            <w:tcBorders>
              <w:top w:val="nil" w:sz="6" w:space="0" w:color="auto"/>
              <w:left w:val="single" w:sz="4" w:space="0" w:color="000000"/>
              <w:bottom w:val="single" w:sz="4" w:space="0" w:color="000000"/>
              <w:right w:val="single" w:sz="4" w:space="0" w:color="000000"/>
            </w:tcBorders>
          </w:tcPr>
          <w:p>
            <w:pPr/>
          </w:p>
        </w:tc>
        <w:tc>
          <w:tcPr>
            <w:tcW w:w="2921" w:type="dxa"/>
            <w:tcBorders>
              <w:top w:val="nil" w:sz="6" w:space="0" w:color="auto"/>
              <w:left w:val="single" w:sz="4" w:space="0" w:color="000000"/>
              <w:bottom w:val="single" w:sz="4" w:space="0" w:color="000000"/>
              <w:right w:val="single" w:sz="4" w:space="0" w:color="000000"/>
            </w:tcBorders>
          </w:tcPr>
          <w:p>
            <w:pPr>
              <w:pStyle w:val="TableParagraph"/>
              <w:spacing w:line="221" w:lineRule="exact"/>
              <w:ind w:left="22" w:right="0"/>
              <w:jc w:val="left"/>
              <w:rPr>
                <w:rFonts w:ascii="宋体" w:hAnsi="宋体" w:cs="宋体" w:eastAsia="宋体" w:hint="default"/>
                <w:sz w:val="18"/>
                <w:szCs w:val="18"/>
              </w:rPr>
            </w:pPr>
            <w:r>
              <w:rPr>
                <w:rFonts w:ascii="宋体" w:hAnsi="宋体" w:cs="宋体" w:eastAsia="宋体" w:hint="default"/>
                <w:sz w:val="18"/>
                <w:szCs w:val="18"/>
              </w:rPr>
              <w:t>务业 </w:t>
            </w:r>
            <w:r>
              <w:rPr>
                <w:rFonts w:ascii="Times New Roman" w:hAnsi="Times New Roman" w:cs="Times New Roman" w:eastAsia="Times New Roman" w:hint="default"/>
                <w:sz w:val="18"/>
                <w:szCs w:val="18"/>
              </w:rPr>
              <w:t>5%  </w:t>
            </w:r>
            <w:r>
              <w:rPr>
                <w:rFonts w:ascii="宋体" w:hAnsi="宋体" w:cs="宋体" w:eastAsia="宋体" w:hint="default"/>
                <w:sz w:val="18"/>
                <w:szCs w:val="18"/>
              </w:rPr>
              <w:t>计缴</w:t>
            </w:r>
          </w:p>
        </w:tc>
      </w:tr>
      <w:tr>
        <w:trPr>
          <w:trHeight w:val="317" w:hRule="exact"/>
        </w:trPr>
        <w:tc>
          <w:tcPr>
            <w:tcW w:w="27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992" w:type="dxa"/>
            <w:tcBorders>
              <w:top w:val="single" w:sz="4" w:space="0" w:color="000000"/>
              <w:left w:val="single" w:sz="4" w:space="0" w:color="000000"/>
              <w:bottom w:val="nil" w:sz="6" w:space="0" w:color="auto"/>
              <w:right w:val="single" w:sz="4" w:space="0" w:color="000000"/>
            </w:tcBorders>
          </w:tcPr>
          <w:p>
            <w:pPr/>
          </w:p>
        </w:tc>
        <w:tc>
          <w:tcPr>
            <w:tcW w:w="1861" w:type="dxa"/>
            <w:tcBorders>
              <w:top w:val="single" w:sz="4" w:space="0" w:color="000000"/>
              <w:left w:val="single" w:sz="4" w:space="0" w:color="000000"/>
              <w:bottom w:val="nil" w:sz="6" w:space="0" w:color="auto"/>
              <w:right w:val="single" w:sz="4" w:space="0" w:color="000000"/>
            </w:tcBorders>
          </w:tcPr>
          <w:p>
            <w:pPr/>
          </w:p>
        </w:tc>
        <w:tc>
          <w:tcPr>
            <w:tcW w:w="29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本公司根据项目地不同分别按应缴</w:t>
            </w:r>
          </w:p>
        </w:tc>
      </w:tr>
      <w:tr>
        <w:trPr>
          <w:trHeight w:val="392" w:hRule="exact"/>
        </w:trPr>
        <w:tc>
          <w:tcPr>
            <w:tcW w:w="27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992"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770,885.69</w:t>
            </w:r>
          </w:p>
        </w:tc>
        <w:tc>
          <w:tcPr>
            <w:tcW w:w="1861"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635,117.23</w:t>
            </w:r>
          </w:p>
        </w:tc>
        <w:tc>
          <w:tcPr>
            <w:tcW w:w="292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流转税税额的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计缴；子公司</w:t>
            </w:r>
          </w:p>
        </w:tc>
      </w:tr>
      <w:tr>
        <w:trPr>
          <w:trHeight w:val="317" w:hRule="exact"/>
        </w:trPr>
        <w:tc>
          <w:tcPr>
            <w:tcW w:w="27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992" w:type="dxa"/>
            <w:tcBorders>
              <w:top w:val="nil" w:sz="6" w:space="0" w:color="auto"/>
              <w:left w:val="single" w:sz="4" w:space="0" w:color="000000"/>
              <w:bottom w:val="single" w:sz="4" w:space="0" w:color="000000"/>
              <w:right w:val="single" w:sz="4" w:space="0" w:color="000000"/>
            </w:tcBorders>
          </w:tcPr>
          <w:p>
            <w:pPr/>
          </w:p>
        </w:tc>
        <w:tc>
          <w:tcPr>
            <w:tcW w:w="1861" w:type="dxa"/>
            <w:tcBorders>
              <w:top w:val="nil" w:sz="6" w:space="0" w:color="auto"/>
              <w:left w:val="single" w:sz="4" w:space="0" w:color="000000"/>
              <w:bottom w:val="single" w:sz="4" w:space="0" w:color="000000"/>
              <w:right w:val="single" w:sz="4" w:space="0" w:color="000000"/>
            </w:tcBorders>
          </w:tcPr>
          <w:p>
            <w:pPr/>
          </w:p>
        </w:tc>
        <w:tc>
          <w:tcPr>
            <w:tcW w:w="2921" w:type="dxa"/>
            <w:tcBorders>
              <w:top w:val="nil" w:sz="6" w:space="0" w:color="auto"/>
              <w:left w:val="single" w:sz="4" w:space="0" w:color="000000"/>
              <w:bottom w:val="single" w:sz="4" w:space="0" w:color="000000"/>
              <w:right w:val="single" w:sz="4" w:space="0" w:color="000000"/>
            </w:tcBorders>
          </w:tcPr>
          <w:p>
            <w:pPr>
              <w:pStyle w:val="TableParagraph"/>
              <w:spacing w:line="221" w:lineRule="exact"/>
              <w:ind w:left="22" w:right="0"/>
              <w:jc w:val="left"/>
              <w:rPr>
                <w:rFonts w:ascii="宋体" w:hAnsi="宋体" w:cs="宋体" w:eastAsia="宋体" w:hint="default"/>
                <w:sz w:val="18"/>
                <w:szCs w:val="18"/>
              </w:rPr>
            </w:pPr>
            <w:r>
              <w:rPr>
                <w:rFonts w:ascii="宋体" w:hAnsi="宋体" w:cs="宋体" w:eastAsia="宋体" w:hint="default"/>
                <w:sz w:val="18"/>
                <w:szCs w:val="18"/>
              </w:rPr>
              <w:t>按应缴流转税税额的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计缴；</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317,869.42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278,005.32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根据应缴流转税税额的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计缴</w:t>
            </w:r>
          </w:p>
        </w:tc>
      </w:tr>
      <w:tr>
        <w:trPr>
          <w:trHeight w:val="358" w:hRule="exact"/>
        </w:trPr>
        <w:tc>
          <w:tcPr>
            <w:tcW w:w="2794" w:type="dxa"/>
            <w:tcBorders>
              <w:top w:val="single" w:sz="4" w:space="0" w:color="000000"/>
              <w:left w:val="single" w:sz="4" w:space="0" w:color="000000"/>
              <w:bottom w:val="nil" w:sz="6" w:space="0" w:color="auto"/>
              <w:right w:val="single" w:sz="4" w:space="0" w:color="000000"/>
            </w:tcBorders>
          </w:tcPr>
          <w:p>
            <w:pPr/>
          </w:p>
        </w:tc>
        <w:tc>
          <w:tcPr>
            <w:tcW w:w="1992" w:type="dxa"/>
            <w:tcBorders>
              <w:top w:val="single" w:sz="4" w:space="0" w:color="000000"/>
              <w:left w:val="single" w:sz="4" w:space="0" w:color="000000"/>
              <w:bottom w:val="nil" w:sz="6" w:space="0" w:color="auto"/>
              <w:right w:val="single" w:sz="4" w:space="0" w:color="000000"/>
            </w:tcBorders>
          </w:tcPr>
          <w:p>
            <w:pPr/>
          </w:p>
        </w:tc>
        <w:tc>
          <w:tcPr>
            <w:tcW w:w="1861" w:type="dxa"/>
            <w:tcBorders>
              <w:top w:val="single" w:sz="4" w:space="0" w:color="000000"/>
              <w:left w:val="single" w:sz="4" w:space="0" w:color="000000"/>
              <w:bottom w:val="nil" w:sz="6" w:space="0" w:color="auto"/>
              <w:right w:val="single" w:sz="4" w:space="0" w:color="000000"/>
            </w:tcBorders>
          </w:tcPr>
          <w:p>
            <w:pPr/>
          </w:p>
        </w:tc>
        <w:tc>
          <w:tcPr>
            <w:tcW w:w="29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本公司根据项目地不同分别按应缴</w:t>
            </w:r>
          </w:p>
        </w:tc>
      </w:tr>
      <w:tr>
        <w:trPr>
          <w:trHeight w:val="318" w:hRule="exact"/>
        </w:trPr>
        <w:tc>
          <w:tcPr>
            <w:tcW w:w="27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1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217,276.92</w:t>
            </w:r>
          </w:p>
        </w:tc>
        <w:tc>
          <w:tcPr>
            <w:tcW w:w="186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192,466.48</w:t>
            </w:r>
          </w:p>
        </w:tc>
        <w:tc>
          <w:tcPr>
            <w:tcW w:w="29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流转税税额的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计缴；子公司</w:t>
            </w:r>
          </w:p>
        </w:tc>
      </w:tr>
      <w:tr>
        <w:trPr>
          <w:trHeight w:val="351" w:hRule="exact"/>
        </w:trPr>
        <w:tc>
          <w:tcPr>
            <w:tcW w:w="2794" w:type="dxa"/>
            <w:tcBorders>
              <w:top w:val="nil" w:sz="6" w:space="0" w:color="auto"/>
              <w:left w:val="single" w:sz="4" w:space="0" w:color="000000"/>
              <w:bottom w:val="single" w:sz="4" w:space="0" w:color="000000"/>
              <w:right w:val="single" w:sz="4" w:space="0" w:color="000000"/>
            </w:tcBorders>
          </w:tcPr>
          <w:p>
            <w:pPr/>
          </w:p>
        </w:tc>
        <w:tc>
          <w:tcPr>
            <w:tcW w:w="1992" w:type="dxa"/>
            <w:tcBorders>
              <w:top w:val="nil" w:sz="6" w:space="0" w:color="auto"/>
              <w:left w:val="single" w:sz="4" w:space="0" w:color="000000"/>
              <w:bottom w:val="single" w:sz="4" w:space="0" w:color="000000"/>
              <w:right w:val="single" w:sz="4" w:space="0" w:color="000000"/>
            </w:tcBorders>
          </w:tcPr>
          <w:p>
            <w:pPr/>
          </w:p>
        </w:tc>
        <w:tc>
          <w:tcPr>
            <w:tcW w:w="1861" w:type="dxa"/>
            <w:tcBorders>
              <w:top w:val="nil" w:sz="6" w:space="0" w:color="auto"/>
              <w:left w:val="single" w:sz="4" w:space="0" w:color="000000"/>
              <w:bottom w:val="single" w:sz="4" w:space="0" w:color="000000"/>
              <w:right w:val="single" w:sz="4" w:space="0" w:color="000000"/>
            </w:tcBorders>
          </w:tcPr>
          <w:p>
            <w:pPr/>
          </w:p>
        </w:tc>
        <w:tc>
          <w:tcPr>
            <w:tcW w:w="29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按应缴流转税税额的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计缴</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11,486,787.52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9,196,982.84</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19"/>
          <w:szCs w:val="19"/>
        </w:rPr>
      </w:pPr>
    </w:p>
    <w:p>
      <w:pPr>
        <w:pStyle w:val="Heading5"/>
        <w:spacing w:line="240" w:lineRule="auto" w:before="38"/>
        <w:ind w:right="0"/>
        <w:jc w:val="left"/>
        <w:rPr>
          <w:b w:val="0"/>
          <w:bCs w:val="0"/>
        </w:rPr>
      </w:pPr>
      <w:r>
        <w:rPr>
          <w:rFonts w:ascii="Times New Roman" w:hAnsi="Times New Roman" w:cs="Times New Roman" w:eastAsia="Times New Roman" w:hint="default"/>
        </w:rPr>
        <w:t>57</w:t>
      </w:r>
      <w:r>
        <w:rPr/>
        <w:t>、销售费用</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3,255,728.96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2,388,510.39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993,293.74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272,356.92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723,835.05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791,888.98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602,237.89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487,705.74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524,952.95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609,684.58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342,742.98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201,052.59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334,325.88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248,105.72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公积金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231,459.50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67,816.00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188,044.10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138,336.98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183,944.72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126,461.30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127,486.00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84,325.28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31,975.80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805,386.96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277,142.86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8,397,764.01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5,716,037.86</w:t>
            </w:r>
          </w:p>
        </w:tc>
      </w:tr>
    </w:tbl>
    <w:p>
      <w:pPr>
        <w:spacing w:line="240" w:lineRule="auto" w:before="8"/>
        <w:rPr>
          <w:rFonts w:ascii="宋体" w:hAnsi="宋体" w:cs="宋体" w:eastAsia="宋体" w:hint="default"/>
          <w:sz w:val="19"/>
          <w:szCs w:val="19"/>
        </w:rPr>
      </w:pPr>
    </w:p>
    <w:p>
      <w:pPr>
        <w:pStyle w:val="Heading5"/>
        <w:spacing w:line="240" w:lineRule="auto" w:before="38"/>
        <w:ind w:right="0"/>
        <w:jc w:val="left"/>
        <w:rPr>
          <w:b w:val="0"/>
          <w:bCs w:val="0"/>
        </w:rPr>
      </w:pPr>
      <w:r>
        <w:rPr>
          <w:rFonts w:ascii="Times New Roman" w:hAnsi="Times New Roman" w:cs="Times New Roman" w:eastAsia="Times New Roman" w:hint="default"/>
        </w:rPr>
        <w:t>58</w:t>
      </w:r>
      <w:r>
        <w:rPr/>
        <w:t>、管理费用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14,189,953.01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11,075,684.30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3,749,060.51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2,063,377.49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2,829,450.17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1,746,581.24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1,774,614.45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704,685.55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1,261,021.54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1,049,605.22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958,436.03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508,575.71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937,757.19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705,689.85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150,431.69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61,216.64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外地税费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663,253.81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432,948.40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623,275.34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344,959.51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623,254.00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411,485.00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476,699.76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304,547.35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462,391.04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699,224.05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2,359,949.32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2,070,028.06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31,059,547.86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22,178,608.37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3"/>
        <w:rPr>
          <w:rFonts w:ascii="宋体" w:hAnsi="宋体" w:cs="宋体" w:eastAsia="宋体" w:hint="default"/>
          <w:sz w:val="25"/>
          <w:szCs w:val="25"/>
        </w:rPr>
      </w:pPr>
    </w:p>
    <w:p>
      <w:pPr>
        <w:pStyle w:val="Heading5"/>
        <w:spacing w:line="240" w:lineRule="auto" w:before="38"/>
        <w:ind w:right="0"/>
        <w:jc w:val="left"/>
        <w:rPr>
          <w:b w:val="0"/>
          <w:bCs w:val="0"/>
        </w:rPr>
      </w:pPr>
      <w:r>
        <w:rPr>
          <w:rFonts w:ascii="Times New Roman" w:hAnsi="Times New Roman" w:cs="Times New Roman" w:eastAsia="Times New Roman" w:hint="default"/>
        </w:rPr>
        <w:t>59</w:t>
      </w:r>
      <w:r>
        <w:rPr/>
        <w:t>、财务费用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754,148.29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1,415,942.91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5,657,694.54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649,159.97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金融机构手续费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68,138.65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60,040.78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-4,835,407.60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826,823.72</w:t>
            </w:r>
          </w:p>
        </w:tc>
      </w:tr>
    </w:tbl>
    <w:p>
      <w:pPr>
        <w:spacing w:line="240" w:lineRule="auto" w:before="8"/>
        <w:rPr>
          <w:rFonts w:ascii="宋体" w:hAnsi="宋体" w:cs="宋体" w:eastAsia="宋体" w:hint="default"/>
          <w:sz w:val="19"/>
          <w:szCs w:val="19"/>
        </w:rPr>
      </w:pPr>
    </w:p>
    <w:p>
      <w:pPr>
        <w:pStyle w:val="Heading5"/>
        <w:spacing w:line="240" w:lineRule="auto" w:before="38"/>
        <w:ind w:right="0"/>
        <w:jc w:val="left"/>
        <w:rPr>
          <w:b w:val="0"/>
          <w:bCs w:val="0"/>
        </w:rPr>
      </w:pPr>
      <w:r>
        <w:rPr>
          <w:rFonts w:ascii="Times New Roman" w:hAnsi="Times New Roman" w:cs="Times New Roman" w:eastAsia="Times New Roman" w:hint="default"/>
        </w:rPr>
        <w:t>60</w:t>
      </w:r>
      <w:r>
        <w:rPr/>
        <w:t>、公允价值变动收益</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3"/>
        <w:ind w:right="0"/>
        <w:jc w:val="left"/>
        <w:rPr>
          <w:b w:val="0"/>
          <w:bCs w:val="0"/>
        </w:rPr>
      </w:pPr>
      <w:r>
        <w:rPr>
          <w:rFonts w:ascii="Times New Roman" w:hAnsi="Times New Roman" w:cs="Times New Roman" w:eastAsia="Times New Roman" w:hint="default"/>
        </w:rPr>
        <w:t>61</w:t>
      </w:r>
      <w:r>
        <w:rPr/>
        <w:t>、投资收益</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3"/>
        <w:ind w:right="0"/>
        <w:jc w:val="left"/>
        <w:rPr>
          <w:b w:val="0"/>
          <w:bCs w:val="0"/>
        </w:rPr>
      </w:pPr>
      <w:r>
        <w:rPr>
          <w:rFonts w:ascii="Times New Roman" w:hAnsi="Times New Roman" w:cs="Times New Roman" w:eastAsia="Times New Roman" w:hint="default"/>
        </w:rPr>
        <w:t>62</w:t>
      </w:r>
      <w:r>
        <w:rPr/>
        <w:t>、资产减值损失</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3"/>
        <w:ind w:right="0"/>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93"/>
        <w:gridCol w:w="1955"/>
        <w:gridCol w:w="2160"/>
        <w:gridCol w:w="2160"/>
      </w:tblGrid>
      <w:tr>
        <w:trPr>
          <w:trHeight w:val="161" w:hRule="exact"/>
        </w:trPr>
        <w:tc>
          <w:tcPr>
            <w:tcW w:w="3293" w:type="dxa"/>
            <w:tcBorders>
              <w:top w:val="single" w:sz="4" w:space="0" w:color="000000"/>
              <w:left w:val="single" w:sz="4" w:space="0" w:color="000000"/>
              <w:bottom w:val="nil" w:sz="6" w:space="0" w:color="auto"/>
              <w:right w:val="single" w:sz="4" w:space="0" w:color="000000"/>
            </w:tcBorders>
            <w:shd w:val="clear" w:color="auto" w:fill="D3D3D3"/>
          </w:tcPr>
          <w:p>
            <w:pPr/>
          </w:p>
        </w:tc>
        <w:tc>
          <w:tcPr>
            <w:tcW w:w="19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2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895" w:right="83"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1" w:hRule="exact"/>
        </w:trPr>
        <w:tc>
          <w:tcPr>
            <w:tcW w:w="32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5" w:type="dxa"/>
            <w:vMerge/>
            <w:tcBorders>
              <w:left w:val="single" w:sz="4" w:space="0" w:color="000000"/>
              <w:right w:val="single" w:sz="4" w:space="0" w:color="000000"/>
            </w:tcBorders>
            <w:shd w:val="clear" w:color="auto" w:fill="D3D3D3"/>
          </w:tcPr>
          <w:p>
            <w:pPr/>
          </w:p>
        </w:tc>
        <w:tc>
          <w:tcPr>
            <w:tcW w:w="2160" w:type="dxa"/>
            <w:vMerge/>
            <w:tcBorders>
              <w:left w:val="single" w:sz="4" w:space="0" w:color="000000"/>
              <w:right w:val="single" w:sz="4" w:space="0" w:color="000000"/>
            </w:tcBorders>
            <w:shd w:val="clear" w:color="auto" w:fill="D3D3D3"/>
          </w:tcPr>
          <w:p>
            <w:pPr/>
          </w:p>
        </w:tc>
        <w:tc>
          <w:tcPr>
            <w:tcW w:w="2160" w:type="dxa"/>
            <w:vMerge/>
            <w:tcBorders>
              <w:left w:val="single" w:sz="4" w:space="0" w:color="000000"/>
              <w:right w:val="single" w:sz="4" w:space="0" w:color="000000"/>
            </w:tcBorders>
            <w:shd w:val="clear" w:color="auto" w:fill="D3D3D3"/>
          </w:tcPr>
          <w:p>
            <w:pPr/>
          </w:p>
        </w:tc>
      </w:tr>
      <w:tr>
        <w:trPr>
          <w:trHeight w:val="161" w:hRule="exact"/>
        </w:trPr>
        <w:tc>
          <w:tcPr>
            <w:tcW w:w="3293" w:type="dxa"/>
            <w:tcBorders>
              <w:top w:val="nil" w:sz="6" w:space="0" w:color="auto"/>
              <w:left w:val="single" w:sz="4" w:space="0" w:color="000000"/>
              <w:bottom w:val="single" w:sz="4" w:space="0" w:color="000000"/>
              <w:right w:val="single" w:sz="4" w:space="0" w:color="000000"/>
            </w:tcBorders>
            <w:shd w:val="clear" w:color="auto" w:fill="D3D3D3"/>
          </w:tcPr>
          <w:p>
            <w:pPr/>
          </w:p>
        </w:tc>
        <w:tc>
          <w:tcPr>
            <w:tcW w:w="1955" w:type="dxa"/>
            <w:vMerge/>
            <w:tcBorders>
              <w:left w:val="single" w:sz="4" w:space="0" w:color="000000"/>
              <w:bottom w:val="single" w:sz="4" w:space="0" w:color="000000"/>
              <w:right w:val="single" w:sz="4" w:space="0" w:color="000000"/>
            </w:tcBorders>
            <w:shd w:val="clear" w:color="auto" w:fill="D3D3D3"/>
          </w:tcPr>
          <w:p>
            <w:pPr/>
          </w:p>
        </w:tc>
        <w:tc>
          <w:tcPr>
            <w:tcW w:w="2160" w:type="dxa"/>
            <w:vMerge/>
            <w:tcBorders>
              <w:left w:val="single" w:sz="4" w:space="0" w:color="000000"/>
              <w:bottom w:val="single" w:sz="4" w:space="0" w:color="000000"/>
              <w:right w:val="single" w:sz="4" w:space="0" w:color="000000"/>
            </w:tcBorders>
            <w:shd w:val="clear" w:color="auto" w:fill="D3D3D3"/>
          </w:tcPr>
          <w:p>
            <w:pPr/>
          </w:p>
        </w:tc>
        <w:tc>
          <w:tcPr>
            <w:tcW w:w="216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310.00</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310.00</w:t>
            </w: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310.00</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310.00</w:t>
            </w: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4,065,100.00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5,124,263.16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4,065,100.00</w:t>
            </w: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补偿收入（注）</w:t>
            </w:r>
          </w:p>
        </w:tc>
        <w:tc>
          <w:tcPr>
            <w:tcW w:w="195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7,457,412.48</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奖励收入</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45,246.18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9,000.00</w:t>
            </w: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16.62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57,435.86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16.62</w:t>
            </w:r>
          </w:p>
        </w:tc>
      </w:tr>
      <w:tr>
        <w:trPr>
          <w:trHeight w:val="403"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4,074,426.62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12,684,357.68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4,074,426.62</w:t>
            </w:r>
          </w:p>
        </w:tc>
      </w:tr>
    </w:tbl>
    <w:p>
      <w:pPr>
        <w:spacing w:line="240" w:lineRule="auto" w:before="8"/>
        <w:rPr>
          <w:rFonts w:ascii="宋体" w:hAnsi="宋体" w:cs="宋体" w:eastAsia="宋体" w:hint="default"/>
          <w:sz w:val="19"/>
          <w:szCs w:val="19"/>
        </w:rPr>
      </w:pPr>
    </w:p>
    <w:p>
      <w:pPr>
        <w:pStyle w:val="Heading5"/>
        <w:spacing w:line="240" w:lineRule="auto" w:before="38"/>
        <w:ind w:right="0"/>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660"/>
        <w:gridCol w:w="1993"/>
        <w:gridCol w:w="1993"/>
        <w:gridCol w:w="2921"/>
      </w:tblGrid>
      <w:tr>
        <w:trPr>
          <w:trHeight w:val="402"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关于下达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年杭州市高新技术 产业化项目资助资金的通知</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216,000.00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1338"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关于下达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年杭州市信息服务 </w:t>
            </w:r>
            <w:r>
              <w:rPr>
                <w:rFonts w:ascii="宋体" w:hAnsi="宋体" w:cs="宋体" w:eastAsia="宋体" w:hint="default"/>
                <w:spacing w:val="-5"/>
                <w:sz w:val="18"/>
                <w:szCs w:val="18"/>
              </w:rPr>
              <w:t>业（含</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信息港</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产业、信息服务与</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软件业）验收合格项目剩余资助 资金的通知</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114,000.00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10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关于下达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年度第三批杭州市 信息服务业发展专项资助项目资 金的通知</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171,000.00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10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关于下达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年度第三批杭州市 信息服务业发展专项资助项目资 金的通知</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171,000.00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关于下达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年杭州市产学研合 作项目补助经费的通知</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关于公布</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年杭州市优秀新产 品新技术奖的通知</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关于拨付</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年度第六批市文化 创意专项资金的通知</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10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关于下达下城区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年度促进企 业上市财政扶持政策资助资金的 通知</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关于表彰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年下城区政府质量 奖获奖企业的通报</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10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关于申报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年下城区拔尖人才 培养人选资助经费相关事项的通 知</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10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关于下达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年下城区企业授权 专利、软件著作权、软件产品登 记补助经费的通知</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汉鼎智能建筑节能综合管理系统 软件等软件著作权补助</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10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7"/>
              <w:jc w:val="both"/>
              <w:rPr>
                <w:rFonts w:ascii="宋体" w:hAnsi="宋体" w:cs="宋体" w:eastAsia="宋体" w:hint="default"/>
                <w:sz w:val="18"/>
                <w:szCs w:val="18"/>
              </w:rPr>
            </w:pPr>
            <w:r>
              <w:rPr>
                <w:rFonts w:ascii="宋体" w:hAnsi="宋体" w:cs="宋体" w:eastAsia="宋体" w:hint="default"/>
                <w:sz w:val="18"/>
                <w:szCs w:val="18"/>
              </w:rPr>
              <w:t>水凝胶作敏感元件的光纤光栅湿 度传感器及其制作方法等专利补 助</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10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关于下达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年杭州市企业高新 技术研发中心结转项目补助经费 的通知</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关于对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年认定的省级高新技 术企业研发中心资助的函</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660"/>
        <w:gridCol w:w="1993"/>
        <w:gridCol w:w="1993"/>
        <w:gridCol w:w="2921"/>
      </w:tblGrid>
      <w:tr>
        <w:trPr>
          <w:trHeight w:val="10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关于下达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年下城区科研及新 产品创新项目科技经费资助计划 的通知</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10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关于下达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年杭州市企业高新 技术研发中心结转项目补助经费 的通知</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关于公布杭州市信息化应用示范 试点企业（第十批）的通知</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关于下达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年国家中小企业发 展专项资金的通知</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第一批信息服务业奖励</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关于下达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年度第二批杭州市 信息服务业首次奖励资金的通知</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10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关于认定杭州华扬电子有限公司 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家企业为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年第二批高 新技术企业的通知</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10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关于下达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年下城区第二批科 研及新产品创新项目科技经费资 助计划的通知</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205,263.16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10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中共杭州市委杭州市人民政府关 于表彰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年度现代服务业先进 单位和先进个人的通报</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1338"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关于下达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年杭州市信息服务 </w:t>
            </w:r>
            <w:r>
              <w:rPr>
                <w:rFonts w:ascii="宋体" w:hAnsi="宋体" w:cs="宋体" w:eastAsia="宋体" w:hint="default"/>
                <w:spacing w:val="-5"/>
                <w:sz w:val="18"/>
                <w:szCs w:val="18"/>
              </w:rPr>
              <w:t>业（含</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信息港</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产业、信息服务与</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软件业）验收合格项目剩余资助 资金的通知</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114,000.00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关于下达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年创新性示范和试 点企业补助经费的通知</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10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关于下达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年下城区科研及新 产品创新项目科技经费资助计划 的通知</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10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工业和信息化部关于下达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 物联网发展专项资金项目支持计 划的通知</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关于拨付</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年度第六批市文化 创意专项资金的通知</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关于下达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年省信息服务业发 展专项资金的通知</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关于下达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年杭州市产学研合 作项目补助经费的通知</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660"/>
        <w:gridCol w:w="1993"/>
        <w:gridCol w:w="1993"/>
        <w:gridCol w:w="2921"/>
      </w:tblGrid>
      <w:tr>
        <w:trPr>
          <w:trHeight w:val="10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关于下达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年杭州市企业高新 技术研发中心结转项目补助经费 的通知</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关于下达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年杭州市第三批重 大科技创新项目补助经费的通知</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1,988,000.00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关于下达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年度杭州市品牌奖 励资金的通知</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财政补助通知书</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433,000.00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关于印发下城区促进高新技术产 业发展财政扶持政策的通知</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114,000.00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6" w:right="0"/>
              <w:jc w:val="left"/>
              <w:rPr>
                <w:rFonts w:ascii="Times New Roman" w:hAnsi="Times New Roman" w:cs="Times New Roman" w:eastAsia="Times New Roman" w:hint="default"/>
                <w:sz w:val="18"/>
                <w:szCs w:val="18"/>
              </w:rPr>
            </w:pPr>
            <w:r>
              <w:rPr>
                <w:rFonts w:ascii="Times New Roman"/>
                <w:sz w:val="18"/>
              </w:rPr>
              <w:t>4,065,100.00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5,124,263.16</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Times New Roman" w:hAnsi="Times New Roman" w:cs="Times New Roman" w:eastAsia="Times New Roman" w:hint="default"/>
          <w:sz w:val="22"/>
          <w:szCs w:val="22"/>
        </w:rPr>
      </w:pPr>
    </w:p>
    <w:p>
      <w:pPr>
        <w:pStyle w:val="Heading5"/>
        <w:spacing w:line="240" w:lineRule="auto" w:before="38"/>
        <w:ind w:right="0"/>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0"/>
        <w:gridCol w:w="2021"/>
        <w:gridCol w:w="1914"/>
        <w:gridCol w:w="1914"/>
      </w:tblGrid>
      <w:tr>
        <w:trPr>
          <w:trHeight w:val="161" w:hRule="exact"/>
        </w:trPr>
        <w:tc>
          <w:tcPr>
            <w:tcW w:w="3720" w:type="dxa"/>
            <w:tcBorders>
              <w:top w:val="single" w:sz="4" w:space="0" w:color="000000"/>
              <w:left w:val="single" w:sz="4" w:space="0" w:color="000000"/>
              <w:bottom w:val="nil" w:sz="6" w:space="0" w:color="auto"/>
              <w:right w:val="single" w:sz="4" w:space="0" w:color="000000"/>
            </w:tcBorders>
            <w:shd w:val="clear" w:color="auto" w:fill="D3D3D3"/>
          </w:tcPr>
          <w:p>
            <w:pPr/>
          </w:p>
        </w:tc>
        <w:tc>
          <w:tcPr>
            <w:tcW w:w="202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681" w:right="50" w:hanging="630"/>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2" w:hRule="exact"/>
        </w:trPr>
        <w:tc>
          <w:tcPr>
            <w:tcW w:w="3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vMerge/>
            <w:tcBorders>
              <w:left w:val="single" w:sz="4" w:space="0" w:color="000000"/>
              <w:right w:val="single" w:sz="4" w:space="0" w:color="000000"/>
            </w:tcBorders>
            <w:shd w:val="clear" w:color="auto" w:fill="D3D3D3"/>
          </w:tcPr>
          <w:p>
            <w:pPr/>
          </w:p>
        </w:tc>
        <w:tc>
          <w:tcPr>
            <w:tcW w:w="1914" w:type="dxa"/>
            <w:vMerge/>
            <w:tcBorders>
              <w:left w:val="single" w:sz="4" w:space="0" w:color="000000"/>
              <w:right w:val="single" w:sz="4" w:space="0" w:color="000000"/>
            </w:tcBorders>
            <w:shd w:val="clear" w:color="auto" w:fill="D3D3D3"/>
          </w:tcPr>
          <w:p>
            <w:pPr/>
          </w:p>
        </w:tc>
        <w:tc>
          <w:tcPr>
            <w:tcW w:w="1914" w:type="dxa"/>
            <w:vMerge/>
            <w:tcBorders>
              <w:left w:val="single" w:sz="4" w:space="0" w:color="000000"/>
              <w:right w:val="single" w:sz="4" w:space="0" w:color="000000"/>
            </w:tcBorders>
            <w:shd w:val="clear" w:color="auto" w:fill="D3D3D3"/>
          </w:tcPr>
          <w:p>
            <w:pPr/>
          </w:p>
        </w:tc>
      </w:tr>
      <w:tr>
        <w:trPr>
          <w:trHeight w:val="161" w:hRule="exact"/>
        </w:trPr>
        <w:tc>
          <w:tcPr>
            <w:tcW w:w="3720" w:type="dxa"/>
            <w:tcBorders>
              <w:top w:val="nil" w:sz="6" w:space="0" w:color="auto"/>
              <w:left w:val="single" w:sz="4" w:space="0" w:color="000000"/>
              <w:bottom w:val="single" w:sz="4" w:space="0" w:color="000000"/>
              <w:right w:val="single" w:sz="4" w:space="0" w:color="000000"/>
            </w:tcBorders>
            <w:shd w:val="clear" w:color="auto" w:fill="D3D3D3"/>
          </w:tcPr>
          <w:p>
            <w:pPr/>
          </w:p>
        </w:tc>
        <w:tc>
          <w:tcPr>
            <w:tcW w:w="2021"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578.88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15,687.25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578.88</w:t>
            </w: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578.88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15,687.25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578.88</w:t>
            </w: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123,206.00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123,206.00</w:t>
            </w: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310,852.33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228,472.81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80,084.51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434,637.21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329,244.57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123,784.88</w:t>
            </w:r>
          </w:p>
        </w:tc>
      </w:tr>
    </w:tbl>
    <w:p>
      <w:pPr>
        <w:spacing w:line="240" w:lineRule="auto" w:before="8"/>
        <w:rPr>
          <w:rFonts w:ascii="宋体" w:hAnsi="宋体" w:cs="宋体" w:eastAsia="宋体" w:hint="default"/>
          <w:sz w:val="19"/>
          <w:szCs w:val="19"/>
        </w:rPr>
      </w:pPr>
    </w:p>
    <w:p>
      <w:pPr>
        <w:pStyle w:val="Heading5"/>
        <w:spacing w:line="240" w:lineRule="auto" w:before="38"/>
        <w:ind w:right="0"/>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655"/>
        <w:gridCol w:w="2524"/>
        <w:gridCol w:w="2389"/>
      </w:tblGrid>
      <w:tr>
        <w:trPr>
          <w:trHeight w:val="401" w:hRule="exact"/>
        </w:trPr>
        <w:tc>
          <w:tcPr>
            <w:tcW w:w="4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11,261,735.77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9,454,136.10</w:t>
            </w:r>
          </w:p>
        </w:tc>
      </w:tr>
      <w:tr>
        <w:trPr>
          <w:trHeight w:val="402" w:hRule="exact"/>
        </w:trPr>
        <w:tc>
          <w:tcPr>
            <w:tcW w:w="4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-1,112,306.90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-519,708.59</w:t>
            </w:r>
          </w:p>
        </w:tc>
      </w:tr>
      <w:tr>
        <w:trPr>
          <w:trHeight w:val="403" w:hRule="exact"/>
        </w:trPr>
        <w:tc>
          <w:tcPr>
            <w:tcW w:w="4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10,149,428.87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8,934,427.51</w:t>
            </w:r>
          </w:p>
        </w:tc>
      </w:tr>
    </w:tbl>
    <w:p>
      <w:pPr>
        <w:spacing w:line="240" w:lineRule="auto" w:before="8"/>
        <w:rPr>
          <w:rFonts w:ascii="宋体" w:hAnsi="宋体" w:cs="宋体" w:eastAsia="宋体" w:hint="default"/>
          <w:sz w:val="19"/>
          <w:szCs w:val="19"/>
        </w:rPr>
      </w:pPr>
    </w:p>
    <w:p>
      <w:pPr>
        <w:pStyle w:val="Heading5"/>
        <w:spacing w:line="240" w:lineRule="auto" w:before="38"/>
        <w:ind w:right="0"/>
        <w:jc w:val="left"/>
        <w:rPr>
          <w:b w:val="0"/>
          <w:bCs w:val="0"/>
        </w:rPr>
      </w:pPr>
      <w:r>
        <w:rPr>
          <w:rFonts w:ascii="Times New Roman" w:hAnsi="Times New Roman" w:cs="Times New Roman" w:eastAsia="Times New Roman" w:hint="default"/>
        </w:rPr>
        <w:t>66</w:t>
      </w:r>
      <w:r>
        <w:rPr/>
        <w:t>、基本每股收益和稀释每股收益的计算过程</w:t>
      </w:r>
      <w:r>
        <w:rPr>
          <w:b w:val="0"/>
          <w:bCs w:val="0"/>
        </w:rPr>
      </w:r>
    </w:p>
    <w:p>
      <w:pPr>
        <w:spacing w:line="240" w:lineRule="auto" w:before="12"/>
        <w:rPr>
          <w:rFonts w:ascii="宋体" w:hAnsi="宋体" w:cs="宋体" w:eastAsia="宋体" w:hint="default"/>
          <w:b/>
          <w:bCs/>
          <w:sz w:val="24"/>
          <w:szCs w:val="24"/>
        </w:rPr>
      </w:pPr>
    </w:p>
    <w:p>
      <w:pPr>
        <w:pStyle w:val="Heading4"/>
        <w:spacing w:line="264" w:lineRule="auto"/>
        <w:ind w:right="7938"/>
        <w:jc w:val="left"/>
        <w:rPr>
          <w:rFonts w:ascii="Times New Roman" w:hAnsi="Times New Roman" w:cs="Times New Roman" w:eastAsia="Times New Roman" w:hint="default"/>
        </w:rPr>
      </w:pPr>
      <w:r>
        <w:rPr/>
        <w:t>计算公式： </w:t>
      </w:r>
      <w:r>
        <w:rPr>
          <w:rFonts w:ascii="Times New Roman" w:hAnsi="Times New Roman" w:cs="Times New Roman" w:eastAsia="Times New Roman" w:hint="default"/>
        </w:rPr>
        <w:t>1</w:t>
      </w:r>
      <w:r>
        <w:rPr/>
        <w:t>、基本每股收益 基本每股收益</w:t>
      </w:r>
      <w:r>
        <w:rPr>
          <w:rFonts w:ascii="Times New Roman" w:hAnsi="Times New Roman" w:cs="Times New Roman" w:eastAsia="Times New Roman" w:hint="default"/>
        </w:rPr>
        <w:t>=P0÷S</w:t>
      </w:r>
    </w:p>
    <w:p>
      <w:pPr>
        <w:pStyle w:val="Heading4"/>
        <w:spacing w:line="289" w:lineRule="exact"/>
        <w:ind w:right="0"/>
        <w:jc w:val="left"/>
        <w:rPr>
          <w:rFonts w:ascii="Times New Roman" w:hAnsi="Times New Roman" w:cs="Times New Roman" w:eastAsia="Times New Roman" w:hint="default"/>
        </w:rPr>
      </w:pPr>
      <w:r>
        <w:rPr>
          <w:rFonts w:ascii="Times New Roman" w:hAnsi="Times New Roman" w:cs="Times New Roman" w:eastAsia="Times New Roman" w:hint="default"/>
        </w:rPr>
        <w:t>S=</w:t>
      </w:r>
      <w:r>
        <w:rPr>
          <w:rFonts w:ascii="Times New Roman" w:hAnsi="Times New Roman" w:cs="Times New Roman" w:eastAsia="Times New Roman" w:hint="default"/>
          <w:spacing w:val="-12"/>
        </w:rPr>
        <w:t> </w:t>
      </w:r>
      <w:r>
        <w:rPr>
          <w:rFonts w:ascii="Times New Roman" w:hAnsi="Times New Roman" w:cs="Times New Roman" w:eastAsia="Times New Roman" w:hint="default"/>
        </w:rPr>
        <w:t>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Si×Mi÷M0–Sj×Mj÷M0–Sk</w:t>
      </w:r>
    </w:p>
    <w:p>
      <w:pPr>
        <w:pStyle w:val="Heading4"/>
        <w:spacing w:line="240" w:lineRule="auto" w:before="21"/>
        <w:ind w:left="271" w:right="0"/>
        <w:jc w:val="left"/>
      </w:pPr>
      <w:r>
        <w:rPr/>
        <w:t>其中：</w:t>
      </w:r>
      <w:r>
        <w:rPr>
          <w:rFonts w:ascii="Times New Roman" w:hAnsi="Times New Roman" w:cs="Times New Roman" w:eastAsia="Times New Roman" w:hint="default"/>
        </w:rPr>
        <w:t>P0</w:t>
      </w:r>
      <w:r>
        <w:rPr/>
        <w:t>为归属于公司普通股股东的净利润或扣除非经常性损益后归属于普通股股东的净利润；</w:t>
      </w:r>
      <w:r>
        <w:rPr>
          <w:rFonts w:ascii="Times New Roman" w:hAnsi="Times New Roman" w:cs="Times New Roman" w:eastAsia="Times New Roman" w:hint="default"/>
        </w:rPr>
        <w:t>S</w:t>
      </w:r>
      <w:r>
        <w:rPr/>
        <w:t>为发行</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56" w:lineRule="auto" w:before="35"/>
        <w:ind w:left="271" w:right="148" w:hanging="1"/>
        <w:jc w:val="both"/>
      </w:pPr>
      <w:r>
        <w:rPr/>
        <w:t>在外的普通股加权平均数；</w:t>
      </w:r>
      <w:r>
        <w:rPr>
          <w:rFonts w:ascii="Times New Roman" w:hAnsi="Times New Roman" w:cs="Times New Roman" w:eastAsia="Times New Roman" w:hint="default"/>
        </w:rPr>
        <w:t>S0</w:t>
      </w:r>
      <w:r>
        <w:rPr/>
        <w:t>为期初股份总数；</w:t>
      </w:r>
      <w:r>
        <w:rPr>
          <w:rFonts w:ascii="Times New Roman" w:hAnsi="Times New Roman" w:cs="Times New Roman" w:eastAsia="Times New Roman" w:hint="default"/>
        </w:rPr>
        <w:t>S1</w:t>
      </w:r>
      <w:r>
        <w:rPr/>
        <w:t>为报告期因公积金转增股本或股票股利分配等增加股</w:t>
      </w:r>
      <w:r>
        <w:rPr>
          <w:spacing w:val="-71"/>
        </w:rPr>
        <w:t> </w:t>
      </w:r>
      <w:r>
        <w:rPr>
          <w:spacing w:val="-71"/>
        </w:rPr>
      </w:r>
      <w:r>
        <w:rPr>
          <w:spacing w:val="-2"/>
        </w:rPr>
        <w:t>份数；</w:t>
      </w:r>
      <w:r>
        <w:rPr>
          <w:rFonts w:ascii="Times New Roman" w:hAnsi="Times New Roman" w:cs="Times New Roman" w:eastAsia="Times New Roman" w:hint="default"/>
          <w:spacing w:val="-2"/>
        </w:rPr>
        <w:t>Si</w:t>
      </w:r>
      <w:r>
        <w:rPr>
          <w:spacing w:val="-2"/>
        </w:rPr>
        <w:t>为报告期因发行新股或债转股等增加股份数；</w:t>
      </w:r>
      <w:r>
        <w:rPr>
          <w:rFonts w:ascii="Times New Roman" w:hAnsi="Times New Roman" w:cs="Times New Roman" w:eastAsia="Times New Roman" w:hint="default"/>
          <w:spacing w:val="-2"/>
        </w:rPr>
        <w:t>Sj</w:t>
      </w:r>
      <w:r>
        <w:rPr>
          <w:spacing w:val="-2"/>
        </w:rPr>
        <w:t>为报告期因回购等减少股份数；</w:t>
      </w:r>
      <w:r>
        <w:rPr>
          <w:rFonts w:ascii="Times New Roman" w:hAnsi="Times New Roman" w:cs="Times New Roman" w:eastAsia="Times New Roman" w:hint="default"/>
          <w:spacing w:val="-2"/>
        </w:rPr>
        <w:t>Sk</w:t>
      </w:r>
      <w:r>
        <w:rPr>
          <w:spacing w:val="-2"/>
        </w:rPr>
        <w:t>为报告期缩股</w:t>
      </w:r>
      <w:r>
        <w:rPr>
          <w:spacing w:val="-95"/>
        </w:rPr>
        <w:t> </w:t>
      </w:r>
      <w:r>
        <w:rPr>
          <w:spacing w:val="-2"/>
        </w:rPr>
        <w:t>数；</w:t>
      </w:r>
      <w:r>
        <w:rPr>
          <w:rFonts w:ascii="Times New Roman" w:hAnsi="Times New Roman" w:cs="Times New Roman" w:eastAsia="Times New Roman" w:hint="default"/>
          <w:spacing w:val="-2"/>
        </w:rPr>
        <w:t>M0</w:t>
      </w:r>
      <w:r>
        <w:rPr>
          <w:spacing w:val="-2"/>
        </w:rPr>
        <w:t>报告期月份数；</w:t>
      </w:r>
      <w:r>
        <w:rPr>
          <w:rFonts w:ascii="Times New Roman" w:hAnsi="Times New Roman" w:cs="Times New Roman" w:eastAsia="Times New Roman" w:hint="default"/>
          <w:spacing w:val="-2"/>
        </w:rPr>
        <w:t>Mi</w:t>
      </w:r>
      <w:r>
        <w:rPr>
          <w:spacing w:val="-2"/>
        </w:rPr>
        <w:t>为增加股份次月起至报告期期末的累计月数；</w:t>
      </w:r>
      <w:r>
        <w:rPr>
          <w:rFonts w:ascii="Times New Roman" w:hAnsi="Times New Roman" w:cs="Times New Roman" w:eastAsia="Times New Roman" w:hint="default"/>
          <w:spacing w:val="-2"/>
        </w:rPr>
        <w:t>Mj</w:t>
      </w:r>
      <w:r>
        <w:rPr>
          <w:spacing w:val="-2"/>
        </w:rPr>
        <w:t>为减少股份次月起至报告期期</w:t>
      </w:r>
      <w:r>
        <w:rPr>
          <w:spacing w:val="-96"/>
        </w:rPr>
        <w:t> </w:t>
      </w:r>
      <w:r>
        <w:rPr/>
        <w:t>末的累计月数。</w:t>
      </w:r>
    </w:p>
    <w:p>
      <w:pPr>
        <w:pStyle w:val="Heading4"/>
        <w:spacing w:line="264" w:lineRule="auto" w:before="22"/>
        <w:ind w:right="110" w:hanging="1"/>
        <w:jc w:val="left"/>
      </w:pPr>
      <w:r>
        <w:rPr>
          <w:rFonts w:ascii="Times New Roman" w:hAnsi="Times New Roman" w:cs="Times New Roman" w:eastAsia="Times New Roman" w:hint="default"/>
        </w:rPr>
        <w:t>2</w:t>
      </w:r>
      <w:r>
        <w:rPr/>
        <w:t>、稀释每股收益 </w:t>
      </w:r>
      <w:r>
        <w:rPr>
          <w:spacing w:val="-1"/>
        </w:rPr>
        <w:t>稀释每股收益</w:t>
      </w:r>
      <w:r>
        <w:rPr>
          <w:rFonts w:ascii="Times New Roman" w:hAnsi="Times New Roman" w:cs="Times New Roman" w:eastAsia="Times New Roman" w:hint="default"/>
          <w:spacing w:val="-1"/>
        </w:rPr>
        <w:t>=P1/(S0</w:t>
      </w:r>
      <w:r>
        <w:rPr>
          <w:spacing w:val="-1"/>
        </w:rPr>
        <w:t>＋</w:t>
      </w:r>
      <w:r>
        <w:rPr>
          <w:rFonts w:ascii="Times New Roman" w:hAnsi="Times New Roman" w:cs="Times New Roman" w:eastAsia="Times New Roman" w:hint="default"/>
          <w:spacing w:val="-1"/>
        </w:rPr>
        <w:t>S1</w:t>
      </w:r>
      <w:r>
        <w:rPr>
          <w:spacing w:val="-1"/>
        </w:rPr>
        <w:t>＋</w:t>
      </w:r>
      <w:r>
        <w:rPr>
          <w:rFonts w:ascii="Times New Roman" w:hAnsi="Times New Roman" w:cs="Times New Roman" w:eastAsia="Times New Roman" w:hint="default"/>
          <w:spacing w:val="-1"/>
        </w:rPr>
        <w:t>Si×Mi÷M0–Sj×Mj÷M0–Sk+</w:t>
      </w:r>
      <w:r>
        <w:rPr>
          <w:spacing w:val="-1"/>
        </w:rPr>
        <w:t>认股权证、股份期权、可转换债券等增加的普通股</w:t>
      </w:r>
      <w:r>
        <w:rPr>
          <w:spacing w:val="-75"/>
        </w:rPr>
        <w:t> </w:t>
      </w:r>
      <w:r>
        <w:rPr>
          <w:spacing w:val="-75"/>
        </w:rPr>
      </w:r>
      <w:r>
        <w:rPr/>
        <w:t>加权平均数</w:t>
      </w:r>
      <w:r>
        <w:rPr>
          <w:rFonts w:ascii="Times New Roman" w:hAnsi="Times New Roman" w:cs="Times New Roman" w:eastAsia="Times New Roman" w:hint="default"/>
        </w:rPr>
        <w:t>) </w:t>
      </w:r>
      <w:r>
        <w:rPr>
          <w:spacing w:val="-1"/>
        </w:rPr>
        <w:t>其中，</w:t>
      </w:r>
      <w:r>
        <w:rPr>
          <w:rFonts w:ascii="Times New Roman" w:hAnsi="Times New Roman" w:cs="Times New Roman" w:eastAsia="Times New Roman" w:hint="default"/>
          <w:spacing w:val="-1"/>
        </w:rPr>
        <w:t>P1</w:t>
      </w:r>
      <w:r>
        <w:rPr>
          <w:spacing w:val="-1"/>
        </w:rPr>
        <w:t>为归属于公司普通股股东的净利润或扣除非经常性损益后归属于公司普通股股东的净利润，并考</w:t>
      </w:r>
      <w:r>
        <w:rPr>
          <w:spacing w:val="-94"/>
        </w:rPr>
        <w:t> </w:t>
      </w:r>
      <w:r>
        <w:rPr>
          <w:spacing w:val="-94"/>
        </w:rPr>
      </w:r>
      <w:r>
        <w:rPr/>
        <w:t>虑稀释性潜在普通股对其影响，按《企业会计准则》及有关规定进行调整。公司在计算稀释每股收益时， </w:t>
      </w:r>
      <w:r>
        <w:rPr>
          <w:spacing w:val="3"/>
        </w:rPr>
        <w:t>应考虑所有稀释性潜在普通股对归属于公司普通股股东的净利润或扣除非经常性损益后归属于公司普通</w:t>
      </w:r>
      <w:r>
        <w:rPr>
          <w:spacing w:val="-79"/>
        </w:rPr>
        <w:t> </w:t>
      </w:r>
      <w:r>
        <w:rPr>
          <w:spacing w:val="-79"/>
        </w:rPr>
      </w:r>
      <w:r>
        <w:rPr>
          <w:spacing w:val="-1"/>
        </w:rPr>
        <w:t>股股东的净利润和加权平均股数的影响，按照其稀释程度从大到小的顺序计入稀释每股收益，直至稀释每</w:t>
      </w:r>
      <w:r>
        <w:rPr>
          <w:spacing w:val="-82"/>
        </w:rPr>
        <w:t> </w:t>
      </w:r>
      <w:r>
        <w:rPr>
          <w:spacing w:val="-82"/>
        </w:rPr>
      </w:r>
      <w:r>
        <w:rPr/>
        <w:t>股收益达到最小值。</w:t>
      </w:r>
    </w:p>
    <w:p>
      <w:pPr>
        <w:pStyle w:val="Heading4"/>
        <w:spacing w:line="240" w:lineRule="auto" w:before="16"/>
        <w:ind w:right="0"/>
        <w:jc w:val="left"/>
      </w:pPr>
      <w:r>
        <w:rPr/>
        <w:t>计算过程：</w:t>
      </w:r>
    </w:p>
    <w:p>
      <w:pPr>
        <w:pStyle w:val="Heading4"/>
        <w:spacing w:line="256" w:lineRule="auto" w:before="37"/>
        <w:ind w:left="271" w:right="203" w:hanging="118"/>
        <w:jc w:val="left"/>
      </w:pPr>
      <w:r>
        <w:rPr/>
        <w:t>（</w:t>
      </w:r>
      <w:r>
        <w:rPr>
          <w:rFonts w:ascii="Times New Roman" w:hAnsi="Times New Roman" w:cs="Times New Roman" w:eastAsia="Times New Roman" w:hint="default"/>
        </w:rPr>
        <w:t>1</w:t>
      </w:r>
      <w:r>
        <w:rPr/>
        <w:t>）基本每股收益 基本每股收益以归属于本公司普通股股东的合并净利润除以本公司发行在外普通股的加权平均数计算：</w:t>
      </w:r>
    </w:p>
    <w:p>
      <w:pPr>
        <w:spacing w:line="240" w:lineRule="auto" w:before="11"/>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4468"/>
        <w:gridCol w:w="2020"/>
        <w:gridCol w:w="2035"/>
      </w:tblGrid>
      <w:tr>
        <w:trPr>
          <w:trHeight w:val="355" w:hRule="exact"/>
        </w:trPr>
        <w:tc>
          <w:tcPr>
            <w:tcW w:w="44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项目</w:t>
            </w:r>
          </w:p>
        </w:tc>
        <w:tc>
          <w:tcPr>
            <w:tcW w:w="20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本期金额</w:t>
            </w:r>
          </w:p>
        </w:tc>
        <w:tc>
          <w:tcPr>
            <w:tcW w:w="203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6"/>
              <w:ind w:right="7"/>
              <w:jc w:val="center"/>
              <w:rPr>
                <w:rFonts w:ascii="宋体" w:hAnsi="宋体" w:cs="宋体" w:eastAsia="宋体" w:hint="default"/>
                <w:sz w:val="16"/>
                <w:szCs w:val="16"/>
              </w:rPr>
            </w:pPr>
            <w:r>
              <w:rPr>
                <w:rFonts w:ascii="宋体" w:hAnsi="宋体" w:cs="宋体" w:eastAsia="宋体" w:hint="default"/>
                <w:sz w:val="16"/>
                <w:szCs w:val="16"/>
              </w:rPr>
              <w:t>上期金额</w:t>
            </w:r>
          </w:p>
        </w:tc>
      </w:tr>
      <w:tr>
        <w:trPr>
          <w:trHeight w:val="352" w:hRule="exact"/>
        </w:trPr>
        <w:tc>
          <w:tcPr>
            <w:tcW w:w="44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归属于本公司普通股股东的合并净利润</w:t>
            </w:r>
          </w:p>
        </w:tc>
        <w:tc>
          <w:tcPr>
            <w:tcW w:w="20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55,598,274.01</w:t>
            </w:r>
          </w:p>
        </w:tc>
        <w:tc>
          <w:tcPr>
            <w:tcW w:w="20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52,366,260.19</w:t>
            </w:r>
          </w:p>
        </w:tc>
      </w:tr>
      <w:tr>
        <w:trPr>
          <w:trHeight w:val="353" w:hRule="exact"/>
        </w:trPr>
        <w:tc>
          <w:tcPr>
            <w:tcW w:w="44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本公司发行在外普通股的加权平均数</w:t>
            </w:r>
          </w:p>
        </w:tc>
        <w:tc>
          <w:tcPr>
            <w:tcW w:w="20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81,500,000.00</w:t>
            </w:r>
          </w:p>
        </w:tc>
        <w:tc>
          <w:tcPr>
            <w:tcW w:w="20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65,000,000.00</w:t>
            </w:r>
          </w:p>
        </w:tc>
      </w:tr>
      <w:tr>
        <w:trPr>
          <w:trHeight w:val="352" w:hRule="exact"/>
        </w:trPr>
        <w:tc>
          <w:tcPr>
            <w:tcW w:w="44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基本每股收益（元</w:t>
            </w:r>
            <w:r>
              <w:rPr>
                <w:rFonts w:ascii="Times New Roman" w:hAnsi="Times New Roman" w:cs="Times New Roman" w:eastAsia="Times New Roman" w:hint="default"/>
                <w:sz w:val="16"/>
                <w:szCs w:val="16"/>
              </w:rPr>
              <w:t>/</w:t>
            </w:r>
            <w:r>
              <w:rPr>
                <w:rFonts w:ascii="宋体" w:hAnsi="宋体" w:cs="宋体" w:eastAsia="宋体" w:hint="default"/>
                <w:sz w:val="16"/>
                <w:szCs w:val="16"/>
              </w:rPr>
              <w:t>股）</w:t>
            </w:r>
          </w:p>
        </w:tc>
        <w:tc>
          <w:tcPr>
            <w:tcW w:w="20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0.68</w:t>
            </w:r>
          </w:p>
        </w:tc>
        <w:tc>
          <w:tcPr>
            <w:tcW w:w="20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0.81</w:t>
            </w:r>
          </w:p>
        </w:tc>
      </w:tr>
    </w:tbl>
    <w:p>
      <w:pPr>
        <w:spacing w:line="240" w:lineRule="auto" w:before="0"/>
        <w:rPr>
          <w:rFonts w:ascii="宋体" w:hAnsi="宋体" w:cs="宋体" w:eastAsia="宋体" w:hint="default"/>
          <w:sz w:val="20"/>
          <w:szCs w:val="20"/>
        </w:rPr>
      </w:pPr>
    </w:p>
    <w:p>
      <w:pPr>
        <w:pStyle w:val="Heading4"/>
        <w:spacing w:line="240" w:lineRule="auto" w:before="35"/>
        <w:ind w:right="0"/>
        <w:jc w:val="left"/>
      </w:pPr>
      <w:r>
        <w:rPr/>
        <w:t>普通股的加权平均数计算过程如下：</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4757"/>
        <w:gridCol w:w="1883"/>
        <w:gridCol w:w="1883"/>
      </w:tblGrid>
      <w:tr>
        <w:trPr>
          <w:trHeight w:val="355" w:hRule="exact"/>
        </w:trPr>
        <w:tc>
          <w:tcPr>
            <w:tcW w:w="47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8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left="614" w:right="0"/>
              <w:jc w:val="left"/>
              <w:rPr>
                <w:rFonts w:ascii="宋体" w:hAnsi="宋体" w:cs="宋体" w:eastAsia="宋体" w:hint="default"/>
                <w:sz w:val="16"/>
                <w:szCs w:val="16"/>
              </w:rPr>
            </w:pPr>
            <w:r>
              <w:rPr>
                <w:rFonts w:ascii="宋体" w:hAnsi="宋体" w:cs="宋体" w:eastAsia="宋体" w:hint="default"/>
                <w:sz w:val="16"/>
                <w:szCs w:val="16"/>
              </w:rPr>
              <w:t>本期金额</w:t>
            </w:r>
          </w:p>
        </w:tc>
        <w:tc>
          <w:tcPr>
            <w:tcW w:w="188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6"/>
              <w:ind w:left="614" w:right="0"/>
              <w:jc w:val="left"/>
              <w:rPr>
                <w:rFonts w:ascii="宋体" w:hAnsi="宋体" w:cs="宋体" w:eastAsia="宋体" w:hint="default"/>
                <w:sz w:val="16"/>
                <w:szCs w:val="16"/>
              </w:rPr>
            </w:pPr>
            <w:r>
              <w:rPr>
                <w:rFonts w:ascii="宋体" w:hAnsi="宋体" w:cs="宋体" w:eastAsia="宋体" w:hint="default"/>
                <w:sz w:val="16"/>
                <w:szCs w:val="16"/>
              </w:rPr>
              <w:t>上期金额</w:t>
            </w:r>
          </w:p>
        </w:tc>
      </w:tr>
      <w:tr>
        <w:trPr>
          <w:trHeight w:val="353" w:hRule="exact"/>
        </w:trPr>
        <w:tc>
          <w:tcPr>
            <w:tcW w:w="47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年初已发行普通股股数</w:t>
            </w:r>
          </w:p>
        </w:tc>
        <w:tc>
          <w:tcPr>
            <w:tcW w:w="18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65,000,000.00</w:t>
            </w:r>
          </w:p>
        </w:tc>
        <w:tc>
          <w:tcPr>
            <w:tcW w:w="188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65,000,000.00</w:t>
            </w:r>
          </w:p>
        </w:tc>
      </w:tr>
      <w:tr>
        <w:trPr>
          <w:trHeight w:val="352" w:hRule="exact"/>
        </w:trPr>
        <w:tc>
          <w:tcPr>
            <w:tcW w:w="47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加：本期发行的普通股加权数</w:t>
            </w:r>
          </w:p>
        </w:tc>
        <w:tc>
          <w:tcPr>
            <w:tcW w:w="18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16,500,000.00</w:t>
            </w:r>
          </w:p>
        </w:tc>
        <w:tc>
          <w:tcPr>
            <w:tcW w:w="1883"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47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减：本期回购的普通股加权数</w:t>
            </w:r>
          </w:p>
        </w:tc>
        <w:tc>
          <w:tcPr>
            <w:tcW w:w="1883" w:type="dxa"/>
            <w:tcBorders>
              <w:top w:val="single" w:sz="12" w:space="0" w:color="000000"/>
              <w:left w:val="single" w:sz="6" w:space="0" w:color="000000"/>
              <w:bottom w:val="single" w:sz="12" w:space="0" w:color="000000"/>
              <w:right w:val="single" w:sz="6" w:space="0" w:color="000000"/>
            </w:tcBorders>
          </w:tcPr>
          <w:p>
            <w:pPr/>
          </w:p>
        </w:tc>
        <w:tc>
          <w:tcPr>
            <w:tcW w:w="1883"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47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年末发行在外的普通股加权数</w:t>
            </w:r>
          </w:p>
        </w:tc>
        <w:tc>
          <w:tcPr>
            <w:tcW w:w="18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81,500,000.00</w:t>
            </w:r>
          </w:p>
        </w:tc>
        <w:tc>
          <w:tcPr>
            <w:tcW w:w="188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65,000,000.00</w:t>
            </w:r>
          </w:p>
        </w:tc>
      </w:tr>
    </w:tbl>
    <w:p>
      <w:pPr>
        <w:spacing w:line="240" w:lineRule="auto" w:before="0"/>
        <w:rPr>
          <w:rFonts w:ascii="宋体" w:hAnsi="宋体" w:cs="宋体" w:eastAsia="宋体" w:hint="default"/>
          <w:sz w:val="20"/>
          <w:szCs w:val="20"/>
        </w:rPr>
      </w:pPr>
    </w:p>
    <w:p>
      <w:pPr>
        <w:pStyle w:val="Heading4"/>
        <w:spacing w:line="264" w:lineRule="auto" w:before="35"/>
        <w:ind w:right="0" w:hanging="1"/>
        <w:jc w:val="left"/>
      </w:pPr>
      <w:r>
        <w:rPr/>
        <w:t>（</w:t>
      </w:r>
      <w:r>
        <w:rPr>
          <w:rFonts w:ascii="Times New Roman" w:hAnsi="Times New Roman" w:cs="Times New Roman" w:eastAsia="Times New Roman" w:hint="default"/>
        </w:rPr>
        <w:t>2</w:t>
      </w:r>
      <w:r>
        <w:rPr/>
        <w:t>）稀释每股收益 </w:t>
      </w:r>
      <w:r>
        <w:rPr>
          <w:spacing w:val="3"/>
        </w:rPr>
        <w:t>稀释每股收益以调整后的归属于本公司普通股股东的合并净利润除以调整后的本公司发行在外普通股的</w:t>
      </w:r>
      <w:r>
        <w:rPr>
          <w:spacing w:val="-79"/>
        </w:rPr>
        <w:t> </w:t>
      </w:r>
      <w:r>
        <w:rPr>
          <w:spacing w:val="-79"/>
        </w:rPr>
      </w:r>
      <w:r>
        <w:rPr/>
        <w:t>加权平均数计算：</w:t>
      </w:r>
    </w:p>
    <w:p>
      <w:pPr>
        <w:spacing w:line="240" w:lineRule="auto" w:before="5"/>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4468"/>
        <w:gridCol w:w="2304"/>
        <w:gridCol w:w="1751"/>
      </w:tblGrid>
      <w:tr>
        <w:trPr>
          <w:trHeight w:val="355" w:hRule="exact"/>
        </w:trPr>
        <w:tc>
          <w:tcPr>
            <w:tcW w:w="44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1"/>
              <w:jc w:val="center"/>
              <w:rPr>
                <w:rFonts w:ascii="宋体" w:hAnsi="宋体" w:cs="宋体" w:eastAsia="宋体" w:hint="default"/>
                <w:sz w:val="16"/>
                <w:szCs w:val="16"/>
              </w:rPr>
            </w:pPr>
            <w:r>
              <w:rPr>
                <w:rFonts w:ascii="宋体" w:hAnsi="宋体" w:cs="宋体" w:eastAsia="宋体" w:hint="default"/>
                <w:sz w:val="16"/>
                <w:szCs w:val="16"/>
              </w:rPr>
              <w:t>项目</w:t>
            </w:r>
          </w:p>
        </w:tc>
        <w:tc>
          <w:tcPr>
            <w:tcW w:w="23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0"/>
              <w:jc w:val="center"/>
              <w:rPr>
                <w:rFonts w:ascii="宋体" w:hAnsi="宋体" w:cs="宋体" w:eastAsia="宋体" w:hint="default"/>
                <w:sz w:val="16"/>
                <w:szCs w:val="16"/>
              </w:rPr>
            </w:pPr>
            <w:r>
              <w:rPr>
                <w:rFonts w:ascii="宋体" w:hAnsi="宋体" w:cs="宋体" w:eastAsia="宋体" w:hint="default"/>
                <w:sz w:val="16"/>
                <w:szCs w:val="16"/>
              </w:rPr>
              <w:t>本期金额</w:t>
            </w:r>
          </w:p>
        </w:tc>
        <w:tc>
          <w:tcPr>
            <w:tcW w:w="175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5"/>
              <w:ind w:left="548" w:right="0"/>
              <w:jc w:val="left"/>
              <w:rPr>
                <w:rFonts w:ascii="宋体" w:hAnsi="宋体" w:cs="宋体" w:eastAsia="宋体" w:hint="default"/>
                <w:sz w:val="16"/>
                <w:szCs w:val="16"/>
              </w:rPr>
            </w:pPr>
            <w:r>
              <w:rPr>
                <w:rFonts w:ascii="宋体" w:hAnsi="宋体" w:cs="宋体" w:eastAsia="宋体" w:hint="default"/>
                <w:sz w:val="16"/>
                <w:szCs w:val="16"/>
              </w:rPr>
              <w:t>上期金额</w:t>
            </w:r>
          </w:p>
        </w:tc>
      </w:tr>
      <w:tr>
        <w:trPr>
          <w:trHeight w:val="352" w:hRule="exact"/>
        </w:trPr>
        <w:tc>
          <w:tcPr>
            <w:tcW w:w="44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归属于本公司普通股股东的合并净利润（稀释）</w:t>
            </w:r>
          </w:p>
        </w:tc>
        <w:tc>
          <w:tcPr>
            <w:tcW w:w="23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55,598,274.01</w:t>
            </w:r>
          </w:p>
        </w:tc>
        <w:tc>
          <w:tcPr>
            <w:tcW w:w="17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52,366,260.19</w:t>
            </w:r>
          </w:p>
        </w:tc>
      </w:tr>
      <w:tr>
        <w:trPr>
          <w:trHeight w:val="352" w:hRule="exact"/>
        </w:trPr>
        <w:tc>
          <w:tcPr>
            <w:tcW w:w="44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本公司发行在外普通股的加权平均数（稀释）</w:t>
            </w:r>
          </w:p>
        </w:tc>
        <w:tc>
          <w:tcPr>
            <w:tcW w:w="23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81,500,000.00</w:t>
            </w:r>
          </w:p>
        </w:tc>
        <w:tc>
          <w:tcPr>
            <w:tcW w:w="17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65,000,000.00</w:t>
            </w:r>
          </w:p>
        </w:tc>
      </w:tr>
      <w:tr>
        <w:trPr>
          <w:trHeight w:val="353" w:hRule="exact"/>
        </w:trPr>
        <w:tc>
          <w:tcPr>
            <w:tcW w:w="44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稀释每股收益（元</w:t>
            </w:r>
            <w:r>
              <w:rPr>
                <w:rFonts w:ascii="Times New Roman" w:hAnsi="Times New Roman" w:cs="Times New Roman" w:eastAsia="Times New Roman" w:hint="default"/>
                <w:sz w:val="16"/>
                <w:szCs w:val="16"/>
              </w:rPr>
              <w:t>/</w:t>
            </w:r>
            <w:r>
              <w:rPr>
                <w:rFonts w:ascii="宋体" w:hAnsi="宋体" w:cs="宋体" w:eastAsia="宋体" w:hint="default"/>
                <w:sz w:val="16"/>
                <w:szCs w:val="16"/>
              </w:rPr>
              <w:t>股）</w:t>
            </w:r>
          </w:p>
        </w:tc>
        <w:tc>
          <w:tcPr>
            <w:tcW w:w="23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0.68</w:t>
            </w:r>
          </w:p>
        </w:tc>
        <w:tc>
          <w:tcPr>
            <w:tcW w:w="17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0.81</w:t>
            </w:r>
          </w:p>
        </w:tc>
      </w:tr>
    </w:tbl>
    <w:p>
      <w:pPr>
        <w:spacing w:line="240" w:lineRule="auto" w:before="0"/>
        <w:rPr>
          <w:rFonts w:ascii="宋体" w:hAnsi="宋体" w:cs="宋体" w:eastAsia="宋体" w:hint="default"/>
          <w:sz w:val="20"/>
          <w:szCs w:val="20"/>
        </w:rPr>
      </w:pPr>
    </w:p>
    <w:p>
      <w:pPr>
        <w:pStyle w:val="Heading4"/>
        <w:spacing w:line="240" w:lineRule="auto" w:before="35"/>
        <w:ind w:right="0"/>
        <w:jc w:val="left"/>
      </w:pPr>
      <w:r>
        <w:rPr/>
        <w:t>普通股的加权平均数（稀释）计算过程如下：</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4756"/>
        <w:gridCol w:w="1884"/>
        <w:gridCol w:w="1883"/>
      </w:tblGrid>
      <w:tr>
        <w:trPr>
          <w:trHeight w:val="355" w:hRule="exact"/>
        </w:trPr>
        <w:tc>
          <w:tcPr>
            <w:tcW w:w="47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项目</w:t>
            </w:r>
          </w:p>
        </w:tc>
        <w:tc>
          <w:tcPr>
            <w:tcW w:w="18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left="614" w:right="0"/>
              <w:jc w:val="left"/>
              <w:rPr>
                <w:rFonts w:ascii="宋体" w:hAnsi="宋体" w:cs="宋体" w:eastAsia="宋体" w:hint="default"/>
                <w:sz w:val="16"/>
                <w:szCs w:val="16"/>
              </w:rPr>
            </w:pPr>
            <w:r>
              <w:rPr>
                <w:rFonts w:ascii="宋体" w:hAnsi="宋体" w:cs="宋体" w:eastAsia="宋体" w:hint="default"/>
                <w:sz w:val="16"/>
                <w:szCs w:val="16"/>
              </w:rPr>
              <w:t>本期金额</w:t>
            </w:r>
          </w:p>
        </w:tc>
        <w:tc>
          <w:tcPr>
            <w:tcW w:w="188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6"/>
              <w:ind w:left="613" w:right="0"/>
              <w:jc w:val="left"/>
              <w:rPr>
                <w:rFonts w:ascii="宋体" w:hAnsi="宋体" w:cs="宋体" w:eastAsia="宋体" w:hint="default"/>
                <w:sz w:val="16"/>
                <w:szCs w:val="16"/>
              </w:rPr>
            </w:pPr>
            <w:r>
              <w:rPr>
                <w:rFonts w:ascii="宋体" w:hAnsi="宋体" w:cs="宋体" w:eastAsia="宋体" w:hint="default"/>
                <w:sz w:val="16"/>
                <w:szCs w:val="16"/>
              </w:rPr>
              <w:t>上期金额</w:t>
            </w:r>
          </w:p>
        </w:tc>
      </w:tr>
      <w:tr>
        <w:trPr>
          <w:trHeight w:val="352" w:hRule="exact"/>
        </w:trPr>
        <w:tc>
          <w:tcPr>
            <w:tcW w:w="47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计算基本每股收益时年末发行在外的普通股加权平均数</w:t>
            </w:r>
          </w:p>
        </w:tc>
        <w:tc>
          <w:tcPr>
            <w:tcW w:w="18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6"/>
                <w:szCs w:val="16"/>
              </w:rPr>
            </w:pPr>
            <w:r>
              <w:rPr>
                <w:rFonts w:ascii="Times New Roman"/>
                <w:spacing w:val="-1"/>
                <w:sz w:val="16"/>
              </w:rPr>
              <w:t>81,500,000.00</w:t>
            </w:r>
          </w:p>
        </w:tc>
        <w:tc>
          <w:tcPr>
            <w:tcW w:w="188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65,000,000.00</w:t>
            </w:r>
          </w:p>
        </w:tc>
      </w:tr>
      <w:tr>
        <w:trPr>
          <w:trHeight w:val="353" w:hRule="exact"/>
        </w:trPr>
        <w:tc>
          <w:tcPr>
            <w:tcW w:w="47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年末普通股的加权平均数（稀释）</w:t>
            </w:r>
          </w:p>
        </w:tc>
        <w:tc>
          <w:tcPr>
            <w:tcW w:w="18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6"/>
                <w:szCs w:val="16"/>
              </w:rPr>
            </w:pPr>
            <w:r>
              <w:rPr>
                <w:rFonts w:ascii="Times New Roman"/>
                <w:spacing w:val="-1"/>
                <w:sz w:val="16"/>
              </w:rPr>
              <w:t>81,500,000.00</w:t>
            </w:r>
          </w:p>
        </w:tc>
        <w:tc>
          <w:tcPr>
            <w:tcW w:w="188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65,000,000.00</w:t>
            </w:r>
          </w:p>
        </w:tc>
      </w:tr>
    </w:tbl>
    <w:p>
      <w:pPr>
        <w:spacing w:after="0" w:line="240" w:lineRule="auto"/>
        <w:jc w:val="right"/>
        <w:rPr>
          <w:rFonts w:ascii="Times New Roman" w:hAnsi="Times New Roman" w:cs="Times New Roman" w:eastAsia="Times New Roman" w:hint="default"/>
          <w:sz w:val="16"/>
          <w:szCs w:val="16"/>
        </w:rPr>
        <w:sectPr>
          <w:pgSz w:w="11910" w:h="16840"/>
          <w:pgMar w:header="747" w:footer="982" w:top="1060" w:bottom="1180" w:left="980" w:right="980"/>
        </w:sectPr>
      </w:pPr>
    </w:p>
    <w:p>
      <w:pPr>
        <w:spacing w:line="240" w:lineRule="auto" w:before="3"/>
        <w:rPr>
          <w:rFonts w:ascii="宋体" w:hAnsi="宋体" w:cs="宋体" w:eastAsia="宋体" w:hint="default"/>
          <w:sz w:val="25"/>
          <w:szCs w:val="25"/>
        </w:rPr>
      </w:pPr>
    </w:p>
    <w:p>
      <w:pPr>
        <w:pStyle w:val="Heading5"/>
        <w:spacing w:line="240" w:lineRule="auto" w:before="38"/>
        <w:ind w:right="0"/>
        <w:jc w:val="left"/>
        <w:rPr>
          <w:b w:val="0"/>
          <w:bCs w:val="0"/>
        </w:rPr>
      </w:pPr>
      <w:r>
        <w:rPr>
          <w:rFonts w:ascii="Times New Roman" w:hAnsi="Times New Roman" w:cs="Times New Roman" w:eastAsia="Times New Roman" w:hint="default"/>
        </w:rPr>
        <w:t>67</w:t>
      </w:r>
      <w:r>
        <w:rPr/>
        <w:t>、其他综合收益</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3"/>
        <w:ind w:right="0"/>
        <w:jc w:val="left"/>
        <w:rPr>
          <w:b w:val="0"/>
          <w:bCs w:val="0"/>
        </w:rPr>
      </w:pPr>
      <w:r>
        <w:rPr>
          <w:rFonts w:ascii="Times New Roman" w:hAnsi="Times New Roman" w:cs="Times New Roman" w:eastAsia="Times New Roman" w:hint="default"/>
        </w:rPr>
        <w:t>68</w:t>
      </w:r>
      <w:r>
        <w:rPr/>
        <w:t>、现金流量表附注</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其中：收回的投标保证金、暂借款等</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14,816,136.88</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财政补助资金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4,065,100.00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奖励收入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9,000.00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3,457,443.45</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1,012.84</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22,348,693.17</w:t>
            </w:r>
          </w:p>
        </w:tc>
      </w:tr>
    </w:tbl>
    <w:p>
      <w:pPr>
        <w:spacing w:line="240" w:lineRule="auto" w:before="8"/>
        <w:rPr>
          <w:rFonts w:ascii="宋体" w:hAnsi="宋体" w:cs="宋体" w:eastAsia="宋体" w:hint="default"/>
          <w:sz w:val="19"/>
          <w:szCs w:val="19"/>
        </w:rPr>
      </w:pPr>
    </w:p>
    <w:p>
      <w:pPr>
        <w:pStyle w:val="Heading5"/>
        <w:spacing w:line="240" w:lineRule="auto" w:before="38"/>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1"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其中：支付的投标保证金、履约保证金、暂借款等</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24,550,167.39</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1,776,990.54</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2,038,456.59</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1,364,876.19</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技术研发费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3,424,935.91</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5,548,405.76</w:t>
            </w:r>
          </w:p>
        </w:tc>
      </w:tr>
      <w:tr>
        <w:trPr>
          <w:trHeight w:val="403"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38,703,832.38</w:t>
            </w:r>
          </w:p>
        </w:tc>
      </w:tr>
    </w:tbl>
    <w:p>
      <w:pPr>
        <w:spacing w:line="240" w:lineRule="auto" w:before="8"/>
        <w:rPr>
          <w:rFonts w:ascii="宋体" w:hAnsi="宋体" w:cs="宋体" w:eastAsia="宋体" w:hint="default"/>
          <w:sz w:val="19"/>
          <w:szCs w:val="19"/>
        </w:rPr>
      </w:pPr>
    </w:p>
    <w:p>
      <w:pPr>
        <w:pStyle w:val="Heading5"/>
        <w:spacing w:line="240" w:lineRule="auto" w:before="38"/>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3"/>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3"/>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1,098,136.76</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677,997.75</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欠薪诚信保障金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900,000.00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2,676,134.51</w:t>
            </w:r>
          </w:p>
        </w:tc>
      </w:tr>
    </w:tbl>
    <w:p>
      <w:pPr>
        <w:spacing w:line="240" w:lineRule="auto" w:before="8"/>
        <w:rPr>
          <w:rFonts w:ascii="宋体" w:hAnsi="宋体" w:cs="宋体" w:eastAsia="宋体" w:hint="default"/>
          <w:sz w:val="19"/>
          <w:szCs w:val="19"/>
        </w:rPr>
      </w:pPr>
    </w:p>
    <w:p>
      <w:pPr>
        <w:pStyle w:val="Heading5"/>
        <w:spacing w:line="240" w:lineRule="auto" w:before="38"/>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与股票发行有关的筹资费用</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6,794,000.00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3,103,781.73</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1,853,411.38</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欠薪诚信保障金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606,940.29</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分配现金股利代扣代缴个税</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2,104.00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12,360,237.40</w:t>
            </w:r>
          </w:p>
        </w:tc>
      </w:tr>
    </w:tbl>
    <w:p>
      <w:pPr>
        <w:spacing w:line="240" w:lineRule="auto" w:before="8"/>
        <w:rPr>
          <w:rFonts w:ascii="宋体" w:hAnsi="宋体" w:cs="宋体" w:eastAsia="宋体" w:hint="default"/>
          <w:sz w:val="19"/>
          <w:szCs w:val="19"/>
        </w:rPr>
      </w:pPr>
    </w:p>
    <w:p>
      <w:pPr>
        <w:pStyle w:val="Heading5"/>
        <w:spacing w:line="240" w:lineRule="auto" w:before="38"/>
        <w:ind w:right="0"/>
        <w:jc w:val="left"/>
        <w:rPr>
          <w:b w:val="0"/>
          <w:bCs w:val="0"/>
        </w:rPr>
      </w:pPr>
      <w:r>
        <w:rPr>
          <w:rFonts w:ascii="Times New Roman" w:hAnsi="Times New Roman" w:cs="Times New Roman" w:eastAsia="Times New Roman" w:hint="default"/>
        </w:rPr>
        <w:t>69</w:t>
      </w:r>
      <w:r>
        <w:rPr/>
        <w:t>、现金流量表补充资料</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90"/>
        <w:gridCol w:w="2522"/>
        <w:gridCol w:w="2656"/>
      </w:tblGrid>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56,675,061.18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52,366,260.19</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6,702,904.49</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3,501,961.87</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5,728,727.25</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2,676,129.91</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115,167.04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22,042.08</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143,218.35</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214,827.48</w:t>
            </w:r>
          </w:p>
        </w:tc>
      </w:tr>
      <w:tr>
        <w:trPr>
          <w:trHeight w:val="714"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268.88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15,687.25</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754,148.29</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1,415,942.91</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-1,112,306.90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-519,708.59</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-72,919,515.19</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-42,246,524.85</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-93,929,146.57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-63,327,741.43</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72,016,067.63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35,396,267.66</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22" w:type="dxa"/>
            <w:tcBorders>
              <w:top w:val="single" w:sz="4" w:space="0" w:color="000000"/>
              <w:left w:val="single" w:sz="4" w:space="0" w:color="000000"/>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-7,457,412.48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390"/>
        <w:gridCol w:w="2522"/>
        <w:gridCol w:w="2656"/>
      </w:tblGrid>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-25,825,405.55</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-17,942,268.00</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96" w:right="0"/>
              <w:jc w:val="left"/>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96" w:right="0"/>
              <w:jc w:val="left"/>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317,700,845.04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61,452,775.21</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61,452,775.21</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112,568,849.03</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256,248,069.83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-51,116,073.82</w:t>
            </w:r>
          </w:p>
        </w:tc>
      </w:tr>
    </w:tbl>
    <w:p>
      <w:pPr>
        <w:spacing w:line="240" w:lineRule="auto" w:before="8"/>
        <w:rPr>
          <w:rFonts w:ascii="宋体" w:hAnsi="宋体" w:cs="宋体" w:eastAsia="宋体" w:hint="default"/>
          <w:sz w:val="19"/>
          <w:szCs w:val="19"/>
        </w:rPr>
      </w:pPr>
    </w:p>
    <w:p>
      <w:pPr>
        <w:pStyle w:val="Heading5"/>
        <w:spacing w:line="240" w:lineRule="auto" w:before="38"/>
        <w:ind w:right="0"/>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90"/>
        <w:gridCol w:w="2522"/>
        <w:gridCol w:w="2656"/>
      </w:tblGrid>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．取得子公司及其他营业单位的价格</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18,000,000.00</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77"/>
                <w:sz w:val="18"/>
                <w:szCs w:val="18"/>
              </w:rPr>
              <w:t>．</w:t>
            </w:r>
            <w:r>
              <w:rPr>
                <w:rFonts w:ascii="宋体" w:hAnsi="宋体" w:cs="宋体" w:eastAsia="宋体" w:hint="default"/>
                <w:sz w:val="18"/>
                <w:szCs w:val="18"/>
              </w:rPr>
              <w:t>取得子公司及其他营业单位支付的现金和现金等价物</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物</w:t>
            </w:r>
          </w:p>
        </w:tc>
        <w:tc>
          <w:tcPr>
            <w:tcW w:w="25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3,968,265.90</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6,031,734.10</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．取得子公司的净资产</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14,585,936.13</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41,767,182.75</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1,345,119.94</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28,526,366.56</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19"/>
          <w:szCs w:val="19"/>
        </w:rPr>
      </w:pPr>
    </w:p>
    <w:p>
      <w:pPr>
        <w:pStyle w:val="Heading5"/>
        <w:spacing w:line="240" w:lineRule="auto" w:before="38"/>
        <w:ind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87"/>
        <w:gridCol w:w="2524"/>
        <w:gridCol w:w="2657"/>
      </w:tblGrid>
      <w:tr>
        <w:trPr>
          <w:trHeight w:val="401"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317,700,845.04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61,452,775.21</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135,786.34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406,249.51</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317,565,058.70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61,046,525.70</w:t>
            </w:r>
          </w:p>
        </w:tc>
      </w:tr>
      <w:tr>
        <w:trPr>
          <w:trHeight w:val="403"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317,700,845.04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61,452,775.21</w:t>
            </w:r>
          </w:p>
        </w:tc>
      </w:tr>
    </w:tbl>
    <w:p>
      <w:pPr>
        <w:pStyle w:val="BodyText"/>
        <w:spacing w:line="300" w:lineRule="auto" w:before="10"/>
        <w:ind w:left="153" w:right="165"/>
        <w:jc w:val="left"/>
      </w:pPr>
      <w:r>
        <w:rPr/>
        <w:t>期末其他货币资金中包含银行承兑汇票保证金</w:t>
      </w:r>
      <w:r>
        <w:rPr>
          <w:rFonts w:ascii="Times New Roman" w:hAnsi="Times New Roman" w:cs="Times New Roman" w:eastAsia="Times New Roman" w:hint="default"/>
        </w:rPr>
        <w:t>3,103,781.73</w:t>
      </w:r>
      <w:r>
        <w:rPr/>
        <w:t>元，保函保证金</w:t>
      </w:r>
      <w:r>
        <w:rPr>
          <w:spacing w:val="-24"/>
        </w:rPr>
        <w:t> </w:t>
      </w:r>
      <w:r>
        <w:rPr>
          <w:rFonts w:ascii="Times New Roman" w:hAnsi="Times New Roman" w:cs="Times New Roman" w:eastAsia="Times New Roman" w:hint="default"/>
        </w:rPr>
        <w:t>1,853,411.38</w:t>
      </w:r>
      <w:r>
        <w:rPr/>
        <w:t>元，欠薪诚信保障金</w:t>
      </w:r>
      <w:r>
        <w:rPr>
          <w:rFonts w:ascii="Times New Roman" w:hAnsi="Times New Roman" w:cs="Times New Roman" w:eastAsia="Times New Roman" w:hint="default"/>
        </w:rPr>
        <w:t>606,940.29</w:t>
      </w:r>
      <w:r>
        <w:rPr/>
        <w:t>元， 不属于现金及现金等价物。</w:t>
      </w:r>
    </w:p>
    <w:p>
      <w:pPr>
        <w:spacing w:line="240" w:lineRule="auto" w:before="2"/>
        <w:rPr>
          <w:rFonts w:ascii="宋体" w:hAnsi="宋体" w:cs="宋体" w:eastAsia="宋体" w:hint="default"/>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70</w:t>
      </w:r>
      <w:r>
        <w:rPr/>
        <w:t>、所有者权益变动表项目注释</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无此事项</w:t>
      </w:r>
    </w:p>
    <w:p>
      <w:pPr>
        <w:spacing w:after="0" w:line="240" w:lineRule="auto"/>
        <w:jc w:val="left"/>
        <w:sectPr>
          <w:pgSz w:w="11910" w:h="16840"/>
          <w:pgMar w:header="747"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八、资产证券化业务的会计处理</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无此事项</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九、关联方及关联交易</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4"/>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9"/>
        <w:gridCol w:w="956"/>
        <w:gridCol w:w="958"/>
        <w:gridCol w:w="956"/>
        <w:gridCol w:w="956"/>
        <w:gridCol w:w="848"/>
        <w:gridCol w:w="1064"/>
      </w:tblGrid>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子公司类型</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93" w:right="59" w:hanging="135"/>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表决权比 例</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6" w:right="77"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上海汉鼎信 息技术有限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王麒诚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信息技术服 务业</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5508311-4</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浙江汉爵科 技有限公司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浙江省杭州 市</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信息技术服 务业</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76547411-X</w:t>
            </w:r>
          </w:p>
        </w:tc>
      </w:tr>
      <w:tr>
        <w:trPr>
          <w:trHeight w:val="357" w:hRule="exact"/>
        </w:trPr>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四川通普集</w:t>
            </w: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848"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成系统工程 有限责任公</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4"/>
              <w:jc w:val="left"/>
              <w:rPr>
                <w:rFonts w:ascii="宋体" w:hAnsi="宋体" w:cs="宋体" w:eastAsia="宋体" w:hint="default"/>
                <w:sz w:val="18"/>
                <w:szCs w:val="18"/>
              </w:rPr>
            </w:pPr>
            <w:r>
              <w:rPr>
                <w:rFonts w:ascii="宋体" w:hAnsi="宋体" w:cs="宋体" w:eastAsia="宋体" w:hint="default"/>
                <w:sz w:val="18"/>
                <w:szCs w:val="18"/>
              </w:rPr>
              <w:t>四川省成都 市</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王丽平</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3"/>
              <w:jc w:val="left"/>
              <w:rPr>
                <w:rFonts w:ascii="宋体" w:hAnsi="宋体" w:cs="宋体" w:eastAsia="宋体" w:hint="default"/>
                <w:sz w:val="18"/>
                <w:szCs w:val="18"/>
              </w:rPr>
            </w:pPr>
            <w:r>
              <w:rPr>
                <w:rFonts w:ascii="宋体" w:hAnsi="宋体" w:cs="宋体" w:eastAsia="宋体" w:hint="default"/>
                <w:sz w:val="18"/>
                <w:szCs w:val="18"/>
              </w:rPr>
              <w:t>信息技术服 务业</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75%</w:t>
            </w:r>
          </w:p>
        </w:tc>
        <w:tc>
          <w:tcPr>
            <w:tcW w:w="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75%</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20187192-9</w:t>
            </w:r>
          </w:p>
        </w:tc>
      </w:tr>
      <w:tr>
        <w:trPr>
          <w:trHeight w:val="353" w:hRule="exact"/>
        </w:trPr>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848"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9"/>
          <w:szCs w:val="19"/>
        </w:rPr>
      </w:pPr>
    </w:p>
    <w:p>
      <w:pPr>
        <w:pStyle w:val="Heading5"/>
        <w:spacing w:line="240" w:lineRule="auto" w:before="38"/>
        <w:ind w:right="0"/>
        <w:jc w:val="left"/>
        <w:rPr>
          <w:b w:val="0"/>
          <w:bCs w:val="0"/>
        </w:rPr>
      </w:pPr>
      <w:r>
        <w:rPr>
          <w:rFonts w:ascii="Times New Roman" w:hAnsi="Times New Roman" w:cs="Times New Roman" w:eastAsia="Times New Roman" w:hint="default"/>
        </w:rPr>
        <w:t>3</w:t>
      </w:r>
      <w:r>
        <w:rPr/>
        <w:t>、本企业的合营和联营企业情况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3"/>
        <w:ind w:right="0"/>
        <w:jc w:val="left"/>
        <w:rPr>
          <w:b w:val="0"/>
          <w:bCs w:val="0"/>
        </w:rPr>
      </w:pPr>
      <w:r>
        <w:rPr>
          <w:rFonts w:ascii="Times New Roman" w:hAnsi="Times New Roman" w:cs="Times New Roman" w:eastAsia="Times New Roman" w:hint="default"/>
        </w:rPr>
        <w:t>4</w:t>
      </w:r>
      <w:r>
        <w:rPr/>
        <w:t>、本企业的其他关联方情况</w:t>
      </w:r>
      <w:r>
        <w:rPr>
          <w:b w:val="0"/>
          <w:bCs w:val="0"/>
        </w:rPr>
      </w:r>
    </w:p>
    <w:p>
      <w:pPr>
        <w:spacing w:line="240" w:lineRule="auto" w:before="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7"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浙江百家乐房地产开发有限公司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董事蔡福益担任董事、总经理的公司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78237582-6</w:t>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杭州玄坛源实业有限公司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董事蔡福益间接持有其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w:t>
            </w:r>
            <w:r>
              <w:rPr>
                <w:rFonts w:ascii="宋体" w:hAnsi="宋体" w:cs="宋体" w:eastAsia="宋体" w:hint="default"/>
                <w:sz w:val="18"/>
                <w:szCs w:val="18"/>
              </w:rPr>
              <w:t>的股份并担 任董事的企业</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74292081-8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杭州国润房地产有限公司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董事蔡福益持股并担任董事长的企业</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79966125-5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蔡福益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3" w:right="4551"/>
        <w:jc w:val="left"/>
      </w:pPr>
      <w:r>
        <w:rPr/>
        <w:t>本企业的其他关联方情况的说明 杭州红太阳房地产开发有限公司已更名杭州玄坛源实业有限公司。</w:t>
      </w:r>
    </w:p>
    <w:p>
      <w:pPr>
        <w:spacing w:after="0" w:line="357" w:lineRule="auto"/>
        <w:jc w:val="left"/>
        <w:sectPr>
          <w:pgSz w:w="11910" w:h="16840"/>
          <w:pgMar w:header="747" w:footer="982" w:top="1060" w:bottom="1180" w:left="980" w:right="980"/>
        </w:sectPr>
      </w:pPr>
    </w:p>
    <w:p>
      <w:pPr>
        <w:spacing w:line="240" w:lineRule="auto" w:before="3"/>
        <w:rPr>
          <w:rFonts w:ascii="宋体" w:hAnsi="宋体" w:cs="宋体" w:eastAsia="宋体" w:hint="default"/>
          <w:sz w:val="25"/>
          <w:szCs w:val="25"/>
        </w:rPr>
      </w:pPr>
    </w:p>
    <w:p>
      <w:pPr>
        <w:pStyle w:val="Heading5"/>
        <w:spacing w:line="240" w:lineRule="auto" w:before="38"/>
        <w:ind w:right="91"/>
        <w:jc w:val="left"/>
        <w:rPr>
          <w:b w:val="0"/>
          <w:bCs w:val="0"/>
        </w:rPr>
      </w:pPr>
      <w:r>
        <w:rPr>
          <w:rFonts w:ascii="Times New Roman" w:hAnsi="Times New Roman" w:cs="Times New Roman" w:eastAsia="Times New Roman" w:hint="default"/>
        </w:rPr>
        <w:t>5</w:t>
      </w:r>
      <w:r>
        <w:rPr/>
        <w:t>、关联方交易</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91"/>
        <w:jc w:val="left"/>
        <w:rPr>
          <w:b w:val="0"/>
          <w:bCs w:val="0"/>
        </w:rPr>
      </w:pPr>
      <w:r>
        <w:rPr/>
        <w:t>（</w:t>
      </w:r>
      <w:r>
        <w:rPr>
          <w:rFonts w:ascii="Times New Roman" w:hAnsi="Times New Roman" w:cs="Times New Roman" w:eastAsia="Times New Roman" w:hint="default"/>
        </w:rPr>
        <w:t>1</w:t>
      </w:r>
      <w:r>
        <w:rPr/>
        <w:t>）采购商品、接受劳务情况表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right="91"/>
        <w:jc w:val="left"/>
      </w:pPr>
      <w:r>
        <w:rPr/>
        <w:t>出售商品、提供劳务情况表</w:t>
      </w:r>
    </w:p>
    <w:p>
      <w:pPr>
        <w:pStyle w:val="BodyText"/>
        <w:spacing w:line="240" w:lineRule="auto" w:before="116"/>
        <w:ind w:left="0" w:right="191"/>
        <w:jc w:val="right"/>
      </w:pPr>
      <w:r>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98"/>
        <w:jc w:val="right"/>
      </w:pPr>
      <w:r>
        <w:rPr/>
        <w:pict>
          <v:shape style="position:absolute;margin-left:409.619995pt;margin-top:-31.568001pt;width:85.35pt;height:50.85pt;mso-position-horizontal-relative:page;mso-position-vertical-relative:paragraph;z-index:-72064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BodyText"/>
                    <w:spacing w:line="240" w:lineRule="auto"/>
                    <w:ind w:left="0" w:right="0"/>
                    <w:jc w:val="left"/>
                  </w:pPr>
                  <w:r>
                    <w:rPr/>
                    <w:t>）</w:t>
                  </w:r>
                </w:p>
              </w:txbxContent>
            </v:textbox>
            <w10:wrap type="none"/>
          </v:shape>
        </w:pict>
      </w:r>
      <w:r>
        <w:rPr/>
        <w:pict>
          <v:shape style="position:absolute;margin-left:56.459999pt;margin-top:-52.148041pt;width:479.1pt;height:179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7"/>
                    <w:gridCol w:w="1727"/>
                    <w:gridCol w:w="1462"/>
                    <w:gridCol w:w="1594"/>
                    <w:gridCol w:w="797"/>
                    <w:gridCol w:w="1594"/>
                    <w:gridCol w:w="798"/>
                  </w:tblGrid>
                  <w:tr>
                    <w:trPr>
                      <w:trHeight w:val="402" w:hRule="exact"/>
                    </w:trPr>
                    <w:tc>
                      <w:tcPr>
                        <w:tcW w:w="15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84" w:right="95" w:hanging="90"/>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6" w:hRule="exact"/>
                    </w:trPr>
                    <w:tc>
                      <w:tcPr>
                        <w:tcW w:w="1597" w:type="dxa"/>
                        <w:vMerge/>
                        <w:tcBorders>
                          <w:left w:val="single" w:sz="4" w:space="0" w:color="000000"/>
                          <w:bottom w:val="single" w:sz="4" w:space="0" w:color="000000"/>
                          <w:right w:val="single" w:sz="4" w:space="0" w:color="000000"/>
                        </w:tcBorders>
                        <w:shd w:val="clear" w:color="auto" w:fill="D3D3D3"/>
                      </w:tcPr>
                      <w:p>
                        <w:pPr/>
                      </w:p>
                    </w:tc>
                    <w:tc>
                      <w:tcPr>
                        <w:tcW w:w="1727" w:type="dxa"/>
                        <w:vMerge/>
                        <w:tcBorders>
                          <w:left w:val="single" w:sz="4" w:space="0" w:color="000000"/>
                          <w:bottom w:val="single" w:sz="4" w:space="0" w:color="000000"/>
                          <w:right w:val="single" w:sz="4" w:space="0" w:color="000000"/>
                        </w:tcBorders>
                        <w:shd w:val="clear" w:color="auto" w:fill="D3D3D3"/>
                      </w:tcPr>
                      <w:p>
                        <w:pPr/>
                      </w:p>
                    </w:tc>
                    <w:tc>
                      <w:tcPr>
                        <w:tcW w:w="1462"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31" w:firstLine="10"/>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31" w:firstLine="10"/>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浙江百家乐房地产 开发有限公司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杭州玄坛源实业有 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杭州国润房地产有 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1,077.63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3.23%</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5"/>
        <w:spacing w:line="240" w:lineRule="auto"/>
        <w:ind w:right="91"/>
        <w:jc w:val="left"/>
        <w:rPr>
          <w:b w:val="0"/>
          <w:bCs w:val="0"/>
        </w:rPr>
      </w:pPr>
      <w:r>
        <w:rPr/>
        <w:t>（</w:t>
      </w:r>
      <w:r>
        <w:rPr>
          <w:rFonts w:ascii="Times New Roman" w:hAnsi="Times New Roman" w:cs="Times New Roman" w:eastAsia="Times New Roman" w:hint="default"/>
        </w:rPr>
        <w:t>2</w:t>
      </w:r>
      <w:r>
        <w:rPr/>
        <w:t>）关联托管</w:t>
      </w:r>
      <w:r>
        <w:rPr>
          <w:rFonts w:ascii="Times New Roman" w:hAnsi="Times New Roman" w:cs="Times New Roman" w:eastAsia="Times New Roman" w:hint="default"/>
        </w:rPr>
        <w:t>/</w:t>
      </w:r>
      <w:r>
        <w:rPr/>
        <w:t>承包情况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91"/>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4"/>
        <w:ind w:right="91"/>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91"/>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4"/>
        <w:ind w:right="91"/>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13" w:right="71" w:hanging="540"/>
              <w:jc w:val="left"/>
              <w:rPr>
                <w:rFonts w:ascii="宋体" w:hAnsi="宋体" w:cs="宋体" w:eastAsia="宋体" w:hint="default"/>
                <w:sz w:val="18"/>
                <w:szCs w:val="18"/>
              </w:rPr>
            </w:pPr>
            <w:r>
              <w:rPr>
                <w:rFonts w:ascii="宋体" w:hAnsi="宋体" w:cs="宋体" w:eastAsia="宋体" w:hint="default"/>
                <w:sz w:val="18"/>
                <w:szCs w:val="18"/>
              </w:rPr>
              <w:t>担保是否已经履行 完毕</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王麒诚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汉鼎股份</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7" w:right="0"/>
              <w:jc w:val="left"/>
              <w:rPr>
                <w:rFonts w:ascii="Times New Roman" w:hAnsi="Times New Roman" w:cs="Times New Roman" w:eastAsia="Times New Roman" w:hint="default"/>
                <w:sz w:val="18"/>
                <w:szCs w:val="18"/>
              </w:rPr>
            </w:pPr>
            <w:r>
              <w:rPr>
                <w:rFonts w:ascii="Times New Roman"/>
                <w:sz w:val="18"/>
              </w:rPr>
              <w:t>100,000,000.00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汉鼎股份</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7" w:right="0"/>
              <w:jc w:val="left"/>
              <w:rPr>
                <w:rFonts w:ascii="Times New Roman" w:hAnsi="Times New Roman" w:cs="Times New Roman" w:eastAsia="Times New Roman" w:hint="default"/>
                <w:sz w:val="18"/>
                <w:szCs w:val="18"/>
              </w:rPr>
            </w:pPr>
            <w:r>
              <w:rPr>
                <w:rFonts w:ascii="Times New Roman"/>
                <w:sz w:val="18"/>
              </w:rPr>
              <w:t>100,000,000.00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357" w:lineRule="auto" w:before="51"/>
        <w:ind w:left="423" w:right="91" w:hanging="270"/>
        <w:jc w:val="left"/>
      </w:pPr>
      <w:r>
        <w:rPr/>
        <w:t>关联担保情况说明 </w:t>
      </w:r>
      <w:r>
        <w:rPr>
          <w:spacing w:val="-1"/>
        </w:rPr>
        <w:t>王麒诚、吴艳分别与兴业银行股份有限公司杭州分行签订最高额保证合同（兴银企金四部个保字第</w:t>
      </w:r>
      <w:r>
        <w:rPr>
          <w:rFonts w:ascii="Times New Roman" w:hAnsi="Times New Roman" w:cs="Times New Roman" w:eastAsia="Times New Roman" w:hint="default"/>
          <w:spacing w:val="-1"/>
        </w:rPr>
        <w:t>[2012]6</w:t>
      </w:r>
      <w:r>
        <w:rPr>
          <w:spacing w:val="-1"/>
        </w:rPr>
        <w:t>号、兴银企金</w:t>
      </w:r>
    </w:p>
    <w:p>
      <w:pPr>
        <w:pStyle w:val="BodyText"/>
        <w:spacing w:line="214" w:lineRule="exact"/>
        <w:ind w:right="91"/>
        <w:jc w:val="left"/>
      </w:pPr>
      <w:r>
        <w:rPr/>
        <w:t>四部个保字第</w:t>
      </w:r>
      <w:r>
        <w:rPr>
          <w:rFonts w:ascii="Times New Roman" w:hAnsi="Times New Roman" w:cs="Times New Roman" w:eastAsia="Times New Roman" w:hint="default"/>
        </w:rPr>
        <w:t>[2012]5</w:t>
      </w:r>
      <w:r>
        <w:rPr/>
        <w:t>号），为公司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19</w:t>
      </w:r>
      <w:r>
        <w:rPr/>
        <w:t>日在人民币</w:t>
      </w:r>
      <w:r>
        <w:rPr>
          <w:rFonts w:ascii="Times New Roman" w:hAnsi="Times New Roman" w:cs="Times New Roman" w:eastAsia="Times New Roman" w:hint="default"/>
        </w:rPr>
        <w:t>1</w:t>
      </w:r>
      <w:r>
        <w:rPr/>
        <w:t>亿元最高额债务额度内提供连带责任担保。</w:t>
      </w:r>
    </w:p>
    <w:p>
      <w:pPr>
        <w:pStyle w:val="BodyText"/>
        <w:spacing w:line="240" w:lineRule="auto" w:before="64"/>
        <w:ind w:right="0"/>
        <w:jc w:val="left"/>
      </w:pPr>
      <w:r>
        <w:rPr>
          <w:spacing w:val="-2"/>
        </w:rPr>
        <w:t>截止期末，在上述合同项下公司向兴业银行股份有限公司杭州分行开具保函</w:t>
      </w:r>
      <w:r>
        <w:rPr>
          <w:rFonts w:ascii="Times New Roman" w:hAnsi="Times New Roman" w:cs="Times New Roman" w:eastAsia="Times New Roman" w:hint="default"/>
          <w:spacing w:val="-2"/>
        </w:rPr>
        <w:t>946,934.42</w:t>
      </w:r>
      <w:r>
        <w:rPr>
          <w:spacing w:val="-2"/>
        </w:rPr>
        <w:t>元，开具银行承兑汇票</w:t>
      </w:r>
      <w:r>
        <w:rPr>
          <w:rFonts w:ascii="Times New Roman" w:hAnsi="Times New Roman" w:cs="Times New Roman" w:eastAsia="Times New Roman" w:hint="default"/>
          <w:spacing w:val="-2"/>
        </w:rPr>
        <w:t>2,130,522,90</w:t>
      </w:r>
      <w:r>
        <w:rPr>
          <w:spacing w:val="-2"/>
        </w:rPr>
        <w:t>元。</w:t>
      </w:r>
    </w:p>
    <w:p>
      <w:pPr>
        <w:spacing w:line="240" w:lineRule="auto" w:before="5"/>
        <w:rPr>
          <w:rFonts w:ascii="宋体" w:hAnsi="宋体" w:cs="宋体" w:eastAsia="宋体" w:hint="default"/>
          <w:sz w:val="26"/>
          <w:szCs w:val="26"/>
        </w:rPr>
      </w:pPr>
    </w:p>
    <w:p>
      <w:pPr>
        <w:pStyle w:val="Heading5"/>
        <w:spacing w:line="240" w:lineRule="auto"/>
        <w:ind w:right="91"/>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91"/>
        <w:jc w:val="left"/>
      </w:pPr>
      <w:r>
        <w:rPr/>
        <w:t>无此事项</w:t>
      </w:r>
    </w:p>
    <w:p>
      <w:pPr>
        <w:spacing w:after="0" w:line="240" w:lineRule="auto"/>
        <w:jc w:val="left"/>
        <w:sectPr>
          <w:pgSz w:w="11910" w:h="16840"/>
          <w:pgMar w:header="747" w:footer="982" w:top="1060" w:bottom="1180" w:left="980" w:right="940"/>
        </w:sectPr>
      </w:pPr>
    </w:p>
    <w:p>
      <w:pPr>
        <w:spacing w:line="240" w:lineRule="auto" w:before="1"/>
        <w:rPr>
          <w:rFonts w:ascii="宋体" w:hAnsi="宋体" w:cs="宋体" w:eastAsia="宋体" w:hint="default"/>
          <w:sz w:val="25"/>
          <w:szCs w:val="25"/>
        </w:rPr>
      </w:pPr>
    </w:p>
    <w:p>
      <w:pPr>
        <w:pStyle w:val="Heading5"/>
        <w:spacing w:line="240" w:lineRule="auto" w:before="38"/>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3"/>
        <w:ind w:right="0"/>
        <w:jc w:val="left"/>
        <w:rPr>
          <w:b w:val="0"/>
          <w:bCs w:val="0"/>
        </w:rPr>
      </w:pPr>
      <w:r>
        <w:rPr/>
        <w:t>（</w:t>
      </w:r>
      <w:r>
        <w:rPr>
          <w:rFonts w:ascii="Times New Roman" w:hAnsi="Times New Roman" w:cs="Times New Roman" w:eastAsia="Times New Roman" w:hint="default"/>
        </w:rPr>
        <w:t>7</w:t>
      </w:r>
      <w:r>
        <w:rPr/>
        <w:t>）其他关联交易</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关键管理人员薪酬</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4757"/>
        <w:gridCol w:w="1883"/>
        <w:gridCol w:w="1883"/>
      </w:tblGrid>
      <w:tr>
        <w:trPr>
          <w:trHeight w:val="355" w:hRule="exact"/>
        </w:trPr>
        <w:tc>
          <w:tcPr>
            <w:tcW w:w="47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8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48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8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48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3" w:hRule="exact"/>
        </w:trPr>
        <w:tc>
          <w:tcPr>
            <w:tcW w:w="47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18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921" w:right="0"/>
              <w:jc w:val="left"/>
              <w:rPr>
                <w:rFonts w:ascii="Times New Roman" w:hAnsi="Times New Roman" w:cs="Times New Roman" w:eastAsia="Times New Roman" w:hint="default"/>
                <w:sz w:val="18"/>
                <w:szCs w:val="18"/>
              </w:rPr>
            </w:pPr>
            <w:r>
              <w:rPr>
                <w:rFonts w:ascii="Times New Roman"/>
                <w:sz w:val="18"/>
              </w:rPr>
              <w:t>1,539,690.91</w:t>
            </w:r>
          </w:p>
        </w:tc>
        <w:tc>
          <w:tcPr>
            <w:tcW w:w="188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921" w:right="0"/>
              <w:jc w:val="left"/>
              <w:rPr>
                <w:rFonts w:ascii="Times New Roman" w:hAnsi="Times New Roman" w:cs="Times New Roman" w:eastAsia="Times New Roman" w:hint="default"/>
                <w:sz w:val="18"/>
                <w:szCs w:val="18"/>
              </w:rPr>
            </w:pPr>
            <w:r>
              <w:rPr>
                <w:rFonts w:ascii="Times New Roman"/>
                <w:sz w:val="18"/>
              </w:rPr>
              <w:t>1,243,636.50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Heading5"/>
        <w:spacing w:line="240" w:lineRule="auto" w:before="38"/>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right="0"/>
        <w:jc w:val="left"/>
      </w:pPr>
      <w:r>
        <w:rPr/>
        <w:t>上市公司应收关联方款项</w:t>
      </w:r>
    </w:p>
    <w:p>
      <w:pPr>
        <w:pStyle w:val="BodyText"/>
        <w:spacing w:line="240" w:lineRule="auto" w:before="116"/>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58"/>
        <w:gridCol w:w="1667"/>
        <w:gridCol w:w="1462"/>
        <w:gridCol w:w="1462"/>
        <w:gridCol w:w="1459"/>
        <w:gridCol w:w="1460"/>
      </w:tblGrid>
      <w:tr>
        <w:trPr>
          <w:trHeight w:val="401" w:hRule="exact"/>
        </w:trPr>
        <w:tc>
          <w:tcPr>
            <w:tcW w:w="205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6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9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2058" w:type="dxa"/>
            <w:vMerge/>
            <w:tcBorders>
              <w:left w:val="single" w:sz="4" w:space="0" w:color="000000"/>
              <w:bottom w:val="single" w:sz="4" w:space="0" w:color="000000"/>
              <w:right w:val="single" w:sz="4" w:space="0" w:color="000000"/>
            </w:tcBorders>
            <w:shd w:val="clear" w:color="auto" w:fill="D3D3D3"/>
          </w:tcPr>
          <w:p>
            <w:pPr/>
          </w:p>
        </w:tc>
        <w:tc>
          <w:tcPr>
            <w:tcW w:w="1667" w:type="dxa"/>
            <w:vMerge/>
            <w:tcBorders>
              <w:left w:val="single" w:sz="4" w:space="0" w:color="000000"/>
              <w:bottom w:val="single" w:sz="4" w:space="0" w:color="000000"/>
              <w:right w:val="single" w:sz="4" w:space="0" w:color="000000"/>
            </w:tcBorders>
            <w:shd w:val="clear" w:color="auto" w:fill="D3D3D3"/>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2"/>
              <w:jc w:val="left"/>
              <w:rPr>
                <w:rFonts w:ascii="宋体" w:hAnsi="宋体" w:cs="宋体" w:eastAsia="宋体" w:hint="default"/>
                <w:sz w:val="18"/>
                <w:szCs w:val="18"/>
              </w:rPr>
            </w:pPr>
            <w:r>
              <w:rPr>
                <w:rFonts w:ascii="宋体" w:hAnsi="宋体" w:cs="宋体" w:eastAsia="宋体" w:hint="default"/>
                <w:sz w:val="18"/>
                <w:szCs w:val="18"/>
              </w:rPr>
              <w:t>浙江百家乐房地产 开发有限公司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115.05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w:t>
            </w: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2"/>
              <w:jc w:val="left"/>
              <w:rPr>
                <w:rFonts w:ascii="宋体" w:hAnsi="宋体" w:cs="宋体" w:eastAsia="宋体" w:hint="default"/>
                <w:sz w:val="18"/>
                <w:szCs w:val="18"/>
              </w:rPr>
            </w:pPr>
            <w:r>
              <w:rPr>
                <w:rFonts w:ascii="宋体" w:hAnsi="宋体" w:cs="宋体" w:eastAsia="宋体" w:hint="default"/>
                <w:sz w:val="18"/>
                <w:szCs w:val="18"/>
              </w:rPr>
              <w:t>杭州玄坛源实业有 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86.15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16.99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86.15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8.49</w:t>
            </w:r>
          </w:p>
        </w:tc>
      </w:tr>
      <w:tr>
        <w:trPr>
          <w:trHeight w:val="715" w:hRule="exact"/>
        </w:trPr>
        <w:tc>
          <w:tcPr>
            <w:tcW w:w="2058"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2"/>
              <w:jc w:val="left"/>
              <w:rPr>
                <w:rFonts w:ascii="宋体" w:hAnsi="宋体" w:cs="宋体" w:eastAsia="宋体" w:hint="default"/>
                <w:sz w:val="18"/>
                <w:szCs w:val="18"/>
              </w:rPr>
            </w:pPr>
            <w:r>
              <w:rPr>
                <w:rFonts w:ascii="宋体" w:hAnsi="宋体" w:cs="宋体" w:eastAsia="宋体" w:hint="default"/>
                <w:sz w:val="18"/>
                <w:szCs w:val="18"/>
              </w:rPr>
              <w:t>杭州国润房地产有 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r>
    </w:tbl>
    <w:p>
      <w:pPr>
        <w:pStyle w:val="BodyText"/>
        <w:spacing w:line="240" w:lineRule="auto" w:before="51"/>
        <w:ind w:right="0"/>
        <w:jc w:val="left"/>
      </w:pPr>
      <w:r>
        <w:rPr/>
        <w:t>上市公司应付关联方款项</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4"/>
        <w:gridCol w:w="2258"/>
        <w:gridCol w:w="2258"/>
        <w:gridCol w:w="2257"/>
      </w:tblGrid>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58"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杭州国润房地产有限公司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w:t>
            </w:r>
          </w:p>
        </w:tc>
        <w:tc>
          <w:tcPr>
            <w:tcW w:w="225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十、股份支付</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无此事项</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十一、或有事项</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1</w:t>
      </w:r>
      <w:r>
        <w:rPr/>
        <w:t>、未决诉讼或仲裁形成的或有负债及其财务影响</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7" w:footer="982" w:top="1060" w:bottom="1180" w:left="980" w:right="980"/>
        </w:sectPr>
      </w:pPr>
    </w:p>
    <w:p>
      <w:pPr>
        <w:spacing w:line="240" w:lineRule="auto" w:before="3"/>
        <w:rPr>
          <w:rFonts w:ascii="宋体" w:hAnsi="宋体" w:cs="宋体" w:eastAsia="宋体" w:hint="default"/>
          <w:sz w:val="25"/>
          <w:szCs w:val="25"/>
        </w:rPr>
      </w:pPr>
    </w:p>
    <w:p>
      <w:pPr>
        <w:pStyle w:val="Heading5"/>
        <w:spacing w:line="240" w:lineRule="auto" w:before="38"/>
        <w:ind w:right="0"/>
        <w:jc w:val="left"/>
        <w:rPr>
          <w:b w:val="0"/>
          <w:bCs w:val="0"/>
        </w:rPr>
      </w:pPr>
      <w:r>
        <w:rPr>
          <w:rFonts w:ascii="Times New Roman" w:hAnsi="Times New Roman" w:cs="Times New Roman" w:eastAsia="Times New Roman" w:hint="default"/>
        </w:rPr>
        <w:t>2</w:t>
      </w:r>
      <w:r>
        <w:rPr/>
        <w:t>、为其他单位提供债务担保形成的或有负债及其财务影响</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26"/>
        <w:ind w:right="0"/>
        <w:jc w:val="left"/>
        <w:rPr>
          <w:b w:val="0"/>
          <w:bCs w:val="0"/>
        </w:rPr>
      </w:pPr>
      <w:r>
        <w:rPr>
          <w:rFonts w:ascii="Times New Roman" w:hAnsi="Times New Roman" w:cs="Times New Roman" w:eastAsia="Times New Roman" w:hint="default"/>
        </w:rPr>
        <w:t>3</w:t>
      </w:r>
      <w:r>
        <w:rPr/>
        <w:t>、其他或有负债及其财务影响</w:t>
      </w:r>
      <w:r>
        <w:rPr>
          <w:b w:val="0"/>
          <w:bCs w:val="0"/>
        </w:rPr>
      </w:r>
    </w:p>
    <w:p>
      <w:pPr>
        <w:spacing w:line="240" w:lineRule="auto" w:before="12"/>
        <w:rPr>
          <w:rFonts w:ascii="宋体" w:hAnsi="宋体" w:cs="宋体" w:eastAsia="宋体" w:hint="default"/>
          <w:b/>
          <w:bCs/>
          <w:sz w:val="24"/>
          <w:szCs w:val="24"/>
        </w:rPr>
      </w:pPr>
    </w:p>
    <w:p>
      <w:pPr>
        <w:pStyle w:val="Heading4"/>
        <w:spacing w:line="256" w:lineRule="auto"/>
        <w:ind w:right="2525"/>
        <w:jc w:val="left"/>
      </w:pPr>
      <w:r>
        <w:rPr/>
        <w:t>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日，公司已背书未到期的银行承兑汇票金额为</w:t>
      </w:r>
      <w:r>
        <w:rPr>
          <w:rFonts w:ascii="Times New Roman" w:hAnsi="Times New Roman" w:cs="Times New Roman" w:eastAsia="Times New Roman" w:hint="default"/>
        </w:rPr>
        <w:t>325,000.00</w:t>
      </w:r>
      <w:r>
        <w:rPr/>
        <w:t>元； 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日，公司欠薪诚信保障金金额为</w:t>
      </w:r>
      <w:r>
        <w:rPr>
          <w:rFonts w:ascii="Times New Roman" w:hAnsi="Times New Roman" w:cs="Times New Roman" w:eastAsia="Times New Roman" w:hint="default"/>
        </w:rPr>
        <w:t>606,940.29</w:t>
      </w:r>
      <w:r>
        <w:rPr/>
        <w:t>元。</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r>
        <w:rPr/>
        <w:t>十二、承诺事项</w:t>
      </w:r>
      <w:r>
        <w:rPr>
          <w:b w:val="0"/>
          <w:bCs w:val="0"/>
        </w:rPr>
      </w:r>
    </w:p>
    <w:p>
      <w:pPr>
        <w:spacing w:line="240" w:lineRule="auto" w:before="4"/>
        <w:rPr>
          <w:rFonts w:ascii="宋体" w:hAnsi="宋体" w:cs="宋体" w:eastAsia="宋体" w:hint="default"/>
          <w:b/>
          <w:bCs/>
          <w:sz w:val="25"/>
          <w:szCs w:val="25"/>
        </w:rPr>
      </w:pPr>
    </w:p>
    <w:p>
      <w:pPr>
        <w:spacing w:line="518" w:lineRule="auto" w:before="0"/>
        <w:ind w:left="154" w:right="2577"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、重大承诺事项</w:t>
      </w:r>
      <w:r>
        <w:rPr>
          <w:rFonts w:ascii="宋体" w:hAnsi="宋体" w:cs="宋体" w:eastAsia="宋体" w:hint="default"/>
          <w:b/>
          <w:bCs/>
          <w:w w:val="99"/>
          <w:sz w:val="20"/>
          <w:szCs w:val="20"/>
        </w:rPr>
        <w:t> </w:t>
      </w:r>
      <w:r>
        <w:rPr>
          <w:rFonts w:ascii="宋体" w:hAnsi="宋体" w:cs="宋体" w:eastAsia="宋体" w:hint="default"/>
          <w:sz w:val="21"/>
          <w:szCs w:val="21"/>
        </w:rPr>
        <w:t>截止期末，公司以其他货币资金</w:t>
      </w:r>
      <w:r>
        <w:rPr>
          <w:rFonts w:ascii="Times New Roman" w:hAnsi="Times New Roman" w:cs="Times New Roman" w:eastAsia="Times New Roman" w:hint="default"/>
          <w:sz w:val="21"/>
          <w:szCs w:val="21"/>
        </w:rPr>
        <w:t>3,103,781.73</w:t>
      </w:r>
      <w:r>
        <w:rPr>
          <w:rFonts w:ascii="宋体" w:hAnsi="宋体" w:cs="宋体" w:eastAsia="宋体" w:hint="default"/>
          <w:sz w:val="21"/>
          <w:szCs w:val="21"/>
        </w:rPr>
        <w:t>元作为开立银行承兑汇票保证金。 </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、前期承诺履行情况</w:t>
      </w:r>
      <w:r>
        <w:rPr>
          <w:rFonts w:ascii="宋体" w:hAnsi="宋体" w:cs="宋体" w:eastAsia="宋体" w:hint="default"/>
          <w:sz w:val="20"/>
          <w:szCs w:val="20"/>
        </w:rPr>
      </w:r>
    </w:p>
    <w:p>
      <w:pPr>
        <w:pStyle w:val="Heading4"/>
        <w:spacing w:line="240" w:lineRule="auto" w:before="69"/>
        <w:ind w:right="0"/>
        <w:jc w:val="left"/>
      </w:pPr>
      <w:r>
        <w:rPr/>
        <w:t>本公司无需要披露的前期承诺事项。</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十三、资产负债表日后事项</w:t>
      </w:r>
      <w:r>
        <w:rPr>
          <w:b w:val="0"/>
          <w:bCs w:val="0"/>
        </w:rPr>
      </w:r>
    </w:p>
    <w:p>
      <w:pPr>
        <w:spacing w:line="240" w:lineRule="auto" w:before="4"/>
        <w:rPr>
          <w:rFonts w:ascii="宋体" w:hAnsi="宋体" w:cs="宋体" w:eastAsia="宋体" w:hint="default"/>
          <w:b/>
          <w:bCs/>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1</w:t>
      </w:r>
      <w:r>
        <w:rPr/>
        <w:t>、</w:t>
      </w:r>
      <w:r>
        <w:rPr>
          <w:spacing w:val="-43"/>
        </w:rPr>
        <w:t> </w:t>
      </w:r>
      <w:r>
        <w:rPr/>
        <w:t>重要的资产负债表日后事项说明</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23"/>
        <w:ind w:right="0"/>
        <w:jc w:val="left"/>
        <w:rPr>
          <w:b w:val="0"/>
          <w:bCs w:val="0"/>
        </w:rPr>
      </w:pPr>
      <w:r>
        <w:rPr>
          <w:rFonts w:ascii="Times New Roman" w:hAnsi="Times New Roman" w:cs="Times New Roman" w:eastAsia="Times New Roman" w:hint="default"/>
        </w:rPr>
        <w:t>2</w:t>
      </w:r>
      <w:r>
        <w:rPr/>
        <w:t>、资产负债表日后利润分配情况说明</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8"/>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765;top:14;width:23;height:393" coordorigin="4765,14" coordsize="23,393">
              <v:shape style="position:absolute;left:4765;top:14;width:23;height:393" coordorigin="4765,14" coordsize="23,393" path="m4765,407l4788,407,4788,14,4765,14,4765,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728;height:393" coordorigin="37,14" coordsize="4728,393">
              <v:shape style="position:absolute;left:37;top:14;width:4728;height:393" coordorigin="37,14" coordsize="4728,393" path="m37,407l4765,407,4765,14,37,14,37,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5;height:2" coordorigin="5,412" coordsize="4785,2">
              <v:shape style="position:absolute;left:5;top:412;width:4785;height:2" coordorigin="5,412" coordsize="4785,0" path="m5,412l4789,412e" filled="false" stroked="true" strokeweight=".48001pt" strokecolor="#000000">
                <v:path arrowok="t"/>
              </v:shape>
            </v:group>
            <v:group style="position:absolute;left:4794;top:14;width:2;height:402" coordorigin="4794,14" coordsize="2,402">
              <v:shape style="position:absolute;left:4794;top:14;width:2;height:402" coordorigin="4794,14" coordsize="0,402" path="m4794,14l4794,416e" filled="false" stroked="true" strokeweight=".48001pt" strokecolor="#000000">
                <v:path arrowok="t"/>
              </v:shape>
            </v:group>
            <v:group style="position:absolute;left:4799;top:412;width:4774;height:2" coordorigin="4799,412" coordsize="4774,2">
              <v:shape style="position:absolute;left:4799;top:412;width:4774;height:2" coordorigin="4799,412" coordsize="4774,0" path="m4799,412l9572,412e" filled="false" stroked="true" strokeweight=".48001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10;top:10;width:4784;height:402" type="#_x0000_t202" filled="false" stroked="false">
                <v:textbox inset="0,0,0,0">
                  <w:txbxContent>
                    <w:p>
                      <w:pPr>
                        <w:spacing w:before="56"/>
                        <w:ind w:left="27" w:right="0" w:firstLine="0"/>
                        <w:jc w:val="left"/>
                        <w:rPr>
                          <w:rFonts w:ascii="宋体" w:hAnsi="宋体" w:cs="宋体" w:eastAsia="宋体" w:hint="default"/>
                          <w:sz w:val="18"/>
                          <w:szCs w:val="18"/>
                        </w:rPr>
                      </w:pPr>
                      <w:r>
                        <w:rPr>
                          <w:rFonts w:ascii="宋体" w:hAnsi="宋体" w:cs="宋体" w:eastAsia="宋体" w:hint="default"/>
                          <w:sz w:val="18"/>
                          <w:szCs w:val="18"/>
                        </w:rPr>
                        <w:t>拟分配的利润或股利</w:t>
                      </w:r>
                    </w:p>
                  </w:txbxContent>
                </v:textbox>
                <w10:wrap type="none"/>
              </v:shape>
              <v:shape style="position:absolute;left:4793;top:10;width:4784;height:402" type="#_x0000_t202" filled="false" stroked="false">
                <v:textbox inset="0,0,0,0">
                  <w:txbxContent>
                    <w:p>
                      <w:pPr>
                        <w:spacing w:before="96"/>
                        <w:ind w:left="0" w:right="24" w:firstLine="0"/>
                        <w:jc w:val="right"/>
                        <w:rPr>
                          <w:rFonts w:ascii="Times New Roman" w:hAnsi="Times New Roman" w:cs="Times New Roman" w:eastAsia="Times New Roman" w:hint="default"/>
                          <w:sz w:val="18"/>
                          <w:szCs w:val="18"/>
                        </w:rPr>
                      </w:pPr>
                      <w:r>
                        <w:rPr>
                          <w:rFonts w:ascii="Times New Roman"/>
                          <w:spacing w:val="-1"/>
                          <w:sz w:val="18"/>
                        </w:rPr>
                        <w:t>8,700,000.00</w:t>
                      </w:r>
                    </w:p>
                  </w:txbxContent>
                </v:textbox>
                <w10:wrap type="none"/>
              </v:shape>
            </v:group>
          </v:group>
        </w:pict>
      </w:r>
      <w:r>
        <w:rPr>
          <w:rFonts w:ascii="宋体" w:hAnsi="宋体" w:cs="宋体" w:eastAsia="宋体" w:hint="default"/>
          <w:position w:val="-7"/>
          <w:sz w:val="20"/>
          <w:szCs w:val="20"/>
        </w:rPr>
      </w:r>
    </w:p>
    <w:p>
      <w:pPr>
        <w:spacing w:line="240" w:lineRule="auto" w:before="4"/>
        <w:rPr>
          <w:rFonts w:ascii="宋体" w:hAnsi="宋体" w:cs="宋体" w:eastAsia="宋体" w:hint="default"/>
          <w:sz w:val="19"/>
          <w:szCs w:val="19"/>
        </w:rPr>
      </w:pPr>
    </w:p>
    <w:p>
      <w:pPr>
        <w:pStyle w:val="Heading5"/>
        <w:spacing w:line="240" w:lineRule="auto" w:before="38"/>
        <w:ind w:right="0"/>
        <w:jc w:val="left"/>
        <w:rPr>
          <w:b w:val="0"/>
          <w:bCs w:val="0"/>
        </w:rPr>
      </w:pPr>
      <w:r>
        <w:rPr>
          <w:rFonts w:ascii="Times New Roman" w:hAnsi="Times New Roman" w:cs="Times New Roman" w:eastAsia="Times New Roman" w:hint="default"/>
        </w:rPr>
        <w:t>3</w:t>
      </w:r>
      <w:r>
        <w:rPr/>
        <w:t>、其他资产负债表日后事项说明</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十四、其他重要事项</w:t>
      </w:r>
      <w:r>
        <w:rPr>
          <w:b w:val="0"/>
          <w:bCs w:val="0"/>
        </w:rPr>
      </w:r>
    </w:p>
    <w:p>
      <w:pPr>
        <w:spacing w:line="240" w:lineRule="auto" w:before="4"/>
        <w:rPr>
          <w:rFonts w:ascii="宋体" w:hAnsi="宋体" w:cs="宋体" w:eastAsia="宋体" w:hint="default"/>
          <w:b/>
          <w:bCs/>
          <w:sz w:val="25"/>
          <w:szCs w:val="25"/>
        </w:rPr>
      </w:pPr>
    </w:p>
    <w:p>
      <w:pPr>
        <w:spacing w:line="513" w:lineRule="auto" w:before="0"/>
        <w:ind w:left="154" w:right="5915" w:firstLine="0"/>
        <w:jc w:val="left"/>
        <w:rPr>
          <w:rFonts w:ascii="宋体" w:hAnsi="宋体" w:cs="宋体" w:eastAsia="宋体" w:hint="default"/>
          <w:sz w:val="20"/>
          <w:szCs w:val="20"/>
        </w:rPr>
      </w:pPr>
      <w:r>
        <w:rPr>
          <w:rFonts w:ascii="宋体" w:hAnsi="宋体" w:cs="宋体" w:eastAsia="宋体" w:hint="default"/>
          <w:b/>
          <w:bCs/>
          <w:sz w:val="20"/>
          <w:szCs w:val="20"/>
        </w:rPr>
        <w:t>无</w:t>
      </w:r>
      <w:r>
        <w:rPr>
          <w:rFonts w:ascii="宋体" w:hAnsi="宋体" w:cs="宋体" w:eastAsia="宋体" w:hint="default"/>
          <w:b/>
          <w:bCs/>
          <w:w w:val="99"/>
          <w:sz w:val="20"/>
          <w:szCs w:val="20"/>
        </w:rPr>
        <w:t> </w:t>
      </w:r>
      <w:r>
        <w:rPr>
          <w:rFonts w:ascii="宋体" w:hAnsi="宋体" w:cs="宋体" w:eastAsia="宋体" w:hint="default"/>
          <w:b/>
          <w:bCs/>
          <w:sz w:val="24"/>
          <w:szCs w:val="24"/>
        </w:rPr>
        <w:t>十五、母公司财务报表主要项目注释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、应收账款</w:t>
      </w:r>
      <w:r>
        <w:rPr>
          <w:rFonts w:ascii="宋体" w:hAnsi="宋体" w:cs="宋体" w:eastAsia="宋体" w:hint="default"/>
          <w:sz w:val="20"/>
          <w:szCs w:val="20"/>
        </w:rPr>
      </w:r>
    </w:p>
    <w:p>
      <w:pPr>
        <w:pStyle w:val="Heading5"/>
        <w:spacing w:line="240" w:lineRule="auto" w:before="84"/>
        <w:ind w:right="0"/>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9"/>
        <w:gridCol w:w="1194"/>
        <w:gridCol w:w="530"/>
        <w:gridCol w:w="1328"/>
        <w:gridCol w:w="665"/>
        <w:gridCol w:w="1194"/>
        <w:gridCol w:w="665"/>
        <w:gridCol w:w="1328"/>
        <w:gridCol w:w="665"/>
      </w:tblGrid>
      <w:tr>
        <w:trPr>
          <w:trHeight w:val="402" w:hRule="exact"/>
        </w:trPr>
        <w:tc>
          <w:tcPr>
            <w:tcW w:w="19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99" w:type="dxa"/>
            <w:vMerge/>
            <w:tcBorders>
              <w:left w:val="single" w:sz="4" w:space="0" w:color="000000"/>
              <w:right w:val="single" w:sz="4" w:space="0" w:color="000000"/>
            </w:tcBorders>
            <w:shd w:val="clear" w:color="auto" w:fill="D3D3D3"/>
          </w:tcPr>
          <w:p>
            <w:pPr/>
          </w:p>
        </w:tc>
        <w:tc>
          <w:tcPr>
            <w:tcW w:w="17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999" w:type="dxa"/>
            <w:vMerge/>
            <w:tcBorders>
              <w:left w:val="single" w:sz="4" w:space="0" w:color="000000"/>
              <w:bottom w:val="single" w:sz="4" w:space="0" w:color="000000"/>
              <w:right w:val="single" w:sz="4" w:space="0" w:color="000000"/>
            </w:tcBorders>
            <w:shd w:val="clear" w:color="auto" w:fill="D3D3D3"/>
          </w:tcPr>
          <w:p>
            <w:pP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2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1" w:right="0"/>
              <w:jc w:val="left"/>
              <w:rPr>
                <w:rFonts w:ascii="Times New Roman" w:hAnsi="Times New Roman" w:cs="Times New Roman" w:eastAsia="Times New Roman" w:hint="default"/>
                <w:sz w:val="18"/>
                <w:szCs w:val="18"/>
              </w:rPr>
            </w:pPr>
            <w:r>
              <w:rPr>
                <w:rFonts w:ascii="Times New Roman"/>
                <w:sz w:val="18"/>
              </w:rPr>
              <w:t>(%)</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2"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2"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128,137,207.74</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7,682,975.01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59,693,307.22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3,319,212.08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5.56%</w:t>
            </w:r>
          </w:p>
        </w:tc>
      </w:tr>
      <w:tr>
        <w:trPr>
          <w:trHeight w:val="402"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128,137,207.74</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7,682,975.01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59,693,307.22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3,319,212.08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5.56%</w:t>
            </w:r>
          </w:p>
        </w:tc>
      </w:tr>
      <w:tr>
        <w:trPr>
          <w:trHeight w:val="402"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128,137,207.74</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7,682,975.01</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59,693,307.22</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3,319,212.08</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pStyle w:val="BodyText"/>
        <w:spacing w:line="360" w:lineRule="auto" w:before="51"/>
        <w:ind w:left="153" w:right="-19"/>
        <w:jc w:val="left"/>
      </w:pPr>
      <w:r>
        <w:rPr/>
        <w:t>应收账款种类的说明 期末单项金额重大并单项计提坏账准备的应收账款</w:t>
      </w:r>
    </w:p>
    <w:p>
      <w:pPr>
        <w:pStyle w:val="BodyText"/>
        <w:spacing w:line="340" w:lineRule="auto" w:before="2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组合中，采用账龄分析法计提坏账准备的应收账款</w:t>
      </w:r>
    </w:p>
    <w:p>
      <w:pPr>
        <w:pStyle w:val="BodyText"/>
        <w:spacing w:line="240" w:lineRule="auto" w:before="40"/>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115" w:space="471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993"/>
        <w:gridCol w:w="665"/>
        <w:gridCol w:w="1462"/>
        <w:gridCol w:w="2126"/>
        <w:gridCol w:w="664"/>
        <w:gridCol w:w="1594"/>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346"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12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5" w:type="dxa"/>
            <w:vMerge/>
            <w:tcBorders>
              <w:left w:val="single" w:sz="4" w:space="0" w:color="000000"/>
              <w:right w:val="single" w:sz="4" w:space="0" w:color="000000"/>
            </w:tcBorders>
            <w:shd w:val="clear" w:color="auto" w:fill="D3D3D3"/>
          </w:tcPr>
          <w:p>
            <w:pPr/>
          </w:p>
        </w:tc>
        <w:tc>
          <w:tcPr>
            <w:tcW w:w="26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6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065" w:type="dxa"/>
            <w:vMerge/>
            <w:tcBorders>
              <w:left w:val="single" w:sz="4" w:space="0" w:color="000000"/>
              <w:bottom w:val="single" w:sz="4" w:space="0" w:color="000000"/>
              <w:right w:val="single" w:sz="4" w:space="0" w:color="000000"/>
            </w:tcBorders>
            <w:shd w:val="clear" w:color="auto" w:fill="D3D3D3"/>
          </w:tcPr>
          <w:p>
            <w:pP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462" w:type="dxa"/>
            <w:vMerge/>
            <w:tcBorders>
              <w:left w:val="single" w:sz="4" w:space="0" w:color="000000"/>
              <w:bottom w:val="single" w:sz="4" w:space="0" w:color="000000"/>
              <w:right w:val="single" w:sz="4" w:space="0" w:color="000000"/>
            </w:tcBorders>
            <w:shd w:val="clear" w:color="auto" w:fill="D3D3D3"/>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 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111,205,028.15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86.79%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5,560,251.41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54,405,217.04</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2,720,260.85</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13,349,056.64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10.42%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1,334,905.66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5,050,779.03</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505,077.90</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3,345,811.80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669,162.36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82,607.50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16,521.50</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82,607.50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41,303.75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154,703.65</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77,351.83</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154,703.65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77,351.83</w:t>
            </w:r>
          </w:p>
        </w:tc>
        <w:tc>
          <w:tcPr>
            <w:tcW w:w="212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128,137,207.74</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7,682,975.01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59,693,307.22</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3,319,212.08</w:t>
            </w:r>
          </w:p>
        </w:tc>
      </w:tr>
    </w:tbl>
    <w:p>
      <w:pPr>
        <w:pStyle w:val="BodyText"/>
        <w:spacing w:line="240" w:lineRule="auto" w:before="51"/>
        <w:ind w:right="0"/>
        <w:jc w:val="left"/>
      </w:pPr>
      <w:r>
        <w:rPr/>
        <w:t>组合中，采用余额百分比法计提坏账准备的应收账款</w:t>
      </w:r>
    </w:p>
    <w:p>
      <w:pPr>
        <w:pStyle w:val="BodyText"/>
        <w:spacing w:line="338" w:lineRule="auto" w:before="117"/>
        <w:ind w:right="59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340" w:lineRule="auto" w:before="42"/>
        <w:ind w:right="54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期末单项金额虽不重大但单项计提坏账准备的应收账款</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t>无此事项</w:t>
      </w:r>
    </w:p>
    <w:p>
      <w:pPr>
        <w:spacing w:after="0" w:line="240" w:lineRule="auto"/>
        <w:jc w:val="left"/>
        <w:sectPr>
          <w:type w:val="continuous"/>
          <w:pgSz w:w="11910" w:h="16840"/>
          <w:pgMar w:top="1060" w:bottom="1180" w:left="980" w:right="980"/>
        </w:sectPr>
      </w:pPr>
    </w:p>
    <w:p>
      <w:pPr>
        <w:spacing w:line="240" w:lineRule="auto" w:before="1"/>
        <w:rPr>
          <w:rFonts w:ascii="宋体" w:hAnsi="宋体" w:cs="宋体" w:eastAsia="宋体" w:hint="default"/>
          <w:sz w:val="25"/>
          <w:szCs w:val="25"/>
        </w:rPr>
      </w:pPr>
    </w:p>
    <w:p>
      <w:pPr>
        <w:pStyle w:val="Heading5"/>
        <w:spacing w:line="240" w:lineRule="auto" w:before="38"/>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3"/>
        <w:ind w:right="0"/>
        <w:jc w:val="left"/>
        <w:rPr>
          <w:b w:val="0"/>
          <w:bCs w:val="0"/>
        </w:rPr>
      </w:pPr>
      <w:r>
        <w:rPr/>
        <w:t>（</w:t>
      </w:r>
      <w:r>
        <w:rPr>
          <w:rFonts w:ascii="Times New Roman" w:hAnsi="Times New Roman" w:cs="Times New Roman" w:eastAsia="Times New Roman" w:hint="default"/>
        </w:rPr>
        <w:t>4</w:t>
      </w:r>
      <w:r>
        <w:rPr/>
        <w:t>）本报告期应收账款中持有公司</w:t>
      </w:r>
      <w:r>
        <w:rPr>
          <w:spacing w:val="-54"/>
        </w:rPr>
        <w:t> </w:t>
      </w:r>
      <w:r>
        <w:rPr>
          <w:rFonts w:ascii="Times New Roman" w:hAnsi="Times New Roman" w:cs="Times New Roman" w:eastAsia="Times New Roman" w:hint="default"/>
        </w:rPr>
        <w:t>5</w:t>
      </w:r>
      <w:r>
        <w:rPr/>
        <w:t>％（含</w:t>
      </w:r>
      <w:r>
        <w:rPr>
          <w:spacing w:val="-53"/>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3"/>
        <w:ind w:right="0"/>
        <w:jc w:val="left"/>
        <w:rPr>
          <w:b w:val="0"/>
          <w:bCs w:val="0"/>
        </w:rPr>
      </w:pP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拉萨市暖心燃气热力设 备销售有限公司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29.85%</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伊厦成都国际商贸城股 份有限公司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13,630,142.60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10.64%</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苏州工业园区金鸡湖大 酒店有限公司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10,910,569.31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8.51%</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杭州金基房地产开发有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8,896,942.12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4,142,857.14</w:t>
            </w:r>
            <w:r>
              <w:rPr>
                <w:rFonts w:ascii="宋体" w:hAnsi="宋体" w:cs="宋体" w:eastAsia="宋体" w:hint="default"/>
                <w:sz w:val="18"/>
                <w:szCs w:val="18"/>
              </w:rPr>
              <w:t>；</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4,754,084.98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6.94%</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四川华西集团有限公司 厦门分公司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7,755,567.57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6,006,040.09</w:t>
            </w:r>
            <w:r>
              <w:rPr>
                <w:rFonts w:ascii="宋体" w:hAnsi="宋体" w:cs="宋体" w:eastAsia="宋体" w:hint="default"/>
                <w:sz w:val="18"/>
                <w:szCs w:val="18"/>
              </w:rPr>
              <w:t>；</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1,749,527.48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6.05%</w:t>
            </w:r>
          </w:p>
        </w:tc>
      </w:tr>
    </w:tbl>
    <w:p>
      <w:pPr>
        <w:spacing w:line="240" w:lineRule="auto" w:before="8"/>
        <w:rPr>
          <w:rFonts w:ascii="宋体" w:hAnsi="宋体" w:cs="宋体" w:eastAsia="宋体" w:hint="default"/>
          <w:sz w:val="19"/>
          <w:szCs w:val="19"/>
        </w:rPr>
      </w:pPr>
    </w:p>
    <w:p>
      <w:pPr>
        <w:pStyle w:val="Heading5"/>
        <w:spacing w:line="240" w:lineRule="auto" w:before="38"/>
        <w:ind w:right="0"/>
        <w:jc w:val="left"/>
        <w:rPr>
          <w:b w:val="0"/>
          <w:bCs w:val="0"/>
        </w:rPr>
      </w:pPr>
      <w:r>
        <w:rPr/>
        <w:t>（</w:t>
      </w:r>
      <w:r>
        <w:rPr>
          <w:rFonts w:ascii="Times New Roman" w:hAnsi="Times New Roman" w:cs="Times New Roman" w:eastAsia="Times New Roman" w:hint="default"/>
        </w:rPr>
        <w:t>6</w:t>
      </w:r>
      <w:r>
        <w:rPr/>
        <w:t>）应收关联方账款情况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30"/>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71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浙江百家乐房地产开发有限 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5"/>
              <w:jc w:val="left"/>
              <w:rPr>
                <w:rFonts w:ascii="宋体" w:hAnsi="宋体" w:cs="宋体" w:eastAsia="宋体" w:hint="default"/>
                <w:sz w:val="18"/>
                <w:szCs w:val="18"/>
              </w:rPr>
            </w:pPr>
            <w:r>
              <w:rPr>
                <w:rFonts w:ascii="宋体" w:hAnsi="宋体" w:cs="宋体" w:eastAsia="宋体" w:hint="default"/>
                <w:sz w:val="18"/>
                <w:szCs w:val="18"/>
              </w:rPr>
              <w:t>董事蔡福益担任董事、总经理 的公司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1,150,463.00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w:t>
            </w:r>
          </w:p>
        </w:tc>
      </w:tr>
      <w:tr>
        <w:trPr>
          <w:trHeight w:val="71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杭州玄坛源实业有限公司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41"/>
              <w:jc w:val="left"/>
              <w:rPr>
                <w:rFonts w:ascii="宋体" w:hAnsi="宋体" w:cs="宋体" w:eastAsia="宋体" w:hint="default"/>
                <w:sz w:val="18"/>
                <w:szCs w:val="18"/>
              </w:rPr>
            </w:pPr>
            <w:r>
              <w:rPr>
                <w:rFonts w:ascii="宋体" w:hAnsi="宋体" w:cs="宋体" w:eastAsia="宋体" w:hint="default"/>
                <w:sz w:val="18"/>
                <w:szCs w:val="18"/>
              </w:rPr>
              <w:t>董事蔡福益间接持有其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w:t>
            </w:r>
            <w:r>
              <w:rPr>
                <w:rFonts w:ascii="宋体" w:hAnsi="宋体" w:cs="宋体" w:eastAsia="宋体" w:hint="default"/>
                <w:sz w:val="18"/>
                <w:szCs w:val="18"/>
              </w:rPr>
              <w:t>的 股份并担任董事的企业</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861,544.84</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0.67%</w:t>
            </w:r>
          </w:p>
        </w:tc>
      </w:tr>
      <w:tr>
        <w:trPr>
          <w:trHeight w:val="71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杭州国润房地产有限公司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5"/>
              <w:jc w:val="left"/>
              <w:rPr>
                <w:rFonts w:ascii="宋体" w:hAnsi="宋体" w:cs="宋体" w:eastAsia="宋体" w:hint="default"/>
                <w:sz w:val="18"/>
                <w:szCs w:val="18"/>
              </w:rPr>
            </w:pPr>
            <w:r>
              <w:rPr>
                <w:rFonts w:ascii="宋体" w:hAnsi="宋体" w:cs="宋体" w:eastAsia="宋体" w:hint="default"/>
                <w:sz w:val="18"/>
                <w:szCs w:val="18"/>
              </w:rPr>
              <w:t>董事蔡福益持股并担任董事长 的企业</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2,137.50</w:t>
            </w:r>
          </w:p>
        </w:tc>
        <w:tc>
          <w:tcPr>
            <w:tcW w:w="24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2,014,145.34</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1.57%</w:t>
            </w:r>
          </w:p>
        </w:tc>
      </w:tr>
    </w:tbl>
    <w:p>
      <w:pPr>
        <w:spacing w:line="240" w:lineRule="auto" w:before="8"/>
        <w:rPr>
          <w:rFonts w:ascii="宋体" w:hAnsi="宋体" w:cs="宋体" w:eastAsia="宋体" w:hint="default"/>
          <w:sz w:val="19"/>
          <w:szCs w:val="19"/>
        </w:rPr>
      </w:pPr>
    </w:p>
    <w:p>
      <w:pPr>
        <w:pStyle w:val="Heading5"/>
        <w:spacing w:line="240" w:lineRule="auto" w:before="38"/>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70"/>
        <w:gridCol w:w="1454"/>
        <w:gridCol w:w="528"/>
        <w:gridCol w:w="1321"/>
        <w:gridCol w:w="528"/>
        <w:gridCol w:w="1322"/>
        <w:gridCol w:w="528"/>
        <w:gridCol w:w="1188"/>
        <w:gridCol w:w="528"/>
      </w:tblGrid>
      <w:tr>
        <w:trPr>
          <w:trHeight w:val="402" w:hRule="exact"/>
        </w:trPr>
        <w:tc>
          <w:tcPr>
            <w:tcW w:w="21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170" w:type="dxa"/>
            <w:vMerge/>
            <w:tcBorders>
              <w:left w:val="single" w:sz="4" w:space="0" w:color="000000"/>
              <w:right w:val="single" w:sz="4" w:space="0" w:color="000000"/>
            </w:tcBorders>
            <w:shd w:val="clear" w:color="auto" w:fill="D3D3D3"/>
          </w:tcPr>
          <w:p>
            <w:pP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2170" w:type="dxa"/>
            <w:vMerge/>
            <w:tcBorders>
              <w:left w:val="single" w:sz="4" w:space="0" w:color="000000"/>
              <w:bottom w:val="single" w:sz="4" w:space="0" w:color="000000"/>
              <w:right w:val="single" w:sz="4" w:space="0" w:color="000000"/>
            </w:tcBorders>
            <w:shd w:val="clear" w:color="auto" w:fill="D3D3D3"/>
          </w:tcPr>
          <w:p>
            <w:pP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23"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23"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23" w:right="0"/>
              <w:jc w:val="left"/>
              <w:rPr>
                <w:rFonts w:ascii="Times New Roman" w:hAnsi="Times New Roman" w:cs="Times New Roman" w:eastAsia="Times New Roman" w:hint="default"/>
                <w:sz w:val="18"/>
                <w:szCs w:val="18"/>
              </w:rPr>
            </w:pPr>
            <w:r>
              <w:rPr>
                <w:rFonts w:ascii="Times New Roman"/>
                <w:sz w:val="18"/>
              </w:rPr>
              <w:t>(%)</w:t>
            </w:r>
          </w:p>
        </w:tc>
        <w:tc>
          <w:tcPr>
            <w:tcW w:w="1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4"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45,285,563.89</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4,559,960.85</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left"/>
              <w:rPr>
                <w:rFonts w:ascii="Times New Roman" w:hAnsi="Times New Roman" w:cs="Times New Roman" w:eastAsia="Times New Roman" w:hint="default"/>
                <w:sz w:val="18"/>
                <w:szCs w:val="18"/>
              </w:rPr>
            </w:pPr>
            <w:r>
              <w:rPr>
                <w:rFonts w:ascii="Times New Roman"/>
                <w:sz w:val="18"/>
              </w:rPr>
              <w:t>10.07</w:t>
            </w:r>
          </w:p>
          <w:p>
            <w:pPr>
              <w:pStyle w:val="TableParagraph"/>
              <w:spacing w:line="240" w:lineRule="auto" w:before="106"/>
              <w:ind w:left="344"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35,652,707.21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2,640,718.91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7.41%</w:t>
            </w:r>
          </w:p>
        </w:tc>
      </w:tr>
      <w:tr>
        <w:trPr>
          <w:trHeight w:val="714"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45,285,563.89</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4,559,960.85</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left"/>
              <w:rPr>
                <w:rFonts w:ascii="Times New Roman" w:hAnsi="Times New Roman" w:cs="Times New Roman" w:eastAsia="Times New Roman" w:hint="default"/>
                <w:sz w:val="18"/>
                <w:szCs w:val="18"/>
              </w:rPr>
            </w:pPr>
            <w:r>
              <w:rPr>
                <w:rFonts w:ascii="Times New Roman"/>
                <w:sz w:val="18"/>
              </w:rPr>
              <w:t>10.07</w:t>
            </w:r>
          </w:p>
          <w:p>
            <w:pPr>
              <w:pStyle w:val="TableParagraph"/>
              <w:spacing w:line="240" w:lineRule="auto" w:before="106"/>
              <w:ind w:left="344"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35,652,707.21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2,640,718.91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7.41%</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45,285,563.89</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4,559,960.85</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35,652,707.21</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2,640,718.91</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pStyle w:val="BodyText"/>
        <w:spacing w:line="360" w:lineRule="auto" w:before="51"/>
        <w:ind w:left="153" w:right="-19"/>
        <w:jc w:val="left"/>
      </w:pPr>
      <w:r>
        <w:rPr/>
        <w:t>其他应收款种类的说明 期末单项金额重大并单项计提坏账准备的其他应收款</w:t>
      </w:r>
    </w:p>
    <w:p>
      <w:pPr>
        <w:pStyle w:val="BodyText"/>
        <w:spacing w:line="340" w:lineRule="auto" w:before="2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组合中，采用账龄分析法计提坏账准备的其他应收款</w:t>
      </w:r>
    </w:p>
    <w:p>
      <w:pPr>
        <w:pStyle w:val="BodyText"/>
        <w:spacing w:line="240" w:lineRule="auto" w:before="40"/>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295" w:space="453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66"/>
        <w:gridCol w:w="1793"/>
        <w:gridCol w:w="665"/>
        <w:gridCol w:w="1594"/>
        <w:gridCol w:w="1861"/>
        <w:gridCol w:w="665"/>
        <w:gridCol w:w="1726"/>
      </w:tblGrid>
      <w:tr>
        <w:trPr>
          <w:trHeight w:val="402" w:hRule="exact"/>
        </w:trPr>
        <w:tc>
          <w:tcPr>
            <w:tcW w:w="1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405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266" w:type="dxa"/>
            <w:vMerge/>
            <w:tcBorders>
              <w:left w:val="single" w:sz="4" w:space="0" w:color="000000"/>
              <w:right w:val="single" w:sz="4" w:space="0" w:color="000000"/>
            </w:tcBorders>
            <w:shd w:val="clear" w:color="auto" w:fill="D3D3D3"/>
          </w:tcPr>
          <w:p>
            <w:pPr/>
          </w:p>
        </w:tc>
        <w:tc>
          <w:tcPr>
            <w:tcW w:w="24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266" w:type="dxa"/>
            <w:vMerge/>
            <w:tcBorders>
              <w:left w:val="single" w:sz="4" w:space="0" w:color="000000"/>
              <w:bottom w:val="single" w:sz="4" w:space="0" w:color="000000"/>
              <w:right w:val="single" w:sz="4" w:space="0" w:color="000000"/>
            </w:tcBorders>
            <w:shd w:val="clear" w:color="auto" w:fill="D3D3D3"/>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72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24,125,877.18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53.28%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1,206,293.86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21,213,555.82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1,060,677.79</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10,313,365.02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22.77%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1,031,336.50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13,077,891.59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36.68%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1,307,789.16</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10,336,101.19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22.82%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2,067,220.24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1,361,259.80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272,251.96</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510,220.50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6" w:right="0"/>
              <w:jc w:val="left"/>
              <w:rPr>
                <w:rFonts w:ascii="Times New Roman" w:hAnsi="Times New Roman" w:cs="Times New Roman" w:eastAsia="Times New Roman" w:hint="default"/>
                <w:sz w:val="18"/>
                <w:szCs w:val="18"/>
              </w:rPr>
            </w:pPr>
            <w:r>
              <w:rPr>
                <w:rFonts w:ascii="Times New Roman"/>
                <w:sz w:val="18"/>
              </w:rPr>
              <w:t>1.13%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255,110.25</w:t>
            </w:r>
          </w:p>
        </w:tc>
        <w:tc>
          <w:tcPr>
            <w:tcW w:w="186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45,285,563.89</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4,559,960.85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35,652,707.21</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2,640,718.91</w:t>
            </w:r>
          </w:p>
        </w:tc>
      </w:tr>
    </w:tbl>
    <w:p>
      <w:pPr>
        <w:pStyle w:val="BodyText"/>
        <w:spacing w:line="240" w:lineRule="auto" w:before="51"/>
        <w:ind w:right="0"/>
        <w:jc w:val="left"/>
      </w:pPr>
      <w:r>
        <w:rPr/>
        <w:t>组合中，采用余额百分比法计提坏账准备的其他应收款</w:t>
      </w:r>
    </w:p>
    <w:p>
      <w:pPr>
        <w:pStyle w:val="BodyText"/>
        <w:spacing w:line="338" w:lineRule="auto" w:before="117"/>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340" w:lineRule="auto" w:before="42"/>
        <w:ind w:right="52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期末单项金额虽不重大但单项计提坏账准备的其他应收款</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t>无此事项</w:t>
      </w:r>
    </w:p>
    <w:p>
      <w:pPr>
        <w:spacing w:after="0" w:line="240" w:lineRule="auto"/>
        <w:jc w:val="left"/>
        <w:sectPr>
          <w:type w:val="continuous"/>
          <w:pgSz w:w="11910" w:h="16840"/>
          <w:pgMar w:top="1060" w:bottom="1180" w:left="980" w:right="980"/>
        </w:sectPr>
      </w:pPr>
    </w:p>
    <w:p>
      <w:pPr>
        <w:spacing w:line="240" w:lineRule="auto" w:before="1"/>
        <w:rPr>
          <w:rFonts w:ascii="宋体" w:hAnsi="宋体" w:cs="宋体" w:eastAsia="宋体" w:hint="default"/>
          <w:sz w:val="25"/>
          <w:szCs w:val="25"/>
        </w:rPr>
      </w:pPr>
    </w:p>
    <w:p>
      <w:pPr>
        <w:pStyle w:val="Heading5"/>
        <w:spacing w:line="240" w:lineRule="auto" w:before="38"/>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3"/>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52"/>
        </w:rPr>
        <w:t> </w:t>
      </w:r>
      <w:r>
        <w:rPr>
          <w:rFonts w:ascii="Times New Roman" w:hAnsi="Times New Roman" w:cs="Times New Roman" w:eastAsia="Times New Roman" w:hint="default"/>
        </w:rPr>
        <w:t>5</w:t>
      </w:r>
      <w:r>
        <w:rPr/>
        <w:t>％（含</w:t>
      </w:r>
      <w:r>
        <w:rPr>
          <w:spacing w:val="-53"/>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3"/>
        <w:ind w:right="0"/>
        <w:jc w:val="left"/>
        <w:rPr>
          <w:b w:val="0"/>
          <w:bCs w:val="0"/>
        </w:rPr>
      </w:pPr>
      <w:r>
        <w:rPr/>
        <w:t>（</w:t>
      </w:r>
      <w:r>
        <w:rPr>
          <w:rFonts w:ascii="Times New Roman" w:hAnsi="Times New Roman" w:cs="Times New Roman" w:eastAsia="Times New Roman" w:hint="default"/>
        </w:rPr>
        <w:t>5</w:t>
      </w:r>
      <w:r>
        <w:rPr/>
        <w:t>）其他应收款金额前五名单位情况</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25"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盐城市机电设备招标投 标交易中心</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4,558,390.00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10.07%</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四川烟草工业有限责任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2,296,540.90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5.07%</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杭州余杭旅游集团有限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2,128,939.70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759,323.70</w:t>
            </w:r>
            <w:r>
              <w:rPr>
                <w:rFonts w:ascii="宋体" w:hAnsi="宋体" w:cs="宋体" w:eastAsia="宋体" w:hint="default"/>
                <w:sz w:val="18"/>
                <w:szCs w:val="18"/>
              </w:rPr>
              <w:t>；</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1,369,616.00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桐乡市世贸中心置业有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4.42%</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杭州西溪国家湿地公园 三期工程有限公司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12,633,870.60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w:t>
            </w:r>
          </w:p>
        </w:tc>
      </w:tr>
    </w:tbl>
    <w:p>
      <w:pPr>
        <w:spacing w:line="240" w:lineRule="auto" w:before="8"/>
        <w:rPr>
          <w:rFonts w:ascii="宋体" w:hAnsi="宋体" w:cs="宋体" w:eastAsia="宋体" w:hint="default"/>
          <w:sz w:val="19"/>
          <w:szCs w:val="19"/>
        </w:rPr>
      </w:pPr>
    </w:p>
    <w:p>
      <w:pPr>
        <w:pStyle w:val="Heading5"/>
        <w:spacing w:line="530" w:lineRule="auto" w:before="38"/>
        <w:ind w:right="7061" w:hanging="1"/>
        <w:jc w:val="left"/>
        <w:rPr>
          <w:b w:val="0"/>
          <w:bCs w:val="0"/>
        </w:rPr>
      </w:pPr>
      <w:r>
        <w:rPr/>
        <w:t>（</w:t>
      </w:r>
      <w:r>
        <w:rPr>
          <w:rFonts w:ascii="Times New Roman" w:hAnsi="Times New Roman" w:cs="Times New Roman" w:eastAsia="Times New Roman" w:hint="default"/>
        </w:rPr>
        <w:t>6</w:t>
      </w:r>
      <w:r>
        <w:rPr/>
        <w:t>）其他应收关联方账款情况</w:t>
      </w:r>
      <w:r>
        <w:rPr>
          <w:w w:val="99"/>
        </w:rPr>
        <w:t> </w:t>
      </w:r>
      <w:r>
        <w:rPr/>
        <w:t>无此事项</w:t>
      </w:r>
      <w:r>
        <w:rPr>
          <w:b w:val="0"/>
          <w:bCs w:val="0"/>
        </w:rPr>
      </w:r>
    </w:p>
    <w:p>
      <w:pPr>
        <w:pStyle w:val="Heading5"/>
        <w:spacing w:line="240" w:lineRule="auto" w:before="109"/>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7"/>
      </w:tblGrid>
      <w:tr>
        <w:trPr>
          <w:trHeight w:val="358" w:hRule="exact"/>
        </w:trPr>
        <w:tc>
          <w:tcPr>
            <w:tcW w:w="7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在被投资</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252" w:hRule="exact"/>
        </w:trPr>
        <w:tc>
          <w:tcPr>
            <w:tcW w:w="7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301"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3"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3" w:right="32"/>
              <w:jc w:val="both"/>
              <w:rPr>
                <w:rFonts w:ascii="宋体" w:hAnsi="宋体" w:cs="宋体" w:eastAsia="宋体" w:hint="default"/>
                <w:sz w:val="18"/>
                <w:szCs w:val="18"/>
              </w:rPr>
            </w:pPr>
            <w:r>
              <w:rPr>
                <w:rFonts w:ascii="宋体" w:hAnsi="宋体" w:cs="宋体" w:eastAsia="宋体" w:hint="default"/>
                <w:sz w:val="18"/>
                <w:szCs w:val="18"/>
              </w:rPr>
              <w:t>单位持股 比例与表 决权比例 不一致的</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说明</w:t>
            </w: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1"/>
              <w:jc w:val="left"/>
              <w:rPr>
                <w:rFonts w:ascii="宋体" w:hAnsi="宋体" w:cs="宋体" w:eastAsia="宋体" w:hint="default"/>
                <w:sz w:val="18"/>
                <w:szCs w:val="18"/>
              </w:rPr>
            </w:pPr>
            <w:r>
              <w:rPr>
                <w:rFonts w:ascii="宋体" w:hAnsi="宋体" w:cs="宋体" w:eastAsia="宋体" w:hint="default"/>
                <w:sz w:val="18"/>
                <w:szCs w:val="18"/>
              </w:rPr>
              <w:t>浙江汉爵 科技有限</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49,655,63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8.79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6,655,638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43,000,00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49,655,63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8.79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4" w:right="0"/>
              <w:jc w:val="lef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4" w:right="0"/>
              <w:jc w:val="lef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362"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上海汉鼎 信息技术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四川通普</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8"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集成系统 工程有限</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18,000,00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18,000,00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18,000,00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75%</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75%</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3"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87,655,63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8.79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6,655,638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81,000,00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87,655,63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8.79</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9"/>
          <w:szCs w:val="19"/>
        </w:rPr>
      </w:pPr>
    </w:p>
    <w:p>
      <w:pPr>
        <w:pStyle w:val="Heading5"/>
        <w:spacing w:line="240" w:lineRule="auto" w:before="38"/>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5"/>
        <w:gridCol w:w="3455"/>
        <w:gridCol w:w="3588"/>
      </w:tblGrid>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375,216,838.62</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329,655,318.32</w:t>
            </w:r>
          </w:p>
        </w:tc>
      </w:tr>
      <w:tr>
        <w:trPr>
          <w:trHeight w:val="402"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4,256,014.19</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2,909,742.38</w:t>
            </w:r>
          </w:p>
        </w:tc>
      </w:tr>
      <w:tr>
        <w:trPr>
          <w:trHeight w:val="402"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379,472,852.81</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332,565,060.70</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272,297,664.60</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242,669,239.04</w:t>
            </w:r>
          </w:p>
        </w:tc>
      </w:tr>
    </w:tbl>
    <w:p>
      <w:pPr>
        <w:spacing w:line="240" w:lineRule="auto" w:before="8"/>
        <w:rPr>
          <w:rFonts w:ascii="宋体" w:hAnsi="宋体" w:cs="宋体" w:eastAsia="宋体" w:hint="default"/>
          <w:sz w:val="19"/>
          <w:szCs w:val="19"/>
        </w:rPr>
      </w:pPr>
    </w:p>
    <w:p>
      <w:pPr>
        <w:pStyle w:val="Heading5"/>
        <w:spacing w:line="240" w:lineRule="auto" w:before="38"/>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375,216,838.62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271,037,245.60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329,655,318.32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8" w:right="0"/>
              <w:jc w:val="left"/>
              <w:rPr>
                <w:rFonts w:ascii="Times New Roman" w:hAnsi="Times New Roman" w:cs="Times New Roman" w:eastAsia="Times New Roman" w:hint="default"/>
                <w:sz w:val="18"/>
                <w:szCs w:val="18"/>
              </w:rPr>
            </w:pPr>
            <w:r>
              <w:rPr>
                <w:rFonts w:ascii="Times New Roman"/>
                <w:sz w:val="18"/>
              </w:rPr>
              <w:t>241,793,447.54</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375,216,838.62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271,037,245.60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329,655,318.32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8" w:right="0"/>
              <w:jc w:val="left"/>
              <w:rPr>
                <w:rFonts w:ascii="Times New Roman" w:hAnsi="Times New Roman" w:cs="Times New Roman" w:eastAsia="Times New Roman" w:hint="default"/>
                <w:sz w:val="18"/>
                <w:szCs w:val="18"/>
              </w:rPr>
            </w:pPr>
            <w:r>
              <w:rPr>
                <w:rFonts w:ascii="Times New Roman"/>
                <w:sz w:val="18"/>
              </w:rPr>
              <w:t>241,793,447.54</w:t>
            </w:r>
          </w:p>
        </w:tc>
      </w:tr>
    </w:tbl>
    <w:p>
      <w:pPr>
        <w:spacing w:line="240" w:lineRule="auto" w:before="8"/>
        <w:rPr>
          <w:rFonts w:ascii="宋体" w:hAnsi="宋体" w:cs="宋体" w:eastAsia="宋体" w:hint="default"/>
          <w:sz w:val="19"/>
          <w:szCs w:val="19"/>
        </w:rPr>
      </w:pPr>
    </w:p>
    <w:p>
      <w:pPr>
        <w:pStyle w:val="Heading5"/>
        <w:spacing w:line="240" w:lineRule="auto" w:before="38"/>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智慧建筑</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282,785,986.92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204,890,711.06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292,809,984.77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212,397,957.52</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智慧公共安全</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35,788,491.64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23,305,273.12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34,853,511.85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27,539,001.42</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智慧节能</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45,596,674.36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32,705,136.98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369,479.65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294,477.23</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智能产品销售</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11,045,685.70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10,136,124.44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1,622,342.05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1,562,011.37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375,216,838.62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1" w:right="0"/>
              <w:jc w:val="left"/>
              <w:rPr>
                <w:rFonts w:ascii="Times New Roman" w:hAnsi="Times New Roman" w:cs="Times New Roman" w:eastAsia="Times New Roman" w:hint="default"/>
                <w:sz w:val="18"/>
                <w:szCs w:val="18"/>
              </w:rPr>
            </w:pPr>
            <w:r>
              <w:rPr>
                <w:rFonts w:ascii="Times New Roman"/>
                <w:sz w:val="18"/>
              </w:rPr>
              <w:t>271,037,245.60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329,655,318.32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241,793,447.54</w:t>
            </w:r>
          </w:p>
        </w:tc>
      </w:tr>
    </w:tbl>
    <w:p>
      <w:pPr>
        <w:spacing w:line="240" w:lineRule="auto" w:before="8"/>
        <w:rPr>
          <w:rFonts w:ascii="宋体" w:hAnsi="宋体" w:cs="宋体" w:eastAsia="宋体" w:hint="default"/>
          <w:sz w:val="19"/>
          <w:szCs w:val="19"/>
        </w:rPr>
      </w:pPr>
    </w:p>
    <w:p>
      <w:pPr>
        <w:pStyle w:val="Heading5"/>
        <w:spacing w:line="240" w:lineRule="auto" w:before="38"/>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北京区域中心</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50,480,652.20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36,468,654.65</w:t>
            </w:r>
          </w:p>
        </w:tc>
        <w:tc>
          <w:tcPr>
            <w:tcW w:w="186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长沙区域中心</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14,483,912.85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11,660,964.65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206,824.71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139,373.17</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上海区域中心</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73,305,847.27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53,867,939.39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38,588,109.66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28,375,855.74</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深圳区域中心</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28,847,855.12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19,988,776.42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41,251,862.79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31,708,154.44</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四川区域中心</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60,372,493.58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42,358,235.85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79,500,295.00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55,129,419.04</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浙江省</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143,651,511.97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104,371,892.84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170,108,226.16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126,440,645.15</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4,074,565.63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2,320,781.80</w:t>
            </w:r>
          </w:p>
        </w:tc>
        <w:tc>
          <w:tcPr>
            <w:tcW w:w="186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375,216,838.62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271,037,245.60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329,655,318.32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241,793,447.54</w:t>
            </w:r>
          </w:p>
        </w:tc>
      </w:tr>
    </w:tbl>
    <w:p>
      <w:pPr>
        <w:spacing w:line="240" w:lineRule="auto" w:before="8"/>
        <w:rPr>
          <w:rFonts w:ascii="宋体" w:hAnsi="宋体" w:cs="宋体" w:eastAsia="宋体" w:hint="default"/>
          <w:sz w:val="19"/>
          <w:szCs w:val="19"/>
        </w:rPr>
      </w:pPr>
    </w:p>
    <w:p>
      <w:pPr>
        <w:pStyle w:val="Heading5"/>
        <w:spacing w:line="240" w:lineRule="auto" w:before="38"/>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2921"/>
        <w:gridCol w:w="1862"/>
      </w:tblGrid>
      <w:tr>
        <w:trPr>
          <w:trHeight w:val="713"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15"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10" w:right="24" w:hanging="58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拉萨市暖心燃气热力有限责任公司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41,250,000.00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10.87%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苏州工业园区金鸡湖大酒店有限公司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23,081,021.52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伊厦成都国际商贸城股份有限公司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19,422,000.00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厦门市杏林建设开发公司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16,315,198.17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长沙开福万达广场投资有限公司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14,449,393.59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114,517,613.28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30.18%</w:t>
            </w:r>
          </w:p>
        </w:tc>
      </w:tr>
    </w:tbl>
    <w:p>
      <w:pPr>
        <w:spacing w:line="240" w:lineRule="auto" w:before="8"/>
        <w:rPr>
          <w:rFonts w:ascii="宋体" w:hAnsi="宋体" w:cs="宋体" w:eastAsia="宋体" w:hint="default"/>
          <w:sz w:val="19"/>
          <w:szCs w:val="19"/>
        </w:rPr>
      </w:pPr>
    </w:p>
    <w:p>
      <w:pPr>
        <w:pStyle w:val="Heading5"/>
        <w:spacing w:line="240" w:lineRule="auto" w:before="38"/>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无此事项</w:t>
      </w:r>
    </w:p>
    <w:p>
      <w:pPr>
        <w:spacing w:line="240" w:lineRule="auto" w:before="0"/>
        <w:rPr>
          <w:rFonts w:ascii="宋体" w:hAnsi="宋体" w:cs="宋体" w:eastAsia="宋体" w:hint="default"/>
          <w:sz w:val="18"/>
          <w:szCs w:val="18"/>
        </w:rPr>
      </w:pPr>
    </w:p>
    <w:p>
      <w:pPr>
        <w:pStyle w:val="Heading5"/>
        <w:spacing w:line="240" w:lineRule="auto" w:before="123"/>
        <w:ind w:right="0"/>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052"/>
        <w:gridCol w:w="2258"/>
        <w:gridCol w:w="2257"/>
      </w:tblGrid>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90" w:right="0"/>
              <w:jc w:val="left"/>
              <w:rPr>
                <w:rFonts w:ascii="Times New Roman" w:hAnsi="Times New Roman" w:cs="Times New Roman" w:eastAsia="Times New Roman" w:hint="default"/>
                <w:sz w:val="18"/>
                <w:szCs w:val="18"/>
              </w:rPr>
            </w:pPr>
            <w:r>
              <w:rPr>
                <w:rFonts w:ascii="Times New Roman"/>
                <w:sz w:val="18"/>
              </w:rPr>
              <w:t>52,172,045.85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90" w:right="0"/>
              <w:jc w:val="left"/>
              <w:rPr>
                <w:rFonts w:ascii="Times New Roman" w:hAnsi="Times New Roman" w:cs="Times New Roman" w:eastAsia="Times New Roman" w:hint="default"/>
                <w:sz w:val="18"/>
                <w:szCs w:val="18"/>
              </w:rPr>
            </w:pPr>
            <w:r>
              <w:rPr>
                <w:rFonts w:ascii="Times New Roman"/>
                <w:sz w:val="18"/>
              </w:rPr>
              <w:t>52,472,265.63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052"/>
        <w:gridCol w:w="2258"/>
        <w:gridCol w:w="2257"/>
      </w:tblGrid>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6,283,004.87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3,557,818.72</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5,409,732.54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2,630,798.71</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113,967.04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22,042.08</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143,218.35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214,827.48</w:t>
            </w:r>
          </w:p>
        </w:tc>
      </w:tr>
      <w:tr>
        <w:trPr>
          <w:trHeight w:val="714"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6"/>
                <w:sz w:val="18"/>
                <w:szCs w:val="18"/>
              </w:rPr>
              <w:t> </w:t>
            </w:r>
            <w:r>
              <w:rPr>
                <w:rFonts w:ascii="宋体" w:hAnsi="宋体" w:cs="宋体" w:eastAsia="宋体" w:hint="default"/>
                <w:sz w:val="18"/>
                <w:szCs w:val="18"/>
              </w:rPr>
              <w:t>填列）</w:t>
            </w:r>
          </w:p>
        </w:tc>
        <w:tc>
          <w:tcPr>
            <w:tcW w:w="22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268.88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15,687.25</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744,788.29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1,415,942.91</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-942,450.73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-533,672.81</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-83,246,790.65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-42,246,524.85</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-84,276,827.66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-63,536,960.89</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71,488,402.29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37,453,900.28</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58"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-7,457,412.48</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-32,110,640.93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-15,991,287.97</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63" w:right="0"/>
              <w:jc w:val="left"/>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63"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63" w:right="0"/>
              <w:jc w:val="left"/>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63"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235,758,282.82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55,441,054.27</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55,441,054.27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103,329,086.09</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180,317,228.55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-47,888,031.82</w:t>
            </w:r>
          </w:p>
        </w:tc>
      </w:tr>
    </w:tbl>
    <w:p>
      <w:pPr>
        <w:spacing w:line="240" w:lineRule="auto" w:before="8"/>
        <w:rPr>
          <w:rFonts w:ascii="宋体" w:hAnsi="宋体" w:cs="宋体" w:eastAsia="宋体" w:hint="default"/>
          <w:sz w:val="19"/>
          <w:szCs w:val="19"/>
        </w:rPr>
      </w:pPr>
    </w:p>
    <w:p>
      <w:pPr>
        <w:pStyle w:val="Heading5"/>
        <w:spacing w:line="240" w:lineRule="auto" w:before="38"/>
        <w:ind w:right="0"/>
        <w:jc w:val="left"/>
        <w:rPr>
          <w:b w:val="0"/>
          <w:bCs w:val="0"/>
        </w:rPr>
      </w:pPr>
      <w:r>
        <w:rPr>
          <w:rFonts w:ascii="Times New Roman" w:hAnsi="Times New Roman" w:cs="Times New Roman" w:eastAsia="Times New Roman" w:hint="default"/>
        </w:rPr>
        <w:t>7</w:t>
      </w:r>
      <w:r>
        <w:rPr/>
        <w:t>、反向购买下以评估值入账的资产、负债情况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无此事项</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十六、补充资料</w:t>
      </w:r>
      <w:r>
        <w:rPr>
          <w:b w:val="0"/>
          <w:bCs w:val="0"/>
        </w:rPr>
      </w:r>
    </w:p>
    <w:p>
      <w:pPr>
        <w:spacing w:line="240" w:lineRule="auto" w:before="4"/>
        <w:rPr>
          <w:rFonts w:ascii="宋体" w:hAnsi="宋体" w:cs="宋体" w:eastAsia="宋体" w:hint="default"/>
          <w:b/>
          <w:bCs/>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39"/>
        <w:gridCol w:w="2178"/>
        <w:gridCol w:w="1914"/>
        <w:gridCol w:w="1938"/>
      </w:tblGrid>
      <w:tr>
        <w:trPr>
          <w:trHeight w:val="206" w:hRule="exact"/>
        </w:trPr>
        <w:tc>
          <w:tcPr>
            <w:tcW w:w="3539" w:type="dxa"/>
            <w:tcBorders>
              <w:top w:val="single" w:sz="4" w:space="0" w:color="000000"/>
              <w:left w:val="single" w:sz="4" w:space="0" w:color="000000"/>
              <w:bottom w:val="nil" w:sz="6" w:space="0" w:color="auto"/>
              <w:right w:val="single" w:sz="4" w:space="0" w:color="000000"/>
            </w:tcBorders>
            <w:shd w:val="clear" w:color="auto" w:fill="D3D3D3"/>
          </w:tcPr>
          <w:p>
            <w:pPr/>
          </w:p>
        </w:tc>
        <w:tc>
          <w:tcPr>
            <w:tcW w:w="21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6" w:hRule="exact"/>
        </w:trPr>
        <w:tc>
          <w:tcPr>
            <w:tcW w:w="353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8" w:type="dxa"/>
            <w:vMerge/>
            <w:tcBorders>
              <w:left w:val="single" w:sz="4" w:space="0" w:color="000000"/>
              <w:right w:val="single" w:sz="4" w:space="0" w:color="000000"/>
            </w:tcBorders>
            <w:shd w:val="clear" w:color="auto" w:fill="D3D3D3"/>
          </w:tcPr>
          <w:p>
            <w:pPr/>
          </w:p>
        </w:tc>
        <w:tc>
          <w:tcPr>
            <w:tcW w:w="3852"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3539" w:type="dxa"/>
            <w:vMerge/>
            <w:tcBorders>
              <w:left w:val="single" w:sz="4" w:space="0" w:color="000000"/>
              <w:bottom w:val="nil" w:sz="6" w:space="0" w:color="auto"/>
              <w:right w:val="single" w:sz="4" w:space="0" w:color="000000"/>
            </w:tcBorders>
            <w:shd w:val="clear" w:color="auto" w:fill="D3D3D3"/>
          </w:tcPr>
          <w:p>
            <w:pPr/>
          </w:p>
        </w:tc>
        <w:tc>
          <w:tcPr>
            <w:tcW w:w="2178" w:type="dxa"/>
            <w:vMerge/>
            <w:tcBorders>
              <w:left w:val="single" w:sz="4" w:space="0" w:color="000000"/>
              <w:right w:val="single" w:sz="4" w:space="0" w:color="000000"/>
            </w:tcBorders>
            <w:shd w:val="clear" w:color="auto" w:fill="D3D3D3"/>
          </w:tcPr>
          <w:p>
            <w:pP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23"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206" w:hRule="exact"/>
        </w:trPr>
        <w:tc>
          <w:tcPr>
            <w:tcW w:w="3539" w:type="dxa"/>
            <w:tcBorders>
              <w:top w:val="nil" w:sz="6" w:space="0" w:color="auto"/>
              <w:left w:val="single" w:sz="4" w:space="0" w:color="000000"/>
              <w:bottom w:val="single" w:sz="4" w:space="0" w:color="000000"/>
              <w:right w:val="single" w:sz="4" w:space="0" w:color="000000"/>
            </w:tcBorders>
            <w:shd w:val="clear" w:color="auto" w:fill="D3D3D3"/>
          </w:tcPr>
          <w:p>
            <w:pPr/>
          </w:p>
        </w:tc>
        <w:tc>
          <w:tcPr>
            <w:tcW w:w="2178"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3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5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0.68</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0.68</w:t>
            </w:r>
          </w:p>
        </w:tc>
      </w:tr>
      <w:tr>
        <w:trPr>
          <w:trHeight w:val="714" w:hRule="exact"/>
        </w:trPr>
        <w:tc>
          <w:tcPr>
            <w:tcW w:w="35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0.64</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0.64</w:t>
            </w:r>
          </w:p>
        </w:tc>
      </w:tr>
    </w:tbl>
    <w:p>
      <w:pPr>
        <w:spacing w:line="240" w:lineRule="auto" w:before="8"/>
        <w:rPr>
          <w:rFonts w:ascii="宋体" w:hAnsi="宋体" w:cs="宋体" w:eastAsia="宋体" w:hint="default"/>
          <w:sz w:val="19"/>
          <w:szCs w:val="19"/>
        </w:rPr>
      </w:pPr>
    </w:p>
    <w:p>
      <w:pPr>
        <w:pStyle w:val="Heading5"/>
        <w:spacing w:line="240" w:lineRule="auto" w:before="38"/>
        <w:ind w:right="0"/>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before="0"/>
        <w:ind w:right="0"/>
        <w:jc w:val="left"/>
        <w:rPr>
          <w:b w:val="0"/>
          <w:bCs w:val="0"/>
        </w:rPr>
      </w:pPr>
      <w:r>
        <w:rPr/>
        <w:t>金额异常或比较期间变动异常的报表项目</w:t>
      </w:r>
      <w:r>
        <w:rPr>
          <w:b w:val="0"/>
          <w:bCs w:val="0"/>
        </w:rPr>
      </w:r>
    </w:p>
    <w:p>
      <w:pPr>
        <w:spacing w:line="240" w:lineRule="auto" w:before="13"/>
        <w:rPr>
          <w:rFonts w:ascii="宋体" w:hAnsi="宋体" w:cs="宋体" w:eastAsia="宋体" w:hint="default"/>
          <w:b/>
          <w:bCs/>
          <w:sz w:val="3"/>
          <w:szCs w:val="3"/>
        </w:rPr>
      </w:pPr>
    </w:p>
    <w:tbl>
      <w:tblPr>
        <w:tblW w:w="0" w:type="auto"/>
        <w:jc w:val="left"/>
        <w:tblInd w:w="146" w:type="dxa"/>
        <w:tblLayout w:type="fixed"/>
        <w:tblCellMar>
          <w:top w:w="0" w:type="dxa"/>
          <w:left w:w="0" w:type="dxa"/>
          <w:bottom w:w="0" w:type="dxa"/>
          <w:right w:w="0" w:type="dxa"/>
        </w:tblCellMar>
        <w:tblLook w:val="01E0"/>
      </w:tblPr>
      <w:tblGrid>
        <w:gridCol w:w="1102"/>
        <w:gridCol w:w="1984"/>
        <w:gridCol w:w="1819"/>
        <w:gridCol w:w="1260"/>
        <w:gridCol w:w="2358"/>
      </w:tblGrid>
      <w:tr>
        <w:trPr>
          <w:trHeight w:val="355" w:hRule="exact"/>
        </w:trPr>
        <w:tc>
          <w:tcPr>
            <w:tcW w:w="11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left="223" w:right="0"/>
              <w:jc w:val="left"/>
              <w:rPr>
                <w:rFonts w:ascii="宋体" w:hAnsi="宋体" w:cs="宋体" w:eastAsia="宋体" w:hint="default"/>
                <w:sz w:val="16"/>
                <w:szCs w:val="16"/>
              </w:rPr>
            </w:pPr>
            <w:r>
              <w:rPr>
                <w:rFonts w:ascii="宋体" w:hAnsi="宋体" w:cs="宋体" w:eastAsia="宋体" w:hint="default"/>
                <w:sz w:val="16"/>
                <w:szCs w:val="16"/>
              </w:rPr>
              <w:t>报表项目</w:t>
            </w:r>
          </w:p>
        </w:tc>
        <w:tc>
          <w:tcPr>
            <w:tcW w:w="19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left="105" w:right="0"/>
              <w:jc w:val="left"/>
              <w:rPr>
                <w:rFonts w:ascii="宋体" w:hAnsi="宋体" w:cs="宋体" w:eastAsia="宋体" w:hint="default"/>
                <w:sz w:val="16"/>
                <w:szCs w:val="16"/>
              </w:rPr>
            </w:pPr>
            <w:r>
              <w:rPr>
                <w:rFonts w:ascii="宋体" w:hAnsi="宋体" w:cs="宋体" w:eastAsia="宋体" w:hint="default"/>
                <w:sz w:val="16"/>
                <w:szCs w:val="16"/>
              </w:rPr>
              <w:t>期末余额（或本期金额）</w:t>
            </w:r>
          </w:p>
        </w:tc>
        <w:tc>
          <w:tcPr>
            <w:tcW w:w="18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left="21" w:right="0"/>
              <w:jc w:val="left"/>
              <w:rPr>
                <w:rFonts w:ascii="宋体" w:hAnsi="宋体" w:cs="宋体" w:eastAsia="宋体" w:hint="default"/>
                <w:sz w:val="16"/>
                <w:szCs w:val="16"/>
              </w:rPr>
            </w:pPr>
            <w:r>
              <w:rPr>
                <w:rFonts w:ascii="宋体" w:hAnsi="宋体" w:cs="宋体" w:eastAsia="宋体" w:hint="default"/>
                <w:sz w:val="16"/>
                <w:szCs w:val="16"/>
              </w:rPr>
              <w:t>年初余额（或上期金额）</w:t>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left="75" w:right="0"/>
              <w:jc w:val="left"/>
              <w:rPr>
                <w:rFonts w:ascii="宋体" w:hAnsi="宋体" w:cs="宋体" w:eastAsia="宋体" w:hint="default"/>
                <w:sz w:val="16"/>
                <w:szCs w:val="16"/>
              </w:rPr>
            </w:pPr>
            <w:r>
              <w:rPr>
                <w:rFonts w:ascii="宋体" w:hAnsi="宋体" w:cs="宋体" w:eastAsia="宋体" w:hint="default"/>
                <w:sz w:val="16"/>
                <w:szCs w:val="16"/>
              </w:rPr>
              <w:t>变动比率（</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c>
          <w:tcPr>
            <w:tcW w:w="235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6"/>
              <w:ind w:right="8"/>
              <w:jc w:val="center"/>
              <w:rPr>
                <w:rFonts w:ascii="宋体" w:hAnsi="宋体" w:cs="宋体" w:eastAsia="宋体" w:hint="default"/>
                <w:sz w:val="16"/>
                <w:szCs w:val="16"/>
              </w:rPr>
            </w:pPr>
            <w:r>
              <w:rPr>
                <w:rFonts w:ascii="宋体" w:hAnsi="宋体" w:cs="宋体" w:eastAsia="宋体" w:hint="default"/>
                <w:sz w:val="16"/>
                <w:szCs w:val="16"/>
              </w:rPr>
              <w:t>变动原因</w:t>
            </w:r>
          </w:p>
        </w:tc>
      </w:tr>
    </w:tbl>
    <w:p>
      <w:pPr>
        <w:spacing w:after="0" w:line="240" w:lineRule="auto"/>
        <w:jc w:val="center"/>
        <w:rPr>
          <w:rFonts w:ascii="宋体" w:hAnsi="宋体" w:cs="宋体" w:eastAsia="宋体" w:hint="default"/>
          <w:sz w:val="16"/>
          <w:szCs w:val="16"/>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r>
        <w:rPr/>
        <w:pict>
          <v:shape style="position:absolute;margin-left:56.34pt;margin-top:71.999969pt;width:428pt;height:686.85pt;mso-position-horizontal-relative:page;mso-position-vertical-relative:page;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02"/>
                    <w:gridCol w:w="1984"/>
                    <w:gridCol w:w="1819"/>
                    <w:gridCol w:w="1260"/>
                    <w:gridCol w:w="2358"/>
                  </w:tblGrid>
                  <w:tr>
                    <w:trPr>
                      <w:trHeight w:val="355" w:hRule="exact"/>
                    </w:trPr>
                    <w:tc>
                      <w:tcPr>
                        <w:tcW w:w="11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货币资金</w:t>
                        </w:r>
                      </w:p>
                    </w:tc>
                    <w:tc>
                      <w:tcPr>
                        <w:tcW w:w="19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323,264,978.44</w:t>
                        </w:r>
                      </w:p>
                    </w:tc>
                    <w:tc>
                      <w:tcPr>
                        <w:tcW w:w="18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64,128,909.72</w:t>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404.09</w:t>
                        </w:r>
                      </w:p>
                    </w:tc>
                    <w:tc>
                      <w:tcPr>
                        <w:tcW w:w="235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主要系本期募集资金</w:t>
                        </w:r>
                        <w:r>
                          <w:rPr>
                            <w:rFonts w:ascii="Times New Roman" w:hAnsi="Times New Roman" w:cs="Times New Roman" w:eastAsia="Times New Roman" w:hint="default"/>
                            <w:sz w:val="16"/>
                            <w:szCs w:val="16"/>
                          </w:rPr>
                          <w:t>3.5</w:t>
                        </w:r>
                        <w:r>
                          <w:rPr>
                            <w:rFonts w:ascii="宋体" w:hAnsi="宋体" w:cs="宋体" w:eastAsia="宋体" w:hint="default"/>
                            <w:sz w:val="16"/>
                            <w:szCs w:val="16"/>
                          </w:rPr>
                          <w:t>亿所致。</w:t>
                        </w:r>
                      </w:p>
                    </w:tc>
                  </w:tr>
                  <w:tr>
                    <w:trPr>
                      <w:trHeight w:val="664" w:hRule="exact"/>
                    </w:trPr>
                    <w:tc>
                      <w:tcPr>
                        <w:tcW w:w="11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应收账款</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140,327,207.42</w:t>
                        </w:r>
                      </w:p>
                    </w:tc>
                    <w:tc>
                      <w:tcPr>
                        <w:tcW w:w="18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56,445,643.34</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6"/>
                            <w:szCs w:val="16"/>
                          </w:rPr>
                        </w:pPr>
                        <w:r>
                          <w:rPr>
                            <w:rFonts w:ascii="Times New Roman"/>
                            <w:spacing w:val="-1"/>
                            <w:sz w:val="16"/>
                          </w:rPr>
                          <w:t>148.61</w:t>
                        </w:r>
                      </w:p>
                    </w:tc>
                    <w:tc>
                      <w:tcPr>
                        <w:tcW w:w="2358" w:type="dxa"/>
                        <w:tcBorders>
                          <w:top w:val="single" w:sz="12" w:space="0" w:color="000000"/>
                          <w:left w:val="single" w:sz="6" w:space="0" w:color="000000"/>
                          <w:bottom w:val="single" w:sz="12" w:space="0" w:color="000000"/>
                          <w:right w:val="nil" w:sz="6" w:space="0" w:color="auto"/>
                        </w:tcBorders>
                      </w:tcPr>
                      <w:p>
                        <w:pPr>
                          <w:pStyle w:val="TableParagraph"/>
                          <w:spacing w:line="357" w:lineRule="auto" w:before="25"/>
                          <w:ind w:left="2" w:right="10"/>
                          <w:jc w:val="left"/>
                          <w:rPr>
                            <w:rFonts w:ascii="宋体" w:hAnsi="宋体" w:cs="宋体" w:eastAsia="宋体" w:hint="default"/>
                            <w:sz w:val="16"/>
                            <w:szCs w:val="16"/>
                          </w:rPr>
                        </w:pPr>
                        <w:r>
                          <w:rPr>
                            <w:rFonts w:ascii="宋体" w:hAnsi="宋体" w:cs="宋体" w:eastAsia="宋体" w:hint="default"/>
                            <w:spacing w:val="7"/>
                            <w:sz w:val="16"/>
                            <w:szCs w:val="16"/>
                          </w:rPr>
                          <w:t>主要系公司业务规模扩大及期末</w:t>
                        </w:r>
                        <w:r>
                          <w:rPr>
                            <w:rFonts w:ascii="宋体" w:hAnsi="宋体" w:cs="宋体" w:eastAsia="宋体" w:hint="default"/>
                            <w:w w:val="99"/>
                            <w:sz w:val="16"/>
                            <w:szCs w:val="16"/>
                          </w:rPr>
                          <w:t> </w:t>
                        </w:r>
                        <w:r>
                          <w:rPr>
                            <w:rFonts w:ascii="宋体" w:hAnsi="宋体" w:cs="宋体" w:eastAsia="宋体" w:hint="default"/>
                            <w:sz w:val="16"/>
                            <w:szCs w:val="16"/>
                          </w:rPr>
                          <w:t>已结算未收款的项目增长所致。</w:t>
                        </w:r>
                      </w:p>
                    </w:tc>
                  </w:tr>
                  <w:tr>
                    <w:trPr>
                      <w:trHeight w:val="353" w:hRule="exact"/>
                    </w:trPr>
                    <w:tc>
                      <w:tcPr>
                        <w:tcW w:w="11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应收利息</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2,200,251.09</w:t>
                        </w:r>
                      </w:p>
                    </w:tc>
                    <w:tc>
                      <w:tcPr>
                        <w:tcW w:w="1819" w:type="dxa"/>
                        <w:tcBorders>
                          <w:top w:val="single" w:sz="12" w:space="0" w:color="000000"/>
                          <w:left w:val="single" w:sz="6" w:space="0" w:color="000000"/>
                          <w:bottom w:val="single" w:sz="12" w:space="0" w:color="000000"/>
                          <w:right w:val="single" w:sz="6" w:space="0" w:color="000000"/>
                        </w:tcBorders>
                      </w:tcPr>
                      <w:p>
                        <w:pP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6"/>
                            <w:szCs w:val="16"/>
                          </w:rPr>
                        </w:pPr>
                        <w:r>
                          <w:rPr>
                            <w:rFonts w:ascii="Times New Roman"/>
                            <w:spacing w:val="-1"/>
                            <w:sz w:val="16"/>
                          </w:rPr>
                          <w:t>100.00</w:t>
                        </w:r>
                      </w:p>
                    </w:tc>
                    <w:tc>
                      <w:tcPr>
                        <w:tcW w:w="235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主要系本期募集资金</w:t>
                        </w:r>
                        <w:r>
                          <w:rPr>
                            <w:rFonts w:ascii="Times New Roman" w:hAnsi="Times New Roman" w:cs="Times New Roman" w:eastAsia="Times New Roman" w:hint="default"/>
                            <w:sz w:val="16"/>
                            <w:szCs w:val="16"/>
                          </w:rPr>
                          <w:t>3.5</w:t>
                        </w:r>
                        <w:r>
                          <w:rPr>
                            <w:rFonts w:ascii="宋体" w:hAnsi="宋体" w:cs="宋体" w:eastAsia="宋体" w:hint="default"/>
                            <w:sz w:val="16"/>
                            <w:szCs w:val="16"/>
                          </w:rPr>
                          <w:t>亿所致。</w:t>
                        </w:r>
                      </w:p>
                    </w:tc>
                  </w:tr>
                  <w:tr>
                    <w:trPr>
                      <w:trHeight w:val="664" w:hRule="exact"/>
                    </w:trPr>
                    <w:tc>
                      <w:tcPr>
                        <w:tcW w:w="11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其他应收款</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48,376,602.71</w:t>
                        </w:r>
                      </w:p>
                    </w:tc>
                    <w:tc>
                      <w:tcPr>
                        <w:tcW w:w="18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33,012,945.90</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6"/>
                            <w:szCs w:val="16"/>
                          </w:rPr>
                        </w:pPr>
                        <w:r>
                          <w:rPr>
                            <w:rFonts w:ascii="Times New Roman"/>
                            <w:spacing w:val="-1"/>
                            <w:sz w:val="16"/>
                          </w:rPr>
                          <w:t>46.54</w:t>
                        </w:r>
                      </w:p>
                    </w:tc>
                    <w:tc>
                      <w:tcPr>
                        <w:tcW w:w="2358" w:type="dxa"/>
                        <w:tcBorders>
                          <w:top w:val="single" w:sz="12" w:space="0" w:color="000000"/>
                          <w:left w:val="single" w:sz="6" w:space="0" w:color="000000"/>
                          <w:bottom w:val="single" w:sz="12" w:space="0" w:color="000000"/>
                          <w:right w:val="nil" w:sz="6" w:space="0" w:color="auto"/>
                        </w:tcBorders>
                      </w:tcPr>
                      <w:p>
                        <w:pPr>
                          <w:pStyle w:val="TableParagraph"/>
                          <w:spacing w:line="357" w:lineRule="auto" w:before="25"/>
                          <w:ind w:left="2" w:right="10"/>
                          <w:jc w:val="left"/>
                          <w:rPr>
                            <w:rFonts w:ascii="宋体" w:hAnsi="宋体" w:cs="宋体" w:eastAsia="宋体" w:hint="default"/>
                            <w:sz w:val="16"/>
                            <w:szCs w:val="16"/>
                          </w:rPr>
                        </w:pPr>
                        <w:r>
                          <w:rPr>
                            <w:rFonts w:ascii="宋体" w:hAnsi="宋体" w:cs="宋体" w:eastAsia="宋体" w:hint="default"/>
                            <w:spacing w:val="-4"/>
                            <w:w w:val="99"/>
                            <w:sz w:val="16"/>
                            <w:szCs w:val="16"/>
                          </w:rPr>
                          <w:t>主要系公司业务规模扩大，投标保</w:t>
                        </w:r>
                        <w:r>
                          <w:rPr>
                            <w:rFonts w:ascii="宋体" w:hAnsi="宋体" w:cs="宋体" w:eastAsia="宋体" w:hint="default"/>
                            <w:w w:val="99"/>
                            <w:sz w:val="16"/>
                            <w:szCs w:val="16"/>
                          </w:rPr>
                          <w:t> </w:t>
                        </w:r>
                        <w:r>
                          <w:rPr>
                            <w:rFonts w:ascii="宋体" w:hAnsi="宋体" w:cs="宋体" w:eastAsia="宋体" w:hint="default"/>
                            <w:sz w:val="16"/>
                            <w:szCs w:val="16"/>
                          </w:rPr>
                          <w:t>证金及履约保证金增长所致。</w:t>
                        </w:r>
                      </w:p>
                    </w:tc>
                  </w:tr>
                  <w:tr>
                    <w:trPr>
                      <w:trHeight w:val="664" w:hRule="exact"/>
                    </w:trPr>
                    <w:tc>
                      <w:tcPr>
                        <w:tcW w:w="11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存货</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177,601,705.67</w:t>
                        </w:r>
                      </w:p>
                    </w:tc>
                    <w:tc>
                      <w:tcPr>
                        <w:tcW w:w="18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87,108,131.35</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6"/>
                            <w:szCs w:val="16"/>
                          </w:rPr>
                        </w:pPr>
                        <w:r>
                          <w:rPr>
                            <w:rFonts w:ascii="Times New Roman"/>
                            <w:spacing w:val="-1"/>
                            <w:sz w:val="16"/>
                          </w:rPr>
                          <w:t>103.89</w:t>
                        </w:r>
                      </w:p>
                    </w:tc>
                    <w:tc>
                      <w:tcPr>
                        <w:tcW w:w="2358" w:type="dxa"/>
                        <w:tcBorders>
                          <w:top w:val="single" w:sz="12" w:space="0" w:color="000000"/>
                          <w:left w:val="single" w:sz="6" w:space="0" w:color="000000"/>
                          <w:bottom w:val="single" w:sz="12" w:space="0" w:color="000000"/>
                          <w:right w:val="nil" w:sz="6" w:space="0" w:color="auto"/>
                        </w:tcBorders>
                      </w:tcPr>
                      <w:p>
                        <w:pPr>
                          <w:pStyle w:val="TableParagraph"/>
                          <w:spacing w:line="357" w:lineRule="auto" w:before="25"/>
                          <w:ind w:left="2" w:right="10"/>
                          <w:jc w:val="left"/>
                          <w:rPr>
                            <w:rFonts w:ascii="宋体" w:hAnsi="宋体" w:cs="宋体" w:eastAsia="宋体" w:hint="default"/>
                            <w:sz w:val="16"/>
                            <w:szCs w:val="16"/>
                          </w:rPr>
                        </w:pPr>
                        <w:r>
                          <w:rPr>
                            <w:rFonts w:ascii="宋体" w:hAnsi="宋体" w:cs="宋体" w:eastAsia="宋体" w:hint="default"/>
                            <w:spacing w:val="-4"/>
                            <w:sz w:val="16"/>
                            <w:szCs w:val="16"/>
                          </w:rPr>
                          <w:t>主要系公司业务扩大，未完工项目</w:t>
                        </w:r>
                        <w:r>
                          <w:rPr>
                            <w:rFonts w:ascii="宋体" w:hAnsi="宋体" w:cs="宋体" w:eastAsia="宋体" w:hint="default"/>
                            <w:w w:val="99"/>
                            <w:sz w:val="16"/>
                            <w:szCs w:val="16"/>
                          </w:rPr>
                          <w:t> </w:t>
                        </w:r>
                        <w:r>
                          <w:rPr>
                            <w:rFonts w:ascii="宋体" w:hAnsi="宋体" w:cs="宋体" w:eastAsia="宋体" w:hint="default"/>
                            <w:sz w:val="16"/>
                            <w:szCs w:val="16"/>
                          </w:rPr>
                          <w:t>增加所致。</w:t>
                        </w:r>
                      </w:p>
                    </w:tc>
                  </w:tr>
                  <w:tr>
                    <w:trPr>
                      <w:trHeight w:val="665" w:hRule="exact"/>
                    </w:trPr>
                    <w:tc>
                      <w:tcPr>
                        <w:tcW w:w="11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在建工程</w:t>
                        </w:r>
                      </w:p>
                    </w:tc>
                    <w:tc>
                      <w:tcPr>
                        <w:tcW w:w="1984" w:type="dxa"/>
                        <w:tcBorders>
                          <w:top w:val="single" w:sz="12" w:space="0" w:color="000000"/>
                          <w:left w:val="single" w:sz="6" w:space="0" w:color="000000"/>
                          <w:bottom w:val="single" w:sz="12" w:space="0" w:color="000000"/>
                          <w:right w:val="single" w:sz="6" w:space="0" w:color="000000"/>
                        </w:tcBorders>
                      </w:tcPr>
                      <w:p>
                        <w:pPr/>
                      </w:p>
                    </w:tc>
                    <w:tc>
                      <w:tcPr>
                        <w:tcW w:w="18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6"/>
                            <w:szCs w:val="16"/>
                          </w:rPr>
                        </w:pPr>
                        <w:r>
                          <w:rPr>
                            <w:rFonts w:ascii="Times New Roman"/>
                            <w:spacing w:val="-1"/>
                            <w:sz w:val="16"/>
                          </w:rPr>
                          <w:t>831,800.00</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6"/>
                            <w:szCs w:val="16"/>
                          </w:rPr>
                        </w:pPr>
                        <w:r>
                          <w:rPr>
                            <w:rFonts w:ascii="Times New Roman"/>
                            <w:spacing w:val="-1"/>
                            <w:sz w:val="16"/>
                          </w:rPr>
                          <w:t>-100.00</w:t>
                        </w:r>
                      </w:p>
                    </w:tc>
                    <w:tc>
                      <w:tcPr>
                        <w:tcW w:w="2358" w:type="dxa"/>
                        <w:tcBorders>
                          <w:top w:val="single" w:sz="12" w:space="0" w:color="000000"/>
                          <w:left w:val="single" w:sz="6" w:space="0" w:color="000000"/>
                          <w:bottom w:val="single" w:sz="12" w:space="0" w:color="000000"/>
                          <w:right w:val="nil" w:sz="6" w:space="0" w:color="auto"/>
                        </w:tcBorders>
                      </w:tcPr>
                      <w:p>
                        <w:pPr>
                          <w:pStyle w:val="TableParagraph"/>
                          <w:spacing w:line="357" w:lineRule="auto" w:before="25"/>
                          <w:ind w:left="2" w:right="10"/>
                          <w:jc w:val="left"/>
                          <w:rPr>
                            <w:rFonts w:ascii="宋体" w:hAnsi="宋体" w:cs="宋体" w:eastAsia="宋体" w:hint="default"/>
                            <w:sz w:val="16"/>
                            <w:szCs w:val="16"/>
                          </w:rPr>
                        </w:pPr>
                        <w:r>
                          <w:rPr>
                            <w:rFonts w:ascii="宋体" w:hAnsi="宋体" w:cs="宋体" w:eastAsia="宋体" w:hint="default"/>
                            <w:spacing w:val="7"/>
                            <w:sz w:val="16"/>
                            <w:szCs w:val="16"/>
                          </w:rPr>
                          <w:t>主要系天际大厦房产装修项目本</w:t>
                        </w:r>
                        <w:r>
                          <w:rPr>
                            <w:rFonts w:ascii="宋体" w:hAnsi="宋体" w:cs="宋体" w:eastAsia="宋体" w:hint="default"/>
                            <w:w w:val="99"/>
                            <w:sz w:val="16"/>
                            <w:szCs w:val="16"/>
                          </w:rPr>
                          <w:t> </w:t>
                        </w:r>
                        <w:r>
                          <w:rPr>
                            <w:rFonts w:ascii="宋体" w:hAnsi="宋体" w:cs="宋体" w:eastAsia="宋体" w:hint="default"/>
                            <w:sz w:val="16"/>
                            <w:szCs w:val="16"/>
                          </w:rPr>
                          <w:t>期完工转入固定资产所致。</w:t>
                        </w:r>
                      </w:p>
                    </w:tc>
                  </w:tr>
                  <w:tr>
                    <w:trPr>
                      <w:trHeight w:val="664" w:hRule="exact"/>
                    </w:trPr>
                    <w:tc>
                      <w:tcPr>
                        <w:tcW w:w="11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无形资产</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6"/>
                            <w:szCs w:val="16"/>
                          </w:rPr>
                        </w:pPr>
                        <w:r>
                          <w:rPr>
                            <w:rFonts w:ascii="Times New Roman"/>
                            <w:spacing w:val="-1"/>
                            <w:sz w:val="16"/>
                          </w:rPr>
                          <w:t>3,247,740.44</w:t>
                        </w:r>
                      </w:p>
                    </w:tc>
                    <w:tc>
                      <w:tcPr>
                        <w:tcW w:w="18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6"/>
                            <w:szCs w:val="16"/>
                          </w:rPr>
                        </w:pPr>
                        <w:r>
                          <w:rPr>
                            <w:rFonts w:ascii="Times New Roman"/>
                            <w:spacing w:val="-1"/>
                            <w:sz w:val="16"/>
                          </w:rPr>
                          <w:t>116,353.38</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2,691.27</w:t>
                        </w:r>
                      </w:p>
                    </w:tc>
                    <w:tc>
                      <w:tcPr>
                        <w:tcW w:w="2358" w:type="dxa"/>
                        <w:tcBorders>
                          <w:top w:val="single" w:sz="12" w:space="0" w:color="000000"/>
                          <w:left w:val="single" w:sz="6" w:space="0" w:color="000000"/>
                          <w:bottom w:val="single" w:sz="12" w:space="0" w:color="000000"/>
                          <w:right w:val="nil" w:sz="6" w:space="0" w:color="auto"/>
                        </w:tcBorders>
                      </w:tcPr>
                      <w:p>
                        <w:pPr>
                          <w:pStyle w:val="TableParagraph"/>
                          <w:spacing w:line="357" w:lineRule="auto" w:before="25"/>
                          <w:ind w:left="2" w:right="10"/>
                          <w:jc w:val="left"/>
                          <w:rPr>
                            <w:rFonts w:ascii="宋体" w:hAnsi="宋体" w:cs="宋体" w:eastAsia="宋体" w:hint="default"/>
                            <w:sz w:val="16"/>
                            <w:szCs w:val="16"/>
                          </w:rPr>
                        </w:pPr>
                        <w:r>
                          <w:rPr>
                            <w:rFonts w:ascii="宋体" w:hAnsi="宋体" w:cs="宋体" w:eastAsia="宋体" w:hint="default"/>
                            <w:spacing w:val="-4"/>
                            <w:sz w:val="16"/>
                            <w:szCs w:val="16"/>
                          </w:rPr>
                          <w:t>主要系本期购置办公、财务软件所</w:t>
                        </w:r>
                        <w:r>
                          <w:rPr>
                            <w:rFonts w:ascii="宋体" w:hAnsi="宋体" w:cs="宋体" w:eastAsia="宋体" w:hint="default"/>
                            <w:w w:val="99"/>
                            <w:sz w:val="16"/>
                            <w:szCs w:val="16"/>
                          </w:rPr>
                          <w:t> </w:t>
                        </w:r>
                        <w:r>
                          <w:rPr>
                            <w:rFonts w:ascii="宋体" w:hAnsi="宋体" w:cs="宋体" w:eastAsia="宋体" w:hint="default"/>
                            <w:sz w:val="16"/>
                            <w:szCs w:val="16"/>
                          </w:rPr>
                          <w:t>致。</w:t>
                        </w:r>
                      </w:p>
                    </w:tc>
                  </w:tr>
                  <w:tr>
                    <w:trPr>
                      <w:trHeight w:val="352" w:hRule="exact"/>
                    </w:trPr>
                    <w:tc>
                      <w:tcPr>
                        <w:tcW w:w="11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商誉</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6,908,068.46</w:t>
                        </w:r>
                      </w:p>
                    </w:tc>
                    <w:tc>
                      <w:tcPr>
                        <w:tcW w:w="1819" w:type="dxa"/>
                        <w:tcBorders>
                          <w:top w:val="single" w:sz="12" w:space="0" w:color="000000"/>
                          <w:left w:val="single" w:sz="6" w:space="0" w:color="000000"/>
                          <w:bottom w:val="single" w:sz="12" w:space="0" w:color="000000"/>
                          <w:right w:val="single" w:sz="6" w:space="0" w:color="000000"/>
                        </w:tcBorders>
                      </w:tcPr>
                      <w:p>
                        <w:pP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6"/>
                            <w:szCs w:val="16"/>
                          </w:rPr>
                        </w:pPr>
                        <w:r>
                          <w:rPr>
                            <w:rFonts w:ascii="Times New Roman"/>
                            <w:spacing w:val="-1"/>
                            <w:sz w:val="16"/>
                          </w:rPr>
                          <w:t>100.00</w:t>
                        </w:r>
                      </w:p>
                    </w:tc>
                    <w:tc>
                      <w:tcPr>
                        <w:tcW w:w="235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主要系本期新增合并子公司所致</w:t>
                        </w:r>
                      </w:p>
                    </w:tc>
                  </w:tr>
                  <w:tr>
                    <w:trPr>
                      <w:trHeight w:val="353" w:hRule="exact"/>
                    </w:trPr>
                    <w:tc>
                      <w:tcPr>
                        <w:tcW w:w="11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长期待摊费用</w:t>
                        </w:r>
                      </w:p>
                    </w:tc>
                    <w:tc>
                      <w:tcPr>
                        <w:tcW w:w="1984" w:type="dxa"/>
                        <w:tcBorders>
                          <w:top w:val="single" w:sz="12" w:space="0" w:color="000000"/>
                          <w:left w:val="single" w:sz="6" w:space="0" w:color="000000"/>
                          <w:bottom w:val="single" w:sz="12" w:space="0" w:color="000000"/>
                          <w:right w:val="single" w:sz="6" w:space="0" w:color="000000"/>
                        </w:tcBorders>
                      </w:tcPr>
                      <w:p>
                        <w:pPr/>
                      </w:p>
                    </w:tc>
                    <w:tc>
                      <w:tcPr>
                        <w:tcW w:w="18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6"/>
                            <w:szCs w:val="16"/>
                          </w:rPr>
                        </w:pPr>
                        <w:r>
                          <w:rPr>
                            <w:rFonts w:ascii="Times New Roman"/>
                            <w:spacing w:val="-1"/>
                            <w:sz w:val="16"/>
                          </w:rPr>
                          <w:t>143,218.35</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5"/>
                          <w:ind w:right="0"/>
                          <w:jc w:val="right"/>
                          <w:rPr>
                            <w:rFonts w:ascii="Times New Roman" w:hAnsi="Times New Roman" w:cs="Times New Roman" w:eastAsia="Times New Roman" w:hint="default"/>
                            <w:sz w:val="16"/>
                            <w:szCs w:val="16"/>
                          </w:rPr>
                        </w:pPr>
                        <w:r>
                          <w:rPr>
                            <w:rFonts w:ascii="Times New Roman"/>
                            <w:b/>
                            <w:spacing w:val="-1"/>
                            <w:sz w:val="16"/>
                          </w:rPr>
                          <w:t>-100.00</w:t>
                        </w:r>
                        <w:r>
                          <w:rPr>
                            <w:rFonts w:ascii="Times New Roman"/>
                            <w:spacing w:val="-1"/>
                            <w:sz w:val="16"/>
                          </w:rPr>
                        </w:r>
                      </w:p>
                    </w:tc>
                    <w:tc>
                      <w:tcPr>
                        <w:tcW w:w="235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b/>
                            <w:bCs/>
                            <w:sz w:val="16"/>
                            <w:szCs w:val="16"/>
                          </w:rPr>
                          <w:t>主要系维修费本期完全摊销所致</w:t>
                        </w:r>
                        <w:r>
                          <w:rPr>
                            <w:rFonts w:ascii="宋体" w:hAnsi="宋体" w:cs="宋体" w:eastAsia="宋体" w:hint="default"/>
                            <w:sz w:val="16"/>
                            <w:szCs w:val="16"/>
                          </w:rPr>
                        </w:r>
                      </w:p>
                    </w:tc>
                  </w:tr>
                  <w:tr>
                    <w:trPr>
                      <w:trHeight w:val="976" w:hRule="exact"/>
                    </w:trPr>
                    <w:tc>
                      <w:tcPr>
                        <w:tcW w:w="1102" w:type="dxa"/>
                        <w:tcBorders>
                          <w:top w:val="single" w:sz="12" w:space="0" w:color="000000"/>
                          <w:left w:val="single" w:sz="6" w:space="0" w:color="000000"/>
                          <w:bottom w:val="single" w:sz="12" w:space="0" w:color="000000"/>
                          <w:right w:val="single" w:sz="6" w:space="0" w:color="000000"/>
                        </w:tcBorders>
                      </w:tcPr>
                      <w:p>
                        <w:pPr>
                          <w:pStyle w:val="TableParagraph"/>
                          <w:spacing w:line="357" w:lineRule="auto" w:before="25"/>
                          <w:ind w:left="2" w:right="-22"/>
                          <w:jc w:val="left"/>
                          <w:rPr>
                            <w:rFonts w:ascii="宋体" w:hAnsi="宋体" w:cs="宋体" w:eastAsia="宋体" w:hint="default"/>
                            <w:sz w:val="16"/>
                            <w:szCs w:val="16"/>
                          </w:rPr>
                        </w:pPr>
                        <w:r>
                          <w:rPr>
                            <w:rFonts w:ascii="宋体" w:hAnsi="宋体" w:cs="宋体" w:eastAsia="宋体" w:hint="default"/>
                            <w:sz w:val="16"/>
                            <w:szCs w:val="16"/>
                          </w:rPr>
                          <w:t>递</w:t>
                        </w:r>
                        <w:r>
                          <w:rPr>
                            <w:rFonts w:ascii="宋体" w:hAnsi="宋体" w:cs="宋体" w:eastAsia="宋体" w:hint="default"/>
                            <w:spacing w:val="-56"/>
                            <w:sz w:val="16"/>
                            <w:szCs w:val="16"/>
                          </w:rPr>
                          <w:t> </w:t>
                        </w:r>
                        <w:r>
                          <w:rPr>
                            <w:rFonts w:ascii="宋体" w:hAnsi="宋体" w:cs="宋体" w:eastAsia="宋体" w:hint="default"/>
                            <w:spacing w:val="16"/>
                            <w:sz w:val="16"/>
                            <w:szCs w:val="16"/>
                          </w:rPr>
                          <w:t>延所得</w:t>
                        </w:r>
                        <w:r>
                          <w:rPr>
                            <w:rFonts w:ascii="宋体" w:hAnsi="宋体" w:cs="宋体" w:eastAsia="宋体" w:hint="default"/>
                            <w:spacing w:val="-56"/>
                            <w:sz w:val="16"/>
                            <w:szCs w:val="16"/>
                          </w:rPr>
                          <w:t> </w:t>
                        </w:r>
                        <w:r>
                          <w:rPr>
                            <w:rFonts w:ascii="宋体" w:hAnsi="宋体" w:cs="宋体" w:eastAsia="宋体" w:hint="default"/>
                            <w:spacing w:val="12"/>
                            <w:sz w:val="16"/>
                            <w:szCs w:val="16"/>
                          </w:rPr>
                          <w:t>税资</w:t>
                        </w:r>
                        <w:r>
                          <w:rPr>
                            <w:rFonts w:ascii="宋体" w:hAnsi="宋体" w:cs="宋体" w:eastAsia="宋体" w:hint="default"/>
                            <w:spacing w:val="-55"/>
                            <w:sz w:val="16"/>
                            <w:szCs w:val="16"/>
                          </w:rPr>
                          <w:t> </w:t>
                        </w:r>
                        <w:r>
                          <w:rPr>
                            <w:rFonts w:ascii="宋体" w:hAnsi="宋体" w:cs="宋体" w:eastAsia="宋体" w:hint="default"/>
                            <w:sz w:val="16"/>
                            <w:szCs w:val="16"/>
                          </w:rPr>
                          <w:t>产</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2,402,591.36</w:t>
                        </w:r>
                      </w:p>
                    </w:tc>
                    <w:tc>
                      <w:tcPr>
                        <w:tcW w:w="18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6"/>
                            <w:szCs w:val="16"/>
                          </w:rPr>
                        </w:pPr>
                        <w:r>
                          <w:rPr>
                            <w:rFonts w:ascii="Times New Roman"/>
                            <w:spacing w:val="-1"/>
                            <w:sz w:val="16"/>
                          </w:rPr>
                          <w:t>895,989.70</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6"/>
                            <w:szCs w:val="16"/>
                          </w:rPr>
                        </w:pPr>
                        <w:r>
                          <w:rPr>
                            <w:rFonts w:ascii="Times New Roman"/>
                            <w:spacing w:val="-1"/>
                            <w:sz w:val="16"/>
                          </w:rPr>
                          <w:t>168.15</w:t>
                        </w:r>
                      </w:p>
                    </w:tc>
                    <w:tc>
                      <w:tcPr>
                        <w:tcW w:w="2358" w:type="dxa"/>
                        <w:tcBorders>
                          <w:top w:val="single" w:sz="12" w:space="0" w:color="000000"/>
                          <w:left w:val="single" w:sz="6" w:space="0" w:color="000000"/>
                          <w:bottom w:val="single" w:sz="12" w:space="0" w:color="000000"/>
                          <w:right w:val="nil" w:sz="6" w:space="0" w:color="auto"/>
                        </w:tcBorders>
                      </w:tcPr>
                      <w:p>
                        <w:pPr>
                          <w:pStyle w:val="TableParagraph"/>
                          <w:spacing w:line="357" w:lineRule="auto" w:before="25"/>
                          <w:ind w:left="2" w:right="11"/>
                          <w:jc w:val="both"/>
                          <w:rPr>
                            <w:rFonts w:ascii="宋体" w:hAnsi="宋体" w:cs="宋体" w:eastAsia="宋体" w:hint="default"/>
                            <w:sz w:val="16"/>
                            <w:szCs w:val="16"/>
                          </w:rPr>
                        </w:pPr>
                        <w:r>
                          <w:rPr>
                            <w:rFonts w:ascii="宋体" w:hAnsi="宋体" w:cs="宋体" w:eastAsia="宋体" w:hint="default"/>
                            <w:spacing w:val="-4"/>
                            <w:sz w:val="16"/>
                            <w:szCs w:val="16"/>
                          </w:rPr>
                          <w:t>系应收账款余额增加，导致坏账准</w:t>
                        </w:r>
                        <w:r>
                          <w:rPr>
                            <w:rFonts w:ascii="宋体" w:hAnsi="宋体" w:cs="宋体" w:eastAsia="宋体" w:hint="default"/>
                            <w:w w:val="99"/>
                            <w:sz w:val="16"/>
                            <w:szCs w:val="16"/>
                          </w:rPr>
                          <w:t> </w:t>
                        </w:r>
                        <w:r>
                          <w:rPr>
                            <w:rFonts w:ascii="宋体" w:hAnsi="宋体" w:cs="宋体" w:eastAsia="宋体" w:hint="default"/>
                            <w:spacing w:val="-4"/>
                            <w:w w:val="99"/>
                            <w:sz w:val="16"/>
                            <w:szCs w:val="16"/>
                          </w:rPr>
                          <w:t>备增加，相应计提的递延所得税资</w:t>
                        </w:r>
                        <w:r>
                          <w:rPr>
                            <w:rFonts w:ascii="宋体" w:hAnsi="宋体" w:cs="宋体" w:eastAsia="宋体" w:hint="default"/>
                            <w:w w:val="99"/>
                            <w:sz w:val="16"/>
                            <w:szCs w:val="16"/>
                          </w:rPr>
                          <w:t> </w:t>
                        </w:r>
                        <w:r>
                          <w:rPr>
                            <w:rFonts w:ascii="宋体" w:hAnsi="宋体" w:cs="宋体" w:eastAsia="宋体" w:hint="default"/>
                            <w:sz w:val="16"/>
                            <w:szCs w:val="16"/>
                          </w:rPr>
                          <w:t>产增加。</w:t>
                        </w:r>
                      </w:p>
                    </w:tc>
                  </w:tr>
                  <w:tr>
                    <w:trPr>
                      <w:trHeight w:val="664" w:hRule="exact"/>
                    </w:trPr>
                    <w:tc>
                      <w:tcPr>
                        <w:tcW w:w="1102" w:type="dxa"/>
                        <w:tcBorders>
                          <w:top w:val="single" w:sz="12" w:space="0" w:color="000000"/>
                          <w:left w:val="single" w:sz="6" w:space="0" w:color="000000"/>
                          <w:bottom w:val="single" w:sz="12" w:space="0" w:color="000000"/>
                          <w:right w:val="single" w:sz="6" w:space="0" w:color="000000"/>
                        </w:tcBorders>
                      </w:tcPr>
                      <w:p>
                        <w:pPr>
                          <w:pStyle w:val="TableParagraph"/>
                          <w:spacing w:line="357" w:lineRule="auto" w:before="25"/>
                          <w:ind w:left="2" w:right="-22"/>
                          <w:jc w:val="left"/>
                          <w:rPr>
                            <w:rFonts w:ascii="宋体" w:hAnsi="宋体" w:cs="宋体" w:eastAsia="宋体" w:hint="default"/>
                            <w:sz w:val="16"/>
                            <w:szCs w:val="16"/>
                          </w:rPr>
                        </w:pPr>
                        <w:r>
                          <w:rPr>
                            <w:rFonts w:ascii="宋体" w:hAnsi="宋体" w:cs="宋体" w:eastAsia="宋体" w:hint="default"/>
                            <w:sz w:val="16"/>
                            <w:szCs w:val="16"/>
                          </w:rPr>
                          <w:t>其</w:t>
                        </w:r>
                        <w:r>
                          <w:rPr>
                            <w:rFonts w:ascii="宋体" w:hAnsi="宋体" w:cs="宋体" w:eastAsia="宋体" w:hint="default"/>
                            <w:spacing w:val="-56"/>
                            <w:sz w:val="16"/>
                            <w:szCs w:val="16"/>
                          </w:rPr>
                          <w:t> </w:t>
                        </w:r>
                        <w:r>
                          <w:rPr>
                            <w:rFonts w:ascii="宋体" w:hAnsi="宋体" w:cs="宋体" w:eastAsia="宋体" w:hint="default"/>
                            <w:spacing w:val="16"/>
                            <w:sz w:val="16"/>
                            <w:szCs w:val="16"/>
                          </w:rPr>
                          <w:t>他非流</w:t>
                        </w:r>
                        <w:r>
                          <w:rPr>
                            <w:rFonts w:ascii="宋体" w:hAnsi="宋体" w:cs="宋体" w:eastAsia="宋体" w:hint="default"/>
                            <w:spacing w:val="-56"/>
                            <w:sz w:val="16"/>
                            <w:szCs w:val="16"/>
                          </w:rPr>
                          <w:t> </w:t>
                        </w:r>
                        <w:r>
                          <w:rPr>
                            <w:rFonts w:ascii="宋体" w:hAnsi="宋体" w:cs="宋体" w:eastAsia="宋体" w:hint="default"/>
                            <w:spacing w:val="12"/>
                            <w:sz w:val="16"/>
                            <w:szCs w:val="16"/>
                          </w:rPr>
                          <w:t>动资</w:t>
                        </w:r>
                        <w:r>
                          <w:rPr>
                            <w:rFonts w:ascii="宋体" w:hAnsi="宋体" w:cs="宋体" w:eastAsia="宋体" w:hint="default"/>
                            <w:spacing w:val="-55"/>
                            <w:sz w:val="16"/>
                            <w:szCs w:val="16"/>
                          </w:rPr>
                          <w:t> </w:t>
                        </w:r>
                        <w:r>
                          <w:rPr>
                            <w:rFonts w:ascii="宋体" w:hAnsi="宋体" w:cs="宋体" w:eastAsia="宋体" w:hint="default"/>
                            <w:sz w:val="16"/>
                            <w:szCs w:val="16"/>
                          </w:rPr>
                          <w:t>产</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1,189,795.00</w:t>
                        </w:r>
                      </w:p>
                    </w:tc>
                    <w:tc>
                      <w:tcPr>
                        <w:tcW w:w="1819" w:type="dxa"/>
                        <w:tcBorders>
                          <w:top w:val="single" w:sz="12" w:space="0" w:color="000000"/>
                          <w:left w:val="single" w:sz="6" w:space="0" w:color="000000"/>
                          <w:bottom w:val="single" w:sz="12" w:space="0" w:color="000000"/>
                          <w:right w:val="single" w:sz="6" w:space="0" w:color="000000"/>
                        </w:tcBorders>
                      </w:tcPr>
                      <w:p>
                        <w:pP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6"/>
                            <w:szCs w:val="16"/>
                          </w:rPr>
                        </w:pPr>
                        <w:r>
                          <w:rPr>
                            <w:rFonts w:ascii="Times New Roman"/>
                            <w:spacing w:val="-1"/>
                            <w:sz w:val="16"/>
                          </w:rPr>
                          <w:t>100.00</w:t>
                        </w:r>
                      </w:p>
                    </w:tc>
                    <w:tc>
                      <w:tcPr>
                        <w:tcW w:w="235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主要系本期预付购房款所致。</w:t>
                        </w:r>
                      </w:p>
                    </w:tc>
                  </w:tr>
                  <w:tr>
                    <w:trPr>
                      <w:trHeight w:val="665" w:hRule="exact"/>
                    </w:trPr>
                    <w:tc>
                      <w:tcPr>
                        <w:tcW w:w="11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短期借款</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6"/>
                            <w:szCs w:val="16"/>
                          </w:rPr>
                        </w:pPr>
                        <w:r>
                          <w:rPr>
                            <w:rFonts w:ascii="Times New Roman"/>
                            <w:spacing w:val="-1"/>
                            <w:sz w:val="16"/>
                          </w:rPr>
                          <w:t>2,700,000.00</w:t>
                        </w:r>
                      </w:p>
                    </w:tc>
                    <w:tc>
                      <w:tcPr>
                        <w:tcW w:w="18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15,000,000.00</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-82.00</w:t>
                        </w:r>
                      </w:p>
                    </w:tc>
                    <w:tc>
                      <w:tcPr>
                        <w:tcW w:w="2358" w:type="dxa"/>
                        <w:tcBorders>
                          <w:top w:val="single" w:sz="12" w:space="0" w:color="000000"/>
                          <w:left w:val="single" w:sz="6" w:space="0" w:color="000000"/>
                          <w:bottom w:val="single" w:sz="12" w:space="0" w:color="000000"/>
                          <w:right w:val="nil" w:sz="6" w:space="0" w:color="auto"/>
                        </w:tcBorders>
                      </w:tcPr>
                      <w:p>
                        <w:pPr>
                          <w:pStyle w:val="TableParagraph"/>
                          <w:spacing w:line="338" w:lineRule="auto" w:before="25"/>
                          <w:ind w:left="2" w:right="5"/>
                          <w:jc w:val="left"/>
                          <w:rPr>
                            <w:rFonts w:ascii="宋体" w:hAnsi="宋体" w:cs="宋体" w:eastAsia="宋体" w:hint="default"/>
                            <w:sz w:val="16"/>
                            <w:szCs w:val="16"/>
                          </w:rPr>
                        </w:pPr>
                        <w:r>
                          <w:rPr>
                            <w:rFonts w:ascii="宋体" w:hAnsi="宋体" w:cs="宋体" w:eastAsia="宋体" w:hint="default"/>
                            <w:spacing w:val="3"/>
                            <w:sz w:val="16"/>
                            <w:szCs w:val="16"/>
                          </w:rPr>
                          <w:t>主要系本期募集资金</w:t>
                        </w:r>
                        <w:r>
                          <w:rPr>
                            <w:rFonts w:ascii="Times New Roman" w:hAnsi="Times New Roman" w:cs="Times New Roman" w:eastAsia="Times New Roman" w:hint="default"/>
                            <w:spacing w:val="3"/>
                            <w:sz w:val="16"/>
                            <w:szCs w:val="16"/>
                          </w:rPr>
                          <w:t>3.5</w:t>
                        </w:r>
                        <w:r>
                          <w:rPr>
                            <w:rFonts w:ascii="宋体" w:hAnsi="宋体" w:cs="宋体" w:eastAsia="宋体" w:hint="default"/>
                            <w:spacing w:val="3"/>
                            <w:sz w:val="16"/>
                            <w:szCs w:val="16"/>
                          </w:rPr>
                          <w:t>亿，归还</w:t>
                        </w:r>
                        <w:r>
                          <w:rPr>
                            <w:rFonts w:ascii="宋体" w:hAnsi="宋体" w:cs="宋体" w:eastAsia="宋体" w:hint="default"/>
                            <w:spacing w:val="-78"/>
                            <w:sz w:val="16"/>
                            <w:szCs w:val="16"/>
                          </w:rPr>
                          <w:t> </w:t>
                        </w:r>
                        <w:r>
                          <w:rPr>
                            <w:rFonts w:ascii="宋体" w:hAnsi="宋体" w:cs="宋体" w:eastAsia="宋体" w:hint="default"/>
                            <w:sz w:val="16"/>
                            <w:szCs w:val="16"/>
                          </w:rPr>
                          <w:t>借款所致。</w:t>
                        </w:r>
                      </w:p>
                    </w:tc>
                  </w:tr>
                  <w:tr>
                    <w:trPr>
                      <w:trHeight w:val="664" w:hRule="exact"/>
                    </w:trPr>
                    <w:tc>
                      <w:tcPr>
                        <w:tcW w:w="11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应付票据</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6"/>
                            <w:szCs w:val="16"/>
                          </w:rPr>
                        </w:pPr>
                        <w:r>
                          <w:rPr>
                            <w:rFonts w:ascii="Times New Roman"/>
                            <w:spacing w:val="-1"/>
                            <w:sz w:val="16"/>
                          </w:rPr>
                          <w:t>10,746,922.45</w:t>
                        </w:r>
                      </w:p>
                    </w:tc>
                    <w:tc>
                      <w:tcPr>
                        <w:tcW w:w="18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6"/>
                            <w:szCs w:val="16"/>
                          </w:rPr>
                        </w:pPr>
                        <w:r>
                          <w:rPr>
                            <w:rFonts w:ascii="Times New Roman"/>
                            <w:spacing w:val="-1"/>
                            <w:sz w:val="16"/>
                          </w:rPr>
                          <w:t>2,259,992.50</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375.53</w:t>
                        </w:r>
                      </w:p>
                    </w:tc>
                    <w:tc>
                      <w:tcPr>
                        <w:tcW w:w="2358" w:type="dxa"/>
                        <w:tcBorders>
                          <w:top w:val="single" w:sz="12" w:space="0" w:color="000000"/>
                          <w:left w:val="single" w:sz="6" w:space="0" w:color="000000"/>
                          <w:bottom w:val="single" w:sz="12" w:space="0" w:color="000000"/>
                          <w:right w:val="nil" w:sz="6" w:space="0" w:color="auto"/>
                        </w:tcBorders>
                      </w:tcPr>
                      <w:p>
                        <w:pPr>
                          <w:pStyle w:val="TableParagraph"/>
                          <w:spacing w:line="357" w:lineRule="auto" w:before="25"/>
                          <w:ind w:left="2" w:right="10"/>
                          <w:jc w:val="left"/>
                          <w:rPr>
                            <w:rFonts w:ascii="宋体" w:hAnsi="宋体" w:cs="宋体" w:eastAsia="宋体" w:hint="default"/>
                            <w:sz w:val="16"/>
                            <w:szCs w:val="16"/>
                          </w:rPr>
                        </w:pPr>
                        <w:r>
                          <w:rPr>
                            <w:rFonts w:ascii="宋体" w:hAnsi="宋体" w:cs="宋体" w:eastAsia="宋体" w:hint="default"/>
                            <w:spacing w:val="7"/>
                            <w:sz w:val="16"/>
                            <w:szCs w:val="16"/>
                          </w:rPr>
                          <w:t>主要系本期以票据结算的采购款</w:t>
                        </w:r>
                        <w:r>
                          <w:rPr>
                            <w:rFonts w:ascii="宋体" w:hAnsi="宋体" w:cs="宋体" w:eastAsia="宋体" w:hint="default"/>
                            <w:w w:val="99"/>
                            <w:sz w:val="16"/>
                            <w:szCs w:val="16"/>
                          </w:rPr>
                          <w:t> </w:t>
                        </w:r>
                        <w:r>
                          <w:rPr>
                            <w:rFonts w:ascii="宋体" w:hAnsi="宋体" w:cs="宋体" w:eastAsia="宋体" w:hint="default"/>
                            <w:sz w:val="16"/>
                            <w:szCs w:val="16"/>
                          </w:rPr>
                          <w:t>增长所致。</w:t>
                        </w:r>
                      </w:p>
                    </w:tc>
                  </w:tr>
                  <w:tr>
                    <w:trPr>
                      <w:trHeight w:val="976" w:hRule="exact"/>
                    </w:trPr>
                    <w:tc>
                      <w:tcPr>
                        <w:tcW w:w="11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应付账款</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131,211,644.65</w:t>
                        </w:r>
                      </w:p>
                    </w:tc>
                    <w:tc>
                      <w:tcPr>
                        <w:tcW w:w="18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59,543,948.54</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6"/>
                            <w:szCs w:val="16"/>
                          </w:rPr>
                        </w:pPr>
                        <w:r>
                          <w:rPr>
                            <w:rFonts w:ascii="Times New Roman"/>
                            <w:spacing w:val="-1"/>
                            <w:sz w:val="16"/>
                          </w:rPr>
                          <w:t>120.36</w:t>
                        </w:r>
                      </w:p>
                    </w:tc>
                    <w:tc>
                      <w:tcPr>
                        <w:tcW w:w="2358" w:type="dxa"/>
                        <w:tcBorders>
                          <w:top w:val="single" w:sz="12" w:space="0" w:color="000000"/>
                          <w:left w:val="single" w:sz="6" w:space="0" w:color="000000"/>
                          <w:bottom w:val="single" w:sz="12" w:space="0" w:color="000000"/>
                          <w:right w:val="nil" w:sz="6" w:space="0" w:color="auto"/>
                        </w:tcBorders>
                      </w:tcPr>
                      <w:p>
                        <w:pPr>
                          <w:pStyle w:val="TableParagraph"/>
                          <w:spacing w:line="357" w:lineRule="auto" w:before="25"/>
                          <w:ind w:left="2" w:right="10"/>
                          <w:jc w:val="both"/>
                          <w:rPr>
                            <w:rFonts w:ascii="宋体" w:hAnsi="宋体" w:cs="宋体" w:eastAsia="宋体" w:hint="default"/>
                            <w:sz w:val="16"/>
                            <w:szCs w:val="16"/>
                          </w:rPr>
                        </w:pPr>
                        <w:r>
                          <w:rPr>
                            <w:rFonts w:ascii="宋体" w:hAnsi="宋体" w:cs="宋体" w:eastAsia="宋体" w:hint="default"/>
                            <w:spacing w:val="7"/>
                            <w:sz w:val="16"/>
                            <w:szCs w:val="16"/>
                          </w:rPr>
                          <w:t>主要系本期业务规模扩大及已结</w:t>
                        </w:r>
                        <w:r>
                          <w:rPr>
                            <w:rFonts w:ascii="宋体" w:hAnsi="宋体" w:cs="宋体" w:eastAsia="宋体" w:hint="default"/>
                            <w:w w:val="99"/>
                            <w:sz w:val="16"/>
                            <w:szCs w:val="16"/>
                          </w:rPr>
                          <w:t> </w:t>
                        </w:r>
                        <w:r>
                          <w:rPr>
                            <w:rFonts w:ascii="宋体" w:hAnsi="宋体" w:cs="宋体" w:eastAsia="宋体" w:hint="default"/>
                            <w:spacing w:val="-4"/>
                            <w:w w:val="99"/>
                            <w:sz w:val="16"/>
                            <w:szCs w:val="16"/>
                          </w:rPr>
                          <w:t>算项目未收款增长，导致相应未支</w:t>
                        </w:r>
                        <w:r>
                          <w:rPr>
                            <w:rFonts w:ascii="宋体" w:hAnsi="宋体" w:cs="宋体" w:eastAsia="宋体" w:hint="default"/>
                            <w:w w:val="99"/>
                            <w:sz w:val="16"/>
                            <w:szCs w:val="16"/>
                          </w:rPr>
                          <w:t> </w:t>
                        </w:r>
                        <w:r>
                          <w:rPr>
                            <w:rFonts w:ascii="宋体" w:hAnsi="宋体" w:cs="宋体" w:eastAsia="宋体" w:hint="default"/>
                            <w:sz w:val="16"/>
                            <w:szCs w:val="16"/>
                          </w:rPr>
                          <w:t>付采购款增长所致。</w:t>
                        </w:r>
                      </w:p>
                    </w:tc>
                  </w:tr>
                  <w:tr>
                    <w:trPr>
                      <w:trHeight w:val="665" w:hRule="exact"/>
                    </w:trPr>
                    <w:tc>
                      <w:tcPr>
                        <w:tcW w:w="11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应付职工薪酬</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6"/>
                            <w:szCs w:val="16"/>
                          </w:rPr>
                        </w:pPr>
                        <w:r>
                          <w:rPr>
                            <w:rFonts w:ascii="Times New Roman"/>
                            <w:spacing w:val="-1"/>
                            <w:sz w:val="16"/>
                          </w:rPr>
                          <w:t>4,331,178.56</w:t>
                        </w:r>
                      </w:p>
                    </w:tc>
                    <w:tc>
                      <w:tcPr>
                        <w:tcW w:w="18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6"/>
                            <w:szCs w:val="16"/>
                          </w:rPr>
                        </w:pPr>
                        <w:r>
                          <w:rPr>
                            <w:rFonts w:ascii="Times New Roman"/>
                            <w:spacing w:val="-1"/>
                            <w:sz w:val="16"/>
                          </w:rPr>
                          <w:t>2,185,281.90</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98.20</w:t>
                        </w:r>
                      </w:p>
                    </w:tc>
                    <w:tc>
                      <w:tcPr>
                        <w:tcW w:w="2358" w:type="dxa"/>
                        <w:tcBorders>
                          <w:top w:val="single" w:sz="12" w:space="0" w:color="000000"/>
                          <w:left w:val="single" w:sz="6" w:space="0" w:color="000000"/>
                          <w:bottom w:val="single" w:sz="12" w:space="0" w:color="000000"/>
                          <w:right w:val="nil" w:sz="6" w:space="0" w:color="auto"/>
                        </w:tcBorders>
                      </w:tcPr>
                      <w:p>
                        <w:pPr>
                          <w:pStyle w:val="TableParagraph"/>
                          <w:spacing w:line="357" w:lineRule="auto" w:before="25"/>
                          <w:ind w:left="2" w:right="10"/>
                          <w:jc w:val="left"/>
                          <w:rPr>
                            <w:rFonts w:ascii="宋体" w:hAnsi="宋体" w:cs="宋体" w:eastAsia="宋体" w:hint="default"/>
                            <w:sz w:val="16"/>
                            <w:szCs w:val="16"/>
                          </w:rPr>
                        </w:pPr>
                        <w:r>
                          <w:rPr>
                            <w:rFonts w:ascii="宋体" w:hAnsi="宋体" w:cs="宋体" w:eastAsia="宋体" w:hint="default"/>
                            <w:spacing w:val="-4"/>
                            <w:sz w:val="16"/>
                            <w:szCs w:val="16"/>
                          </w:rPr>
                          <w:t>主要系本期规模扩大，人员增长所</w:t>
                        </w:r>
                        <w:r>
                          <w:rPr>
                            <w:rFonts w:ascii="宋体" w:hAnsi="宋体" w:cs="宋体" w:eastAsia="宋体" w:hint="default"/>
                            <w:w w:val="99"/>
                            <w:sz w:val="16"/>
                            <w:szCs w:val="16"/>
                          </w:rPr>
                          <w:t> </w:t>
                        </w:r>
                        <w:r>
                          <w:rPr>
                            <w:rFonts w:ascii="宋体" w:hAnsi="宋体" w:cs="宋体" w:eastAsia="宋体" w:hint="default"/>
                            <w:sz w:val="16"/>
                            <w:szCs w:val="16"/>
                          </w:rPr>
                          <w:t>致。</w:t>
                        </w:r>
                      </w:p>
                    </w:tc>
                  </w:tr>
                  <w:tr>
                    <w:trPr>
                      <w:trHeight w:val="664" w:hRule="exact"/>
                    </w:trPr>
                    <w:tc>
                      <w:tcPr>
                        <w:tcW w:w="11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应交税费</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6"/>
                            <w:szCs w:val="16"/>
                          </w:rPr>
                        </w:pPr>
                        <w:r>
                          <w:rPr>
                            <w:rFonts w:ascii="Times New Roman"/>
                            <w:spacing w:val="-1"/>
                            <w:sz w:val="16"/>
                          </w:rPr>
                          <w:t>25,898,140.92</w:t>
                        </w:r>
                      </w:p>
                    </w:tc>
                    <w:tc>
                      <w:tcPr>
                        <w:tcW w:w="18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11,679,927.65</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6"/>
                            <w:szCs w:val="16"/>
                          </w:rPr>
                        </w:pPr>
                        <w:r>
                          <w:rPr>
                            <w:rFonts w:ascii="Times New Roman"/>
                            <w:spacing w:val="-1"/>
                            <w:sz w:val="16"/>
                          </w:rPr>
                          <w:t>121.73</w:t>
                        </w:r>
                      </w:p>
                    </w:tc>
                    <w:tc>
                      <w:tcPr>
                        <w:tcW w:w="2358" w:type="dxa"/>
                        <w:tcBorders>
                          <w:top w:val="single" w:sz="12" w:space="0" w:color="000000"/>
                          <w:left w:val="single" w:sz="6" w:space="0" w:color="000000"/>
                          <w:bottom w:val="single" w:sz="12" w:space="0" w:color="000000"/>
                          <w:right w:val="nil" w:sz="6" w:space="0" w:color="auto"/>
                        </w:tcBorders>
                      </w:tcPr>
                      <w:p>
                        <w:pPr>
                          <w:pStyle w:val="TableParagraph"/>
                          <w:spacing w:line="357" w:lineRule="auto" w:before="25"/>
                          <w:ind w:left="2" w:right="11"/>
                          <w:jc w:val="left"/>
                          <w:rPr>
                            <w:rFonts w:ascii="宋体" w:hAnsi="宋体" w:cs="宋体" w:eastAsia="宋体" w:hint="default"/>
                            <w:sz w:val="16"/>
                            <w:szCs w:val="16"/>
                          </w:rPr>
                        </w:pPr>
                        <w:r>
                          <w:rPr>
                            <w:rFonts w:ascii="宋体" w:hAnsi="宋体" w:cs="宋体" w:eastAsia="宋体" w:hint="default"/>
                            <w:spacing w:val="-4"/>
                            <w:sz w:val="16"/>
                            <w:szCs w:val="16"/>
                          </w:rPr>
                          <w:t>主要系业务规模扩大，相应企业所</w:t>
                        </w:r>
                        <w:r>
                          <w:rPr>
                            <w:rFonts w:ascii="宋体" w:hAnsi="宋体" w:cs="宋体" w:eastAsia="宋体" w:hint="default"/>
                            <w:w w:val="99"/>
                            <w:sz w:val="16"/>
                            <w:szCs w:val="16"/>
                          </w:rPr>
                          <w:t> </w:t>
                        </w:r>
                        <w:r>
                          <w:rPr>
                            <w:rFonts w:ascii="宋体" w:hAnsi="宋体" w:cs="宋体" w:eastAsia="宋体" w:hint="default"/>
                            <w:sz w:val="16"/>
                            <w:szCs w:val="16"/>
                          </w:rPr>
                          <w:t>得税缴纳增加所致。</w:t>
                        </w:r>
                      </w:p>
                    </w:tc>
                  </w:tr>
                  <w:tr>
                    <w:trPr>
                      <w:trHeight w:val="352" w:hRule="exact"/>
                    </w:trPr>
                    <w:tc>
                      <w:tcPr>
                        <w:tcW w:w="11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应付利息</w:t>
                        </w:r>
                      </w:p>
                    </w:tc>
                    <w:tc>
                      <w:tcPr>
                        <w:tcW w:w="1984" w:type="dxa"/>
                        <w:tcBorders>
                          <w:top w:val="single" w:sz="12" w:space="0" w:color="000000"/>
                          <w:left w:val="single" w:sz="6" w:space="0" w:color="000000"/>
                          <w:bottom w:val="single" w:sz="12" w:space="0" w:color="000000"/>
                          <w:right w:val="single" w:sz="6" w:space="0" w:color="000000"/>
                        </w:tcBorders>
                      </w:tcPr>
                      <w:p>
                        <w:pPr/>
                      </w:p>
                    </w:tc>
                    <w:tc>
                      <w:tcPr>
                        <w:tcW w:w="18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86,729.89</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-100.00</w:t>
                        </w:r>
                      </w:p>
                    </w:tc>
                    <w:tc>
                      <w:tcPr>
                        <w:tcW w:w="235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主要系归还借款所致。</w:t>
                        </w:r>
                      </w:p>
                    </w:tc>
                  </w:tr>
                  <w:tr>
                    <w:trPr>
                      <w:trHeight w:val="665" w:hRule="exact"/>
                    </w:trPr>
                    <w:tc>
                      <w:tcPr>
                        <w:tcW w:w="11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其他应付款</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15,681,405.14</w:t>
                        </w:r>
                      </w:p>
                    </w:tc>
                    <w:tc>
                      <w:tcPr>
                        <w:tcW w:w="18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6"/>
                            <w:szCs w:val="16"/>
                          </w:rPr>
                        </w:pPr>
                        <w:r>
                          <w:rPr>
                            <w:rFonts w:ascii="Times New Roman"/>
                            <w:spacing w:val="-1"/>
                            <w:sz w:val="16"/>
                          </w:rPr>
                          <w:t>2,395,275.14</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6"/>
                            <w:szCs w:val="16"/>
                          </w:rPr>
                        </w:pPr>
                        <w:r>
                          <w:rPr>
                            <w:rFonts w:ascii="Times New Roman"/>
                            <w:spacing w:val="-1"/>
                            <w:sz w:val="16"/>
                          </w:rPr>
                          <w:t>554.68</w:t>
                        </w:r>
                      </w:p>
                    </w:tc>
                    <w:tc>
                      <w:tcPr>
                        <w:tcW w:w="2358" w:type="dxa"/>
                        <w:tcBorders>
                          <w:top w:val="single" w:sz="12" w:space="0" w:color="000000"/>
                          <w:left w:val="single" w:sz="6" w:space="0" w:color="000000"/>
                          <w:bottom w:val="single" w:sz="12" w:space="0" w:color="000000"/>
                          <w:right w:val="nil" w:sz="6" w:space="0" w:color="auto"/>
                        </w:tcBorders>
                      </w:tcPr>
                      <w:p>
                        <w:pPr>
                          <w:pStyle w:val="TableParagraph"/>
                          <w:spacing w:line="338" w:lineRule="auto" w:before="25"/>
                          <w:ind w:left="2" w:right="8"/>
                          <w:jc w:val="left"/>
                          <w:rPr>
                            <w:rFonts w:ascii="宋体" w:hAnsi="宋体" w:cs="宋体" w:eastAsia="宋体" w:hint="default"/>
                            <w:sz w:val="16"/>
                            <w:szCs w:val="16"/>
                          </w:rPr>
                        </w:pPr>
                        <w:r>
                          <w:rPr>
                            <w:rFonts w:ascii="宋体" w:hAnsi="宋体" w:cs="宋体" w:eastAsia="宋体" w:hint="default"/>
                            <w:sz w:val="16"/>
                            <w:szCs w:val="16"/>
                          </w:rPr>
                          <w:t>主要系收购四川通普公司</w:t>
                        </w:r>
                        <w:r>
                          <w:rPr>
                            <w:rFonts w:ascii="Times New Roman" w:hAnsi="Times New Roman" w:cs="Times New Roman" w:eastAsia="Times New Roman" w:hint="default"/>
                            <w:sz w:val="16"/>
                            <w:szCs w:val="16"/>
                          </w:rPr>
                          <w:t>800</w:t>
                        </w:r>
                        <w:r>
                          <w:rPr>
                            <w:rFonts w:ascii="宋体" w:hAnsi="宋体" w:cs="宋体" w:eastAsia="宋体" w:hint="default"/>
                            <w:sz w:val="16"/>
                            <w:szCs w:val="16"/>
                          </w:rPr>
                          <w:t>万投</w:t>
                        </w:r>
                        <w:r>
                          <w:rPr>
                            <w:rFonts w:ascii="宋体" w:hAnsi="宋体" w:cs="宋体" w:eastAsia="宋体" w:hint="default"/>
                            <w:spacing w:val="-68"/>
                            <w:sz w:val="16"/>
                            <w:szCs w:val="16"/>
                          </w:rPr>
                          <w:t> </w:t>
                        </w:r>
                        <w:r>
                          <w:rPr>
                            <w:rFonts w:ascii="宋体" w:hAnsi="宋体" w:cs="宋体" w:eastAsia="宋体" w:hint="default"/>
                            <w:sz w:val="16"/>
                            <w:szCs w:val="16"/>
                          </w:rPr>
                          <w:t>资款未支付所致。</w:t>
                        </w:r>
                      </w:p>
                    </w:tc>
                  </w:tr>
                  <w:tr>
                    <w:trPr>
                      <w:trHeight w:val="664" w:hRule="exact"/>
                    </w:trPr>
                    <w:tc>
                      <w:tcPr>
                        <w:tcW w:w="11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长期借款</w:t>
                        </w:r>
                      </w:p>
                    </w:tc>
                    <w:tc>
                      <w:tcPr>
                        <w:tcW w:w="1984" w:type="dxa"/>
                        <w:tcBorders>
                          <w:top w:val="single" w:sz="12" w:space="0" w:color="000000"/>
                          <w:left w:val="single" w:sz="6" w:space="0" w:color="000000"/>
                          <w:bottom w:val="single" w:sz="12" w:space="0" w:color="000000"/>
                          <w:right w:val="single" w:sz="6" w:space="0" w:color="000000"/>
                        </w:tcBorders>
                      </w:tcPr>
                      <w:p>
                        <w:pPr/>
                      </w:p>
                    </w:tc>
                    <w:tc>
                      <w:tcPr>
                        <w:tcW w:w="18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19,421,355.92</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6"/>
                            <w:szCs w:val="16"/>
                          </w:rPr>
                        </w:pPr>
                        <w:r>
                          <w:rPr>
                            <w:rFonts w:ascii="Times New Roman"/>
                            <w:spacing w:val="-1"/>
                            <w:sz w:val="16"/>
                          </w:rPr>
                          <w:t>-100.00</w:t>
                        </w:r>
                      </w:p>
                    </w:tc>
                    <w:tc>
                      <w:tcPr>
                        <w:tcW w:w="2358" w:type="dxa"/>
                        <w:tcBorders>
                          <w:top w:val="single" w:sz="12" w:space="0" w:color="000000"/>
                          <w:left w:val="single" w:sz="6" w:space="0" w:color="000000"/>
                          <w:bottom w:val="single" w:sz="12" w:space="0" w:color="000000"/>
                          <w:right w:val="nil" w:sz="6" w:space="0" w:color="auto"/>
                        </w:tcBorders>
                      </w:tcPr>
                      <w:p>
                        <w:pPr>
                          <w:pStyle w:val="TableParagraph"/>
                          <w:spacing w:line="338" w:lineRule="auto" w:before="25"/>
                          <w:ind w:left="2" w:right="5"/>
                          <w:jc w:val="left"/>
                          <w:rPr>
                            <w:rFonts w:ascii="宋体" w:hAnsi="宋体" w:cs="宋体" w:eastAsia="宋体" w:hint="default"/>
                            <w:sz w:val="16"/>
                            <w:szCs w:val="16"/>
                          </w:rPr>
                        </w:pPr>
                        <w:r>
                          <w:rPr>
                            <w:rFonts w:ascii="宋体" w:hAnsi="宋体" w:cs="宋体" w:eastAsia="宋体" w:hint="default"/>
                            <w:spacing w:val="3"/>
                            <w:sz w:val="16"/>
                            <w:szCs w:val="16"/>
                          </w:rPr>
                          <w:t>主要系本期募集资金</w:t>
                        </w:r>
                        <w:r>
                          <w:rPr>
                            <w:rFonts w:ascii="Times New Roman" w:hAnsi="Times New Roman" w:cs="Times New Roman" w:eastAsia="Times New Roman" w:hint="default"/>
                            <w:spacing w:val="3"/>
                            <w:sz w:val="16"/>
                            <w:szCs w:val="16"/>
                          </w:rPr>
                          <w:t>3.5</w:t>
                        </w:r>
                        <w:r>
                          <w:rPr>
                            <w:rFonts w:ascii="宋体" w:hAnsi="宋体" w:cs="宋体" w:eastAsia="宋体" w:hint="default"/>
                            <w:spacing w:val="3"/>
                            <w:sz w:val="16"/>
                            <w:szCs w:val="16"/>
                          </w:rPr>
                          <w:t>亿，归还</w:t>
                        </w:r>
                        <w:r>
                          <w:rPr>
                            <w:rFonts w:ascii="宋体" w:hAnsi="宋体" w:cs="宋体" w:eastAsia="宋体" w:hint="default"/>
                            <w:spacing w:val="-78"/>
                            <w:sz w:val="16"/>
                            <w:szCs w:val="16"/>
                          </w:rPr>
                          <w:t> </w:t>
                        </w:r>
                        <w:r>
                          <w:rPr>
                            <w:rFonts w:ascii="宋体" w:hAnsi="宋体" w:cs="宋体" w:eastAsia="宋体" w:hint="default"/>
                            <w:sz w:val="16"/>
                            <w:szCs w:val="16"/>
                          </w:rPr>
                          <w:t>借款所致。</w:t>
                        </w:r>
                      </w:p>
                    </w:tc>
                  </w:tr>
                  <w:tr>
                    <w:trPr>
                      <w:trHeight w:val="352" w:hRule="exact"/>
                    </w:trPr>
                    <w:tc>
                      <w:tcPr>
                        <w:tcW w:w="11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股本</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6"/>
                            <w:szCs w:val="16"/>
                          </w:rPr>
                        </w:pPr>
                        <w:r>
                          <w:rPr>
                            <w:rFonts w:ascii="Times New Roman"/>
                            <w:spacing w:val="-1"/>
                            <w:sz w:val="16"/>
                          </w:rPr>
                          <w:t>87,000,000.00</w:t>
                        </w:r>
                      </w:p>
                    </w:tc>
                    <w:tc>
                      <w:tcPr>
                        <w:tcW w:w="18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65,000,000.00</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33.85</w:t>
                        </w:r>
                      </w:p>
                    </w:tc>
                    <w:tc>
                      <w:tcPr>
                        <w:tcW w:w="235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主要系本期募集资金</w:t>
                        </w:r>
                        <w:r>
                          <w:rPr>
                            <w:rFonts w:ascii="Times New Roman" w:hAnsi="Times New Roman" w:cs="Times New Roman" w:eastAsia="Times New Roman" w:hint="default"/>
                            <w:sz w:val="16"/>
                            <w:szCs w:val="16"/>
                          </w:rPr>
                          <w:t>3.5</w:t>
                        </w:r>
                        <w:r>
                          <w:rPr>
                            <w:rFonts w:ascii="宋体" w:hAnsi="宋体" w:cs="宋体" w:eastAsia="宋体" w:hint="default"/>
                            <w:sz w:val="16"/>
                            <w:szCs w:val="16"/>
                          </w:rPr>
                          <w:t>亿所致</w:t>
                        </w:r>
                      </w:p>
                    </w:tc>
                  </w:tr>
                  <w:tr>
                    <w:trPr>
                      <w:trHeight w:val="353" w:hRule="exact"/>
                    </w:trPr>
                    <w:tc>
                      <w:tcPr>
                        <w:tcW w:w="11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资本公积</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6"/>
                            <w:szCs w:val="16"/>
                          </w:rPr>
                        </w:pPr>
                        <w:r>
                          <w:rPr>
                            <w:rFonts w:ascii="Times New Roman"/>
                            <w:spacing w:val="-1"/>
                            <w:sz w:val="16"/>
                          </w:rPr>
                          <w:t>351,980,735.26</w:t>
                        </w:r>
                      </w:p>
                    </w:tc>
                    <w:tc>
                      <w:tcPr>
                        <w:tcW w:w="18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23,504,735.26</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1,397.49</w:t>
                        </w:r>
                      </w:p>
                    </w:tc>
                    <w:tc>
                      <w:tcPr>
                        <w:tcW w:w="235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主要系本期募集资金</w:t>
                        </w:r>
                        <w:r>
                          <w:rPr>
                            <w:rFonts w:ascii="Times New Roman" w:hAnsi="Times New Roman" w:cs="Times New Roman" w:eastAsia="Times New Roman" w:hint="default"/>
                            <w:sz w:val="16"/>
                            <w:szCs w:val="16"/>
                          </w:rPr>
                          <w:t>3.5</w:t>
                        </w:r>
                        <w:r>
                          <w:rPr>
                            <w:rFonts w:ascii="宋体" w:hAnsi="宋体" w:cs="宋体" w:eastAsia="宋体" w:hint="default"/>
                            <w:sz w:val="16"/>
                            <w:szCs w:val="16"/>
                          </w:rPr>
                          <w:t>亿所致。</w:t>
                        </w:r>
                      </w:p>
                    </w:tc>
                  </w:tr>
                  <w:tr>
                    <w:trPr>
                      <w:trHeight w:val="976" w:hRule="exact"/>
                    </w:trPr>
                    <w:tc>
                      <w:tcPr>
                        <w:tcW w:w="11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营业收入</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403,145,027.74</w:t>
                        </w:r>
                      </w:p>
                    </w:tc>
                    <w:tc>
                      <w:tcPr>
                        <w:tcW w:w="18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333,428,732.56</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6"/>
                            <w:szCs w:val="16"/>
                          </w:rPr>
                        </w:pPr>
                        <w:r>
                          <w:rPr>
                            <w:rFonts w:ascii="Times New Roman"/>
                            <w:spacing w:val="-1"/>
                            <w:sz w:val="16"/>
                          </w:rPr>
                          <w:t>20.91</w:t>
                        </w:r>
                      </w:p>
                    </w:tc>
                    <w:tc>
                      <w:tcPr>
                        <w:tcW w:w="2358" w:type="dxa"/>
                        <w:tcBorders>
                          <w:top w:val="single" w:sz="12" w:space="0" w:color="000000"/>
                          <w:left w:val="single" w:sz="6" w:space="0" w:color="000000"/>
                          <w:bottom w:val="single" w:sz="12" w:space="0" w:color="000000"/>
                          <w:right w:val="nil" w:sz="6" w:space="0" w:color="auto"/>
                        </w:tcBorders>
                      </w:tcPr>
                      <w:p>
                        <w:pPr>
                          <w:pStyle w:val="TableParagraph"/>
                          <w:spacing w:line="357" w:lineRule="auto" w:before="25"/>
                          <w:ind w:left="2" w:right="10"/>
                          <w:jc w:val="both"/>
                          <w:rPr>
                            <w:rFonts w:ascii="宋体" w:hAnsi="宋体" w:cs="宋体" w:eastAsia="宋体" w:hint="default"/>
                            <w:sz w:val="16"/>
                            <w:szCs w:val="16"/>
                          </w:rPr>
                        </w:pPr>
                        <w:r>
                          <w:rPr>
                            <w:rFonts w:ascii="宋体" w:hAnsi="宋体" w:cs="宋体" w:eastAsia="宋体" w:hint="default"/>
                            <w:spacing w:val="-4"/>
                            <w:w w:val="99"/>
                            <w:sz w:val="16"/>
                            <w:szCs w:val="16"/>
                          </w:rPr>
                          <w:t>主要系公司业务规模扩大，新增合</w:t>
                        </w:r>
                        <w:r>
                          <w:rPr>
                            <w:rFonts w:ascii="宋体" w:hAnsi="宋体" w:cs="宋体" w:eastAsia="宋体" w:hint="default"/>
                            <w:w w:val="99"/>
                            <w:sz w:val="16"/>
                            <w:szCs w:val="16"/>
                          </w:rPr>
                          <w:t> </w:t>
                        </w:r>
                        <w:r>
                          <w:rPr>
                            <w:rFonts w:ascii="宋体" w:hAnsi="宋体" w:cs="宋体" w:eastAsia="宋体" w:hint="default"/>
                            <w:spacing w:val="7"/>
                            <w:sz w:val="16"/>
                            <w:szCs w:val="16"/>
                          </w:rPr>
                          <w:t>同增加较多，同时合同完工量较</w:t>
                        </w:r>
                        <w:r>
                          <w:rPr>
                            <w:rFonts w:ascii="宋体" w:hAnsi="宋体" w:cs="宋体" w:eastAsia="宋体" w:hint="default"/>
                            <w:w w:val="99"/>
                            <w:sz w:val="16"/>
                            <w:szCs w:val="16"/>
                          </w:rPr>
                          <w:t> </w:t>
                        </w:r>
                        <w:r>
                          <w:rPr>
                            <w:rFonts w:ascii="宋体" w:hAnsi="宋体" w:cs="宋体" w:eastAsia="宋体" w:hint="default"/>
                            <w:sz w:val="16"/>
                            <w:szCs w:val="16"/>
                          </w:rPr>
                          <w:t>多，收入增长较快。</w:t>
                        </w:r>
                      </w:p>
                    </w:tc>
                  </w:tr>
                  <w:tr>
                    <w:trPr>
                      <w:trHeight w:val="352" w:hRule="exact"/>
                    </w:trPr>
                    <w:tc>
                      <w:tcPr>
                        <w:tcW w:w="11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营业成本</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5"/>
                          <w:ind w:right="1"/>
                          <w:jc w:val="right"/>
                          <w:rPr>
                            <w:rFonts w:ascii="Times New Roman" w:hAnsi="Times New Roman" w:cs="Times New Roman" w:eastAsia="Times New Roman" w:hint="default"/>
                            <w:sz w:val="16"/>
                            <w:szCs w:val="16"/>
                          </w:rPr>
                        </w:pPr>
                        <w:r>
                          <w:rPr>
                            <w:rFonts w:ascii="Times New Roman"/>
                            <w:b/>
                            <w:spacing w:val="-1"/>
                            <w:sz w:val="16"/>
                          </w:rPr>
                          <w:t>287,148,730.82</w:t>
                        </w:r>
                        <w:r>
                          <w:rPr>
                            <w:rFonts w:ascii="Times New Roman"/>
                            <w:spacing w:val="-1"/>
                            <w:sz w:val="16"/>
                          </w:rPr>
                        </w:r>
                      </w:p>
                    </w:tc>
                    <w:tc>
                      <w:tcPr>
                        <w:tcW w:w="18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243,062,743.31</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5"/>
                          <w:ind w:right="0"/>
                          <w:jc w:val="right"/>
                          <w:rPr>
                            <w:rFonts w:ascii="Times New Roman" w:hAnsi="Times New Roman" w:cs="Times New Roman" w:eastAsia="Times New Roman" w:hint="default"/>
                            <w:sz w:val="16"/>
                            <w:szCs w:val="16"/>
                          </w:rPr>
                        </w:pPr>
                        <w:r>
                          <w:rPr>
                            <w:rFonts w:ascii="Times New Roman"/>
                            <w:b/>
                            <w:spacing w:val="-1"/>
                            <w:sz w:val="16"/>
                          </w:rPr>
                          <w:t>18.14</w:t>
                        </w:r>
                        <w:r>
                          <w:rPr>
                            <w:rFonts w:ascii="Times New Roman"/>
                            <w:spacing w:val="-1"/>
                            <w:sz w:val="16"/>
                          </w:rPr>
                        </w:r>
                      </w:p>
                    </w:tc>
                    <w:tc>
                      <w:tcPr>
                        <w:tcW w:w="235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主要系随销售规模扩大所致。</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6"/>
          <w:szCs w:val="16"/>
        </w:rPr>
      </w:pPr>
    </w:p>
    <w:p>
      <w:pPr>
        <w:spacing w:before="50"/>
        <w:ind w:left="0" w:right="1215" w:firstLine="0"/>
        <w:jc w:val="right"/>
        <w:rPr>
          <w:rFonts w:ascii="宋体" w:hAnsi="宋体" w:cs="宋体" w:eastAsia="宋体" w:hint="default"/>
          <w:sz w:val="16"/>
          <w:szCs w:val="16"/>
        </w:rPr>
      </w:pPr>
      <w:r>
        <w:rPr>
          <w:rFonts w:ascii="宋体" w:hAnsi="宋体" w:cs="宋体" w:eastAsia="宋体" w:hint="default"/>
          <w:w w:val="99"/>
          <w:sz w:val="16"/>
          <w:szCs w:val="16"/>
        </w:rPr>
        <w:t>。</w:t>
      </w:r>
      <w:r>
        <w:rPr>
          <w:rFonts w:ascii="宋体" w:hAnsi="宋体" w:cs="宋体" w:eastAsia="宋体" w:hint="default"/>
          <w:sz w:val="16"/>
          <w:szCs w:val="16"/>
        </w:rPr>
      </w:r>
    </w:p>
    <w:p>
      <w:pPr>
        <w:spacing w:before="142"/>
        <w:ind w:left="0" w:right="1206" w:firstLine="0"/>
        <w:jc w:val="right"/>
        <w:rPr>
          <w:rFonts w:ascii="宋体" w:hAnsi="宋体" w:cs="宋体" w:eastAsia="宋体" w:hint="default"/>
          <w:sz w:val="16"/>
          <w:szCs w:val="16"/>
        </w:rPr>
      </w:pPr>
      <w:r>
        <w:rPr>
          <w:rFonts w:ascii="宋体" w:hAnsi="宋体" w:cs="宋体" w:eastAsia="宋体" w:hint="default"/>
          <w:b/>
          <w:bCs/>
          <w:w w:val="99"/>
          <w:sz w:val="16"/>
          <w:szCs w:val="16"/>
        </w:rPr>
        <w:t>。</w:t>
      </w:r>
      <w:r>
        <w:rPr>
          <w:rFonts w:ascii="宋体" w:hAnsi="宋体" w:cs="宋体" w:eastAsia="宋体" w:hint="default"/>
          <w:sz w:val="16"/>
          <w:szCs w:val="16"/>
        </w:rPr>
      </w:r>
    </w:p>
    <w:p>
      <w:pPr>
        <w:spacing w:after="0"/>
        <w:jc w:val="right"/>
        <w:rPr>
          <w:rFonts w:ascii="宋体" w:hAnsi="宋体" w:cs="宋体" w:eastAsia="宋体" w:hint="default"/>
          <w:sz w:val="16"/>
          <w:szCs w:val="16"/>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5"/>
          <w:szCs w:val="15"/>
        </w:rPr>
      </w:pPr>
    </w:p>
    <w:p>
      <w:pPr>
        <w:spacing w:before="50"/>
        <w:ind w:left="0" w:right="1215" w:firstLine="0"/>
        <w:jc w:val="right"/>
        <w:rPr>
          <w:rFonts w:ascii="宋体" w:hAnsi="宋体" w:cs="宋体" w:eastAsia="宋体" w:hint="default"/>
          <w:sz w:val="16"/>
          <w:szCs w:val="16"/>
        </w:rPr>
      </w:pPr>
      <w:r>
        <w:rPr/>
        <w:pict>
          <v:shape style="position:absolute;margin-left:56.34pt;margin-top:-148.415985pt;width:428pt;height:200.5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02"/>
                    <w:gridCol w:w="1984"/>
                    <w:gridCol w:w="1819"/>
                    <w:gridCol w:w="1260"/>
                    <w:gridCol w:w="2358"/>
                  </w:tblGrid>
                  <w:tr>
                    <w:trPr>
                      <w:trHeight w:val="667" w:hRule="exact"/>
                    </w:trPr>
                    <w:tc>
                      <w:tcPr>
                        <w:tcW w:w="11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销售费用</w:t>
                        </w:r>
                      </w:p>
                    </w:tc>
                    <w:tc>
                      <w:tcPr>
                        <w:tcW w:w="19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8,397,764.01</w:t>
                        </w:r>
                      </w:p>
                    </w:tc>
                    <w:tc>
                      <w:tcPr>
                        <w:tcW w:w="18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2"/>
                          <w:ind w:right="2"/>
                          <w:jc w:val="right"/>
                          <w:rPr>
                            <w:rFonts w:ascii="Times New Roman" w:hAnsi="Times New Roman" w:cs="Times New Roman" w:eastAsia="Times New Roman" w:hint="default"/>
                            <w:sz w:val="16"/>
                            <w:szCs w:val="16"/>
                          </w:rPr>
                        </w:pPr>
                        <w:r>
                          <w:rPr>
                            <w:rFonts w:ascii="Times New Roman"/>
                            <w:spacing w:val="-1"/>
                            <w:sz w:val="16"/>
                          </w:rPr>
                          <w:t>5,716,037.86</w:t>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46.92</w:t>
                        </w:r>
                      </w:p>
                    </w:tc>
                    <w:tc>
                      <w:tcPr>
                        <w:tcW w:w="2358" w:type="dxa"/>
                        <w:tcBorders>
                          <w:top w:val="single" w:sz="6" w:space="0" w:color="000000"/>
                          <w:left w:val="single" w:sz="6" w:space="0" w:color="000000"/>
                          <w:bottom w:val="single" w:sz="12" w:space="0" w:color="000000"/>
                          <w:right w:val="nil" w:sz="6" w:space="0" w:color="auto"/>
                        </w:tcBorders>
                      </w:tcPr>
                      <w:p>
                        <w:pPr>
                          <w:pStyle w:val="TableParagraph"/>
                          <w:spacing w:line="357" w:lineRule="auto" w:before="36"/>
                          <w:ind w:left="2" w:right="10"/>
                          <w:jc w:val="left"/>
                          <w:rPr>
                            <w:rFonts w:ascii="宋体" w:hAnsi="宋体" w:cs="宋体" w:eastAsia="宋体" w:hint="default"/>
                            <w:sz w:val="16"/>
                            <w:szCs w:val="16"/>
                          </w:rPr>
                        </w:pPr>
                        <w:r>
                          <w:rPr>
                            <w:rFonts w:ascii="宋体" w:hAnsi="宋体" w:cs="宋体" w:eastAsia="宋体" w:hint="default"/>
                            <w:spacing w:val="-5"/>
                            <w:sz w:val="16"/>
                            <w:szCs w:val="16"/>
                          </w:rPr>
                          <w:t>主要系公司工资、折旧、前期工程</w:t>
                        </w:r>
                        <w:r>
                          <w:rPr>
                            <w:rFonts w:ascii="宋体" w:hAnsi="宋体" w:cs="宋体" w:eastAsia="宋体" w:hint="default"/>
                            <w:spacing w:val="-71"/>
                            <w:sz w:val="16"/>
                            <w:szCs w:val="16"/>
                          </w:rPr>
                          <w:t> </w:t>
                        </w:r>
                        <w:r>
                          <w:rPr>
                            <w:rFonts w:ascii="宋体" w:hAnsi="宋体" w:cs="宋体" w:eastAsia="宋体" w:hint="default"/>
                            <w:spacing w:val="-71"/>
                            <w:sz w:val="16"/>
                            <w:szCs w:val="16"/>
                          </w:rPr>
                        </w:r>
                        <w:r>
                          <w:rPr>
                            <w:rFonts w:ascii="宋体" w:hAnsi="宋体" w:cs="宋体" w:eastAsia="宋体" w:hint="default"/>
                            <w:sz w:val="16"/>
                            <w:szCs w:val="16"/>
                          </w:rPr>
                          <w:t>费用增长所致。</w:t>
                        </w:r>
                      </w:p>
                    </w:tc>
                  </w:tr>
                  <w:tr>
                    <w:trPr>
                      <w:trHeight w:val="664" w:hRule="exact"/>
                    </w:trPr>
                    <w:tc>
                      <w:tcPr>
                        <w:tcW w:w="11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管理费用</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6"/>
                            <w:szCs w:val="16"/>
                          </w:rPr>
                        </w:pPr>
                        <w:r>
                          <w:rPr>
                            <w:rFonts w:ascii="Times New Roman"/>
                            <w:spacing w:val="-1"/>
                            <w:sz w:val="16"/>
                          </w:rPr>
                          <w:t>31,059,547.86</w:t>
                        </w:r>
                      </w:p>
                    </w:tc>
                    <w:tc>
                      <w:tcPr>
                        <w:tcW w:w="18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22,178,608.37</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40.04</w:t>
                        </w:r>
                      </w:p>
                    </w:tc>
                    <w:tc>
                      <w:tcPr>
                        <w:tcW w:w="2358" w:type="dxa"/>
                        <w:tcBorders>
                          <w:top w:val="single" w:sz="12" w:space="0" w:color="000000"/>
                          <w:left w:val="single" w:sz="6" w:space="0" w:color="000000"/>
                          <w:bottom w:val="single" w:sz="12" w:space="0" w:color="000000"/>
                          <w:right w:val="nil" w:sz="6" w:space="0" w:color="auto"/>
                        </w:tcBorders>
                      </w:tcPr>
                      <w:p>
                        <w:pPr>
                          <w:pStyle w:val="TableParagraph"/>
                          <w:spacing w:line="357" w:lineRule="auto" w:before="25"/>
                          <w:ind w:left="2" w:right="10"/>
                          <w:jc w:val="left"/>
                          <w:rPr>
                            <w:rFonts w:ascii="宋体" w:hAnsi="宋体" w:cs="宋体" w:eastAsia="宋体" w:hint="default"/>
                            <w:sz w:val="16"/>
                            <w:szCs w:val="16"/>
                          </w:rPr>
                        </w:pPr>
                        <w:r>
                          <w:rPr>
                            <w:rFonts w:ascii="宋体" w:hAnsi="宋体" w:cs="宋体" w:eastAsia="宋体" w:hint="default"/>
                            <w:spacing w:val="-5"/>
                            <w:sz w:val="16"/>
                            <w:szCs w:val="16"/>
                          </w:rPr>
                          <w:t>主要系研发费用、人工、办公费增</w:t>
                        </w:r>
                        <w:r>
                          <w:rPr>
                            <w:rFonts w:ascii="宋体" w:hAnsi="宋体" w:cs="宋体" w:eastAsia="宋体" w:hint="default"/>
                            <w:spacing w:val="-72"/>
                            <w:sz w:val="16"/>
                            <w:szCs w:val="16"/>
                          </w:rPr>
                          <w:t> </w:t>
                        </w:r>
                        <w:r>
                          <w:rPr>
                            <w:rFonts w:ascii="宋体" w:hAnsi="宋体" w:cs="宋体" w:eastAsia="宋体" w:hint="default"/>
                            <w:spacing w:val="-72"/>
                            <w:sz w:val="16"/>
                            <w:szCs w:val="16"/>
                          </w:rPr>
                        </w:r>
                        <w:r>
                          <w:rPr>
                            <w:rFonts w:ascii="宋体" w:hAnsi="宋体" w:cs="宋体" w:eastAsia="宋体" w:hint="default"/>
                            <w:sz w:val="16"/>
                            <w:szCs w:val="16"/>
                          </w:rPr>
                          <w:t>长所致。</w:t>
                        </w:r>
                      </w:p>
                    </w:tc>
                  </w:tr>
                  <w:tr>
                    <w:trPr>
                      <w:trHeight w:val="665" w:hRule="exact"/>
                    </w:trPr>
                    <w:tc>
                      <w:tcPr>
                        <w:tcW w:w="11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财务费用</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6"/>
                            <w:szCs w:val="16"/>
                          </w:rPr>
                        </w:pPr>
                        <w:r>
                          <w:rPr>
                            <w:rFonts w:ascii="Times New Roman"/>
                            <w:spacing w:val="-1"/>
                            <w:sz w:val="16"/>
                          </w:rPr>
                          <w:t>-4,835,407.60</w:t>
                        </w:r>
                      </w:p>
                    </w:tc>
                    <w:tc>
                      <w:tcPr>
                        <w:tcW w:w="18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6"/>
                            <w:szCs w:val="16"/>
                          </w:rPr>
                        </w:pPr>
                        <w:r>
                          <w:rPr>
                            <w:rFonts w:ascii="Times New Roman"/>
                            <w:spacing w:val="-1"/>
                            <w:sz w:val="16"/>
                          </w:rPr>
                          <w:t>826,823.72</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-684.82</w:t>
                        </w:r>
                      </w:p>
                    </w:tc>
                    <w:tc>
                      <w:tcPr>
                        <w:tcW w:w="2358" w:type="dxa"/>
                        <w:tcBorders>
                          <w:top w:val="single" w:sz="12" w:space="0" w:color="000000"/>
                          <w:left w:val="single" w:sz="6" w:space="0" w:color="000000"/>
                          <w:bottom w:val="single" w:sz="12" w:space="0" w:color="000000"/>
                          <w:right w:val="nil" w:sz="6" w:space="0" w:color="auto"/>
                        </w:tcBorders>
                      </w:tcPr>
                      <w:p>
                        <w:pPr>
                          <w:pStyle w:val="TableParagraph"/>
                          <w:spacing w:line="338" w:lineRule="auto" w:before="25"/>
                          <w:ind w:left="2" w:right="8"/>
                          <w:jc w:val="left"/>
                          <w:rPr>
                            <w:rFonts w:ascii="宋体" w:hAnsi="宋体" w:cs="宋体" w:eastAsia="宋体" w:hint="default"/>
                            <w:sz w:val="16"/>
                            <w:szCs w:val="16"/>
                          </w:rPr>
                        </w:pPr>
                        <w:r>
                          <w:rPr>
                            <w:rFonts w:ascii="宋体" w:hAnsi="宋体" w:cs="宋体" w:eastAsia="宋体" w:hint="default"/>
                            <w:sz w:val="16"/>
                            <w:szCs w:val="16"/>
                          </w:rPr>
                          <w:t>主要系本期募集资金</w:t>
                        </w:r>
                        <w:r>
                          <w:rPr>
                            <w:rFonts w:ascii="Times New Roman" w:hAnsi="Times New Roman" w:cs="Times New Roman" w:eastAsia="Times New Roman" w:hint="default"/>
                            <w:sz w:val="16"/>
                            <w:szCs w:val="16"/>
                          </w:rPr>
                          <w:t>3.5</w:t>
                        </w:r>
                        <w:r>
                          <w:rPr>
                            <w:rFonts w:ascii="宋体" w:hAnsi="宋体" w:cs="宋体" w:eastAsia="宋体" w:hint="default"/>
                            <w:sz w:val="16"/>
                            <w:szCs w:val="16"/>
                          </w:rPr>
                          <w:t>亿</w:t>
                        </w:r>
                        <w:r>
                          <w:rPr>
                            <w:rFonts w:ascii="Times New Roman" w:hAnsi="Times New Roman" w:cs="Times New Roman" w:eastAsia="Times New Roman" w:hint="default"/>
                            <w:sz w:val="16"/>
                            <w:szCs w:val="16"/>
                          </w:rPr>
                          <w:t>,</w:t>
                        </w:r>
                        <w:r>
                          <w:rPr>
                            <w:rFonts w:ascii="宋体" w:hAnsi="宋体" w:cs="宋体" w:eastAsia="宋体" w:hint="default"/>
                            <w:sz w:val="16"/>
                            <w:szCs w:val="16"/>
                          </w:rPr>
                          <w:t>利息收</w:t>
                        </w:r>
                        <w:r>
                          <w:rPr>
                            <w:rFonts w:ascii="宋体" w:hAnsi="宋体" w:cs="宋体" w:eastAsia="宋体" w:hint="default"/>
                            <w:spacing w:val="-68"/>
                            <w:sz w:val="16"/>
                            <w:szCs w:val="16"/>
                          </w:rPr>
                          <w:t> </w:t>
                        </w:r>
                        <w:r>
                          <w:rPr>
                            <w:rFonts w:ascii="宋体" w:hAnsi="宋体" w:cs="宋体" w:eastAsia="宋体" w:hint="default"/>
                            <w:sz w:val="16"/>
                            <w:szCs w:val="16"/>
                          </w:rPr>
                          <w:t>入增长所致。</w:t>
                        </w:r>
                      </w:p>
                    </w:tc>
                  </w:tr>
                  <w:tr>
                    <w:trPr>
                      <w:trHeight w:val="976" w:hRule="exact"/>
                    </w:trPr>
                    <w:tc>
                      <w:tcPr>
                        <w:tcW w:w="11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资产减值损失</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6,702,904.49</w:t>
                        </w:r>
                      </w:p>
                    </w:tc>
                    <w:tc>
                      <w:tcPr>
                        <w:tcW w:w="18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6"/>
                            <w:szCs w:val="16"/>
                          </w:rPr>
                        </w:pPr>
                        <w:r>
                          <w:rPr>
                            <w:rFonts w:ascii="Times New Roman"/>
                            <w:spacing w:val="-1"/>
                            <w:sz w:val="16"/>
                          </w:rPr>
                          <w:t>3,501,961.87</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6"/>
                            <w:szCs w:val="16"/>
                          </w:rPr>
                        </w:pPr>
                        <w:r>
                          <w:rPr>
                            <w:rFonts w:ascii="Times New Roman"/>
                            <w:spacing w:val="-1"/>
                            <w:sz w:val="16"/>
                          </w:rPr>
                          <w:t>91.40</w:t>
                        </w:r>
                      </w:p>
                    </w:tc>
                    <w:tc>
                      <w:tcPr>
                        <w:tcW w:w="2358" w:type="dxa"/>
                        <w:tcBorders>
                          <w:top w:val="single" w:sz="12" w:space="0" w:color="000000"/>
                          <w:left w:val="single" w:sz="6" w:space="0" w:color="000000"/>
                          <w:bottom w:val="single" w:sz="12" w:space="0" w:color="000000"/>
                          <w:right w:val="nil" w:sz="6" w:space="0" w:color="auto"/>
                        </w:tcBorders>
                      </w:tcPr>
                      <w:p>
                        <w:pPr>
                          <w:pStyle w:val="TableParagraph"/>
                          <w:spacing w:line="357" w:lineRule="auto" w:before="25"/>
                          <w:ind w:left="2" w:right="10"/>
                          <w:jc w:val="both"/>
                          <w:rPr>
                            <w:rFonts w:ascii="宋体" w:hAnsi="宋体" w:cs="宋体" w:eastAsia="宋体" w:hint="default"/>
                            <w:sz w:val="16"/>
                            <w:szCs w:val="16"/>
                          </w:rPr>
                        </w:pPr>
                        <w:r>
                          <w:rPr>
                            <w:rFonts w:ascii="宋体" w:hAnsi="宋体" w:cs="宋体" w:eastAsia="宋体" w:hint="default"/>
                            <w:spacing w:val="-4"/>
                            <w:w w:val="99"/>
                            <w:sz w:val="16"/>
                            <w:szCs w:val="16"/>
                          </w:rPr>
                          <w:t>主要系应收款项余额增加，导致坏</w:t>
                        </w:r>
                        <w:r>
                          <w:rPr>
                            <w:rFonts w:ascii="宋体" w:hAnsi="宋体" w:cs="宋体" w:eastAsia="宋体" w:hint="default"/>
                            <w:w w:val="99"/>
                            <w:sz w:val="16"/>
                            <w:szCs w:val="16"/>
                          </w:rPr>
                          <w:t> </w:t>
                        </w:r>
                        <w:r>
                          <w:rPr>
                            <w:rFonts w:ascii="宋体" w:hAnsi="宋体" w:cs="宋体" w:eastAsia="宋体" w:hint="default"/>
                            <w:spacing w:val="-4"/>
                            <w:sz w:val="16"/>
                            <w:szCs w:val="16"/>
                          </w:rPr>
                          <w:t>账准备增加，相应资产减值损失增</w:t>
                        </w:r>
                        <w:r>
                          <w:rPr>
                            <w:rFonts w:ascii="宋体" w:hAnsi="宋体" w:cs="宋体" w:eastAsia="宋体" w:hint="default"/>
                            <w:w w:val="99"/>
                            <w:sz w:val="16"/>
                            <w:szCs w:val="16"/>
                          </w:rPr>
                          <w:t> </w:t>
                        </w:r>
                        <w:r>
                          <w:rPr>
                            <w:rFonts w:ascii="宋体" w:hAnsi="宋体" w:cs="宋体" w:eastAsia="宋体" w:hint="default"/>
                            <w:sz w:val="16"/>
                            <w:szCs w:val="16"/>
                          </w:rPr>
                          <w:t>长所致。</w:t>
                        </w:r>
                      </w:p>
                    </w:tc>
                  </w:tr>
                  <w:tr>
                    <w:trPr>
                      <w:trHeight w:val="352" w:hRule="exact"/>
                    </w:trPr>
                    <w:tc>
                      <w:tcPr>
                        <w:tcW w:w="11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营业外收入</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6"/>
                            <w:szCs w:val="16"/>
                          </w:rPr>
                        </w:pPr>
                        <w:r>
                          <w:rPr>
                            <w:rFonts w:ascii="Times New Roman"/>
                            <w:spacing w:val="-1"/>
                            <w:sz w:val="16"/>
                          </w:rPr>
                          <w:t>4,074,426.62</w:t>
                        </w:r>
                      </w:p>
                    </w:tc>
                    <w:tc>
                      <w:tcPr>
                        <w:tcW w:w="18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12,684,357.68</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-67.88</w:t>
                        </w:r>
                      </w:p>
                    </w:tc>
                    <w:tc>
                      <w:tcPr>
                        <w:tcW w:w="235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主要系上期收到赔偿款较多所致</w:t>
                        </w:r>
                      </w:p>
                    </w:tc>
                  </w:tr>
                  <w:tr>
                    <w:trPr>
                      <w:trHeight w:val="665" w:hRule="exact"/>
                    </w:trPr>
                    <w:tc>
                      <w:tcPr>
                        <w:tcW w:w="11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营业外支出</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6"/>
                            <w:szCs w:val="16"/>
                          </w:rPr>
                        </w:pPr>
                        <w:r>
                          <w:rPr>
                            <w:rFonts w:ascii="Times New Roman"/>
                            <w:spacing w:val="-1"/>
                            <w:sz w:val="16"/>
                          </w:rPr>
                          <w:t>434,637.21</w:t>
                        </w:r>
                      </w:p>
                    </w:tc>
                    <w:tc>
                      <w:tcPr>
                        <w:tcW w:w="18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6"/>
                            <w:szCs w:val="16"/>
                          </w:rPr>
                        </w:pPr>
                        <w:r>
                          <w:rPr>
                            <w:rFonts w:ascii="Times New Roman"/>
                            <w:spacing w:val="-1"/>
                            <w:sz w:val="16"/>
                          </w:rPr>
                          <w:t>329,244.57</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6"/>
                            <w:szCs w:val="16"/>
                          </w:rPr>
                        </w:pPr>
                        <w:r>
                          <w:rPr>
                            <w:rFonts w:ascii="Times New Roman"/>
                            <w:spacing w:val="-1"/>
                            <w:sz w:val="16"/>
                          </w:rPr>
                          <w:t>32.01</w:t>
                        </w:r>
                      </w:p>
                    </w:tc>
                    <w:tc>
                      <w:tcPr>
                        <w:tcW w:w="2358" w:type="dxa"/>
                        <w:tcBorders>
                          <w:top w:val="single" w:sz="12" w:space="0" w:color="000000"/>
                          <w:left w:val="single" w:sz="6" w:space="0" w:color="000000"/>
                          <w:bottom w:val="single" w:sz="12" w:space="0" w:color="000000"/>
                          <w:right w:val="nil" w:sz="6" w:space="0" w:color="auto"/>
                        </w:tcBorders>
                      </w:tcPr>
                      <w:p>
                        <w:pPr>
                          <w:pStyle w:val="TableParagraph"/>
                          <w:spacing w:line="357" w:lineRule="auto" w:before="25"/>
                          <w:ind w:left="2" w:right="10"/>
                          <w:jc w:val="left"/>
                          <w:rPr>
                            <w:rFonts w:ascii="宋体" w:hAnsi="宋体" w:cs="宋体" w:eastAsia="宋体" w:hint="default"/>
                            <w:sz w:val="16"/>
                            <w:szCs w:val="16"/>
                          </w:rPr>
                        </w:pPr>
                        <w:r>
                          <w:rPr>
                            <w:rFonts w:ascii="宋体" w:hAnsi="宋体" w:cs="宋体" w:eastAsia="宋体" w:hint="default"/>
                            <w:spacing w:val="-4"/>
                            <w:sz w:val="16"/>
                            <w:szCs w:val="16"/>
                          </w:rPr>
                          <w:t>主要系销售规模扩大，水利建设专</w:t>
                        </w:r>
                        <w:r>
                          <w:rPr>
                            <w:rFonts w:ascii="宋体" w:hAnsi="宋体" w:cs="宋体" w:eastAsia="宋体" w:hint="default"/>
                            <w:w w:val="99"/>
                            <w:sz w:val="16"/>
                            <w:szCs w:val="16"/>
                          </w:rPr>
                          <w:t> </w:t>
                        </w:r>
                        <w:r>
                          <w:rPr>
                            <w:rFonts w:ascii="宋体" w:hAnsi="宋体" w:cs="宋体" w:eastAsia="宋体" w:hint="default"/>
                            <w:sz w:val="16"/>
                            <w:szCs w:val="16"/>
                          </w:rPr>
                          <w:t>项基金相应增加所致。</w:t>
                        </w:r>
                      </w:p>
                    </w:tc>
                  </w:tr>
                </w:tbl>
                <w:p>
                  <w:pPr/>
                </w:p>
              </w:txbxContent>
            </v:textbox>
            <w10:wrap type="none"/>
          </v:shape>
        </w:pict>
      </w:r>
      <w:r>
        <w:rPr>
          <w:rFonts w:ascii="宋体" w:hAnsi="宋体" w:cs="宋体" w:eastAsia="宋体" w:hint="default"/>
          <w:w w:val="99"/>
          <w:sz w:val="16"/>
          <w:szCs w:val="16"/>
        </w:rPr>
        <w:t>。</w:t>
      </w:r>
      <w:r>
        <w:rPr>
          <w:rFonts w:ascii="宋体" w:hAnsi="宋体" w:cs="宋体" w:eastAsia="宋体" w:hint="default"/>
          <w:sz w:val="16"/>
          <w:szCs w:val="16"/>
        </w:rPr>
      </w:r>
    </w:p>
    <w:p>
      <w:pPr>
        <w:spacing w:after="0"/>
        <w:jc w:val="right"/>
        <w:rPr>
          <w:rFonts w:ascii="宋体" w:hAnsi="宋体" w:cs="宋体" w:eastAsia="宋体" w:hint="default"/>
          <w:sz w:val="16"/>
          <w:szCs w:val="16"/>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494"/>
        <w:jc w:val="center"/>
        <w:rPr>
          <w:b w:val="0"/>
          <w:bCs w:val="0"/>
        </w:rPr>
      </w:pPr>
      <w:bookmarkStart w:name="_TOC_250000" w:id="10"/>
      <w:r>
        <w:rPr/>
        <w:t>第十节</w:t>
      </w:r>
      <w:r>
        <w:rPr>
          <w:spacing w:val="-9"/>
        </w:rPr>
        <w:t> </w:t>
      </w:r>
      <w:r>
        <w:rPr/>
        <w:t>备查文件目录</w:t>
      </w:r>
      <w:bookmarkEnd w:id="10"/>
      <w:r>
        <w:rPr>
          <w:b w:val="0"/>
          <w:bCs w:val="0"/>
        </w:rPr>
      </w:r>
    </w:p>
    <w:p>
      <w:pPr>
        <w:spacing w:line="240" w:lineRule="auto" w:before="7"/>
        <w:rPr>
          <w:rFonts w:ascii="黑体" w:hAnsi="黑体" w:cs="黑体" w:eastAsia="黑体" w:hint="default"/>
          <w:b/>
          <w:bCs/>
          <w:sz w:val="46"/>
          <w:szCs w:val="46"/>
        </w:rPr>
      </w:pPr>
    </w:p>
    <w:p>
      <w:pPr>
        <w:pStyle w:val="Heading4"/>
        <w:spacing w:line="408" w:lineRule="auto"/>
        <w:ind w:right="0" w:firstLine="420"/>
        <w:jc w:val="left"/>
      </w:pPr>
      <w:r>
        <w:rPr>
          <w:spacing w:val="-1"/>
        </w:rPr>
        <w:t>一、载有公司法定代表人、主管会计工作的公司负责人、公司会计机构负责人（会计主管人员）签名</w:t>
      </w:r>
      <w:r>
        <w:rPr/>
        <w:t> 并盖章的财务报表。</w:t>
      </w:r>
    </w:p>
    <w:p>
      <w:pPr>
        <w:pStyle w:val="Heading4"/>
        <w:spacing w:line="408" w:lineRule="auto" w:before="46"/>
        <w:ind w:left="574" w:right="1160"/>
        <w:jc w:val="left"/>
      </w:pPr>
      <w:r>
        <w:rPr/>
        <w:t>二、载有会计师事务所盖章、注册会计师签名并盖章的审计报告原件。 三、报告期内在中国证监会指定网站上公开披露过的所有公司文件的正本及公告的原稿。 四、其他相关资料。</w:t>
      </w:r>
    </w:p>
    <w:p>
      <w:pPr>
        <w:pStyle w:val="Heading4"/>
        <w:spacing w:line="240" w:lineRule="auto" w:before="46"/>
        <w:ind w:left="574" w:right="0"/>
        <w:jc w:val="left"/>
      </w:pPr>
      <w:r>
        <w:rPr/>
        <w:t>以上备查文件的备置地点：公司证券事务部。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Heading4"/>
        <w:spacing w:line="240" w:lineRule="auto"/>
        <w:ind w:left="0" w:right="150"/>
        <w:jc w:val="right"/>
      </w:pPr>
      <w:r>
        <w:rPr/>
        <w:t>汉鼎信息科技股份有限公司</w:t>
      </w:r>
    </w:p>
    <w:p>
      <w:pPr>
        <w:pStyle w:val="Heading4"/>
        <w:spacing w:line="307" w:lineRule="auto" w:before="78"/>
        <w:ind w:left="7692" w:right="150" w:firstLine="420"/>
        <w:jc w:val="right"/>
      </w:pPr>
      <w:r>
        <w:rPr/>
        <w:t>法定代表人：吴艳 二〇一三年四月二十日</w:t>
      </w:r>
    </w:p>
    <w:sectPr>
      <w:pgSz w:w="11910" w:h="16840"/>
      <w:pgMar w:header="747" w:footer="982" w:top="106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873pt;margin-top:795.457642pt;width:6.5pt;height:11pt;mso-position-horizontal-relative:page;mso-position-vertical-relative:page;z-index:-72124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7212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7211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75</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1.897522pt;width:15.5pt;height:11pt;mso-position-horizontal-relative:page;mso-position-vertical-relative:page;z-index:-72116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7211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53.179993pt;margin-top:36.325325pt;width:186.45pt;height:11.5pt;mso-position-horizontal-relative:page;mso-position-vertical-relative:page;z-index:-721264" type="#_x0000_t202" filled="false" stroked="false">
          <v:textbox inset="0,0,0,0">
            <w:txbxContent>
              <w:p>
                <w:pPr>
                  <w:pStyle w:val="BodyText"/>
                  <w:spacing w:line="214" w:lineRule="exact"/>
                  <w:ind w:left="20" w:right="0"/>
                  <w:jc w:val="left"/>
                </w:pPr>
                <w:r>
                  <w:rPr/>
                  <w:t>汉鼎信息科技股份有限公司</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2"/>
      <w:ind w:left="153"/>
    </w:pPr>
    <w:rPr>
      <w:rFonts w:ascii="宋体" w:hAnsi="宋体" w:eastAsia="宋体"/>
      <w:sz w:val="18"/>
      <w:szCs w:val="18"/>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495"/>
      <w:outlineLvl w:val="1"/>
    </w:pPr>
    <w:rPr>
      <w:rFonts w:ascii="黑体" w:hAnsi="黑体" w:eastAsia="黑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spacing w:before="21"/>
      <w:ind w:left="154"/>
      <w:outlineLvl w:val="3"/>
    </w:pPr>
    <w:rPr>
      <w:rFonts w:ascii="宋体" w:hAnsi="宋体" w:eastAsia="宋体"/>
      <w:b/>
      <w:bCs/>
      <w:sz w:val="21"/>
      <w:szCs w:val="21"/>
    </w:rPr>
  </w:style>
  <w:style w:styleId="Heading4" w:type="paragraph">
    <w:name w:val="Heading 4"/>
    <w:basedOn w:val="Normal"/>
    <w:uiPriority w:val="1"/>
    <w:qFormat/>
    <w:pPr>
      <w:ind w:left="154"/>
      <w:outlineLvl w:val="4"/>
    </w:pPr>
    <w:rPr>
      <w:rFonts w:ascii="宋体" w:hAnsi="宋体" w:eastAsia="宋体"/>
      <w:sz w:val="21"/>
      <w:szCs w:val="21"/>
    </w:rPr>
  </w:style>
  <w:style w:styleId="Heading5" w:type="paragraph">
    <w:name w:val="Heading 5"/>
    <w:basedOn w:val="Normal"/>
    <w:uiPriority w:val="1"/>
    <w:qFormat/>
    <w:pPr>
      <w:ind w:left="154"/>
      <w:outlineLvl w:val="5"/>
    </w:pPr>
    <w:rPr>
      <w:rFonts w:ascii="宋体" w:hAnsi="宋体" w:eastAsia="宋体"/>
      <w:b/>
      <w:bCs/>
      <w:sz w:val="20"/>
      <w:szCs w:val="20"/>
    </w:rPr>
  </w:style>
  <w:style w:styleId="Heading6" w:type="paragraph">
    <w:name w:val="Heading 6"/>
    <w:basedOn w:val="Normal"/>
    <w:uiPriority w:val="1"/>
    <w:qFormat/>
    <w:pPr>
      <w:spacing w:before="26"/>
      <w:ind w:left="153"/>
      <w:outlineLvl w:val="6"/>
    </w:pPr>
    <w:rPr>
      <w:rFonts w:ascii="宋体" w:hAnsi="宋体" w:eastAsia="宋体"/>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hakim.com.cn/" TargetMode="External"/><Relationship Id="rId10" Type="http://schemas.openxmlformats.org/officeDocument/2006/relationships/hyperlink" Target="mailto:hakim@hakim.com.cn" TargetMode="External"/><Relationship Id="rId11" Type="http://schemas.openxmlformats.org/officeDocument/2006/relationships/hyperlink" Target="http://www.cninfo.com.cn/" TargetMode="External"/><Relationship Id="rId12" Type="http://schemas.openxmlformats.org/officeDocument/2006/relationships/hyperlink" Target="http://www.cninfo.com.cn/finalpage/2012-08-25/61479360.PDF" TargetMode="External"/><Relationship Id="rId13" Type="http://schemas.openxmlformats.org/officeDocument/2006/relationships/image" Target="media/image2.jpe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Word - 2012年度报告全文2013-04-19 16点14.rtf</dc:title>
  <dcterms:created xsi:type="dcterms:W3CDTF">2020-05-04T02:13:03Z</dcterms:created>
  <dcterms:modified xsi:type="dcterms:W3CDTF">2020-05-04T02:13:03Z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2013-04-19T00:00:00Z</vt:filetime>
  </property>
  <property fmtid="{D5CDD505-2E9C-101B-9397-08002B2CF9AE}" pid="3" name="Creator">
    <vt:lpwstr>PScript5.dll Version 5.2.2</vt:lpwstr>
  </property>
  <property fmtid="{D5CDD505-2E9C-101B-9397-08002B2CF9AE}" pid="4" name="LastSaved">
    <vt:filetime>2020-05-03T00:00:00Z</vt:filetime>
  </property>
</Properties>
</file>