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27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8595" cy="8096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595"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601" w:right="3587" w:firstLine="0"/>
        <w:jc w:val="center"/>
        <w:rPr>
          <w:rFonts w:ascii="宋体" w:hAnsi="宋体" w:cs="宋体" w:eastAsia="宋体" w:hint="default"/>
          <w:sz w:val="36"/>
          <w:szCs w:val="36"/>
        </w:rPr>
      </w:pPr>
      <w:r>
        <w:rPr>
          <w:rFonts w:ascii="宋体" w:hAnsi="宋体" w:cs="宋体" w:eastAsia="宋体" w:hint="default"/>
          <w:b/>
          <w:bCs/>
          <w:sz w:val="36"/>
          <w:szCs w:val="36"/>
        </w:rPr>
        <w:t>汉鼎宇佑互联网股份有限公司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35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601" w:right="3579" w:firstLine="0"/>
        <w:jc w:val="center"/>
        <w:rPr>
          <w:rFonts w:ascii="Times New Roman" w:hAnsi="Times New Roman" w:cs="Times New Roman" w:eastAsia="Times New Roman" w:hint="default"/>
          <w:sz w:val="22"/>
          <w:szCs w:val="22"/>
        </w:rPr>
      </w:pPr>
      <w:r>
        <w:rPr>
          <w:rFonts w:ascii="Times New Roman"/>
          <w:b/>
          <w:sz w:val="22"/>
        </w:rPr>
        <w:t>2020-047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2601" w:right="35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4" w:right="1133"/>
        <w:jc w:val="left"/>
        <w:rPr>
          <w:b w:val="0"/>
          <w:bCs w:val="0"/>
        </w:rPr>
      </w:pP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公司负责人曹阳、主管会计工作负责人曾志勇及会计机构负责人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劳琼璐声明：保证年度报告中财务报告的真实、准确、完整。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本报告中所涉及的未来计划、发展战略、经营业绩的预计等前瞻性描述不</w:t>
      </w:r>
      <w:r>
        <w:rPr>
          <w:rFonts w:ascii="宋体" w:hAnsi="宋体" w:cs="宋体" w:eastAsia="宋体" w:hint="default"/>
          <w:spacing w:val="2"/>
          <w:sz w:val="28"/>
          <w:szCs w:val="28"/>
        </w:rPr>
      </w:r>
    </w:p>
    <w:p>
      <w:pPr>
        <w:spacing w:line="403" w:lineRule="auto" w:before="0"/>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构成公司对投资者的实质承诺，投资者及相关人士均应当对此保持足够的风险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认识，并且应当理解计划、预测与承诺之间的差异，敬请投资者注意投资风险。</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公司目前不存在影响公司正常经营的重大风险。公司日常经营中可能面临的风</w:t>
      </w:r>
      <w:r>
        <w:rPr>
          <w:rFonts w:ascii="宋体" w:hAnsi="宋体" w:cs="宋体" w:eastAsia="宋体" w:hint="default"/>
          <w:b/>
          <w:bCs/>
          <w:w w:val="99"/>
          <w:sz w:val="28"/>
          <w:szCs w:val="28"/>
        </w:rPr>
        <w:t> </w:t>
      </w:r>
      <w:r>
        <w:rPr>
          <w:rFonts w:ascii="宋体" w:hAnsi="宋体" w:cs="宋体" w:eastAsia="宋体" w:hint="default"/>
          <w:b/>
          <w:bCs/>
          <w:sz w:val="28"/>
          <w:szCs w:val="28"/>
        </w:rPr>
        <w:t>险因素详见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31"/>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中相关</w:t>
      </w:r>
      <w:r>
        <w:rPr>
          <w:rFonts w:ascii="宋体" w:hAnsi="宋体" w:cs="宋体" w:eastAsia="宋体" w:hint="default"/>
          <w:b/>
          <w:bCs/>
          <w:w w:val="99"/>
          <w:sz w:val="28"/>
          <w:szCs w:val="28"/>
        </w:rPr>
        <w:t> </w:t>
      </w:r>
      <w:r>
        <w:rPr>
          <w:rFonts w:ascii="宋体" w:hAnsi="宋体" w:cs="宋体" w:eastAsia="宋体" w:hint="default"/>
          <w:b/>
          <w:bCs/>
          <w:sz w:val="28"/>
          <w:szCs w:val="28"/>
        </w:rPr>
        <w:t>风险因素。</w:t>
      </w:r>
      <w:r>
        <w:rPr>
          <w:rFonts w:ascii="宋体" w:hAnsi="宋体" w:cs="宋体" w:eastAsia="宋体" w:hint="default"/>
          <w:sz w:val="28"/>
          <w:szCs w:val="28"/>
        </w:rPr>
      </w:r>
    </w:p>
    <w:p>
      <w:pPr>
        <w:spacing w:before="16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2601" w:right="357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汉鼎宇佑、本公司、公司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汉鼎宇佑互联网股份有限公司（原：汉鼎信息科技股份有限公司）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平潭国资局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平潭综合实验区国有资产管理局，公司实际控制人</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平潭创投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平潭创新股权投资合伙企业（有限合伙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，公司控股股东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平潭金控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平潭综合实验区金融控股集团有限公司，间接控制公司控股股东</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平潭麒麟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平潭综合实验区麒麟股权投资管理有限公司，公司控股股东平潭创投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的执行事务合伙人</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pacing w:val="-3"/>
                <w:sz w:val="18"/>
                <w:szCs w:val="18"/>
              </w:rPr>
              <w:t>汉鼎宇佑信息产业有限公司（原：浙江汉爵科技有限公司），公司全</w:t>
            </w:r>
            <w:r>
              <w:rPr>
                <w:rFonts w:ascii="宋体" w:hAnsi="宋体" w:cs="宋体" w:eastAsia="宋体" w:hint="default"/>
                <w:sz w:val="18"/>
                <w:szCs w:val="18"/>
              </w:rPr>
              <w:t> 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汉鼎国际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汉鼎国际发展有限公司，公司全资子公司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汉鼎金服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宇佑资本</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浙江汉鼎宇佑资本管理有限公司，公司全资子公司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互动娱乐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杭州汉鼎宇佑互动娱乐管理有限公司，公司全资子公司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商业发展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杭州汉鼎宇佑商业发展有限公司，公司全资子公司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平潭互联网医院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好医友互联网医院（平潭）有限公司，公司控股子公司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好医友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pacing w:val="-3"/>
                <w:sz w:val="18"/>
                <w:szCs w:val="18"/>
              </w:rPr>
              <w:t>好医友医疗科技集团有限公司（原好医友医疗科技有限公司），公司</w:t>
            </w:r>
            <w:r>
              <w:rPr>
                <w:rFonts w:ascii="宋体" w:hAnsi="宋体" w:cs="宋体" w:eastAsia="宋体" w:hint="default"/>
                <w:sz w:val="18"/>
                <w:szCs w:val="18"/>
              </w:rPr>
              <w:t> 控股子公司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pacing w:val="-3"/>
                <w:sz w:val="18"/>
                <w:szCs w:val="18"/>
              </w:rPr>
              <w:t>四川通普科技有限公司（原四川宇佑通普系统工程有限公司），公司</w:t>
            </w:r>
            <w:r>
              <w:rPr>
                <w:rFonts w:ascii="宋体" w:hAnsi="宋体" w:cs="宋体" w:eastAsia="宋体" w:hint="default"/>
                <w:sz w:val="18"/>
                <w:szCs w:val="18"/>
              </w:rPr>
              <w:t> 参股子公司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搜道网络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浙江搜道网络技术有限公司，公司参股子公司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蜂助手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蜂助手股份有限公司，原名广东蜂助手网络技术股份有限公司，公司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参股子公司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上海保交所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上海保险交易所股份有限公司，公司参股子公司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徐诺药业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Xynomic Pharmaceuticals Holdings,Inc.</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公司参股子公司</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汉鼎租赁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汉鼎宇佑融资租赁有限公司，汉鼎金控控股子公司，汉鼎国际参股子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公司，公司全资孙公司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鼎有财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杭州鼎有财金融服务有限公司，汉鼎金服全资子公司，公司全资孙公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加州健康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加州（厦门）健康管理有限公司，好医友医疗科技（集团）有限公司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全资子公司，公司控股孙公司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医利智能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杭州医利智能科技有限公司，加州（厦门）健康管理有限公司参股子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公司，杭州汉鼎宇佑人工智能有限公司控股子公司，公司控股孙公司</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微贷金服、微贷网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pacing w:val="-2"/>
                <w:sz w:val="18"/>
                <w:szCs w:val="18"/>
              </w:rPr>
              <w:t>微贷（杭州）金融信息服务有限公司，汉鼎金服参股子公司，公司参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股孙公司；</w:t>
            </w:r>
            <w:r>
              <w:rPr>
                <w:rFonts w:ascii="Times New Roman" w:hAnsi="Times New Roman" w:cs="Times New Roman" w:eastAsia="Times New Roman" w:hint="default"/>
                <w:spacing w:val="-6"/>
                <w:sz w:val="18"/>
                <w:szCs w:val="18"/>
              </w:rPr>
              <w:t>Weidai</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5"/>
                <w:sz w:val="18"/>
                <w:szCs w:val="18"/>
              </w:rPr>
              <w:t>Ltd.</w:t>
            </w:r>
            <w:r>
              <w:rPr>
                <w:rFonts w:ascii="宋体" w:hAnsi="宋体" w:cs="宋体" w:eastAsia="宋体" w:hint="default"/>
                <w:spacing w:val="-5"/>
                <w:sz w:val="18"/>
                <w:szCs w:val="18"/>
              </w:rPr>
              <w:t>，微贷香港有限公司，微贷有限公司系微贷（杭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州）金融信息服务有限公司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VIE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炬链科技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pacing w:val="-4"/>
                <w:sz w:val="18"/>
                <w:szCs w:val="18"/>
              </w:rPr>
              <w:t>浙江炬链科技股份有限公司（原：浙江雄猫软件开发有限公司），汉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鼎金服参股子公司，公司参股孙公司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极光大数据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Aurora Mobile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汉鼎国际参股子公司，公司参股孙公司</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MCAC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麦克阿瑟收购公司</w:t>
            </w:r>
            <w:r>
              <w:rPr>
                <w:rFonts w:ascii="Times New Roman" w:hAnsi="Times New Roman" w:cs="Times New Roman" w:eastAsia="Times New Roman" w:hint="default"/>
                <w:sz w:val="18"/>
                <w:szCs w:val="18"/>
              </w:rPr>
              <w:t>(MacArthur Court Acquisition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及加利福尼亚 州医疗保健计划公司（</w:t>
            </w:r>
            <w:r>
              <w:rPr>
                <w:rFonts w:ascii="Times New Roman" w:hAnsi="Times New Roman" w:cs="Times New Roman" w:eastAsia="Times New Roman" w:hint="default"/>
                <w:sz w:val="18"/>
                <w:szCs w:val="18"/>
              </w:rPr>
              <w:t>Golden State Medicare Health Plan</w:t>
            </w:r>
            <w:r>
              <w:rPr>
                <w:rFonts w:ascii="宋体" w:hAnsi="宋体" w:cs="宋体" w:eastAsia="宋体" w:hint="default"/>
                <w:sz w:val="18"/>
                <w:szCs w:val="18"/>
              </w:rPr>
              <w:t>）</w:t>
            </w:r>
            <w:r>
              <w:rPr>
                <w:rFonts w:ascii="宋体" w:hAnsi="宋体" w:cs="宋体" w:eastAsia="宋体" w:hint="default"/>
                <w:spacing w:val="-11"/>
                <w:sz w:val="18"/>
                <w:szCs w:val="18"/>
              </w:rPr>
              <w:t> </w:t>
            </w:r>
            <w:r>
              <w:rPr>
                <w:rFonts w:ascii="宋体" w:hAnsi="宋体" w:cs="宋体" w:eastAsia="宋体" w:hint="default"/>
                <w:sz w:val="18"/>
                <w:szCs w:val="18"/>
              </w:rPr>
              <w:t>，汉鼎国</w:t>
            </w:r>
            <w:r>
              <w:rPr>
                <w:rFonts w:ascii="宋体" w:hAnsi="宋体" w:cs="宋体" w:eastAsia="宋体" w:hint="default"/>
                <w:sz w:val="18"/>
                <w:szCs w:val="18"/>
              </w:rPr>
              <w:t> 际参股子公司，公司参股孙公司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上海鹍远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2"/>
                <w:sz w:val="18"/>
                <w:szCs w:val="18"/>
              </w:rPr>
              <w:t>上海鹍远生物技术有限公司，宇佑资本参股子公司，公司参股孙公司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朵洲教育</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上海朵洲教育科技有限公司</w:t>
            </w:r>
            <w:r>
              <w:rPr>
                <w:rFonts w:ascii="宋体" w:hAnsi="宋体" w:cs="宋体" w:eastAsia="宋体" w:hint="default"/>
                <w:spacing w:val="1"/>
                <w:sz w:val="18"/>
                <w:szCs w:val="18"/>
              </w:rPr>
              <w:t> </w:t>
            </w:r>
            <w:r>
              <w:rPr>
                <w:rFonts w:ascii="宋体" w:hAnsi="宋体" w:cs="宋体" w:eastAsia="宋体" w:hint="default"/>
                <w:sz w:val="18"/>
                <w:szCs w:val="18"/>
              </w:rPr>
              <w:t>，宇佑资本参股子公司，公司参股孙公</w:t>
            </w:r>
            <w:r>
              <w:rPr>
                <w:rFonts w:ascii="宋体" w:hAnsi="宋体" w:cs="宋体" w:eastAsia="宋体" w:hint="default"/>
                <w:sz w:val="18"/>
                <w:szCs w:val="18"/>
              </w:rPr>
              <w:t> 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汉鼎宇佑集团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汉鼎宇佑集团有限公司，公司股东</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泽大律师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浙江泽大律师事务所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0" w:id="1"/>
      <w:bookmarkEnd w:id="1"/>
      <w:r>
        <w:rPr>
          <w:b w:val="0"/>
          <w:bCs w:val="0"/>
        </w:rPr>
      </w:r>
      <w:r>
        <w:rPr>
          <w:spacing w:val="2"/>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pt;margin-top:114.675598pt;width:396.95pt;height:19.7pt;mso-position-horizontal-relative:page;mso-position-vertical-relative:paragraph;z-index:-1130128"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300300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Hakim Unique Internet Co.,</w:t>
            </w:r>
            <w:r>
              <w:rPr>
                <w:rFonts w:ascii="Times New Roman"/>
                <w:spacing w:val="-10"/>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Hakim</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号汉鼎国际大厦南楼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310042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号汉鼎国际大厦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楼、</w:t>
            </w:r>
            <w:r>
              <w:rPr>
                <w:rFonts w:ascii="Times New Roman" w:hAnsi="Times New Roman" w:cs="Times New Roman" w:eastAsia="Times New Roman" w:hint="default"/>
                <w:sz w:val="18"/>
                <w:szCs w:val="18"/>
              </w:rPr>
              <w:t>15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310042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http://www.hakim.com.cn/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hakim@hakim.com.cn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叶兴波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岳一涛</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号汉鼎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号汉鼎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0571-89938397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0571-89938397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0571-88303333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0571-88303333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yexingbo@hakim.com.cn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yueyitao@hakim.com.cn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郭义喜、李赟莘</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公司是否需追溯调整或重述以前年度会计数据</w:t>
      </w:r>
    </w:p>
    <w:p>
      <w:pPr>
        <w:pStyle w:val="BodyText"/>
        <w:spacing w:line="348" w:lineRule="auto" w:before="118"/>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会计差错更正</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713"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451,533,912.02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602,984,114.96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527,647,214.59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404,385,389.09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404,385,389.09</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-793,295,024.4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124,649,353.29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124,307,511.26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-738.17%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85,140,455.29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85,140,455.29</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-890,439,442.2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36,301,688.53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35,959,846.50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-2,576.20%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-2,891,545.14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-2,891,545.14</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-51,984,400.73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28,455,088.65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28,455,088.65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237,069,180.91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237,069,180.91</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w:t>
            </w:r>
          </w:p>
        </w:tc>
      </w:tr>
      <w:tr>
        <w:trPr>
          <w:trHeight w:val="715"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2,459,254,325.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3,470,397,331.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3,449,022,544.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3,389,948,965.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3,389,948,965.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54</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1,523,952,079.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2,348,377,813.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2,348,035,971.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-35.10%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2,144,025,573.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2,144,025,573.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360" w:lineRule="auto" w:before="49"/>
        <w:ind w:left="292" w:right="3004" w:hanging="140"/>
        <w:jc w:val="left"/>
      </w:pPr>
      <w:r>
        <w:rPr/>
        <w:t>会计政策变更的原因及会计差错更正的情况 详见本报告第五节</w:t>
      </w:r>
      <w:r>
        <w:rPr>
          <w:rFonts w:ascii="Times New Roman" w:hAnsi="Times New Roman" w:cs="Times New Roman" w:eastAsia="Times New Roman" w:hint="default"/>
        </w:rPr>
        <w:t>/</w:t>
      </w:r>
      <w:r>
        <w:rPr/>
        <w:t>六、董事会关于报告期会计政策、会计估计变更或重大会计差错更正的说明。</w:t>
      </w:r>
    </w:p>
    <w:p>
      <w:pPr>
        <w:pStyle w:val="BodyText"/>
        <w:spacing w:line="316" w:lineRule="auto" w:before="1"/>
        <w:ind w:right="986"/>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122,785,333.02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104,519,677.47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126,666,340.69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97,562,560.84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149,689,481.52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-8,865,802.62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-9,234,933.02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-924,883,770.35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10,734,735.75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-34,808,863.70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10,729,362.05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-877,094,676.30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-52,238,793.68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7,006,898.80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-23,609,848.12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16,857,342.27</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324" w:lineRule="auto" w:before="115"/>
        <w:ind w:right="986"/>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w:t>
      </w:r>
      <w:r>
        <w:rPr>
          <w:spacing w:val="-2"/>
        </w:rPr>
        <w:t>本报告期内，公司对好医友合并报表期间收入、成本确认、费用支出等情况进行了自查，发现其在本报告期内虚增业务而虚</w:t>
      </w:r>
      <w:r>
        <w:rPr>
          <w:spacing w:val="-64"/>
        </w:rPr>
        <w:t> </w:t>
      </w:r>
      <w:r>
        <w:rPr>
          <w:spacing w:val="-64"/>
        </w:rPr>
      </w:r>
      <w:r>
        <w:rPr>
          <w:spacing w:val="-2"/>
        </w:rPr>
        <w:t>增收入成本费用等事项。公司于本报告期对该事项的财务数据进行调整，由此导致第一、二、三季度财务指标与公司已披露</w:t>
      </w:r>
      <w:r>
        <w:rPr>
          <w:spacing w:val="-64"/>
        </w:rPr>
        <w:t> </w:t>
      </w:r>
      <w:r>
        <w:rPr>
          <w:spacing w:val="-64"/>
        </w:rPr>
      </w:r>
      <w:r>
        <w:rPr/>
        <w:t>季度报告、半年度报告相关财务指标将存在重大差异。 </w:t>
      </w:r>
      <w:r>
        <w:rPr>
          <w:spacing w:val="-2"/>
        </w:rPr>
        <w:t>其中：第一季度营业收入调减</w:t>
      </w:r>
      <w:r>
        <w:rPr>
          <w:rFonts w:ascii="Times New Roman" w:hAnsi="Times New Roman" w:cs="Times New Roman" w:eastAsia="Times New Roman" w:hint="default"/>
          <w:spacing w:val="-2"/>
        </w:rPr>
        <w:t>26,688,274.05</w:t>
      </w:r>
      <w:r>
        <w:rPr>
          <w:spacing w:val="-2"/>
        </w:rPr>
        <w:t>元，第二季度营业收入调减</w:t>
      </w:r>
      <w:r>
        <w:rPr>
          <w:rFonts w:ascii="Times New Roman" w:hAnsi="Times New Roman" w:cs="Times New Roman" w:eastAsia="Times New Roman" w:hint="default"/>
          <w:spacing w:val="-2"/>
        </w:rPr>
        <w:t>20,434,442.65</w:t>
      </w:r>
      <w:r>
        <w:rPr>
          <w:spacing w:val="-2"/>
        </w:rPr>
        <w:t>元，第三季度营业收入调减</w:t>
      </w:r>
      <w:r>
        <w:rPr>
          <w:rFonts w:ascii="Times New Roman" w:hAnsi="Times New Roman" w:cs="Times New Roman" w:eastAsia="Times New Roman" w:hint="default"/>
          <w:spacing w:val="-2"/>
        </w:rPr>
        <w:t>12,181,103.76</w:t>
      </w:r>
    </w:p>
    <w:p>
      <w:pPr>
        <w:pStyle w:val="BodyText"/>
        <w:spacing w:line="300" w:lineRule="auto" w:before="0"/>
        <w:ind w:right="1079"/>
        <w:jc w:val="left"/>
      </w:pPr>
      <w:r>
        <w:rPr/>
        <w:t>元。第一季度归属于上市公司股东的净利润调减</w:t>
      </w:r>
      <w:r>
        <w:rPr>
          <w:rFonts w:ascii="Times New Roman" w:hAnsi="Times New Roman" w:cs="Times New Roman" w:eastAsia="Times New Roman" w:hint="default"/>
        </w:rPr>
        <w:t>1,048,644.10</w:t>
      </w:r>
      <w:r>
        <w:rPr/>
        <w:t>元，第二季度归属于上市公司股东的净利润调增</w:t>
      </w:r>
      <w:r>
        <w:rPr>
          <w:rFonts w:ascii="Times New Roman" w:hAnsi="Times New Roman" w:cs="Times New Roman" w:eastAsia="Times New Roman" w:hint="default"/>
        </w:rPr>
        <w:t>793,287.49</w:t>
      </w:r>
      <w:r>
        <w:rPr/>
        <w:t>元，</w:t>
      </w:r>
      <w:r>
        <w:rPr>
          <w:spacing w:val="-3"/>
        </w:rPr>
        <w:t> </w:t>
      </w:r>
      <w:r>
        <w:rPr/>
        <w:t>第三季度归属于上市公司股东的净利润调减</w:t>
      </w:r>
      <w:r>
        <w:rPr>
          <w:rFonts w:ascii="Times New Roman" w:hAnsi="Times New Roman" w:cs="Times New Roman" w:eastAsia="Times New Roman" w:hint="default"/>
        </w:rPr>
        <w:t>1,374,885.42</w:t>
      </w:r>
      <w:r>
        <w:rPr/>
        <w:t>元。</w:t>
      </w:r>
    </w:p>
    <w:p>
      <w:pPr>
        <w:spacing w:line="240" w:lineRule="auto" w:before="6"/>
        <w:rPr>
          <w:rFonts w:ascii="宋体" w:hAnsi="宋体" w:cs="宋体" w:eastAsia="宋体" w:hint="default"/>
          <w:sz w:val="20"/>
          <w:szCs w:val="20"/>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26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-1,810,693.11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92,705,753.82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86,198,643.85</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0"/>
        <w:ind w:left="0" w:right="1136"/>
        <w:jc w:val="right"/>
      </w:pPr>
      <w:r>
        <w:rPr/>
        <w:pict>
          <v:shape style="position:absolute;margin-left:56.459999pt;margin-top:-18.548296pt;width:479.2pt;height:393.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5"/>
                    <w:gridCol w:w="1522"/>
                    <w:gridCol w:w="1520"/>
                    <w:gridCol w:w="1522"/>
                    <w:gridCol w:w="1712"/>
                  </w:tblGrid>
                  <w:tr>
                    <w:trPr>
                      <w:trHeight w:val="164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6,500,887.66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11,438,476.80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22,845,198.25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详见附注七、合并财 </w:t>
                        </w:r>
                        <w:r>
                          <w:rPr>
                            <w:rFonts w:ascii="宋体" w:hAnsi="宋体" w:cs="宋体" w:eastAsia="宋体" w:hint="default"/>
                            <w:spacing w:val="-6"/>
                            <w:sz w:val="18"/>
                            <w:szCs w:val="18"/>
                          </w:rPr>
                          <w:t>务报表项目注释（</w:t>
                        </w:r>
                        <w:r>
                          <w:rPr>
                            <w:rFonts w:ascii="Times New Roman" w:hAnsi="Times New Roman" w:cs="Times New Roman" w:eastAsia="Times New Roman" w:hint="default"/>
                            <w:spacing w:val="-6"/>
                            <w:sz w:val="18"/>
                            <w:szCs w:val="18"/>
                          </w:rPr>
                          <w:t>67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中计入其他收益以及</w:t>
                        </w:r>
                      </w:p>
                      <w:p>
                        <w:pPr>
                          <w:pStyle w:val="TableParagraph"/>
                          <w:spacing w:line="300" w:lineRule="auto" w:before="24"/>
                          <w:ind w:left="23" w:right="5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74</w:t>
                        </w:r>
                        <w:r>
                          <w:rPr>
                            <w:rFonts w:ascii="宋体" w:hAnsi="宋体" w:cs="宋体" w:eastAsia="宋体" w:hint="default"/>
                            <w:sz w:val="18"/>
                            <w:szCs w:val="18"/>
                          </w:rPr>
                          <w:t>）中计入营业外 收入的政府补助</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1,755,265.53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55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100,356,501.33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主要系金融资产公允 价值变动收益。其中 极光股价波动影响数</w:t>
                        </w:r>
                      </w:p>
                      <w:p>
                        <w:pPr>
                          <w:pStyle w:val="TableParagraph"/>
                          <w:spacing w:line="240" w:lineRule="auto" w:before="2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-107,898,364.53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40" w:lineRule="auto" w:before="102"/>
                          <w:ind w:left="2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MCAC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估值变动影响 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207,062,321.48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-7,119,609.47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6,549,446.23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2,585,516.38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详见附注七、合并财 </w:t>
                        </w:r>
                        <w:r>
                          <w:rPr>
                            <w:rFonts w:ascii="宋体" w:hAnsi="宋体" w:cs="宋体" w:eastAsia="宋体" w:hint="default"/>
                            <w:spacing w:val="-6"/>
                            <w:sz w:val="18"/>
                            <w:szCs w:val="18"/>
                          </w:rPr>
                          <w:t>务报表项目注释（</w:t>
                        </w:r>
                        <w:r>
                          <w:rPr>
                            <w:rFonts w:ascii="Times New Roman" w:hAnsi="Times New Roman" w:cs="Times New Roman" w:eastAsia="Times New Roman" w:hint="default"/>
                            <w:spacing w:val="-6"/>
                            <w:sz w:val="18"/>
                            <w:szCs w:val="18"/>
                          </w:rPr>
                          <w:t>74</w:t>
                        </w:r>
                        <w:r>
                          <w:rPr>
                            <w:rFonts w:ascii="Times New Roman" w:hAnsi="Times New Roman" w:cs="Times New Roman" w:eastAsia="Times New Roman" w:hint="default"/>
                            <w:sz w:val="18"/>
                            <w:szCs w:val="18"/>
                          </w:rPr>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7,568,163.87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249,317.74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24,096,071.54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31,098,445.62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533,350.94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5,206.08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67,076.30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97,144,417.73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88,347,664.76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88,032,000.43</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0"/>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bookmark1" w:id="2"/>
      <w:bookmarkEnd w:id="2"/>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报告期内，公司继续深化战略聚焦的发展战略，进一步整合调整公司业务群，打造赋能型平台企业，形成了智慧城市和智慧</w:t>
      </w:r>
      <w:r>
        <w:rPr>
          <w:spacing w:val="-65"/>
        </w:rPr>
        <w:t> </w:t>
      </w:r>
      <w:r>
        <w:rPr>
          <w:spacing w:val="-65"/>
        </w:rPr>
      </w:r>
      <w:r>
        <w:rPr/>
        <w:t>医疗两大核心业务群。</w:t>
      </w:r>
    </w:p>
    <w:p>
      <w:pPr>
        <w:pStyle w:val="BodyText"/>
        <w:spacing w:line="309" w:lineRule="auto" w:before="19"/>
        <w:ind w:right="986"/>
        <w:jc w:val="left"/>
      </w:pPr>
      <w:r>
        <w:rPr>
          <w:rFonts w:ascii="Times New Roman" w:hAnsi="Times New Roman" w:cs="Times New Roman" w:eastAsia="Times New Roman" w:hint="default"/>
        </w:rPr>
        <w:t>1</w:t>
      </w:r>
      <w:r>
        <w:rPr/>
        <w:t>、智慧城市及金融 </w:t>
      </w:r>
      <w:r>
        <w:rPr>
          <w:spacing w:val="-2"/>
        </w:rPr>
        <w:t>智慧城市业务是公司业务的重要组成部分。经过十余年的发展，公司在智慧城市建设领域积累了丰富的项目经验，同时建立</w:t>
      </w:r>
      <w:r>
        <w:rPr>
          <w:spacing w:val="-63"/>
        </w:rPr>
        <w:t> </w:t>
      </w:r>
      <w:r>
        <w:rPr>
          <w:spacing w:val="-63"/>
        </w:rPr>
      </w:r>
      <w:r>
        <w:rPr>
          <w:spacing w:val="-2"/>
        </w:rPr>
        <w:t>了稳定完善的营销业务体系。公司凭借工程领域</w:t>
      </w:r>
      <w:r>
        <w:rPr>
          <w:rFonts w:ascii="Times New Roman" w:hAnsi="Times New Roman" w:cs="Times New Roman" w:eastAsia="Times New Roman" w:hint="default"/>
          <w:spacing w:val="-2"/>
        </w:rPr>
        <w:t>“12</w:t>
      </w:r>
      <w:r>
        <w:rPr>
          <w:spacing w:val="-2"/>
        </w:rPr>
        <w:t>甲</w:t>
      </w:r>
      <w:r>
        <w:rPr>
          <w:rFonts w:ascii="Times New Roman" w:hAnsi="Times New Roman" w:cs="Times New Roman" w:eastAsia="Times New Roman" w:hint="default"/>
          <w:spacing w:val="-2"/>
        </w:rPr>
        <w:t>”</w:t>
      </w:r>
      <w:r>
        <w:rPr>
          <w:spacing w:val="-2"/>
        </w:rPr>
        <w:t>资质和融资租赁的业务积淀，通过政府交易中心、客户自主招投标交</w:t>
      </w:r>
      <w:r>
        <w:rPr>
          <w:spacing w:val="-43"/>
        </w:rPr>
        <w:t> </w:t>
      </w:r>
      <w:r>
        <w:rPr>
          <w:spacing w:val="-43"/>
        </w:rPr>
      </w:r>
      <w:r>
        <w:rPr>
          <w:spacing w:val="-2"/>
        </w:rPr>
        <w:t>易平台、协商议标等多种形式，向业务发包方提供智慧城市规划、设计、咨询、工程建设、集成和运营服务。公司研发机构</w:t>
      </w:r>
      <w:r>
        <w:rPr>
          <w:spacing w:val="-73"/>
        </w:rPr>
        <w:t> </w:t>
      </w:r>
      <w:r>
        <w:rPr>
          <w:spacing w:val="-73"/>
        </w:rPr>
      </w:r>
      <w:r>
        <w:rPr>
          <w:spacing w:val="-2"/>
        </w:rPr>
        <w:t>健全，设立了三级研发技术体系，拥有强大的自主创新能力，具备快速研发系统产品和产业化推广的能力。公司将融资租赁</w:t>
      </w:r>
      <w:r>
        <w:rPr>
          <w:spacing w:val="-65"/>
        </w:rPr>
        <w:t> </w:t>
      </w:r>
      <w:r>
        <w:rPr>
          <w:spacing w:val="-65"/>
        </w:rPr>
      </w:r>
      <w:r>
        <w:rPr/>
        <w:t>等金融工具融入到智慧城市业务拓展中，形成特色的经营和竞争优势，公司在精选优质项目的同时提高了业务拓展力度。 </w:t>
      </w:r>
      <w:r>
        <w:rPr>
          <w:rFonts w:ascii="Times New Roman" w:hAnsi="Times New Roman" w:cs="Times New Roman" w:eastAsia="Times New Roman" w:hint="default"/>
        </w:rPr>
        <w:t>2</w:t>
      </w:r>
      <w:r>
        <w:rPr/>
        <w:t>、智慧医疗及商业 </w:t>
      </w:r>
      <w:r>
        <w:rPr>
          <w:spacing w:val="-2"/>
        </w:rPr>
        <w:t>报告期内，公司大力推进智慧医疗业务发展，持续加大对智慧医疗业务的投入力度。公司通过合资或者业务合作的模式，多</w:t>
      </w:r>
      <w:r>
        <w:rPr>
          <w:spacing w:val="-64"/>
        </w:rPr>
        <w:t> </w:t>
      </w:r>
      <w:r>
        <w:rPr>
          <w:spacing w:val="-64"/>
        </w:rPr>
      </w:r>
      <w:r>
        <w:rPr>
          <w:spacing w:val="-2"/>
        </w:rPr>
        <w:t>方面着手打造</w:t>
      </w:r>
      <w:r>
        <w:rPr>
          <w:rFonts w:ascii="Times New Roman" w:hAnsi="Times New Roman" w:cs="Times New Roman" w:eastAsia="Times New Roman" w:hint="default"/>
          <w:spacing w:val="-2"/>
        </w:rPr>
        <w:t>“</w:t>
      </w:r>
      <w:r>
        <w:rPr>
          <w:spacing w:val="-2"/>
        </w:rPr>
        <w:t>中美远程医联体</w:t>
      </w:r>
      <w:r>
        <w:rPr>
          <w:rFonts w:ascii="Times New Roman" w:hAnsi="Times New Roman" w:cs="Times New Roman" w:eastAsia="Times New Roman" w:hint="default"/>
          <w:spacing w:val="-2"/>
        </w:rPr>
        <w:t>”</w:t>
      </w:r>
      <w:r>
        <w:rPr>
          <w:spacing w:val="-2"/>
        </w:rPr>
        <w:t>，构建线上国际远程会诊服务、线下海外就医服务、保险合作服务、医疗器械及药品代理服</w:t>
      </w:r>
      <w:r>
        <w:rPr>
          <w:spacing w:val="-45"/>
        </w:rPr>
        <w:t> </w:t>
      </w:r>
      <w:r>
        <w:rPr>
          <w:spacing w:val="-45"/>
        </w:rPr>
      </w:r>
      <w:r>
        <w:rPr/>
        <w:t>务为一体的跨境医疗闭环体系。</w:t>
      </w:r>
    </w:p>
    <w:p>
      <w:pPr>
        <w:pStyle w:val="BodyText"/>
        <w:spacing w:line="240" w:lineRule="auto" w:before="24"/>
        <w:ind w:right="1133"/>
        <w:jc w:val="left"/>
      </w:pPr>
      <w:r>
        <w:rPr/>
        <w:t>报告期内，公司对自营影城的现有项目进行了梳理和优化。</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47,325.60 </w:t>
            </w:r>
            <w:r>
              <w:rPr>
                <w:rFonts w:ascii="宋体" w:hAnsi="宋体" w:cs="宋体" w:eastAsia="宋体" w:hint="default"/>
                <w:sz w:val="18"/>
                <w:szCs w:val="18"/>
              </w:rPr>
              <w:t>万元，下降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34.74%</w:t>
            </w:r>
            <w:r>
              <w:rPr>
                <w:rFonts w:ascii="宋体" w:hAnsi="宋体" w:cs="宋体" w:eastAsia="宋体" w:hint="default"/>
                <w:sz w:val="18"/>
                <w:szCs w:val="18"/>
              </w:rPr>
              <w:t>，主要系本期对参股公司微贷 网计提减值、其他非流动金融资产中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MCAC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公允价值变动所致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主要系本期固定资产出租转投资性房地产</w:t>
            </w:r>
            <w:r>
              <w:rPr>
                <w:rFonts w:ascii="宋体" w:hAnsi="宋体" w:cs="宋体" w:eastAsia="宋体" w:hint="default"/>
                <w:spacing w:val="-80"/>
                <w:sz w:val="18"/>
                <w:szCs w:val="18"/>
              </w:rPr>
              <w:t>，</w:t>
            </w:r>
            <w:r>
              <w:rPr>
                <w:rFonts w:ascii="宋体" w:hAnsi="宋体" w:cs="宋体" w:eastAsia="宋体" w:hint="default"/>
                <w:sz w:val="18"/>
                <w:szCs w:val="18"/>
              </w:rPr>
              <w:t>导致固定资产余额较上年末下降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z w:val="18"/>
                <w:szCs w:val="18"/>
              </w:rPr>
              <w:t>%</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主要系本期在建工程完工转固定资产</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主要系公司本期业务营收下降，同时毛利率下降，导致经营活动产生的现金流量净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额降幅较大</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4,591.53</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万元，下降</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40.62%</w:t>
            </w:r>
            <w:r>
              <w:rPr>
                <w:rFonts w:ascii="宋体" w:hAnsi="宋体" w:cs="宋体" w:eastAsia="宋体" w:hint="default"/>
                <w:spacing w:val="-3"/>
                <w:sz w:val="18"/>
                <w:szCs w:val="18"/>
              </w:rPr>
              <w:t>，主要系本期对已发生信用减值</w:t>
            </w:r>
            <w:r>
              <w:rPr>
                <w:rFonts w:ascii="宋体" w:hAnsi="宋体" w:cs="宋体" w:eastAsia="宋体" w:hint="default"/>
                <w:sz w:val="18"/>
                <w:szCs w:val="18"/>
              </w:rPr>
              <w:t> 的其他应收款计提了坏账损失</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主要系本期大额的融资租赁合同到期</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报告期末较上年度增加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4,231.65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116.76%</w:t>
            </w:r>
            <w:r>
              <w:rPr>
                <w:rFonts w:ascii="宋体" w:hAnsi="宋体" w:cs="宋体" w:eastAsia="宋体" w:hint="default"/>
                <w:sz w:val="18"/>
                <w:szCs w:val="18"/>
              </w:rPr>
              <w:t>，主要系本期资产减值准备以 及可抵扣亏损等上升所致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12,176.61 </w:t>
            </w:r>
            <w:r>
              <w:rPr>
                <w:rFonts w:ascii="宋体" w:hAnsi="宋体" w:cs="宋体" w:eastAsia="宋体" w:hint="default"/>
                <w:sz w:val="18"/>
                <w:szCs w:val="18"/>
              </w:rPr>
              <w:t>万元，下降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66.55%</w:t>
            </w:r>
            <w:r>
              <w:rPr>
                <w:rFonts w:ascii="宋体" w:hAnsi="宋体" w:cs="宋体" w:eastAsia="宋体" w:hint="default"/>
                <w:sz w:val="18"/>
                <w:szCs w:val="18"/>
              </w:rPr>
              <w:t>，主要系本期大额的融租租赁 合同到期</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主要系本期固定资产出租转投资性房地产，导致投资性房地产余额较上年末上升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36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34.27%</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6,420.20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万元，下降</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89.04%</w:t>
            </w:r>
            <w:r>
              <w:rPr>
                <w:rFonts w:ascii="宋体" w:hAnsi="宋体" w:cs="宋体" w:eastAsia="宋体" w:hint="default"/>
                <w:spacing w:val="-3"/>
                <w:sz w:val="18"/>
                <w:szCs w:val="18"/>
              </w:rPr>
              <w:t>，主要系对部分出现减值迹象的</w:t>
            </w:r>
            <w:r>
              <w:rPr>
                <w:rFonts w:ascii="宋体" w:hAnsi="宋体" w:cs="宋体" w:eastAsia="宋体" w:hint="default"/>
                <w:sz w:val="18"/>
                <w:szCs w:val="18"/>
              </w:rPr>
              <w:t> 被投资单位计提减值</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3"/>
        <w:gridCol w:w="1064"/>
        <w:gridCol w:w="1066"/>
        <w:gridCol w:w="1064"/>
        <w:gridCol w:w="1058"/>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290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-MCAC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23,103.33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投资及健康 保险计划运 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2"/>
                <w:sz w:val="18"/>
                <w:szCs w:val="18"/>
              </w:rPr>
              <w:t>密切跟踪，积</w:t>
            </w:r>
            <w:r>
              <w:rPr>
                <w:rFonts w:ascii="宋体" w:hAnsi="宋体" w:cs="宋体" w:eastAsia="宋体" w:hint="default"/>
                <w:sz w:val="18"/>
                <w:szCs w:val="18"/>
              </w:rPr>
              <w:t> 极推动投后 </w:t>
            </w:r>
            <w:r>
              <w:rPr>
                <w:rFonts w:ascii="宋体" w:hAnsi="宋体" w:cs="宋体" w:eastAsia="宋体" w:hint="default"/>
                <w:spacing w:val="-12"/>
                <w:sz w:val="18"/>
                <w:szCs w:val="18"/>
              </w:rPr>
              <w:t>服务，帮助被</w:t>
            </w:r>
            <w:r>
              <w:rPr>
                <w:rFonts w:ascii="宋体" w:hAnsi="宋体" w:cs="宋体" w:eastAsia="宋体" w:hint="default"/>
                <w:sz w:val="18"/>
                <w:szCs w:val="18"/>
              </w:rPr>
              <w:t> 投企业从商 </w:t>
            </w:r>
            <w:r>
              <w:rPr>
                <w:rFonts w:ascii="宋体" w:hAnsi="宋体" w:cs="宋体" w:eastAsia="宋体" w:hint="default"/>
                <w:spacing w:val="-12"/>
                <w:sz w:val="18"/>
                <w:szCs w:val="18"/>
              </w:rPr>
              <w:t>业模式、市场</w:t>
            </w:r>
            <w:r>
              <w:rPr>
                <w:rFonts w:ascii="宋体" w:hAnsi="宋体" w:cs="宋体" w:eastAsia="宋体" w:hint="default"/>
                <w:sz w:val="18"/>
                <w:szCs w:val="18"/>
              </w:rPr>
              <w:t> </w:t>
            </w:r>
            <w:r>
              <w:rPr>
                <w:rFonts w:ascii="宋体" w:hAnsi="宋体" w:cs="宋体" w:eastAsia="宋体" w:hint="default"/>
                <w:spacing w:val="-12"/>
                <w:sz w:val="18"/>
                <w:szCs w:val="18"/>
              </w:rPr>
              <w:t>拓展、管理规</w:t>
            </w:r>
            <w:r>
              <w:rPr>
                <w:rFonts w:ascii="宋体" w:hAnsi="宋体" w:cs="宋体" w:eastAsia="宋体" w:hint="default"/>
                <w:sz w:val="18"/>
                <w:szCs w:val="18"/>
              </w:rPr>
              <w:t> </w:t>
            </w:r>
            <w:r>
              <w:rPr>
                <w:rFonts w:ascii="宋体" w:hAnsi="宋体" w:cs="宋体" w:eastAsia="宋体" w:hint="default"/>
                <w:spacing w:val="-12"/>
                <w:sz w:val="18"/>
                <w:szCs w:val="18"/>
              </w:rPr>
              <w:t>范、再融资等</w:t>
            </w:r>
            <w:r>
              <w:rPr>
                <w:rFonts w:ascii="宋体" w:hAnsi="宋体" w:cs="宋体" w:eastAsia="宋体" w:hint="default"/>
                <w:sz w:val="18"/>
                <w:szCs w:val="18"/>
              </w:rPr>
              <w:t> 多维度降低 风险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15.51%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304" w:lineRule="auto" w:before="0"/>
        <w:ind w:right="986"/>
        <w:jc w:val="left"/>
        <w:rPr>
          <w:rFonts w:ascii="MS Gothic" w:hAnsi="MS Gothic" w:cs="MS Gothic" w:eastAsia="MS Gothic" w:hint="default"/>
        </w:rPr>
      </w:pPr>
      <w:r>
        <w:rPr>
          <w:rFonts w:ascii="Times New Roman" w:hAnsi="Times New Roman" w:cs="Times New Roman" w:eastAsia="Times New Roman" w:hint="default"/>
        </w:rPr>
        <w:t>1</w:t>
      </w:r>
      <w:r>
        <w:rPr/>
        <w:t>、资质优势 </w:t>
      </w:r>
      <w:r>
        <w:rPr>
          <w:spacing w:val="-2"/>
        </w:rPr>
        <w:t>公司已成立</w:t>
      </w:r>
      <w:r>
        <w:rPr>
          <w:rFonts w:ascii="Times New Roman" w:hAnsi="Times New Roman" w:cs="Times New Roman" w:eastAsia="Times New Roman" w:hint="default"/>
          <w:spacing w:val="-2"/>
        </w:rPr>
        <w:t>17</w:t>
      </w:r>
      <w:r>
        <w:rPr>
          <w:spacing w:val="-2"/>
        </w:rPr>
        <w:t>年，是行业内为数不多的同时拥有电子与智能化工程专业承包、建筑机电安装工程专业、建筑系统智能化设计</w:t>
      </w:r>
      <w:r>
        <w:rPr>
          <w:spacing w:val="-62"/>
        </w:rPr>
        <w:t> </w:t>
      </w:r>
      <w:r>
        <w:rPr>
          <w:spacing w:val="-62"/>
        </w:rPr>
      </w:r>
      <w:r>
        <w:rPr>
          <w:spacing w:val="-2"/>
        </w:rPr>
        <w:t>等</w:t>
      </w:r>
      <w:r>
        <w:rPr>
          <w:rFonts w:ascii="Times New Roman" w:hAnsi="Times New Roman" w:cs="Times New Roman" w:eastAsia="Times New Roman" w:hint="default"/>
          <w:spacing w:val="-2"/>
        </w:rPr>
        <w:t>12</w:t>
      </w:r>
      <w:r>
        <w:rPr>
          <w:spacing w:val="-2"/>
        </w:rPr>
        <w:t>项壹级或者甲级资质的企业。累计参建的上千项智慧工程项目遍布国内，从数据中心机房工程，到城市级的智慧方案总</w:t>
      </w:r>
      <w:r>
        <w:rPr>
          <w:spacing w:val="-62"/>
        </w:rPr>
        <w:t> </w:t>
      </w:r>
      <w:r>
        <w:rPr>
          <w:spacing w:val="-62"/>
        </w:rPr>
      </w:r>
      <w:r>
        <w:rPr/>
        <w:t>设计及实施。经过</w:t>
      </w:r>
      <w:r>
        <w:rPr>
          <w:rFonts w:ascii="Times New Roman" w:hAnsi="Times New Roman" w:cs="Times New Roman" w:eastAsia="Times New Roman" w:hint="default"/>
        </w:rPr>
        <w:t>17</w:t>
      </w:r>
      <w:r>
        <w:rPr/>
        <w:t>年的发展，公司始终坚持将智能技术和中国城市化建设相结合，为中国城镇化发展贡献力量。 </w:t>
      </w:r>
      <w:r>
        <w:rPr>
          <w:rFonts w:ascii="Times New Roman" w:hAnsi="Times New Roman" w:cs="Times New Roman" w:eastAsia="Times New Roman" w:hint="default"/>
        </w:rPr>
        <w:t>2</w:t>
      </w:r>
      <w:r>
        <w:rPr/>
        <w:t>、渠道、流量、数据等资源体系优势 </w:t>
      </w:r>
      <w:r>
        <w:rPr>
          <w:spacing w:val="-2"/>
        </w:rPr>
        <w:t>公司深耕智慧城市领域</w:t>
      </w:r>
      <w:r>
        <w:rPr>
          <w:rFonts w:ascii="Times New Roman" w:hAnsi="Times New Roman" w:cs="Times New Roman" w:eastAsia="Times New Roman" w:hint="default"/>
          <w:spacing w:val="-2"/>
        </w:rPr>
        <w:t>17</w:t>
      </w:r>
      <w:r>
        <w:rPr>
          <w:spacing w:val="-2"/>
        </w:rPr>
        <w:t>年，积累了较强的行业资源及社会资源，也逐渐构建起数据源体系的底层网络来源；与国内大型医</w:t>
      </w:r>
      <w:r>
        <w:rPr>
          <w:spacing w:val="-61"/>
        </w:rPr>
        <w:t> </w:t>
      </w:r>
      <w:r>
        <w:rPr>
          <w:spacing w:val="-61"/>
        </w:rPr>
      </w:r>
      <w:r>
        <w:rPr>
          <w:spacing w:val="-2"/>
        </w:rPr>
        <w:t>疗机构共建国际医疗中心，与太平人寿等保险公司合作，参股</w:t>
      </w:r>
      <w:r>
        <w:rPr>
          <w:rFonts w:ascii="Times New Roman" w:hAnsi="Times New Roman" w:cs="Times New Roman" w:eastAsia="Times New Roman" w:hint="default"/>
          <w:spacing w:val="-2"/>
        </w:rPr>
        <w:t>MCAC</w:t>
      </w:r>
      <w:r>
        <w:rPr>
          <w:spacing w:val="-2"/>
        </w:rPr>
        <w:t>，快速整合导入高质量的医疗资源与数据；投资极光大</w:t>
      </w:r>
      <w:r>
        <w:rPr>
          <w:spacing w:val="-55"/>
        </w:rPr>
        <w:t> </w:t>
      </w:r>
      <w:r>
        <w:rPr>
          <w:spacing w:val="-55"/>
        </w:rPr>
      </w:r>
      <w:r>
        <w:rPr/>
        <w:t>数据、蜂助手等互联网应用项目，流量入口资源丰富。这些渠道、流量资源为公司产业的发展提供了强有力的支撑。 </w:t>
      </w:r>
      <w:r>
        <w:rPr>
          <w:rFonts w:ascii="Times New Roman" w:hAnsi="Times New Roman" w:cs="Times New Roman" w:eastAsia="Times New Roman" w:hint="default"/>
        </w:rPr>
        <w:t>3</w:t>
      </w:r>
      <w:r>
        <w:rPr/>
        <w:t>、产业整合的平台优势 </w:t>
      </w:r>
      <w:r>
        <w:rPr>
          <w:spacing w:val="-2"/>
        </w:rPr>
        <w:t>公司作为一个赋能型企业，利用现有的渠道、流量等资源体系优势，发挥强大的数据和产业生态整合能力，赋能公司产业发</w:t>
      </w:r>
      <w:r>
        <w:rPr>
          <w:spacing w:val="-63"/>
        </w:rPr>
        <w:t> </w:t>
      </w:r>
      <w:r>
        <w:rPr>
          <w:spacing w:val="-63"/>
        </w:rPr>
      </w:r>
      <w:r>
        <w:rPr>
          <w:spacing w:val="-2"/>
        </w:rPr>
        <w:t>展。公司也采取孵化型、赋能型投资策略，紧密围绕产业布局，构建自身投资壁垒，加强对投后企业的跟踪管理，与投后企</w:t>
      </w:r>
      <w:r>
        <w:rPr>
          <w:spacing w:val="-68"/>
        </w:rPr>
        <w:t> </w:t>
      </w:r>
      <w:r>
        <w:rPr>
          <w:spacing w:val="-68"/>
        </w:rPr>
      </w:r>
      <w:r>
        <w:rPr/>
        <w:t>业实现资源共享，共赢发展</w:t>
      </w:r>
      <w:r>
        <w:rPr>
          <w:rFonts w:ascii="MS Gothic" w:hAnsi="MS Gothic" w:cs="MS Gothic" w:eastAsia="MS Gothic" w:hint="default"/>
        </w:rPr>
        <w:t>｡</w:t>
      </w:r>
    </w:p>
    <w:p>
      <w:pPr>
        <w:pStyle w:val="BodyText"/>
        <w:spacing w:line="307" w:lineRule="auto" w:before="28"/>
        <w:ind w:right="986"/>
        <w:jc w:val="left"/>
      </w:pPr>
      <w:r>
        <w:rPr>
          <w:rFonts w:ascii="Times New Roman" w:hAnsi="Times New Roman" w:cs="Times New Roman" w:eastAsia="Times New Roman" w:hint="default"/>
        </w:rPr>
        <w:t>4</w:t>
      </w:r>
      <w:r>
        <w:rPr/>
        <w:t>、人才和管理优势 公司坚持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，建立了一套行之有效的人才引进、培养、使用机制等多层次的激励政策，凝聚了很多专业性强、经验 </w:t>
      </w:r>
      <w:r>
        <w:rPr>
          <w:spacing w:val="-4"/>
        </w:rPr>
        <w:t>丰富的高学历人才，打造出一支勤勉务实、积极进取的管理团队，保障公司发展战略实施，促进公司健康、稳定、持续发展。</w:t>
      </w:r>
      <w:r>
        <w:rPr>
          <w:spacing w:val="-44"/>
        </w:rPr>
        <w:t> </w:t>
      </w:r>
      <w:r>
        <w:rPr>
          <w:spacing w:val="-44"/>
        </w:rPr>
      </w:r>
      <w:r>
        <w:rPr/>
        <w:t>截至报告期末，公司及控股子公司共有员工</w:t>
      </w:r>
      <w:r>
        <w:rPr>
          <w:rFonts w:ascii="Times New Roman" w:hAnsi="Times New Roman" w:cs="Times New Roman" w:eastAsia="Times New Roman" w:hint="default"/>
        </w:rPr>
        <w:t>463</w:t>
      </w:r>
      <w:r>
        <w:rPr/>
        <w:t>名，其中技术研发人员</w:t>
      </w:r>
      <w:r>
        <w:rPr>
          <w:rFonts w:ascii="Times New Roman" w:hAnsi="Times New Roman" w:cs="Times New Roman" w:eastAsia="Times New Roman" w:hint="default"/>
        </w:rPr>
        <w:t>127</w:t>
      </w:r>
      <w:r>
        <w:rPr/>
        <w:t>人，生产人员</w:t>
      </w:r>
      <w:r>
        <w:rPr>
          <w:rFonts w:ascii="Times New Roman" w:hAnsi="Times New Roman" w:cs="Times New Roman" w:eastAsia="Times New Roman" w:hint="default"/>
        </w:rPr>
        <w:t>128</w:t>
      </w:r>
      <w:r>
        <w:rPr/>
        <w:t>人，销售业务人员</w:t>
      </w:r>
      <w:r>
        <w:rPr>
          <w:rFonts w:ascii="Times New Roman" w:hAnsi="Times New Roman" w:cs="Times New Roman" w:eastAsia="Times New Roman" w:hint="default"/>
        </w:rPr>
        <w:t>85</w:t>
      </w:r>
      <w:r>
        <w:rPr/>
        <w:t>人，财务人 员</w:t>
      </w:r>
      <w:r>
        <w:rPr>
          <w:rFonts w:ascii="Times New Roman" w:hAnsi="Times New Roman" w:cs="Times New Roman" w:eastAsia="Times New Roman" w:hint="default"/>
        </w:rPr>
        <w:t>38</w:t>
      </w:r>
      <w:r>
        <w:rPr/>
        <w:t>人，行政及管理人员</w:t>
      </w:r>
      <w:r>
        <w:rPr>
          <w:rFonts w:ascii="Times New Roman" w:hAnsi="Times New Roman" w:cs="Times New Roman" w:eastAsia="Times New Roman" w:hint="default"/>
        </w:rPr>
        <w:t>85</w:t>
      </w:r>
      <w:r>
        <w:rPr/>
        <w:t>人。</w:t>
      </w:r>
      <w:r>
        <w:rPr>
          <w:spacing w:val="-3"/>
        </w:rPr>
        <w:t> </w:t>
      </w:r>
      <w:r>
        <w:rPr>
          <w:spacing w:val="-2"/>
        </w:rPr>
        <w:t>公司主要采用事业部和职能部门为管理单位的模式，有效地排除可能会阻碍经营活动的障碍，建立符合市场原则的保障和激</w:t>
      </w:r>
      <w:r>
        <w:rPr>
          <w:spacing w:val="-64"/>
        </w:rPr>
        <w:t> </w:t>
      </w:r>
      <w:r>
        <w:rPr>
          <w:spacing w:val="-64"/>
        </w:rPr>
      </w:r>
      <w:r>
        <w:rPr/>
        <w:t>励措施。</w:t>
      </w:r>
    </w:p>
    <w:p>
      <w:pPr>
        <w:pStyle w:val="BodyText"/>
        <w:spacing w:line="300" w:lineRule="auto" w:before="26"/>
        <w:ind w:right="986"/>
        <w:jc w:val="left"/>
      </w:pPr>
      <w:r>
        <w:rPr>
          <w:rFonts w:ascii="Times New Roman" w:hAnsi="Times New Roman" w:cs="Times New Roman" w:eastAsia="Times New Roman" w:hint="default"/>
        </w:rPr>
        <w:t>5</w:t>
      </w:r>
      <w:r>
        <w:rPr/>
        <w:t>、技术研发优势 </w:t>
      </w:r>
      <w:r>
        <w:rPr>
          <w:spacing w:val="-2"/>
        </w:rPr>
        <w:t>公司坚持以技术创新带动企业发展，始终注重自主研发水平的提高，不断加大投入。好医友拥有自主研发的远程医疗信息系</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ind w:right="986"/>
        <w:jc w:val="left"/>
      </w:pPr>
      <w:r>
        <w:rPr/>
        <w:t>统，符合美国健康保险流通与责任法案（</w:t>
      </w:r>
      <w:r>
        <w:rPr>
          <w:rFonts w:ascii="Times New Roman" w:hAnsi="Times New Roman" w:cs="Times New Roman" w:eastAsia="Times New Roman" w:hint="default"/>
        </w:rPr>
        <w:t>HIPAA</w:t>
      </w:r>
      <w:r>
        <w:rPr/>
        <w:t>）的相关条款，涵盖视频系统、病历传送储存管理系统、医疗机构管理终 </w:t>
      </w:r>
      <w:r>
        <w:rPr>
          <w:spacing w:val="-2"/>
        </w:rPr>
        <w:t>端。用户通过好医友可直接进行美国医生预约、视频咨询、专家会诊、病历管理等。远程技术优势，也成为好医友与国内医</w:t>
      </w:r>
      <w:r>
        <w:rPr>
          <w:spacing w:val="-68"/>
        </w:rPr>
        <w:t> </w:t>
      </w:r>
      <w:r>
        <w:rPr>
          <w:spacing w:val="-68"/>
        </w:rPr>
      </w:r>
      <w:r>
        <w:rPr>
          <w:spacing w:val="-3"/>
        </w:rPr>
        <w:t>疗机构合作共建</w:t>
      </w:r>
      <w:r>
        <w:rPr>
          <w:rFonts w:ascii="Times New Roman" w:hAnsi="Times New Roman" w:cs="Times New Roman" w:eastAsia="Times New Roman" w:hint="default"/>
          <w:spacing w:val="-3"/>
        </w:rPr>
        <w:t>“</w:t>
      </w:r>
      <w:r>
        <w:rPr>
          <w:spacing w:val="-3"/>
        </w:rPr>
        <w:t>国际医疗中心</w:t>
      </w:r>
      <w:r>
        <w:rPr>
          <w:rFonts w:ascii="Times New Roman" w:hAnsi="Times New Roman" w:cs="Times New Roman" w:eastAsia="Times New Roman" w:hint="default"/>
          <w:spacing w:val="-3"/>
        </w:rPr>
        <w:t>”</w:t>
      </w:r>
      <w:r>
        <w:rPr>
          <w:spacing w:val="-3"/>
        </w:rPr>
        <w:t>的重要基础。截至本报告期末，公司及控股子公司共拥有</w:t>
      </w:r>
      <w:r>
        <w:rPr>
          <w:rFonts w:ascii="Times New Roman" w:hAnsi="Times New Roman" w:cs="Times New Roman" w:eastAsia="Times New Roman" w:hint="default"/>
          <w:spacing w:val="-3"/>
        </w:rPr>
        <w:t>10</w:t>
      </w:r>
      <w:r>
        <w:rPr>
          <w:spacing w:val="-3"/>
        </w:rPr>
        <w:t>项发明专利、</w:t>
      </w:r>
      <w:r>
        <w:rPr>
          <w:rFonts w:ascii="Times New Roman" w:hAnsi="Times New Roman" w:cs="Times New Roman" w:eastAsia="Times New Roman" w:hint="default"/>
          <w:spacing w:val="-3"/>
        </w:rPr>
        <w:t>34</w:t>
      </w:r>
      <w:r>
        <w:rPr>
          <w:spacing w:val="-3"/>
        </w:rPr>
        <w:t>项实用新型专利，</w:t>
      </w:r>
      <w:r>
        <w:rPr>
          <w:spacing w:val="-72"/>
        </w:rPr>
        <w:t> </w:t>
      </w:r>
      <w:r>
        <w:rPr>
          <w:spacing w:val="-72"/>
        </w:rPr>
      </w:r>
      <w:r>
        <w:rPr>
          <w:rFonts w:ascii="Times New Roman" w:hAnsi="Times New Roman" w:cs="Times New Roman" w:eastAsia="Times New Roman" w:hint="default"/>
        </w:rPr>
        <w:t>234</w:t>
      </w:r>
      <w:r>
        <w:rPr/>
        <w:t>项软件著作权，并通过了</w:t>
      </w:r>
      <w:r>
        <w:rPr>
          <w:rFonts w:ascii="Times New Roman" w:hAnsi="Times New Roman" w:cs="Times New Roman" w:eastAsia="Times New Roman" w:hint="default"/>
        </w:rPr>
        <w:t>CMMI3</w:t>
      </w:r>
      <w:r>
        <w:rPr/>
        <w:t>级认证。为公司自主创新方面进一步提供了技术支持，促进公司持续发展，日益增强公</w:t>
      </w:r>
      <w:r>
        <w:rPr>
          <w:w w:val="99"/>
        </w:rPr>
        <w:t> </w:t>
      </w:r>
      <w:r>
        <w:rPr/>
        <w:t>司在行业内的竞争力。</w:t>
      </w:r>
    </w:p>
    <w:p>
      <w:pPr>
        <w:pStyle w:val="BodyText"/>
        <w:spacing w:line="309" w:lineRule="auto" w:before="28"/>
        <w:ind w:right="986"/>
        <w:jc w:val="left"/>
      </w:pPr>
      <w:r>
        <w:rPr>
          <w:rFonts w:ascii="Times New Roman" w:hAnsi="Times New Roman" w:cs="Times New Roman" w:eastAsia="Times New Roman" w:hint="default"/>
        </w:rPr>
        <w:t>6</w:t>
      </w:r>
      <w:r>
        <w:rPr/>
        <w:t>、品牌优势 </w:t>
      </w:r>
      <w:r>
        <w:rPr>
          <w:spacing w:val="-4"/>
        </w:rPr>
        <w:t>公司自成立以来，在不断增强实力的同时，建立了良好的品牌知名度，品牌价值不断凸显，从杭州走向全国，进而走向世界。</w:t>
      </w:r>
      <w:r>
        <w:rPr>
          <w:spacing w:val="-42"/>
        </w:rPr>
        <w:t> </w:t>
      </w:r>
      <w:r>
        <w:rPr>
          <w:spacing w:val="-42"/>
        </w:rPr>
      </w:r>
      <w:r>
        <w:rPr/>
        <w:t>公司在行业内拥有较高的声誉，在国内具有一定的知名度，具有较好的品牌形象。</w:t>
      </w:r>
    </w:p>
    <w:p>
      <w:pPr>
        <w:pStyle w:val="BodyText"/>
        <w:spacing w:line="304" w:lineRule="auto" w:before="24"/>
        <w:ind w:right="986"/>
        <w:jc w:val="left"/>
      </w:pPr>
      <w:r>
        <w:rPr>
          <w:rFonts w:ascii="Times New Roman" w:hAnsi="Times New Roman" w:cs="Times New Roman" w:eastAsia="Times New Roman" w:hint="default"/>
        </w:rPr>
        <w:t>7</w:t>
      </w:r>
      <w:r>
        <w:rPr/>
        <w:t>、平潭区位优势 </w:t>
      </w:r>
      <w:r>
        <w:rPr>
          <w:spacing w:val="-2"/>
        </w:rPr>
        <w:t>报告期内，平潭国资局下属国有企业平潭创投成为公司控股股东，平潭国资局成为公司实际控制人，公司成为国有控股上市</w:t>
      </w:r>
      <w:r>
        <w:rPr>
          <w:spacing w:val="-62"/>
        </w:rPr>
        <w:t> </w:t>
      </w:r>
      <w:r>
        <w:rPr>
          <w:spacing w:val="-62"/>
        </w:rPr>
      </w:r>
      <w:r>
        <w:rPr>
          <w:spacing w:val="-2"/>
        </w:rPr>
        <w:t>公司，在业务开拓、渠道建设、融资成本具较大优势。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月，国务院发布《平潭综合实验区总体发展规划》，明确了</w:t>
      </w:r>
      <w:r>
        <w:rPr>
          <w:spacing w:val="-60"/>
        </w:rPr>
        <w:t> </w:t>
      </w:r>
      <w:r>
        <w:rPr>
          <w:spacing w:val="-60"/>
        </w:rPr>
      </w:r>
      <w:r>
        <w:rPr>
          <w:spacing w:val="-2"/>
        </w:rPr>
        <w:t>平潭建设</w:t>
      </w:r>
      <w:r>
        <w:rPr>
          <w:rFonts w:ascii="Times New Roman" w:hAnsi="Times New Roman" w:cs="Times New Roman" w:eastAsia="Times New Roman" w:hint="default"/>
          <w:spacing w:val="-2"/>
        </w:rPr>
        <w:t>“</w:t>
      </w:r>
      <w:r>
        <w:rPr>
          <w:spacing w:val="-2"/>
        </w:rPr>
        <w:t>两岸同胞共同家园</w:t>
      </w:r>
      <w:r>
        <w:rPr>
          <w:rFonts w:ascii="Times New Roman" w:hAnsi="Times New Roman" w:cs="Times New Roman" w:eastAsia="Times New Roman" w:hint="default"/>
          <w:spacing w:val="-2"/>
        </w:rPr>
        <w:t>”</w:t>
      </w:r>
      <w:r>
        <w:rPr>
          <w:spacing w:val="-2"/>
        </w:rPr>
        <w:t>的目标定位，</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月，国家批准设立福建自由贸易试验区平潭片区，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月，国家批准</w:t>
      </w:r>
      <w:r>
        <w:rPr>
          <w:spacing w:val="-37"/>
        </w:rPr>
        <w:t> </w:t>
      </w:r>
      <w:r>
        <w:rPr>
          <w:spacing w:val="-37"/>
        </w:rPr>
      </w:r>
      <w:r>
        <w:rPr>
          <w:spacing w:val="-2"/>
        </w:rPr>
        <w:t>建设平潭国际旅游岛。未来，公司将依托平潭综合实验区</w:t>
      </w:r>
      <w:r>
        <w:rPr>
          <w:rFonts w:ascii="Times New Roman" w:hAnsi="Times New Roman" w:cs="Times New Roman" w:eastAsia="Times New Roman" w:hint="default"/>
          <w:spacing w:val="-2"/>
        </w:rPr>
        <w:t>“</w:t>
      </w:r>
      <w:r>
        <w:rPr>
          <w:spacing w:val="-2"/>
        </w:rPr>
        <w:t>一岛两窗三区</w:t>
      </w:r>
      <w:r>
        <w:rPr>
          <w:rFonts w:ascii="Times New Roman" w:hAnsi="Times New Roman" w:cs="Times New Roman" w:eastAsia="Times New Roman" w:hint="default"/>
          <w:spacing w:val="-2"/>
        </w:rPr>
        <w:t>”</w:t>
      </w:r>
      <w:r>
        <w:rPr>
          <w:spacing w:val="-2"/>
        </w:rPr>
        <w:t>的战略定位，以参与打造两岸大健康产业融合示范</w:t>
      </w:r>
      <w:r>
        <w:rPr>
          <w:spacing w:val="-43"/>
        </w:rPr>
        <w:t> </w:t>
      </w:r>
      <w:r>
        <w:rPr>
          <w:spacing w:val="-43"/>
        </w:rPr>
      </w:r>
      <w:r>
        <w:rPr/>
        <w:t>区为突破口，参与两岸大健康产业的深度融合，担负起促进平潭实验区发展的重要任务。</w:t>
      </w:r>
    </w:p>
    <w:p>
      <w:pPr>
        <w:spacing w:after="0" w:line="304"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2" w:id="3"/>
      <w:bookmarkEnd w:id="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before="0"/>
        <w:ind w:right="1131"/>
        <w:jc w:val="left"/>
      </w:pPr>
      <w:r>
        <w:rPr>
          <w:spacing w:val="-2"/>
        </w:rPr>
        <w:t>汉鼎宇佑通过多年不断的探索与耕耘，已初步形成智慧城市及金融、智慧医疗及商业两大核心业务集群。报告期内，公司整</w:t>
      </w:r>
      <w:r>
        <w:rPr>
          <w:spacing w:val="-64"/>
        </w:rPr>
        <w:t> </w:t>
      </w:r>
      <w:r>
        <w:rPr>
          <w:spacing w:val="-64"/>
        </w:rPr>
      </w:r>
      <w:r>
        <w:rPr>
          <w:spacing w:val="-2"/>
        </w:rPr>
        <w:t>合调整公司业务群，深化产业聚焦的发展战略，智慧城市和智慧医疗两大核心业务群逐步清晰。报告期内，公司参股子公司</w:t>
      </w:r>
      <w:r>
        <w:rPr>
          <w:spacing w:val="-64"/>
        </w:rPr>
        <w:t> </w:t>
      </w:r>
      <w:r>
        <w:rPr>
          <w:spacing w:val="-64"/>
        </w:rPr>
      </w:r>
      <w:r>
        <w:rPr/>
        <w:t>徐诺药业（股票代码：</w:t>
      </w:r>
      <w:r>
        <w:rPr>
          <w:rFonts w:ascii="Times New Roman" w:hAnsi="Times New Roman" w:cs="Times New Roman" w:eastAsia="Times New Roman" w:hint="default"/>
        </w:rPr>
        <w:t>XYN</w:t>
      </w:r>
      <w:r>
        <w:rPr/>
        <w:t>）在纳斯达克交易所成功上市，参股子公司蜂助手进入上市辅导期。</w:t>
      </w:r>
      <w:r>
        <w:rPr>
          <w:rFonts w:ascii="Times New Roman" w:hAnsi="Times New Roman" w:cs="Times New Roman" w:eastAsia="Times New Roman" w:hint="default"/>
        </w:rPr>
        <w:t>2019</w:t>
      </w:r>
      <w:r>
        <w:rPr/>
        <w:t>年，公司实现营业收 入</w:t>
      </w:r>
      <w:r>
        <w:rPr>
          <w:rFonts w:ascii="Times New Roman" w:hAnsi="Times New Roman" w:cs="Times New Roman" w:eastAsia="Times New Roman" w:hint="default"/>
        </w:rPr>
        <w:t>451,533,912.02</w:t>
      </w:r>
      <w:r>
        <w:rPr/>
        <w:t>元，较上年同期下降</w:t>
      </w:r>
      <w:r>
        <w:rPr>
          <w:rFonts w:ascii="Times New Roman" w:hAnsi="Times New Roman" w:cs="Times New Roman" w:eastAsia="Times New Roman" w:hint="default"/>
        </w:rPr>
        <w:t>14.43%</w:t>
      </w:r>
      <w:r>
        <w:rPr/>
        <w:t>，实现归属于上市公司股东的净利润</w:t>
      </w:r>
      <w:r>
        <w:rPr>
          <w:rFonts w:ascii="Times New Roman" w:hAnsi="Times New Roman" w:cs="Times New Roman" w:eastAsia="Times New Roman" w:hint="default"/>
        </w:rPr>
        <w:t>-793,295,024.47</w:t>
      </w:r>
      <w:r>
        <w:rPr/>
        <w:t>元，较上年同期下降</w:t>
      </w:r>
    </w:p>
    <w:p>
      <w:pPr>
        <w:pStyle w:val="BodyText"/>
        <w:spacing w:line="240" w:lineRule="auto" w:before="3"/>
        <w:ind w:right="1133"/>
        <w:jc w:val="left"/>
      </w:pPr>
      <w:r>
        <w:rPr>
          <w:rFonts w:ascii="Times New Roman" w:hAnsi="Times New Roman" w:cs="Times New Roman" w:eastAsia="Times New Roman" w:hint="default"/>
        </w:rPr>
        <w:t>-738.17%</w:t>
      </w:r>
      <w:r>
        <w:rPr/>
        <w:t>。</w:t>
      </w:r>
      <w:r>
        <w:rPr>
          <w:spacing w:val="-21"/>
        </w:rPr>
        <w:t> </w:t>
      </w:r>
      <w:r>
        <w:rPr/>
        <w:t>公司各板块主要经营情况如下：</w:t>
      </w:r>
    </w:p>
    <w:p>
      <w:pPr>
        <w:pStyle w:val="BodyText"/>
        <w:spacing w:line="312" w:lineRule="auto" w:before="63"/>
        <w:ind w:right="986"/>
        <w:jc w:val="left"/>
      </w:pPr>
      <w:r>
        <w:rPr/>
        <w:t>（一）深耕智慧城市 </w:t>
      </w:r>
      <w:r>
        <w:rPr>
          <w:spacing w:val="-2"/>
        </w:rPr>
        <w:t>公司是智慧城市行业领先企业，逐渐构建数据源体系的底层网络来源，凭借</w:t>
      </w:r>
      <w:r>
        <w:rPr>
          <w:rFonts w:ascii="Times New Roman" w:hAnsi="Times New Roman" w:cs="Times New Roman" w:eastAsia="Times New Roman" w:hint="default"/>
          <w:spacing w:val="-2"/>
        </w:rPr>
        <w:t>“12</w:t>
      </w:r>
      <w:r>
        <w:rPr>
          <w:spacing w:val="-2"/>
        </w:rPr>
        <w:t>甲</w:t>
      </w:r>
      <w:r>
        <w:rPr>
          <w:rFonts w:ascii="Times New Roman" w:hAnsi="Times New Roman" w:cs="Times New Roman" w:eastAsia="Times New Roman" w:hint="default"/>
          <w:spacing w:val="-2"/>
        </w:rPr>
        <w:t>”</w:t>
      </w:r>
      <w:r>
        <w:rPr>
          <w:spacing w:val="-2"/>
        </w:rPr>
        <w:t>资质和融资租赁的业务积淀，为城市建设</w:t>
      </w:r>
      <w:r>
        <w:rPr>
          <w:spacing w:val="-43"/>
        </w:rPr>
        <w:t> </w:t>
      </w:r>
      <w:r>
        <w:rPr>
          <w:spacing w:val="-43"/>
        </w:rPr>
      </w:r>
      <w:r>
        <w:rPr>
          <w:spacing w:val="-2"/>
        </w:rPr>
        <w:t>提供智慧规划、集成及运营的综合服务，为改善民生提供了有力支撑，让城市更聪明，让人民生活更便捷。伴随中国的城市</w:t>
      </w:r>
      <w:r>
        <w:rPr>
          <w:spacing w:val="-67"/>
        </w:rPr>
        <w:t> </w:t>
      </w:r>
      <w:r>
        <w:rPr>
          <w:spacing w:val="-67"/>
        </w:rPr>
      </w:r>
      <w:r>
        <w:rPr>
          <w:spacing w:val="-2"/>
        </w:rPr>
        <w:t>化浪潮，公司的智慧城市业务亦取得了长足进步。报告期内，公司持续强化落实新城市运营的智慧城市发展新战略，深耕智</w:t>
      </w:r>
      <w:r>
        <w:rPr>
          <w:spacing w:val="-65"/>
        </w:rPr>
        <w:t> </w:t>
      </w:r>
      <w:r>
        <w:rPr>
          <w:spacing w:val="-65"/>
        </w:rPr>
      </w:r>
      <w:r>
        <w:rPr>
          <w:spacing w:val="-2"/>
        </w:rPr>
        <w:t>慧城市板块，在工程项目承接上加强把控，筛选精品项目，在原有智慧城市业务的基础上依托智能技术提升运营能力。</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1"/>
        </w:rPr>
        <w:t> </w:t>
      </w:r>
      <w:r>
        <w:rPr/>
        <w:t>年，公司智慧城市业务发展平稳，但受宏观经济波动影响，市场竞争激烈，毛利有所下降。 </w:t>
      </w:r>
      <w:r>
        <w:rPr>
          <w:spacing w:val="-2"/>
        </w:rPr>
        <w:t>报告期内，公司与阿里云（无锡）物联网技术有限公司签订协议，就阿里云数字梅城的智慧排水、智慧消防、科技旅游等建</w:t>
      </w:r>
      <w:r>
        <w:rPr>
          <w:spacing w:val="-68"/>
        </w:rPr>
        <w:t> </w:t>
      </w:r>
      <w:r>
        <w:rPr>
          <w:spacing w:val="-68"/>
        </w:rPr>
      </w:r>
      <w:r>
        <w:rPr>
          <w:spacing w:val="-2"/>
        </w:rPr>
        <w:t>设内容进行合作，按照全域感知、数据统一、构建数据底座的建设思路，打造</w:t>
      </w:r>
      <w:r>
        <w:rPr>
          <w:rFonts w:ascii="Times New Roman" w:hAnsi="Times New Roman" w:cs="Times New Roman" w:eastAsia="Times New Roman" w:hint="default"/>
          <w:spacing w:val="-2"/>
        </w:rPr>
        <w:t>“</w:t>
      </w:r>
      <w:r>
        <w:rPr>
          <w:spacing w:val="-2"/>
        </w:rPr>
        <w:t>数字梅城</w:t>
      </w:r>
      <w:r>
        <w:rPr>
          <w:rFonts w:ascii="Times New Roman" w:hAnsi="Times New Roman" w:cs="Times New Roman" w:eastAsia="Times New Roman" w:hint="default"/>
          <w:spacing w:val="-2"/>
        </w:rPr>
        <w:t>”</w:t>
      </w:r>
      <w:r>
        <w:rPr>
          <w:spacing w:val="-2"/>
        </w:rPr>
        <w:t>城市大脑的综合治理新模式；公司</w:t>
      </w:r>
      <w:r>
        <w:rPr>
          <w:spacing w:val="-44"/>
        </w:rPr>
        <w:t> </w:t>
      </w:r>
      <w:r>
        <w:rPr>
          <w:spacing w:val="-44"/>
        </w:rPr>
      </w:r>
      <w:r>
        <w:rPr>
          <w:spacing w:val="-1"/>
        </w:rPr>
        <w:t>与腾讯、蜂助手战略合作，推出腾讯极光盒子，参股浙江慧居智能家居有限公司，通过获取大量精准</w:t>
      </w:r>
      <w:r>
        <w:rPr>
          <w:rFonts w:ascii="Times New Roman" w:hAnsi="Times New Roman" w:cs="Times New Roman" w:eastAsia="Times New Roman" w:hint="default"/>
          <w:spacing w:val="-1"/>
        </w:rPr>
        <w:t>C</w:t>
      </w:r>
      <w:r>
        <w:rPr>
          <w:spacing w:val="-1"/>
        </w:rPr>
        <w:t>端相关数据，推动智</w:t>
      </w:r>
      <w:r>
        <w:rPr>
          <w:spacing w:val="-61"/>
        </w:rPr>
        <w:t> </w:t>
      </w:r>
      <w:r>
        <w:rPr>
          <w:spacing w:val="-61"/>
        </w:rPr>
      </w:r>
      <w:r>
        <w:rPr>
          <w:spacing w:val="-2"/>
        </w:rPr>
        <w:t>能生活场景落地，打造无线智能家居生活。公司搭建以智能技术应用为核心的技术团队，不断践行人工智能在城市大脑等未</w:t>
      </w:r>
      <w:r>
        <w:rPr>
          <w:spacing w:val="-63"/>
        </w:rPr>
        <w:t> </w:t>
      </w:r>
      <w:r>
        <w:rPr>
          <w:spacing w:val="-63"/>
        </w:rPr>
      </w:r>
      <w:r>
        <w:rPr/>
        <w:t>来智慧城市生活场景的广阔应用。</w:t>
      </w:r>
    </w:p>
    <w:p>
      <w:pPr>
        <w:pStyle w:val="BodyText"/>
        <w:spacing w:line="314" w:lineRule="auto" w:before="22"/>
        <w:ind w:right="986"/>
        <w:jc w:val="left"/>
      </w:pPr>
      <w:r>
        <w:rPr/>
        <w:t>（二）搭建智慧医疗生态圈 公司以</w:t>
      </w:r>
      <w:r>
        <w:rPr>
          <w:rFonts w:ascii="Times New Roman" w:hAnsi="Times New Roman" w:cs="Times New Roman" w:eastAsia="Times New Roman" w:hint="default"/>
        </w:rPr>
        <w:t>“</w:t>
      </w:r>
      <w:r>
        <w:rPr/>
        <w:t>让您的健康更有保障</w:t>
      </w:r>
      <w:r>
        <w:rPr>
          <w:rFonts w:ascii="Times New Roman" w:hAnsi="Times New Roman" w:cs="Times New Roman" w:eastAsia="Times New Roman" w:hint="default"/>
        </w:rPr>
        <w:t>”</w:t>
      </w:r>
      <w:r>
        <w:rPr/>
        <w:t>为己任，帮助中国老百姓以普惠的价格享受到优质的医疗服务。报告期内，公司加快智慧医疗 </w:t>
      </w:r>
      <w:r>
        <w:rPr>
          <w:spacing w:val="-2"/>
        </w:rPr>
        <w:t>板块布局，在国家政策的引导下，依托所拥有的技术、渠道、资源、服务等优势，打造基于互联网和大数据驱动的跨境医疗</w:t>
      </w:r>
      <w:r>
        <w:rPr>
          <w:spacing w:val="-68"/>
        </w:rPr>
        <w:t> </w:t>
      </w:r>
      <w:r>
        <w:rPr>
          <w:spacing w:val="-68"/>
        </w:rPr>
      </w:r>
      <w:r>
        <w:rPr/>
        <w:t>闭环体系，搭建智慧医疗生态圈，为患者提供一流、快捷、全面的医疗服务，持续推进公司智慧医疗业务发展。 </w:t>
      </w:r>
      <w:r>
        <w:rPr>
          <w:spacing w:val="-2"/>
        </w:rPr>
        <w:t>持续完善现有远程医疗平台，好医友与国内大型医疗机构共建国际医疗中心，凭借公司自主研发的远程医疗系统及美国合作</w:t>
      </w:r>
      <w:r>
        <w:rPr>
          <w:spacing w:val="-63"/>
        </w:rPr>
        <w:t> </w:t>
      </w:r>
      <w:r>
        <w:rPr>
          <w:spacing w:val="-63"/>
        </w:rPr>
      </w:r>
      <w:r>
        <w:rPr>
          <w:spacing w:val="-2"/>
        </w:rPr>
        <w:t>伙伴的丰富医疗资源，国内医生携患者可通过远程视频的形式，与境外专家进行即时会诊，为患者制定国际一流、快捷的诊</w:t>
      </w:r>
      <w:r>
        <w:rPr>
          <w:spacing w:val="-64"/>
        </w:rPr>
        <w:t> </w:t>
      </w:r>
      <w:r>
        <w:rPr>
          <w:spacing w:val="-64"/>
        </w:rPr>
      </w:r>
      <w:r>
        <w:rPr/>
        <w:t>疗方案； </w:t>
      </w:r>
      <w:r>
        <w:rPr>
          <w:spacing w:val="-4"/>
        </w:rPr>
        <w:t>不断丰富线下海外就医、保险合作、医疗器械及保健品代理等服务内容，形成基于互联网和大数据驱动的跨境医疗闭环体系。</w:t>
      </w:r>
      <w:r>
        <w:rPr>
          <w:spacing w:val="-44"/>
        </w:rPr>
        <w:t> </w:t>
      </w:r>
      <w:r>
        <w:rPr>
          <w:spacing w:val="-44"/>
        </w:rPr>
      </w:r>
      <w:r>
        <w:rPr>
          <w:spacing w:val="-2"/>
        </w:rPr>
        <w:t>报告期内，公司与太平人寿合作推广海外医疗及国内重疾医疗增值服务卡，内容涵盖海外就医远程会诊、海外就医服务、回</w:t>
      </w:r>
      <w:r>
        <w:rPr>
          <w:spacing w:val="-64"/>
        </w:rPr>
        <w:t> </w:t>
      </w:r>
      <w:r>
        <w:rPr>
          <w:spacing w:val="-64"/>
        </w:rPr>
      </w:r>
      <w:r>
        <w:rPr>
          <w:spacing w:val="-2"/>
        </w:rPr>
        <w:t>国后远程复诊和海外新药咨询等服务，通过与保险公司的合作快速导入大量高质量客户流量，对公司智慧医疗业务增长起到</w:t>
      </w:r>
      <w:r>
        <w:rPr>
          <w:spacing w:val="-64"/>
        </w:rPr>
        <w:t> </w:t>
      </w:r>
      <w:r>
        <w:rPr>
          <w:spacing w:val="-64"/>
        </w:rPr>
      </w:r>
      <w:r>
        <w:rPr>
          <w:spacing w:val="-2"/>
        </w:rPr>
        <w:t>积极的促进作用。利用渠道资源优势，拓展医疗器械及保健品代理业务，取得多个国内及国际领先的医疗器械等产品的代理</w:t>
      </w:r>
      <w:r>
        <w:rPr>
          <w:spacing w:val="-63"/>
        </w:rPr>
        <w:t> </w:t>
      </w:r>
      <w:r>
        <w:rPr>
          <w:spacing w:val="-63"/>
        </w:rPr>
      </w:r>
      <w:r>
        <w:rPr/>
        <w:t>权或总经销权。 </w:t>
      </w:r>
      <w:r>
        <w:rPr>
          <w:spacing w:val="-2"/>
        </w:rPr>
        <w:t>通过股权纽带，与医疗保健计划公司、医药企业形成稳固的战略合作关系，整合优势资源，发挥协同效应，构建医疗健康生</w:t>
      </w:r>
      <w:r>
        <w:rPr>
          <w:spacing w:val="-67"/>
        </w:rPr>
        <w:t> </w:t>
      </w:r>
      <w:r>
        <w:rPr>
          <w:spacing w:val="-67"/>
        </w:rPr>
      </w:r>
      <w:r>
        <w:rPr/>
        <w:t>态圈，打造公司智慧医疗产业的核心竞争力。公司参股鹍远基因、徐诺药业等肿瘤诊疗企业，其中徐诺药业于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42"/>
        </w:rPr>
        <w:t> </w:t>
      </w:r>
      <w:r>
        <w:rPr/>
        <w:t>日在美国纳斯达克交易所主板挂牌上市；汉鼎国际参股的</w:t>
      </w:r>
      <w:r>
        <w:rPr>
          <w:rFonts w:ascii="Times New Roman" w:hAnsi="Times New Roman" w:cs="Times New Roman" w:eastAsia="Times New Roman" w:hint="default"/>
        </w:rPr>
        <w:t>MCAC</w:t>
      </w:r>
      <w:r>
        <w:rPr/>
        <w:t>公司，持有美国加利福尼亚州医疗保健计划公司（</w:t>
      </w:r>
      <w:r>
        <w:rPr>
          <w:rFonts w:ascii="Times New Roman" w:hAnsi="Times New Roman" w:cs="Times New Roman" w:eastAsia="Times New Roman" w:hint="default"/>
        </w:rPr>
        <w:t>Golden State Medicare Health</w:t>
      </w:r>
      <w:r>
        <w:rPr>
          <w:rFonts w:ascii="Times New Roman" w:hAnsi="Times New Roman" w:cs="Times New Roman" w:eastAsia="Times New Roman" w:hint="default"/>
          <w:spacing w:val="-8"/>
        </w:rPr>
        <w:t> </w:t>
      </w:r>
      <w:r>
        <w:rPr>
          <w:rFonts w:ascii="Times New Roman" w:hAnsi="Times New Roman" w:cs="Times New Roman" w:eastAsia="Times New Roman" w:hint="default"/>
        </w:rPr>
        <w:t>Plan</w:t>
      </w:r>
      <w:r>
        <w:rPr/>
        <w:t>），不断拓展美国医疗领域的资源，与公司智慧医疗产业形成稳定的战略协同关系。</w:t>
      </w:r>
    </w:p>
    <w:p>
      <w:pPr>
        <w:pStyle w:val="BodyText"/>
        <w:spacing w:line="307" w:lineRule="auto" w:before="1"/>
        <w:ind w:right="1133"/>
        <w:jc w:val="left"/>
      </w:pPr>
      <w:r>
        <w:rPr/>
        <w:t>（三）优化智慧商业 </w:t>
      </w:r>
      <w:r>
        <w:rPr>
          <w:spacing w:val="-2"/>
        </w:rPr>
        <w:t>杭州汉鼎宇佑互动娱乐管理有限公司，拥有</w:t>
      </w:r>
      <w:r>
        <w:rPr>
          <w:rFonts w:ascii="Times New Roman" w:hAnsi="Times New Roman" w:cs="Times New Roman" w:eastAsia="Times New Roman" w:hint="default"/>
          <w:spacing w:val="-2"/>
        </w:rPr>
        <w:t>“</w:t>
      </w:r>
      <w:r>
        <w:rPr>
          <w:spacing w:val="-2"/>
        </w:rPr>
        <w:t>汉鼎宇佑影城</w:t>
      </w:r>
      <w:r>
        <w:rPr>
          <w:rFonts w:ascii="Times New Roman" w:hAnsi="Times New Roman" w:cs="Times New Roman" w:eastAsia="Times New Roman" w:hint="default"/>
          <w:spacing w:val="-2"/>
        </w:rPr>
        <w:t>”</w:t>
      </w:r>
      <w:r>
        <w:rPr>
          <w:spacing w:val="-2"/>
        </w:rPr>
        <w:t>品牌，</w:t>
      </w:r>
      <w:r>
        <w:rPr>
          <w:rFonts w:ascii="Times New Roman" w:hAnsi="Times New Roman" w:cs="Times New Roman" w:eastAsia="Times New Roman" w:hint="default"/>
          <w:spacing w:val="-2"/>
        </w:rPr>
        <w:t>16</w:t>
      </w:r>
      <w:r>
        <w:rPr>
          <w:spacing w:val="-2"/>
        </w:rPr>
        <w:t>家自营影城位于全国各地。报告期内，公司对自营影城</w:t>
      </w:r>
      <w:r>
        <w:rPr>
          <w:spacing w:val="-43"/>
        </w:rPr>
        <w:t> </w:t>
      </w:r>
      <w:r>
        <w:rPr>
          <w:spacing w:val="-43"/>
        </w:rPr>
      </w:r>
      <w:r>
        <w:rPr/>
        <w:t>的现有项目进行了梳理和优化，受整体电影市场增长乏力、新开影院数量过高、导致竞争加剧的影响，公司部分影院</w:t>
      </w:r>
      <w:r>
        <w:rPr>
          <w:rFonts w:ascii="Times New Roman" w:hAnsi="Times New Roman" w:cs="Times New Roman" w:eastAsia="Times New Roman" w:hint="default"/>
        </w:rPr>
        <w:t>2019 </w:t>
      </w:r>
      <w:r>
        <w:rPr/>
        <w:t>年的营业收入不及</w:t>
      </w:r>
      <w:r>
        <w:rPr>
          <w:rFonts w:ascii="Times New Roman" w:hAnsi="Times New Roman" w:cs="Times New Roman" w:eastAsia="Times New Roman" w:hint="default"/>
        </w:rPr>
        <w:t>2018</w:t>
      </w:r>
      <w:r>
        <w:rPr/>
        <w:t>年。</w:t>
      </w:r>
    </w:p>
    <w:p>
      <w:pPr>
        <w:pStyle w:val="BodyText"/>
        <w:spacing w:line="316" w:lineRule="auto" w:before="7"/>
        <w:ind w:right="1133"/>
        <w:jc w:val="left"/>
      </w:pPr>
      <w:r>
        <w:rPr/>
        <w:t>（四）投资领域 </w:t>
      </w:r>
      <w:r>
        <w:rPr>
          <w:spacing w:val="-2"/>
        </w:rPr>
        <w:t>公司旗下投资参股公司包括微贷、极光大数据、蜂助手、徐诺药业、搜道网络、</w:t>
      </w:r>
      <w:r>
        <w:rPr>
          <w:rFonts w:ascii="Times New Roman" w:hAnsi="Times New Roman" w:cs="Times New Roman" w:eastAsia="Times New Roman" w:hint="default"/>
          <w:spacing w:val="-2"/>
        </w:rPr>
        <w:t>MCAC</w:t>
      </w:r>
      <w:r>
        <w:rPr>
          <w:spacing w:val="-2"/>
        </w:rPr>
        <w:t>等公司。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日起，公司开始</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ind w:right="1130"/>
        <w:jc w:val="both"/>
      </w:pPr>
      <w:r>
        <w:rPr>
          <w:spacing w:val="-1"/>
        </w:rPr>
        <w:t>执行新金融工具会计准则，根据规定，公司将持有的极光大数据、</w:t>
      </w:r>
      <w:r>
        <w:rPr>
          <w:rFonts w:ascii="Times New Roman" w:hAnsi="Times New Roman" w:cs="Times New Roman" w:eastAsia="Times New Roman" w:hint="default"/>
          <w:spacing w:val="-1"/>
        </w:rPr>
        <w:t>MCAC</w:t>
      </w:r>
      <w:r>
        <w:rPr>
          <w:spacing w:val="-1"/>
        </w:rPr>
        <w:t>等原在</w:t>
      </w:r>
      <w:r>
        <w:rPr>
          <w:rFonts w:ascii="Times New Roman" w:hAnsi="Times New Roman" w:cs="Times New Roman" w:eastAsia="Times New Roman" w:hint="default"/>
          <w:spacing w:val="-1"/>
        </w:rPr>
        <w:t>“</w:t>
      </w:r>
      <w:r>
        <w:rPr>
          <w:spacing w:val="-1"/>
        </w:rPr>
        <w:t>可供出售金融资产</w:t>
      </w:r>
      <w:r>
        <w:rPr>
          <w:rFonts w:ascii="Times New Roman" w:hAnsi="Times New Roman" w:cs="Times New Roman" w:eastAsia="Times New Roman" w:hint="default"/>
          <w:spacing w:val="-1"/>
        </w:rPr>
        <w:t>”</w:t>
      </w:r>
      <w:r>
        <w:rPr>
          <w:spacing w:val="-1"/>
        </w:rPr>
        <w:t>项下核算的投资项目重</w:t>
      </w:r>
      <w:r>
        <w:rPr>
          <w:spacing w:val="-88"/>
        </w:rPr>
        <w:t> </w:t>
      </w:r>
      <w:r>
        <w:rPr>
          <w:spacing w:val="-2"/>
        </w:rPr>
        <w:t>新分类为</w:t>
      </w:r>
      <w:r>
        <w:rPr>
          <w:rFonts w:ascii="Times New Roman" w:hAnsi="Times New Roman" w:cs="Times New Roman" w:eastAsia="Times New Roman" w:hint="default"/>
          <w:spacing w:val="-2"/>
        </w:rPr>
        <w:t>“</w:t>
      </w:r>
      <w:r>
        <w:rPr>
          <w:spacing w:val="-2"/>
        </w:rPr>
        <w:t>以公允价值计量且其变动计入当期损益的金融资产</w:t>
      </w:r>
      <w:r>
        <w:rPr>
          <w:rFonts w:ascii="Times New Roman" w:hAnsi="Times New Roman" w:cs="Times New Roman" w:eastAsia="Times New Roman" w:hint="default"/>
          <w:spacing w:val="-2"/>
        </w:rPr>
        <w:t>”</w:t>
      </w:r>
      <w:r>
        <w:rPr>
          <w:spacing w:val="-2"/>
        </w:rPr>
        <w:t>，并按照二级市场股价、新一轮融资估值等数据为基础测算公</w:t>
      </w:r>
      <w:r>
        <w:rPr>
          <w:spacing w:val="-46"/>
        </w:rPr>
        <w:t> </w:t>
      </w:r>
      <w:r>
        <w:rPr>
          <w:spacing w:val="-46"/>
        </w:rPr>
      </w:r>
      <w:r>
        <w:rPr>
          <w:spacing w:val="-2"/>
        </w:rPr>
        <w:t>允价值，公司因此产生大额公允价值变动损益。报告期内，参股子公司徐诺药业成功在美国纳斯达克交易所挂牌上市，参股</w:t>
      </w:r>
      <w:r>
        <w:rPr>
          <w:spacing w:val="-64"/>
        </w:rPr>
        <w:t> </w:t>
      </w:r>
      <w:r>
        <w:rPr>
          <w:spacing w:val="-64"/>
        </w:rPr>
      </w:r>
      <w:r>
        <w:rPr>
          <w:spacing w:val="-2"/>
        </w:rPr>
        <w:t>子公司蜂助手已于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日在中国证券监督管理委员会广东监管局办理了辅导备案登记，已进入首次公开发行股票并</w:t>
      </w:r>
      <w:r>
        <w:rPr>
          <w:spacing w:val="-57"/>
        </w:rPr>
        <w:t> </w:t>
      </w:r>
      <w:r>
        <w:rPr>
          <w:spacing w:val="-57"/>
        </w:rPr>
      </w:r>
      <w:r>
        <w:rPr/>
        <w:t>上市的辅导阶段。因互联网金融的市场环境发生较大变化，公司参股的微贷网出现较大的资产减值。</w:t>
      </w:r>
    </w:p>
    <w:p>
      <w:pPr>
        <w:pStyle w:val="BodyText"/>
        <w:spacing w:line="316" w:lineRule="auto" w:before="28"/>
        <w:ind w:right="986"/>
        <w:jc w:val="left"/>
      </w:pPr>
      <w:r>
        <w:rPr/>
        <w:t>（五）加强技术研发，充分发挥技术优势 </w:t>
      </w:r>
      <w:r>
        <w:rPr>
          <w:spacing w:val="-2"/>
        </w:rPr>
        <w:t>公司研发机构健全，设立了三级研发技术体系，包括高校企业联合研究所、企业间技术研发中心和解决方案研发中心，拥有</w:t>
      </w:r>
      <w:r>
        <w:rPr>
          <w:spacing w:val="-65"/>
        </w:rPr>
        <w:t> </w:t>
      </w:r>
      <w:r>
        <w:rPr>
          <w:spacing w:val="-65"/>
        </w:rPr>
      </w:r>
      <w:r>
        <w:rPr>
          <w:spacing w:val="-2"/>
        </w:rPr>
        <w:t>强大的自主创新能力，具备快速研发系统产品的能力和产业化推广的能力。公司充分利用在技术研发领域的优势，通过在智</w:t>
      </w:r>
      <w:r>
        <w:rPr>
          <w:spacing w:val="-63"/>
        </w:rPr>
        <w:t> </w:t>
      </w:r>
      <w:r>
        <w:rPr>
          <w:spacing w:val="-63"/>
        </w:rPr>
      </w:r>
      <w:r>
        <w:rPr/>
        <w:t>慧城市、智慧医疗等业务中加入互联网运营战略，提高数据源建设并不断优化算法，提升综合效益。</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营业收入整体情况</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451,533,912.02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527,647,214.59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-14.43%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328,374,746.45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447,649,227.52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智慧医疗及商业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123,159,165.57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79,997,987.07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328,374,746.45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447,649,227.52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智慧医疗及商业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123,159,165.57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79,997,987.07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53.95%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446,721,188.91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515,472,221.04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4,812,723.11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12,174,993.55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3"/>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7"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7"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0"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328,374,746.45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305,196,679.14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智慧医疗及商业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123,159,165.57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94,361,587.49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36.76%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328,374,746.45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305,196,679.14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智慧医疗及商业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123,159,165.57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94,361,587.49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36.76%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446,721,188.91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395,015,490.43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r>
    </w:tbl>
    <w:p>
      <w:pPr>
        <w:pStyle w:val="BodyText"/>
        <w:spacing w:line="240" w:lineRule="auto" w:before="49"/>
        <w:ind w:right="113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4"/>
        </w:rPr>
        <w:t>(1)2014</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17</w:t>
      </w:r>
      <w:r>
        <w:rPr>
          <w:spacing w:val="-4"/>
        </w:rPr>
        <w:t>日，公司披露了新民市智慧城市建设合同，合同总价</w:t>
      </w:r>
      <w:r>
        <w:rPr>
          <w:rFonts w:ascii="Times New Roman" w:hAnsi="Times New Roman" w:cs="Times New Roman" w:eastAsia="Times New Roman" w:hint="default"/>
          <w:spacing w:val="-4"/>
        </w:rPr>
        <w:t>3.23</w:t>
      </w:r>
      <w:r>
        <w:rPr>
          <w:spacing w:val="-4"/>
        </w:rPr>
        <w:t>亿。本报告期确认收入</w:t>
      </w:r>
      <w:r>
        <w:rPr>
          <w:rFonts w:ascii="Times New Roman" w:hAnsi="Times New Roman" w:cs="Times New Roman" w:eastAsia="Times New Roman" w:hint="default"/>
          <w:spacing w:val="-4"/>
        </w:rPr>
        <w:t>0</w:t>
      </w:r>
      <w:r>
        <w:rPr>
          <w:spacing w:val="-4"/>
        </w:rPr>
        <w:t>万元，累计确认收入</w:t>
      </w:r>
      <w:r>
        <w:rPr>
          <w:rFonts w:ascii="Times New Roman" w:hAnsi="Times New Roman" w:cs="Times New Roman" w:eastAsia="Times New Roman" w:hint="default"/>
          <w:spacing w:val="-4"/>
        </w:rPr>
        <w:t>14,987.25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万，报告期内实现回款</w:t>
      </w:r>
      <w:r>
        <w:rPr>
          <w:rFonts w:ascii="Times New Roman" w:hAnsi="Times New Roman" w:cs="Times New Roman" w:eastAsia="Times New Roman" w:hint="default"/>
        </w:rPr>
        <w:t>1,200</w:t>
      </w:r>
      <w:r>
        <w:rPr/>
        <w:t>万元。</w:t>
      </w:r>
    </w:p>
    <w:p>
      <w:pPr>
        <w:pStyle w:val="BodyText"/>
        <w:spacing w:line="302" w:lineRule="auto" w:before="0"/>
        <w:ind w:right="1037"/>
        <w:jc w:val="left"/>
      </w:pPr>
      <w:r>
        <w:rPr>
          <w:rFonts w:ascii="Times New Roman" w:hAnsi="Times New Roman" w:cs="Times New Roman" w:eastAsia="Times New Roman" w:hint="default"/>
        </w:rPr>
        <w:t>(2)2014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日，公司披露的全资子公司汉爵科技蓝月小区工程安装施工分包合同，合同金额暂定为人民币</w:t>
      </w:r>
      <w:r>
        <w:rPr>
          <w:rFonts w:ascii="Times New Roman" w:hAnsi="Times New Roman" w:cs="Times New Roman" w:eastAsia="Times New Roman" w:hint="default"/>
        </w:rPr>
        <w:t>19760.00</w:t>
      </w:r>
      <w:r>
        <w:rPr/>
        <w:t>万元</w:t>
      </w:r>
      <w:r>
        <w:rPr>
          <w:w w:val="99"/>
        </w:rPr>
        <w:t> </w:t>
      </w:r>
      <w:r>
        <w:rPr/>
        <w:t>整，合同期限</w:t>
      </w:r>
      <w:r>
        <w:rPr>
          <w:rFonts w:ascii="Times New Roman" w:hAnsi="Times New Roman" w:cs="Times New Roman" w:eastAsia="Times New Roman" w:hint="default"/>
        </w:rPr>
        <w:t>720</w:t>
      </w:r>
      <w:r>
        <w:rPr/>
        <w:t>日历天。本项目开发商为兴文县斌鑫房地产开发有限公司，总包方为五洋建设集团。由于工程未具备进场</w:t>
      </w:r>
      <w:r>
        <w:rPr>
          <w:w w:val="99"/>
        </w:rPr>
        <w:t> </w:t>
      </w:r>
      <w:r>
        <w:rPr>
          <w:spacing w:val="-2"/>
        </w:rPr>
        <w:t>施工条件，导致合同无法履行，根据浙江省绍兴市上虞区人民法院（</w:t>
      </w:r>
      <w:r>
        <w:rPr>
          <w:rFonts w:ascii="Times New Roman" w:hAnsi="Times New Roman" w:cs="Times New Roman" w:eastAsia="Times New Roman" w:hint="default"/>
          <w:spacing w:val="-2"/>
        </w:rPr>
        <w:t>2017</w:t>
      </w:r>
      <w:r>
        <w:rPr>
          <w:spacing w:val="-2"/>
        </w:rPr>
        <w:t>）浙</w:t>
      </w:r>
      <w:r>
        <w:rPr>
          <w:rFonts w:ascii="Times New Roman" w:hAnsi="Times New Roman" w:cs="Times New Roman" w:eastAsia="Times New Roman" w:hint="default"/>
          <w:spacing w:val="-2"/>
        </w:rPr>
        <w:t>0604</w:t>
      </w:r>
      <w:r>
        <w:rPr>
          <w:spacing w:val="-2"/>
        </w:rPr>
        <w:t>民初</w:t>
      </w:r>
      <w:r>
        <w:rPr>
          <w:rFonts w:ascii="Times New Roman" w:hAnsi="Times New Roman" w:cs="Times New Roman" w:eastAsia="Times New Roman" w:hint="default"/>
          <w:spacing w:val="-2"/>
        </w:rPr>
        <w:t>6976</w:t>
      </w:r>
      <w:r>
        <w:rPr>
          <w:spacing w:val="-2"/>
        </w:rPr>
        <w:t>号民事判决书，法院判决该合同</w:t>
      </w:r>
      <w:r>
        <w:rPr>
          <w:spacing w:val="-59"/>
        </w:rPr>
        <w:t> </w:t>
      </w:r>
      <w:r>
        <w:rPr>
          <w:spacing w:val="-59"/>
        </w:rPr>
      </w:r>
      <w:r>
        <w:rPr>
          <w:spacing w:val="-2"/>
        </w:rPr>
        <w:t>解除，五洋建设集团需退还</w:t>
      </w:r>
      <w:r>
        <w:rPr>
          <w:rFonts w:ascii="Times New Roman" w:hAnsi="Times New Roman" w:cs="Times New Roman" w:eastAsia="Times New Roman" w:hint="default"/>
          <w:spacing w:val="-2"/>
        </w:rPr>
        <w:t>1000</w:t>
      </w:r>
      <w:r>
        <w:rPr>
          <w:spacing w:val="-2"/>
        </w:rPr>
        <w:t>万保证金。由于五洋建设集团未积极履行归还保证金，公司已向法院申请强制执行。因法院</w:t>
      </w:r>
      <w:r>
        <w:rPr>
          <w:spacing w:val="-62"/>
        </w:rPr>
        <w:t> </w:t>
      </w:r>
      <w:r>
        <w:rPr>
          <w:spacing w:val="-62"/>
        </w:rPr>
      </w:r>
      <w:r>
        <w:rPr/>
        <w:t>已受理五洋建设集团所提出的破产重整申请，执行中止。目前公司已参与到五洋建设破产重整程序中，已进行了债权申报。</w:t>
      </w:r>
      <w:r>
        <w:rPr>
          <w:w w:val="99"/>
        </w:rPr>
        <w:t> </w:t>
      </w:r>
      <w:r>
        <w:rPr>
          <w:spacing w:val="-4"/>
          <w:w w:val="99"/>
        </w:rPr>
        <w:t>后续公司将根据五洋建设集团破产重组的整体推进情况落实后续工作。截至</w:t>
      </w:r>
      <w:r>
        <w:rPr>
          <w:rFonts w:ascii="Times New Roman" w:hAnsi="Times New Roman" w:cs="Times New Roman" w:eastAsia="Times New Roman" w:hint="default"/>
          <w:spacing w:val="-4"/>
          <w:w w:val="99"/>
        </w:rPr>
        <w:t>2019</w:t>
      </w:r>
      <w:r>
        <w:rPr>
          <w:spacing w:val="-4"/>
          <w:w w:val="99"/>
        </w:rPr>
        <w:t>年末，该项目相关存货余额已全额计提减值。</w:t>
      </w:r>
      <w:r>
        <w:rPr>
          <w:spacing w:val="-37"/>
          <w:w w:val="99"/>
        </w:rPr>
        <w:t> </w:t>
      </w:r>
      <w:r>
        <w:rPr>
          <w:spacing w:val="-37"/>
          <w:w w:val="99"/>
        </w:rPr>
      </w:r>
      <w:r>
        <w:rPr>
          <w:rFonts w:ascii="Times New Roman" w:hAnsi="Times New Roman" w:cs="Times New Roman" w:eastAsia="Times New Roman" w:hint="default"/>
        </w:rPr>
        <w:t>(3)2015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日，公司披露的南宁五象湖</w:t>
      </w:r>
      <w:r>
        <w:rPr>
          <w:rFonts w:ascii="Times New Roman" w:hAnsi="Times New Roman" w:cs="Times New Roman" w:eastAsia="Times New Roman" w:hint="default"/>
        </w:rPr>
        <w:t>1</w:t>
      </w:r>
      <w:r>
        <w:rPr/>
        <w:t>号二至五期安装施工分包合同，合同金额暂定为</w:t>
      </w:r>
      <w:r>
        <w:rPr>
          <w:rFonts w:ascii="Times New Roman" w:hAnsi="Times New Roman" w:cs="Times New Roman" w:eastAsia="Times New Roman" w:hint="default"/>
        </w:rPr>
        <w:t>26500</w:t>
      </w:r>
      <w:r>
        <w:rPr/>
        <w:t>万元，工期暂定为</w:t>
      </w:r>
      <w:r>
        <w:rPr>
          <w:rFonts w:ascii="Times New Roman" w:hAnsi="Times New Roman" w:cs="Times New Roman" w:eastAsia="Times New Roman" w:hint="default"/>
        </w:rPr>
        <w:t>787</w:t>
      </w:r>
      <w:r>
        <w:rPr/>
        <w:t>日历</w:t>
      </w:r>
      <w:r>
        <w:rPr>
          <w:w w:val="99"/>
        </w:rPr>
        <w:t> </w:t>
      </w:r>
      <w:r>
        <w:rPr/>
        <w:t>天。本报告期确认收入</w:t>
      </w:r>
      <w:r>
        <w:rPr>
          <w:rFonts w:ascii="Times New Roman" w:hAnsi="Times New Roman" w:cs="Times New Roman" w:eastAsia="Times New Roman" w:hint="default"/>
        </w:rPr>
        <w:t>0.00</w:t>
      </w:r>
      <w:r>
        <w:rPr/>
        <w:t>万元，累计确认收入</w:t>
      </w:r>
      <w:r>
        <w:rPr>
          <w:rFonts w:ascii="Times New Roman" w:hAnsi="Times New Roman" w:cs="Times New Roman" w:eastAsia="Times New Roman" w:hint="default"/>
        </w:rPr>
        <w:t>1573.00</w:t>
      </w:r>
      <w:r>
        <w:rPr/>
        <w:t>万元。南宁五象湖</w:t>
      </w:r>
      <w:r>
        <w:rPr>
          <w:rFonts w:ascii="Times New Roman" w:hAnsi="Times New Roman" w:cs="Times New Roman" w:eastAsia="Times New Roman" w:hint="default"/>
        </w:rPr>
        <w:t>1</w:t>
      </w:r>
      <w:r>
        <w:rPr/>
        <w:t>号项目由深圳宝能集团（广西宝汇置业）开发，</w:t>
      </w:r>
      <w:r>
        <w:rPr>
          <w:w w:val="99"/>
        </w:rPr>
        <w:t> </w:t>
      </w:r>
      <w:r>
        <w:rPr>
          <w:spacing w:val="-2"/>
        </w:rPr>
        <w:t>总包方为五洋建设集团，本项目开发共有五期，建筑面积达</w:t>
      </w:r>
      <w:r>
        <w:rPr>
          <w:rFonts w:ascii="Times New Roman" w:hAnsi="Times New Roman" w:cs="Times New Roman" w:eastAsia="Times New Roman" w:hint="default"/>
          <w:spacing w:val="-2"/>
        </w:rPr>
        <w:t>72</w:t>
      </w:r>
      <w:r>
        <w:rPr>
          <w:spacing w:val="-2"/>
        </w:rPr>
        <w:t>万平方。现因与公司签订施工分包合同的项目总包单位五洋建</w:t>
      </w:r>
      <w:r>
        <w:rPr>
          <w:spacing w:val="-65"/>
        </w:rPr>
        <w:t> </w:t>
      </w:r>
      <w:r>
        <w:rPr>
          <w:spacing w:val="-65"/>
        </w:rPr>
      </w:r>
      <w:r>
        <w:rPr>
          <w:spacing w:val="-2"/>
        </w:rPr>
        <w:t>设集团已申请破产重整，为避免公司损失继续扩大，公司已停止该项目后续施工。目前公司已参与到五洋建设破产重整程序</w:t>
      </w:r>
      <w:r>
        <w:rPr>
          <w:spacing w:val="-64"/>
        </w:rPr>
        <w:t> </w:t>
      </w:r>
      <w:r>
        <w:rPr>
          <w:spacing w:val="-64"/>
        </w:rPr>
      </w:r>
      <w:r>
        <w:rPr>
          <w:spacing w:val="-2"/>
        </w:rPr>
        <w:t>中，已进行了债权申报。后续公司将根据五洋建设集团破产重组的整体推进情况落实后续工作。截至</w:t>
      </w:r>
      <w:r>
        <w:rPr>
          <w:rFonts w:ascii="Times New Roman" w:hAnsi="Times New Roman" w:cs="Times New Roman" w:eastAsia="Times New Roman" w:hint="default"/>
          <w:spacing w:val="-2"/>
        </w:rPr>
        <w:t>2019</w:t>
      </w:r>
      <w:r>
        <w:rPr>
          <w:spacing w:val="-2"/>
        </w:rPr>
        <w:t>年末，该项目相关</w:t>
      </w:r>
      <w:r>
        <w:rPr>
          <w:spacing w:val="-62"/>
        </w:rPr>
        <w:t> </w:t>
      </w:r>
      <w:r>
        <w:rPr>
          <w:spacing w:val="-62"/>
        </w:rPr>
      </w:r>
      <w:r>
        <w:rPr/>
        <w:t>应收款项已全额计提坏账。</w:t>
      </w:r>
      <w:r>
        <w:rPr>
          <w:w w:val="99"/>
        </w:rPr>
        <w:t> </w:t>
      </w:r>
      <w:r>
        <w:rPr>
          <w:rFonts w:ascii="Times New Roman" w:hAnsi="Times New Roman" w:cs="Times New Roman" w:eastAsia="Times New Roman" w:hint="default"/>
          <w:spacing w:val="-4"/>
          <w:w w:val="99"/>
        </w:rPr>
        <w:t>(4)2015</w:t>
      </w:r>
      <w:r>
        <w:rPr>
          <w:spacing w:val="-4"/>
          <w:w w:val="99"/>
        </w:rPr>
        <w:t>年</w:t>
      </w:r>
      <w:r>
        <w:rPr>
          <w:rFonts w:ascii="Times New Roman" w:hAnsi="Times New Roman" w:cs="Times New Roman" w:eastAsia="Times New Roman" w:hint="default"/>
          <w:spacing w:val="-4"/>
          <w:w w:val="99"/>
        </w:rPr>
        <w:t>5</w:t>
      </w:r>
      <w:r>
        <w:rPr>
          <w:spacing w:val="-4"/>
          <w:w w:val="99"/>
        </w:rPr>
        <w:t>月</w:t>
      </w:r>
      <w:r>
        <w:rPr>
          <w:rFonts w:ascii="Times New Roman" w:hAnsi="Times New Roman" w:cs="Times New Roman" w:eastAsia="Times New Roman" w:hint="default"/>
          <w:spacing w:val="-4"/>
          <w:w w:val="99"/>
        </w:rPr>
        <w:t>19</w:t>
      </w:r>
      <w:r>
        <w:rPr>
          <w:spacing w:val="-4"/>
          <w:w w:val="99"/>
        </w:rPr>
        <w:t>日</w:t>
      </w:r>
      <w:r>
        <w:rPr>
          <w:rFonts w:ascii="Times New Roman" w:hAnsi="Times New Roman" w:cs="Times New Roman" w:eastAsia="Times New Roman" w:hint="default"/>
          <w:spacing w:val="-4"/>
          <w:w w:val="99"/>
        </w:rPr>
        <w:t>,</w:t>
      </w:r>
      <w:r>
        <w:rPr>
          <w:spacing w:val="-4"/>
          <w:w w:val="99"/>
        </w:rPr>
        <w:t>公司与浙江易健生物制品有限公司签订《诸暨市岭外生物医药产业园区采购施工建设项目承包合同》，</w:t>
      </w:r>
      <w:r>
        <w:rPr>
          <w:rFonts w:ascii="Times New Roman" w:hAnsi="Times New Roman" w:cs="Times New Roman" w:eastAsia="Times New Roman" w:hint="default"/>
          <w:spacing w:val="-4"/>
          <w:w w:val="99"/>
        </w:rPr>
        <w:t>2015</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日，公司在巨潮资讯网披露了《重大合同公告》（公告编号：</w:t>
      </w:r>
      <w:r>
        <w:rPr>
          <w:rFonts w:ascii="Times New Roman" w:hAnsi="Times New Roman" w:cs="Times New Roman" w:eastAsia="Times New Roman" w:hint="default"/>
        </w:rPr>
        <w:t>2015-053</w:t>
      </w:r>
      <w:r>
        <w:rPr/>
        <w:t>），诸暨市岭外生物医药产业园区采购施工</w:t>
      </w:r>
      <w:r>
        <w:rPr>
          <w:w w:val="99"/>
        </w:rPr>
        <w:t> </w:t>
      </w:r>
      <w:r>
        <w:rPr>
          <w:spacing w:val="-2"/>
        </w:rPr>
        <w:t>建设项目合同金额暂定为</w:t>
      </w:r>
      <w:r>
        <w:rPr>
          <w:rFonts w:ascii="Times New Roman" w:hAnsi="Times New Roman" w:cs="Times New Roman" w:eastAsia="Times New Roman" w:hint="default"/>
          <w:spacing w:val="-2"/>
        </w:rPr>
        <w:t>48,000</w:t>
      </w:r>
      <w:r>
        <w:rPr>
          <w:spacing w:val="-2"/>
        </w:rPr>
        <w:t>万元，工期暂定为</w:t>
      </w:r>
      <w:r>
        <w:rPr>
          <w:rFonts w:ascii="Times New Roman" w:hAnsi="Times New Roman" w:cs="Times New Roman" w:eastAsia="Times New Roman" w:hint="default"/>
          <w:spacing w:val="-2"/>
        </w:rPr>
        <w:t>30</w:t>
      </w:r>
      <w:r>
        <w:rPr>
          <w:spacing w:val="-2"/>
        </w:rPr>
        <w:t>个月。本报告期确认收入</w:t>
      </w:r>
      <w:r>
        <w:rPr>
          <w:rFonts w:ascii="Times New Roman" w:hAnsi="Times New Roman" w:cs="Times New Roman" w:eastAsia="Times New Roman" w:hint="default"/>
          <w:spacing w:val="-2"/>
        </w:rPr>
        <w:t>0.00</w:t>
      </w:r>
      <w:r>
        <w:rPr>
          <w:spacing w:val="-2"/>
        </w:rPr>
        <w:t>万元，累计确认收入</w:t>
      </w:r>
      <w:r>
        <w:rPr>
          <w:rFonts w:ascii="Times New Roman" w:hAnsi="Times New Roman" w:cs="Times New Roman" w:eastAsia="Times New Roman" w:hint="default"/>
          <w:spacing w:val="-2"/>
        </w:rPr>
        <w:t>6,837.00</w:t>
      </w:r>
      <w:r>
        <w:rPr>
          <w:spacing w:val="-2"/>
        </w:rPr>
        <w:t>万元。此项目</w:t>
      </w:r>
      <w:r>
        <w:rPr>
          <w:spacing w:val="-48"/>
        </w:rPr>
        <w:t> </w:t>
      </w:r>
      <w:r>
        <w:rPr>
          <w:spacing w:val="-48"/>
        </w:rPr>
      </w:r>
      <w:r>
        <w:rPr>
          <w:spacing w:val="-1"/>
        </w:rPr>
        <w:t>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月进场以来，公司已完成基础建设部分工程量</w:t>
      </w:r>
      <w:r>
        <w:rPr>
          <w:rFonts w:ascii="Times New Roman" w:hAnsi="Times New Roman" w:cs="Times New Roman" w:eastAsia="Times New Roman" w:hint="default"/>
          <w:spacing w:val="-1"/>
        </w:rPr>
        <w:t>,</w:t>
      </w:r>
      <w:r>
        <w:rPr>
          <w:spacing w:val="-1"/>
        </w:rPr>
        <w:t>项目现场施工自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月以来，进度逐步放缓直至</w:t>
      </w:r>
      <w:r>
        <w:rPr>
          <w:rFonts w:ascii="Times New Roman" w:hAnsi="Times New Roman" w:cs="Times New Roman" w:eastAsia="Times New Roman" w:hint="default"/>
          <w:spacing w:val="-1"/>
        </w:rPr>
        <w:t>2018</w:t>
      </w:r>
      <w:r>
        <w:rPr>
          <w:spacing w:val="-1"/>
        </w:rPr>
        <w:t>年末停止。</w:t>
      </w:r>
      <w:r>
        <w:rPr>
          <w:spacing w:val="-70"/>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日，诸暨市人民法院阿里巴巴司法拍卖网络平台公开拍卖本项目所属位于诸暨市应店街镇飞跃村（岭外村）的</w:t>
      </w:r>
      <w:r>
        <w:rPr>
          <w:spacing w:val="-60"/>
        </w:rPr>
        <w:t> </w:t>
      </w:r>
      <w:r>
        <w:rPr>
          <w:spacing w:val="-60"/>
        </w:rPr>
      </w:r>
      <w:r>
        <w:rPr>
          <w:spacing w:val="-2"/>
        </w:rPr>
        <w:t>工业房地产，该司法拍卖成交，对岭外项目继续进行的可能性产生重大影响。具体情况详见公司于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日在巨潮资</w:t>
      </w:r>
      <w:r>
        <w:rPr>
          <w:spacing w:val="-59"/>
        </w:rPr>
        <w:t> </w:t>
      </w:r>
      <w:r>
        <w:rPr>
          <w:spacing w:val="-59"/>
        </w:rPr>
      </w:r>
      <w:r>
        <w:rPr>
          <w:spacing w:val="-6"/>
          <w:w w:val="99"/>
        </w:rPr>
        <w:t>讯网上披露的《关于重大合同的进展公告》（公告编号</w:t>
      </w:r>
      <w:r>
        <w:rPr>
          <w:rFonts w:ascii="Times New Roman" w:hAnsi="Times New Roman" w:cs="Times New Roman" w:eastAsia="Times New Roman" w:hint="default"/>
          <w:spacing w:val="-6"/>
          <w:w w:val="99"/>
        </w:rPr>
        <w:t>:2019-116</w:t>
      </w:r>
      <w:r>
        <w:rPr>
          <w:spacing w:val="-6"/>
          <w:w w:val="99"/>
        </w:rPr>
        <w:t>）。截至</w:t>
      </w:r>
      <w:r>
        <w:rPr>
          <w:rFonts w:ascii="Times New Roman" w:hAnsi="Times New Roman" w:cs="Times New Roman" w:eastAsia="Times New Roman" w:hint="default"/>
          <w:spacing w:val="-6"/>
          <w:w w:val="99"/>
        </w:rPr>
        <w:t>2019</w:t>
      </w:r>
      <w:r>
        <w:rPr>
          <w:spacing w:val="-6"/>
          <w:w w:val="99"/>
        </w:rPr>
        <w:t>年末，公司已对该项目计提存货跌价准备</w:t>
      </w:r>
      <w:r>
        <w:rPr>
          <w:rFonts w:ascii="Times New Roman" w:hAnsi="Times New Roman" w:cs="Times New Roman" w:eastAsia="Times New Roman" w:hint="default"/>
          <w:spacing w:val="-6"/>
          <w:w w:val="99"/>
        </w:rPr>
        <w:t>3,909.34</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spacing w:val="-20"/>
          <w:w w:val="99"/>
        </w:rPr>
      </w:r>
      <w:r>
        <w:rPr/>
        <w:t>万元、应收账款坏账准备</w:t>
      </w:r>
      <w:r>
        <w:rPr>
          <w:rFonts w:ascii="Times New Roman" w:hAnsi="Times New Roman" w:cs="Times New Roman" w:eastAsia="Times New Roman" w:hint="default"/>
        </w:rPr>
        <w:t>349.43</w:t>
      </w:r>
      <w:r>
        <w:rPr/>
        <w:t>万元、其他应收款坏账准备</w:t>
      </w:r>
      <w:r>
        <w:rPr>
          <w:rFonts w:ascii="Times New Roman" w:hAnsi="Times New Roman" w:cs="Times New Roman" w:eastAsia="Times New Roman" w:hint="default"/>
        </w:rPr>
        <w:t>2,491.47</w:t>
      </w:r>
      <w:r>
        <w:rPr/>
        <w:t>万元</w:t>
      </w:r>
      <w:r>
        <w:rPr>
          <w:spacing w:val="-28"/>
        </w:rPr>
        <w:t> </w:t>
      </w:r>
      <w:r>
        <w:rPr/>
        <w:t>，后续公司正采取诉讼、资产保全等应对措施，尽</w:t>
      </w:r>
      <w:r>
        <w:rPr>
          <w:w w:val="99"/>
        </w:rPr>
        <w:t> </w:t>
      </w:r>
      <w:r>
        <w:rPr/>
        <w:t>可能减少损失。</w:t>
      </w:r>
    </w:p>
    <w:p>
      <w:pPr>
        <w:spacing w:after="0" w:line="302"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智慧城市及金融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305,196,679.14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358,679,955.81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智慧医疗及商业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94,361,587.49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90,700,086.07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4.04%</w:t>
            </w:r>
          </w:p>
        </w:tc>
      </w:tr>
    </w:tbl>
    <w:p>
      <w:pPr>
        <w:pStyle w:val="BodyText"/>
        <w:spacing w:line="240" w:lineRule="auto" w:before="49"/>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智慧城市及金融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305,196,679.14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358,679,955.81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智慧医疗及商业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94,361,587.49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90,700,086.07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Heading6"/>
        <w:spacing w:line="240" w:lineRule="auto" w:before="83"/>
        <w:ind w:right="1133"/>
        <w:jc w:val="left"/>
      </w:pPr>
      <w:r>
        <w:rPr/>
        <w:t>本期注销子公司成都宇佑信息科技有限公司。</w:t>
      </w:r>
    </w:p>
    <w:p>
      <w:pPr>
        <w:spacing w:line="240" w:lineRule="auto" w:before="10"/>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116,671,080.74</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25.84%</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37,024,216.17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33,292,163.00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19,122,620.02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15,387,037.28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11,845,044.27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116,671,080.74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25.84%</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60,023,599.62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14,681,687.65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14,262,141.68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12,103,827.08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10,217,322.53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8,758,620.69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60,023,599.63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18.01%</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50,848,246.92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27,980,727.04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主要系因为本期销售人员增加、工资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相应上升；同时为了拓宽市场，相应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销售费用也有所上升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58,343,465.00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59,178,912.14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28,366,047.90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21,038,553.42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主要系本期支付银行贷款利息费用 金额增加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23,101,501.93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32,028,557.16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主要系本期委外研发投入减少</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3"/>
        <w:ind w:right="986"/>
        <w:jc w:val="left"/>
      </w:pPr>
      <w:r>
        <w:rPr>
          <w:rFonts w:ascii="Times New Roman" w:hAnsi="Times New Roman" w:cs="Times New Roman" w:eastAsia="Times New Roman" w:hint="default"/>
        </w:rPr>
        <w:t>1</w:t>
      </w:r>
      <w:r>
        <w:rPr/>
        <w:t>、互联网金融大数据云平台 </w:t>
      </w:r>
      <w:r>
        <w:rPr>
          <w:spacing w:val="-2"/>
        </w:rPr>
        <w:t>本项目采用云计算、大数据等核心技术，利用公司在智慧城市和智慧社区、互联网用户和线下分发平台运营等方面具有线下</w:t>
      </w:r>
      <w:r>
        <w:rPr>
          <w:spacing w:val="-63"/>
        </w:rPr>
        <w:t> </w:t>
      </w:r>
      <w:r>
        <w:rPr>
          <w:spacing w:val="-63"/>
        </w:rPr>
      </w:r>
      <w:r>
        <w:rPr>
          <w:spacing w:val="-2"/>
        </w:rPr>
        <w:t>线上优势，研发建设专属于汉鼎的基于智慧城市的互联网金融大数据云平台。项目研究了金融云平台数据获取与融合、金融</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ind w:right="986"/>
        <w:jc w:val="left"/>
      </w:pPr>
      <w:r>
        <w:rPr>
          <w:spacing w:val="-2"/>
        </w:rPr>
        <w:t>云平台存储与检索、金融流式大数据分析与挖掘、金融云安全与可靠性保障、互联网金融风险控制模型等技术，完成了互联</w:t>
      </w:r>
      <w:r>
        <w:rPr>
          <w:spacing w:val="-64"/>
        </w:rPr>
        <w:t> </w:t>
      </w:r>
      <w:r>
        <w:rPr>
          <w:spacing w:val="-64"/>
        </w:rPr>
      </w:r>
      <w:r>
        <w:rPr>
          <w:spacing w:val="-2"/>
        </w:rPr>
        <w:t>网金融云服务平台的开发。项目软件系统已通过浙江省电子信息产品检验所软件评测，所测指标符合相关标准的要求，经用</w:t>
      </w:r>
      <w:r>
        <w:rPr>
          <w:spacing w:val="-63"/>
        </w:rPr>
        <w:t> </w:t>
      </w:r>
      <w:r>
        <w:rPr>
          <w:spacing w:val="-63"/>
        </w:rPr>
      </w:r>
      <w:r>
        <w:rPr/>
        <w:t>户使用，反映良好，平台各项功能符合项目预期，目前已完成研发。报告期内，项目新取得授权发明专利</w:t>
      </w:r>
      <w:r>
        <w:rPr>
          <w:rFonts w:ascii="Times New Roman" w:hAnsi="Times New Roman" w:cs="Times New Roman" w:eastAsia="Times New Roman" w:hint="default"/>
        </w:rPr>
        <w:t>3</w:t>
      </w:r>
      <w:r>
        <w:rPr/>
        <w:t>项、实用新型</w:t>
      </w: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项、软件著作权</w:t>
      </w:r>
      <w:r>
        <w:rPr>
          <w:rFonts w:ascii="Times New Roman" w:hAnsi="Times New Roman" w:cs="Times New Roman" w:eastAsia="Times New Roman" w:hint="default"/>
        </w:rPr>
        <w:t>2</w:t>
      </w:r>
      <w:r>
        <w:rPr/>
        <w:t>项。</w:t>
      </w:r>
    </w:p>
    <w:p>
      <w:pPr>
        <w:pStyle w:val="BodyText"/>
        <w:spacing w:line="309" w:lineRule="auto" w:before="3"/>
        <w:ind w:right="1034"/>
        <w:jc w:val="left"/>
      </w:pPr>
      <w:r>
        <w:rPr>
          <w:rFonts w:ascii="Times New Roman" w:hAnsi="Times New Roman" w:cs="Times New Roman" w:eastAsia="Times New Roman" w:hint="default"/>
        </w:rPr>
        <w:t>2</w:t>
      </w:r>
      <w:r>
        <w:rPr/>
        <w:t>、境外远程会诊与跨境治疗协同服务平台 目前，国内</w:t>
      </w:r>
      <w:r>
        <w:rPr>
          <w:rFonts w:ascii="Times New Roman" w:hAnsi="Times New Roman" w:cs="Times New Roman" w:eastAsia="Times New Roman" w:hint="default"/>
        </w:rPr>
        <w:t>“</w:t>
      </w:r>
      <w:r>
        <w:rPr/>
        <w:t>跨境医疗服务</w:t>
      </w:r>
      <w:r>
        <w:rPr>
          <w:rFonts w:ascii="Times New Roman" w:hAnsi="Times New Roman" w:cs="Times New Roman" w:eastAsia="Times New Roman" w:hint="default"/>
        </w:rPr>
        <w:t>”</w:t>
      </w:r>
      <w:r>
        <w:rPr/>
        <w:t>多以</w:t>
      </w:r>
      <w:r>
        <w:rPr>
          <w:rFonts w:ascii="Times New Roman" w:hAnsi="Times New Roman" w:cs="Times New Roman" w:eastAsia="Times New Roman" w:hint="default"/>
        </w:rPr>
        <w:t>“</w:t>
      </w:r>
      <w:r>
        <w:rPr/>
        <w:t>高端重症医疗</w:t>
      </w:r>
      <w:r>
        <w:rPr>
          <w:rFonts w:ascii="Times New Roman" w:hAnsi="Times New Roman" w:cs="Times New Roman" w:eastAsia="Times New Roman" w:hint="default"/>
        </w:rPr>
        <w:t>”</w:t>
      </w:r>
      <w:r>
        <w:rPr/>
        <w:t>（出国看病）为主营业务，客单价高，难以规模化、普及化。本项目利用了 </w:t>
      </w:r>
      <w:r>
        <w:rPr>
          <w:spacing w:val="-2"/>
        </w:rPr>
        <w:t>异构医疗大数据集成、跨境医疗资源知识图谱构建、基于数据融合挖掘的病人画像构建、深度学习的医患智能跨境匹配等技</w:t>
      </w:r>
      <w:r>
        <w:rPr>
          <w:spacing w:val="-62"/>
        </w:rPr>
        <w:t> </w:t>
      </w:r>
      <w:r>
        <w:rPr>
          <w:spacing w:val="-62"/>
        </w:rPr>
      </w:r>
      <w:r>
        <w:rPr>
          <w:spacing w:val="-2"/>
        </w:rPr>
        <w:t>术，研发了智能化境外远程会诊与跨境治疗服务平台系统，将美国的医疗人才资源优势与国内大型医疗机构优势资源充分整</w:t>
      </w:r>
      <w:r>
        <w:rPr>
          <w:spacing w:val="-64"/>
        </w:rPr>
        <w:t> </w:t>
      </w:r>
      <w:r>
        <w:rPr>
          <w:spacing w:val="-64"/>
        </w:rPr>
      </w:r>
      <w:r>
        <w:rPr/>
        <w:t>合，打造了中美远程医疗医联体，实现了线上美国医生会诊提供第二诊疗意见、线下国内三甲医院治疗与随访的服务闭环， 为患者提供了优质的美式医疗服务与成本管控。平台各项功能符合项目预期，目前已完成研发，共计取得软件著作权</w:t>
      </w:r>
      <w:r>
        <w:rPr>
          <w:rFonts w:ascii="Times New Roman" w:hAnsi="Times New Roman" w:cs="Times New Roman" w:eastAsia="Times New Roman" w:hint="default"/>
        </w:rPr>
        <w:t>5</w:t>
      </w:r>
      <w:r>
        <w:rPr/>
        <w:t>项。</w:t>
      </w:r>
      <w:r>
        <w:rPr>
          <w:spacing w:val="-87"/>
        </w:rPr>
        <w:t> </w:t>
      </w:r>
      <w:r>
        <w:rPr/>
        <w:t>报告期内，项目新申请软件著作权</w:t>
      </w:r>
      <w:r>
        <w:rPr>
          <w:rFonts w:ascii="Times New Roman" w:hAnsi="Times New Roman" w:cs="Times New Roman" w:eastAsia="Times New Roman" w:hint="default"/>
        </w:rPr>
        <w:t>3</w:t>
      </w:r>
      <w:r>
        <w:rPr/>
        <w:t>项。</w:t>
      </w:r>
    </w:p>
    <w:p>
      <w:pPr>
        <w:pStyle w:val="BodyText"/>
        <w:spacing w:line="240" w:lineRule="auto" w:before="46"/>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23,101,501.93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32,028,557.16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47,227,599.92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551,996,268.67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762,049,055.86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603,980,669.40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733,593,967.21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-17.67%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-51,984,400.73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28,455,088.65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186,452,795.58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334,008,370.73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-44.18%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33,517,531.91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319,811,566.97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-89.52%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152,935,263.67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14,196,803.76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606,992,680.20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679,175,334.35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819,956,369.59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857,221,693.87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-212,963,689.39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-178,046,359.52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19.61%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-112,281,583.35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-135,021,773.44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-16.84%</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3"/>
        <w:jc w:val="left"/>
      </w:pPr>
      <w:r>
        <w:rPr>
          <w:rFonts w:ascii="Times New Roman" w:hAnsi="Times New Roman" w:cs="Times New Roman" w:eastAsia="Times New Roman" w:hint="default"/>
        </w:rPr>
        <w:t>1</w:t>
      </w:r>
      <w:r>
        <w:rPr/>
        <w:t>、本报告期内，公司经营活动产生的现金流量净额为</w:t>
      </w:r>
      <w:r>
        <w:rPr>
          <w:rFonts w:ascii="Times New Roman" w:hAnsi="Times New Roman" w:cs="Times New Roman" w:eastAsia="Times New Roman" w:hint="default"/>
        </w:rPr>
        <w:t>-51,984,400.73</w:t>
      </w:r>
      <w:r>
        <w:rPr/>
        <w:t>元，比去年下降了</w:t>
      </w:r>
      <w:r>
        <w:rPr>
          <w:rFonts w:ascii="Times New Roman" w:hAnsi="Times New Roman" w:cs="Times New Roman" w:eastAsia="Times New Roman" w:hint="default"/>
        </w:rPr>
        <w:t>282.69%</w:t>
      </w:r>
      <w:r>
        <w:rPr/>
        <w:t>，主要系公司本期业务营收 下降，同时毛利率下降，导致经营活动产生的现金流量净额降幅较大</w:t>
      </w:r>
      <w:r>
        <w:rPr>
          <w:spacing w:val="-17"/>
        </w:rPr>
        <w:t> </w:t>
      </w:r>
      <w:r>
        <w:rPr/>
        <w:t>。</w:t>
      </w:r>
    </w:p>
    <w:p>
      <w:pPr>
        <w:pStyle w:val="BodyText"/>
        <w:spacing w:line="300" w:lineRule="auto" w:before="72"/>
        <w:ind w:right="1154"/>
        <w:jc w:val="left"/>
      </w:pPr>
      <w:r>
        <w:rPr>
          <w:rFonts w:ascii="Times New Roman" w:hAnsi="Times New Roman" w:cs="Times New Roman" w:eastAsia="Times New Roman" w:hint="default"/>
        </w:rPr>
        <w:t>2</w:t>
      </w:r>
      <w:r>
        <w:rPr/>
        <w:t>、本报告期内，公司投资活动产生的现金流量净额为</w:t>
      </w:r>
      <w:r>
        <w:rPr>
          <w:rFonts w:ascii="Times New Roman" w:hAnsi="Times New Roman" w:cs="Times New Roman" w:eastAsia="Times New Roman" w:hint="default"/>
        </w:rPr>
        <w:t>152,935,263.67</w:t>
      </w:r>
      <w:r>
        <w:rPr/>
        <w:t>元，比去年增加了</w:t>
      </w:r>
      <w:r>
        <w:rPr>
          <w:rFonts w:ascii="Times New Roman" w:hAnsi="Times New Roman" w:cs="Times New Roman" w:eastAsia="Times New Roman" w:hint="default"/>
        </w:rPr>
        <w:t>977.25%</w:t>
      </w:r>
      <w:r>
        <w:rPr/>
        <w:t>，主要系公司本期对外投资 额下降，同时融资租赁业务规模有所缩减。</w:t>
      </w:r>
    </w:p>
    <w:p>
      <w:pPr>
        <w:pStyle w:val="BodyText"/>
        <w:spacing w:line="240" w:lineRule="auto" w:before="70"/>
        <w:ind w:right="1133"/>
        <w:jc w:val="left"/>
      </w:pPr>
      <w:r>
        <w:rPr/>
        <w:t>报告期内公司经营活动产生的现金净流量与本年度净利润存在重大差异的原因说明</w:t>
      </w:r>
    </w:p>
    <w:p>
      <w:pPr>
        <w:pStyle w:val="BodyText"/>
        <w:spacing w:line="319"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报告期内，公司对参股公司微贷网、应收款项、商誉计提较大金额的减值，对本年度净利润影响较大，因此，</w:t>
      </w:r>
      <w:r>
        <w:rPr>
          <w:rFonts w:ascii="Times New Roman" w:hAnsi="Times New Roman" w:cs="Times New Roman" w:eastAsia="Times New Roman" w:hint="default"/>
          <w:spacing w:val="-2"/>
        </w:rPr>
        <w:t>2019</w:t>
      </w:r>
      <w:r>
        <w:rPr>
          <w:spacing w:val="-2"/>
        </w:rPr>
        <w:t>年度公司</w:t>
      </w:r>
      <w:r>
        <w:rPr>
          <w:spacing w:val="-63"/>
        </w:rPr>
        <w:t> </w:t>
      </w:r>
      <w:r>
        <w:rPr>
          <w:spacing w:val="-63"/>
        </w:rPr>
      </w:r>
      <w:r>
        <w:rPr/>
        <w:t>经营活动产生的现金净流量与本年度净利润存在重大差异。</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9"/>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68,815,630.48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主要系对微贷网及蜂助手 等投资权益法确认的投资 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100,356,501.33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主要系对极光大数据、徐诺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药业及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MCAC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等交易性金 融资产确认的公允价值变 动损益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-795,365,310.82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94.18%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主要系对微贷网等长期股 </w:t>
            </w:r>
            <w:r>
              <w:rPr>
                <w:rFonts w:ascii="宋体" w:hAnsi="宋体" w:cs="宋体" w:eastAsia="宋体" w:hint="default"/>
                <w:spacing w:val="-5"/>
                <w:sz w:val="18"/>
                <w:szCs w:val="18"/>
              </w:rPr>
              <w:t>权投资、存货以及商誉计提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的减值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3,089,381.80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10,706,221.90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3"/>
              <w:jc w:val="right"/>
              <w:rPr>
                <w:rFonts w:ascii="宋体" w:hAnsi="宋体" w:cs="宋体" w:eastAsia="宋体" w:hint="default"/>
                <w:sz w:val="18"/>
                <w:szCs w:val="18"/>
              </w:rPr>
            </w:pPr>
            <w:r>
              <w:rPr>
                <w:rFonts w:ascii="宋体" w:hAnsi="宋体" w:cs="宋体" w:eastAsia="宋体" w:hint="default"/>
                <w:sz w:val="18"/>
                <w:szCs w:val="18"/>
              </w:rPr>
              <w:t>主要系违约金支出等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-103,639,511.78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主要系本期对已发生信用 减值的应收款项计提的坏 账损失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187,620,365.9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287,630,414.26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161,818,448.9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168,315,637.73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407,971,267.9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516,160,663.11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181,951,821.8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135,507,291.24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275,649,541.5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837,568,183.37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主要系本期对微贷网计提减值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180,050,688.3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249,313,578.79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490,802,530.1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531,924,090.19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91,306,266.05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185,155,171.44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61,198,111.66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182,964,187.95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521,891,975.9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339,380,382.24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MCAC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公允价值变动所 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7,905,931.52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72,107,968.31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81"/>
        <w:gridCol w:w="1015"/>
        <w:gridCol w:w="1064"/>
        <w:gridCol w:w="1193"/>
        <w:gridCol w:w="931"/>
        <w:gridCol w:w="1196"/>
        <w:gridCol w:w="1063"/>
        <w:gridCol w:w="915"/>
        <w:gridCol w:w="1212"/>
      </w:tblGrid>
      <w:tr>
        <w:trPr>
          <w:trHeight w:val="1025"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1"/>
        <w:gridCol w:w="1196"/>
        <w:gridCol w:w="1063"/>
        <w:gridCol w:w="915"/>
        <w:gridCol w:w="1212"/>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185,155,171.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-106,705,820.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91,306,266.05</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185,155,171.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-106,705,820.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91,306,266.05</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339,380,382.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207,062,321.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20,395,240.0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521,891,975.94</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524,535,553.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100,356,501.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20,395,240.0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613,198,241.99</w:t>
            </w:r>
          </w:p>
        </w:tc>
      </w:tr>
      <w:tr>
        <w:trPr>
          <w:trHeight w:val="404"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69"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4"/>
        <w:jc w:val="left"/>
      </w:pPr>
      <w:r>
        <w:rPr/>
        <w:t>其他变动的内容 报告期内公司主要资产计量属性是否发生重大变化</w:t>
      </w:r>
    </w:p>
    <w:p>
      <w:pPr>
        <w:pStyle w:val="BodyText"/>
        <w:spacing w:line="240" w:lineRule="auto" w:before="2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截止报告期末的资产权利受限情况详见</w:t>
      </w:r>
      <w:r>
        <w:rPr>
          <w:rFonts w:ascii="Times New Roman" w:hAnsi="Times New Roman" w:cs="Times New Roman" w:eastAsia="Times New Roman" w:hint="default"/>
        </w:rPr>
        <w:t>“</w:t>
      </w:r>
      <w:r>
        <w:rPr/>
        <w:t>第十二节</w:t>
      </w:r>
      <w:r>
        <w:rPr>
          <w:spacing w:val="52"/>
        </w:rPr>
        <w:t> </w:t>
      </w:r>
      <w:r>
        <w:rPr/>
        <w:t>七、</w:t>
      </w:r>
      <w:r>
        <w:rPr>
          <w:rFonts w:ascii="Times New Roman" w:hAnsi="Times New Roman" w:cs="Times New Roman" w:eastAsia="Times New Roman" w:hint="default"/>
        </w:rPr>
        <w:t>81</w:t>
      </w:r>
      <w:r>
        <w:rPr/>
        <w:t>所有权或使用权受到限制的资产</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7" w:right="0"/>
              <w:jc w:val="left"/>
              <w:rPr>
                <w:rFonts w:ascii="Times New Roman" w:hAnsi="Times New Roman" w:cs="Times New Roman" w:eastAsia="Times New Roman" w:hint="default"/>
                <w:sz w:val="18"/>
                <w:szCs w:val="18"/>
              </w:rPr>
            </w:pPr>
            <w:r>
              <w:rPr>
                <w:rFonts w:ascii="Times New Roman"/>
                <w:sz w:val="18"/>
              </w:rPr>
              <w:t>192,110,611.50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1"/>
        <w:gridCol w:w="662"/>
        <w:gridCol w:w="658"/>
        <w:gridCol w:w="655"/>
        <w:gridCol w:w="660"/>
        <w:gridCol w:w="629"/>
        <w:gridCol w:w="739"/>
        <w:gridCol w:w="732"/>
        <w:gridCol w:w="735"/>
        <w:gridCol w:w="722"/>
      </w:tblGrid>
      <w:tr>
        <w:trPr>
          <w:trHeight w:val="1027"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8" w:right="51"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53"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广东汉 鼎蜂助 手网络 技术有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信息技 术咨询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件开发</w:t>
            </w:r>
            <w:r>
              <w:rPr>
                <w:rFonts w:ascii="Times New Roman" w:hAnsi="Times New Roman" w:cs="Times New Roman" w:eastAsia="Times New Roman" w:hint="default"/>
                <w:sz w:val="18"/>
                <w:szCs w:val="18"/>
              </w:rPr>
              <w:t>; </w:t>
            </w:r>
            <w:r>
              <w:rPr>
                <w:rFonts w:ascii="宋体" w:hAnsi="宋体" w:cs="宋体" w:eastAsia="宋体" w:hint="default"/>
                <w:spacing w:val="-22"/>
                <w:sz w:val="18"/>
                <w:szCs w:val="18"/>
              </w:rPr>
              <w:t>电子、通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信与自</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7" w:right="0"/>
              <w:jc w:val="left"/>
              <w:rPr>
                <w:rFonts w:ascii="Times New Roman" w:hAnsi="Times New Roman" w:cs="Times New Roman" w:eastAsia="Times New Roman" w:hint="default"/>
                <w:sz w:val="18"/>
                <w:szCs w:val="18"/>
              </w:rPr>
            </w:pPr>
            <w:r>
              <w:rPr>
                <w:rFonts w:ascii="Times New Roman"/>
                <w:sz w:val="18"/>
              </w:rPr>
              <w:t>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蜂助手 股份有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0TT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机</w:t>
            </w:r>
          </w:p>
          <w:p>
            <w:pPr>
              <w:pStyle w:val="TableParagraph"/>
              <w:spacing w:line="316" w:lineRule="auto" w:before="63"/>
              <w:ind w:left="24" w:right="84"/>
              <w:jc w:val="left"/>
              <w:rPr>
                <w:rFonts w:ascii="宋体" w:hAnsi="宋体" w:cs="宋体" w:eastAsia="宋体" w:hint="default"/>
                <w:sz w:val="18"/>
                <w:szCs w:val="18"/>
              </w:rPr>
            </w:pPr>
            <w:r>
              <w:rPr>
                <w:rFonts w:ascii="宋体" w:hAnsi="宋体" w:cs="宋体" w:eastAsia="宋体" w:hint="default"/>
                <w:sz w:val="18"/>
                <w:szCs w:val="18"/>
              </w:rPr>
              <w:t>顶盒产 品研 发、生 产以及 推广销</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-1,472,1</w:t>
            </w:r>
          </w:p>
          <w:p>
            <w:pPr>
              <w:pStyle w:val="TableParagraph"/>
              <w:spacing w:line="240" w:lineRule="auto" w:before="102"/>
              <w:ind w:left="281" w:right="0"/>
              <w:jc w:val="center"/>
              <w:rPr>
                <w:rFonts w:ascii="Times New Roman" w:hAnsi="Times New Roman" w:cs="Times New Roman" w:eastAsia="Times New Roman" w:hint="default"/>
                <w:sz w:val="18"/>
                <w:szCs w:val="18"/>
              </w:rPr>
            </w:pPr>
            <w:r>
              <w:rPr>
                <w:rFonts w:ascii="Times New Roman"/>
                <w:sz w:val="18"/>
              </w:rPr>
              <w:t>69.75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32"/>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2019-02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6.379997pt;margin-top:72.475983pt;width:32.5500pt;height:686.5pt;mso-position-horizontal-relative:page;mso-position-vertical-relative:page;z-index:-1130080" coordorigin="2528,1450" coordsize="651,13730">
            <v:shape style="position:absolute;left:2528;top:1450;width:651;height:13730" coordorigin="2528,1450" coordsize="651,13730" path="m2528,15180l3178,15180,3178,1450,2528,1450,2528,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1"/>
        <w:gridCol w:w="662"/>
        <w:gridCol w:w="658"/>
        <w:gridCol w:w="655"/>
        <w:gridCol w:w="660"/>
        <w:gridCol w:w="629"/>
        <w:gridCol w:w="739"/>
        <w:gridCol w:w="732"/>
        <w:gridCol w:w="735"/>
        <w:gridCol w:w="722"/>
      </w:tblGrid>
      <w:tr>
        <w:trPr>
          <w:trHeight w:val="13740"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动控制 技术研 究、开 发</w:t>
            </w:r>
            <w:r>
              <w:rPr>
                <w:rFonts w:ascii="Times New Roman" w:hAnsi="Times New Roman" w:cs="Times New Roman" w:eastAsia="Times New Roman" w:hint="default"/>
                <w:sz w:val="18"/>
                <w:szCs w:val="18"/>
              </w:rPr>
              <w:t>;</w:t>
            </w:r>
            <w:r>
              <w:rPr>
                <w:rFonts w:ascii="宋体" w:hAnsi="宋体" w:cs="宋体" w:eastAsia="宋体" w:hint="default"/>
                <w:sz w:val="18"/>
                <w:szCs w:val="18"/>
              </w:rPr>
              <w:t>网络 技术的 </w:t>
            </w:r>
            <w:r>
              <w:rPr>
                <w:rFonts w:ascii="宋体" w:hAnsi="宋体" w:cs="宋体" w:eastAsia="宋体" w:hint="default"/>
                <w:spacing w:val="-22"/>
                <w:sz w:val="18"/>
                <w:szCs w:val="18"/>
              </w:rPr>
              <w:t>研究、开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r>
              <w:rPr>
                <w:rFonts w:ascii="Times New Roman" w:hAnsi="Times New Roman" w:cs="Times New Roman" w:eastAsia="Times New Roman" w:hint="default"/>
                <w:sz w:val="18"/>
                <w:szCs w:val="18"/>
              </w:rPr>
              <w:t>;</w:t>
            </w:r>
            <w:r>
              <w:rPr>
                <w:rFonts w:ascii="宋体" w:hAnsi="宋体" w:cs="宋体" w:eastAsia="宋体" w:hint="default"/>
                <w:sz w:val="18"/>
                <w:szCs w:val="18"/>
              </w:rPr>
              <w:t>物联 网技术 研究开 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 机硬件 的研究 开发</w:t>
            </w:r>
            <w:r>
              <w:rPr>
                <w:rFonts w:ascii="Times New Roman" w:hAnsi="Times New Roman" w:cs="Times New Roman" w:eastAsia="Times New Roman" w:hint="default"/>
                <w:sz w:val="18"/>
                <w:szCs w:val="18"/>
              </w:rPr>
              <w:t>;</w:t>
            </w:r>
            <w:r>
              <w:rPr>
                <w:rFonts w:ascii="宋体" w:hAnsi="宋体" w:cs="宋体" w:eastAsia="宋体" w:hint="default"/>
                <w:sz w:val="18"/>
                <w:szCs w:val="18"/>
              </w:rPr>
              <w:t>通 信技术 研究开 </w:t>
            </w:r>
            <w:r>
              <w:rPr>
                <w:rFonts w:ascii="宋体" w:hAnsi="宋体" w:cs="宋体" w:eastAsia="宋体" w:hint="default"/>
                <w:spacing w:val="-22"/>
                <w:sz w:val="18"/>
                <w:szCs w:val="18"/>
              </w:rPr>
              <w:t>发、技术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 息电子 技术服 务</w:t>
            </w:r>
            <w:r>
              <w:rPr>
                <w:rFonts w:ascii="Times New Roman" w:hAnsi="Times New Roman" w:cs="Times New Roman" w:eastAsia="Times New Roman" w:hint="default"/>
                <w:sz w:val="18"/>
                <w:szCs w:val="18"/>
              </w:rPr>
              <w:t>;</w:t>
            </w:r>
            <w:r>
              <w:rPr>
                <w:rFonts w:ascii="宋体" w:hAnsi="宋体" w:cs="宋体" w:eastAsia="宋体" w:hint="default"/>
                <w:sz w:val="18"/>
                <w:szCs w:val="18"/>
              </w:rPr>
              <w:t>移动 电信业 务代理 服务</w:t>
            </w:r>
            <w:r>
              <w:rPr>
                <w:rFonts w:ascii="Times New Roman" w:hAnsi="Times New Roman" w:cs="Times New Roman" w:eastAsia="Times New Roman" w:hint="default"/>
                <w:sz w:val="18"/>
                <w:szCs w:val="18"/>
              </w:rPr>
              <w:t>;</w:t>
            </w:r>
            <w:r>
              <w:rPr>
                <w:rFonts w:ascii="宋体" w:hAnsi="宋体" w:cs="宋体" w:eastAsia="宋体" w:hint="default"/>
                <w:sz w:val="18"/>
                <w:szCs w:val="18"/>
              </w:rPr>
              <w:t>通 讯设备 及配套 设备批 发</w:t>
            </w:r>
            <w:r>
              <w:rPr>
                <w:rFonts w:ascii="Times New Roman" w:hAnsi="Times New Roman" w:cs="Times New Roman" w:eastAsia="Times New Roman" w:hint="default"/>
                <w:sz w:val="18"/>
                <w:szCs w:val="18"/>
              </w:rPr>
              <w:t>;</w:t>
            </w:r>
            <w:r>
              <w:rPr>
                <w:rFonts w:ascii="宋体" w:hAnsi="宋体" w:cs="宋体" w:eastAsia="宋体" w:hint="default"/>
                <w:sz w:val="18"/>
                <w:szCs w:val="18"/>
              </w:rPr>
              <w:t>通讯 终端设 备批发</w:t>
            </w:r>
            <w:r>
              <w:rPr>
                <w:rFonts w:ascii="Times New Roman" w:hAnsi="Times New Roman" w:cs="Times New Roman" w:eastAsia="Times New Roman" w:hint="default"/>
                <w:sz w:val="18"/>
                <w:szCs w:val="18"/>
              </w:rPr>
              <w:t>; </w:t>
            </w:r>
            <w:r>
              <w:rPr>
                <w:rFonts w:ascii="宋体" w:hAnsi="宋体" w:cs="宋体" w:eastAsia="宋体" w:hint="default"/>
                <w:sz w:val="18"/>
                <w:szCs w:val="18"/>
              </w:rPr>
              <w:t>软件批 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 产品批 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 元器件 批发</w:t>
            </w:r>
            <w:r>
              <w:rPr>
                <w:rFonts w:ascii="Times New Roman" w:hAnsi="Times New Roman" w:cs="Times New Roman" w:eastAsia="Times New Roman" w:hint="default"/>
                <w:sz w:val="18"/>
                <w:szCs w:val="18"/>
              </w:rPr>
              <w:t>;</w:t>
            </w:r>
            <w:r>
              <w:rPr>
                <w:rFonts w:ascii="宋体" w:hAnsi="宋体" w:cs="宋体" w:eastAsia="宋体" w:hint="default"/>
                <w:sz w:val="18"/>
                <w:szCs w:val="18"/>
              </w:rPr>
              <w:t>电 视设备 及其配 件批发</w:t>
            </w:r>
            <w:r>
              <w:rPr>
                <w:rFonts w:ascii="Times New Roman" w:hAnsi="Times New Roman" w:cs="Times New Roman" w:eastAsia="Times New Roman" w:hint="default"/>
                <w:sz w:val="18"/>
                <w:szCs w:val="18"/>
              </w:rPr>
              <w:t>; </w:t>
            </w:r>
            <w:r>
              <w:rPr>
                <w:rFonts w:ascii="宋体" w:hAnsi="宋体" w:cs="宋体" w:eastAsia="宋体" w:hint="default"/>
                <w:sz w:val="18"/>
                <w:szCs w:val="18"/>
              </w:rPr>
              <w:t>家用视 听设备 零售</w:t>
            </w:r>
            <w:r>
              <w:rPr>
                <w:rFonts w:ascii="Times New Roman" w:hAnsi="Times New Roman" w:cs="Times New Roman" w:eastAsia="Times New Roman" w:hint="default"/>
                <w:sz w:val="18"/>
                <w:szCs w:val="18"/>
              </w:rPr>
              <w:t>;</w:t>
            </w:r>
            <w:r>
              <w:rPr>
                <w:rFonts w:ascii="宋体" w:hAnsi="宋体" w:cs="宋体" w:eastAsia="宋体" w:hint="default"/>
                <w:sz w:val="18"/>
                <w:szCs w:val="18"/>
              </w:rPr>
              <w:t>日 用家电 设备零 售</w:t>
            </w:r>
            <w:r>
              <w:rPr>
                <w:rFonts w:ascii="Times New Roman" w:hAnsi="Times New Roman" w:cs="Times New Roman" w:eastAsia="Times New Roman" w:hint="default"/>
                <w:sz w:val="18"/>
                <w:szCs w:val="18"/>
              </w:rPr>
              <w:t>;</w:t>
            </w:r>
            <w:r>
              <w:rPr>
                <w:rFonts w:ascii="宋体" w:hAnsi="宋体" w:cs="宋体" w:eastAsia="宋体" w:hint="default"/>
                <w:sz w:val="18"/>
                <w:szCs w:val="18"/>
              </w:rPr>
              <w:t>通信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售等经 营活动</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6.379997pt;margin-top:543.075989pt;width:32.5500pt;height:220.5pt;mso-position-horizontal-relative:page;mso-position-vertical-relative:page;z-index:-1130056" coordorigin="2528,10862" coordsize="651,4410">
            <v:group style="position:absolute;left:2528;top:10862;width:651;height:4410" coordorigin="2528,10862" coordsize="651,4410">
              <v:shape style="position:absolute;left:2528;top:10862;width:651;height:4410" coordorigin="2528,10862" coordsize="651,4410" path="m2528,15271l3178,15271,3178,10862,2528,10862,2528,15271xe" filled="true" fillcolor="#ffffff" stroked="false">
                <v:path arrowok="t"/>
                <v:fill type="solid"/>
              </v:shape>
            </v:group>
            <v:group style="position:absolute;left:2549;top:12870;width:608;height:392" coordorigin="2549,12870" coordsize="608,392">
              <v:shape style="position:absolute;left:2549;top:12870;width:608;height:392" coordorigin="2549,12870" coordsize="608,392" path="m2549,13262l3156,13262,3156,12870,2549,12870,2549,1326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1"/>
        <w:gridCol w:w="662"/>
        <w:gridCol w:w="658"/>
        <w:gridCol w:w="655"/>
        <w:gridCol w:w="660"/>
        <w:gridCol w:w="629"/>
        <w:gridCol w:w="739"/>
        <w:gridCol w:w="732"/>
        <w:gridCol w:w="735"/>
        <w:gridCol w:w="722"/>
      </w:tblGrid>
      <w:tr>
        <w:trPr>
          <w:trHeight w:val="9412"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设备零 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 元器件 零售</w:t>
            </w:r>
            <w:r>
              <w:rPr>
                <w:rFonts w:ascii="Times New Roman" w:hAnsi="Times New Roman" w:cs="Times New Roman" w:eastAsia="Times New Roman" w:hint="default"/>
                <w:sz w:val="18"/>
                <w:szCs w:val="18"/>
              </w:rPr>
              <w:t>;</w:t>
            </w:r>
            <w:r>
              <w:rPr>
                <w:rFonts w:ascii="宋体" w:hAnsi="宋体" w:cs="宋体" w:eastAsia="宋体" w:hint="default"/>
                <w:sz w:val="18"/>
                <w:szCs w:val="18"/>
              </w:rPr>
              <w:t>软 件零售</w:t>
            </w:r>
            <w:r>
              <w:rPr>
                <w:rFonts w:ascii="Times New Roman" w:hAnsi="Times New Roman" w:cs="Times New Roman" w:eastAsia="Times New Roman" w:hint="default"/>
                <w:sz w:val="18"/>
                <w:szCs w:val="18"/>
              </w:rPr>
              <w:t>; </w:t>
            </w:r>
            <w:r>
              <w:rPr>
                <w:rFonts w:ascii="宋体" w:hAnsi="宋体" w:cs="宋体" w:eastAsia="宋体" w:hint="default"/>
                <w:sz w:val="18"/>
                <w:szCs w:val="18"/>
              </w:rPr>
              <w:t>电子产 品零售</w:t>
            </w:r>
            <w:r>
              <w:rPr>
                <w:rFonts w:ascii="Times New Roman" w:hAnsi="Times New Roman" w:cs="Times New Roman" w:eastAsia="Times New Roman" w:hint="default"/>
                <w:sz w:val="18"/>
                <w:szCs w:val="18"/>
              </w:rPr>
              <w:t>; </w:t>
            </w:r>
            <w:r>
              <w:rPr>
                <w:rFonts w:ascii="宋体" w:hAnsi="宋体" w:cs="宋体" w:eastAsia="宋体" w:hint="default"/>
                <w:sz w:val="18"/>
                <w:szCs w:val="18"/>
              </w:rPr>
              <w:t>互联网 商品零 售</w:t>
            </w:r>
            <w:r>
              <w:rPr>
                <w:rFonts w:ascii="Times New Roman" w:hAnsi="Times New Roman" w:cs="Times New Roman" w:eastAsia="Times New Roman" w:hint="default"/>
                <w:sz w:val="18"/>
                <w:szCs w:val="18"/>
              </w:rPr>
              <w:t>(</w:t>
            </w:r>
            <w:r>
              <w:rPr>
                <w:rFonts w:ascii="宋体" w:hAnsi="宋体" w:cs="宋体" w:eastAsia="宋体" w:hint="default"/>
                <w:sz w:val="18"/>
                <w:szCs w:val="18"/>
              </w:rPr>
              <w:t>许可 审批类 商品除 外</w:t>
            </w:r>
            <w:r>
              <w:rPr>
                <w:rFonts w:ascii="Times New Roman" w:hAnsi="Times New Roman" w:cs="Times New Roman" w:eastAsia="Times New Roman" w:hint="default"/>
                <w:sz w:val="18"/>
                <w:szCs w:val="18"/>
              </w:rPr>
              <w:t>);</w:t>
            </w:r>
            <w:r>
              <w:rPr>
                <w:rFonts w:ascii="宋体" w:hAnsi="宋体" w:cs="宋体" w:eastAsia="宋体" w:hint="default"/>
                <w:sz w:val="18"/>
                <w:szCs w:val="18"/>
              </w:rPr>
              <w:t>商 品批发 贸易</w:t>
            </w:r>
            <w:r>
              <w:rPr>
                <w:rFonts w:ascii="Times New Roman" w:hAnsi="Times New Roman" w:cs="Times New Roman" w:eastAsia="Times New Roman" w:hint="default"/>
                <w:sz w:val="18"/>
                <w:szCs w:val="18"/>
              </w:rPr>
              <w:t>(</w:t>
            </w:r>
            <w:r>
              <w:rPr>
                <w:rFonts w:ascii="宋体" w:hAnsi="宋体" w:cs="宋体" w:eastAsia="宋体" w:hint="default"/>
                <w:sz w:val="18"/>
                <w:szCs w:val="18"/>
              </w:rPr>
              <w:t>许 可审批 类商品 除外</w:t>
            </w:r>
            <w:r>
              <w:rPr>
                <w:rFonts w:ascii="Times New Roman" w:hAnsi="Times New Roman" w:cs="Times New Roman" w:eastAsia="Times New Roman" w:hint="default"/>
                <w:sz w:val="18"/>
                <w:szCs w:val="18"/>
              </w:rPr>
              <w:t>); </w:t>
            </w:r>
            <w:r>
              <w:rPr>
                <w:rFonts w:ascii="宋体" w:hAnsi="宋体" w:cs="宋体" w:eastAsia="宋体" w:hint="default"/>
                <w:sz w:val="18"/>
                <w:szCs w:val="18"/>
              </w:rPr>
              <w:t>商品零 售贸易 </w:t>
            </w:r>
            <w:r>
              <w:rPr>
                <w:rFonts w:ascii="Times New Roman" w:hAnsi="Times New Roman" w:cs="Times New Roman" w:eastAsia="Times New Roman" w:hint="default"/>
                <w:sz w:val="18"/>
                <w:szCs w:val="18"/>
              </w:rPr>
              <w:t>(</w:t>
            </w:r>
            <w:r>
              <w:rPr>
                <w:rFonts w:ascii="宋体" w:hAnsi="宋体" w:cs="宋体" w:eastAsia="宋体" w:hint="default"/>
                <w:sz w:val="18"/>
                <w:szCs w:val="18"/>
              </w:rPr>
              <w:t>许可审 批类商 品除 外</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联网商 品销售 </w:t>
            </w:r>
            <w:r>
              <w:rPr>
                <w:rFonts w:ascii="Times New Roman" w:hAnsi="Times New Roman" w:cs="Times New Roman" w:eastAsia="Times New Roman" w:hint="default"/>
                <w:sz w:val="18"/>
                <w:szCs w:val="18"/>
              </w:rPr>
              <w:t>(</w:t>
            </w:r>
            <w:r>
              <w:rPr>
                <w:rFonts w:ascii="宋体" w:hAnsi="宋体" w:cs="宋体" w:eastAsia="宋体" w:hint="default"/>
                <w:sz w:val="18"/>
                <w:szCs w:val="18"/>
              </w:rPr>
              <w:t>许可审 批类商 品除 外</w:t>
            </w:r>
            <w:r>
              <w:rPr>
                <w:rFonts w:ascii="Times New Roman" w:hAnsi="Times New Roman" w:cs="Times New Roman" w:eastAsia="Times New Roman"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18"/>
              <w:jc w:val="both"/>
              <w:rPr>
                <w:rFonts w:ascii="宋体" w:hAnsi="宋体" w:cs="宋体" w:eastAsia="宋体" w:hint="default"/>
                <w:sz w:val="18"/>
                <w:szCs w:val="18"/>
              </w:rPr>
            </w:pPr>
            <w:r>
              <w:rPr>
                <w:rFonts w:ascii="宋体" w:hAnsi="宋体" w:cs="宋体" w:eastAsia="宋体" w:hint="default"/>
                <w:sz w:val="18"/>
                <w:szCs w:val="18"/>
              </w:rPr>
              <w:t>浙江慧 居智能 家居有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智能家 居产品 研发及 销售</w:t>
            </w:r>
            <w:r>
              <w:rPr>
                <w:rFonts w:ascii="Times New Roman" w:hAnsi="Times New Roman" w:cs="Times New Roman" w:eastAsia="Times New Roman" w:hint="default"/>
                <w:sz w:val="18"/>
                <w:szCs w:val="18"/>
              </w:rPr>
              <w:t>;</w:t>
            </w:r>
            <w:r>
              <w:rPr>
                <w:rFonts w:ascii="宋体" w:hAnsi="宋体" w:cs="宋体" w:eastAsia="宋体" w:hint="default"/>
                <w:sz w:val="18"/>
                <w:szCs w:val="18"/>
              </w:rPr>
              <w:t>计 算机软 硬件的 </w:t>
            </w:r>
            <w:r>
              <w:rPr>
                <w:rFonts w:ascii="宋体" w:hAnsi="宋体" w:cs="宋体" w:eastAsia="宋体" w:hint="default"/>
                <w:spacing w:val="-22"/>
                <w:sz w:val="18"/>
                <w:szCs w:val="18"/>
              </w:rPr>
              <w:t>开发、技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术转让 技术咨 </w:t>
            </w:r>
            <w:r>
              <w:rPr>
                <w:rFonts w:ascii="宋体" w:hAnsi="宋体" w:cs="宋体" w:eastAsia="宋体" w:hint="default"/>
                <w:spacing w:val="-22"/>
                <w:sz w:val="18"/>
                <w:szCs w:val="18"/>
              </w:rPr>
              <w:t>询、技术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工 业设计 </w:t>
            </w:r>
            <w:r>
              <w:rPr>
                <w:rFonts w:ascii="宋体" w:hAnsi="宋体" w:cs="宋体" w:eastAsia="宋体" w:hint="default"/>
                <w:spacing w:val="-22"/>
                <w:sz w:val="18"/>
                <w:szCs w:val="18"/>
              </w:rPr>
              <w:t>技术、物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联网信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8.85%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智能家 居</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56.400002pt;margin-top:71.759964pt;width:478.8pt;height:687.95pt;mso-position-horizontal-relative:page;mso-position-vertical-relative:page;z-index:-1130032" coordorigin="1128,1435" coordsize="9576,13759">
            <v:group style="position:absolute;left:2528;top:1450;width:651;height:13730" coordorigin="2528,1450" coordsize="651,13730">
              <v:shape style="position:absolute;left:2528;top:1450;width:651;height:13730" coordorigin="2528,1450" coordsize="651,13730" path="m2528,15180l3178,15180,3178,1450,2528,1450,2528,15180xe" filled="true" fillcolor="#ffffff" stroked="false">
                <v:path arrowok="t"/>
                <v:fill type="solid"/>
              </v:shape>
            </v:group>
            <v:group style="position:absolute;left:1138;top:1445;width:685;height:2" coordorigin="1138,1445" coordsize="685,2">
              <v:shape style="position:absolute;left:1138;top:1445;width:685;height:2" coordorigin="1138,1445" coordsize="685,0" path="m1138,1445l1822,1445e" filled="false" stroked="true" strokeweight=".48pt" strokecolor="#000000">
                <v:path arrowok="t"/>
              </v:shape>
            </v:group>
            <v:group style="position:absolute;left:1832;top:1445;width:684;height:2" coordorigin="1832,1445" coordsize="684,2">
              <v:shape style="position:absolute;left:1832;top:1445;width:684;height:2" coordorigin="1832,1445" coordsize="684,0" path="m1832,1445l2516,1445e" filled="false" stroked="true" strokeweight=".48pt" strokecolor="#000000">
                <v:path arrowok="t"/>
              </v:shape>
            </v:group>
            <v:group style="position:absolute;left:2525;top:1445;width:653;height:2" coordorigin="2525,1445" coordsize="653,2">
              <v:shape style="position:absolute;left:2525;top:1445;width:653;height:2" coordorigin="2525,1445" coordsize="653,0" path="m2525,1445l3178,1445e" filled="false" stroked="true" strokeweight=".48pt" strokecolor="#000000">
                <v:path arrowok="t"/>
              </v:shape>
            </v:group>
            <v:group style="position:absolute;left:3188;top:1445;width:653;height:2" coordorigin="3188,1445" coordsize="653,2">
              <v:shape style="position:absolute;left:3188;top:1445;width:653;height:2" coordorigin="3188,1445" coordsize="653,0" path="m3188,1445l3840,1445e" filled="false" stroked="true" strokeweight=".48pt" strokecolor="#000000">
                <v:path arrowok="t"/>
              </v:shape>
            </v:group>
            <v:group style="position:absolute;left:3850;top:1445;width:651;height:2" coordorigin="3850,1445" coordsize="651,2">
              <v:shape style="position:absolute;left:3850;top:1445;width:651;height:2" coordorigin="3850,1445" coordsize="651,0" path="m3850,1445l4501,1445e" filled="false" stroked="true" strokeweight=".48pt" strokecolor="#000000">
                <v:path arrowok="t"/>
              </v:shape>
            </v:group>
            <v:group style="position:absolute;left:4511;top:1445;width:653;height:2" coordorigin="4511,1445" coordsize="653,2">
              <v:shape style="position:absolute;left:4511;top:1445;width:653;height:2" coordorigin="4511,1445" coordsize="653,0" path="m4511,1445l5163,1445e" filled="false" stroked="true" strokeweight=".48pt" strokecolor="#000000">
                <v:path arrowok="t"/>
              </v:shape>
            </v:group>
            <v:group style="position:absolute;left:5173;top:1445;width:648;height:2" coordorigin="5173,1445" coordsize="648,2">
              <v:shape style="position:absolute;left:5173;top:1445;width:648;height:2" coordorigin="5173,1445" coordsize="648,0" path="m5173,1445l5821,1445e" filled="false" stroked="true" strokeweight=".48pt" strokecolor="#000000">
                <v:path arrowok="t"/>
              </v:shape>
            </v:group>
            <v:group style="position:absolute;left:5831;top:1445;width:646;height:2" coordorigin="5831,1445" coordsize="646,2">
              <v:shape style="position:absolute;left:5831;top:1445;width:646;height:2" coordorigin="5831,1445" coordsize="646,0" path="m5831,1445l6476,1445e" filled="false" stroked="true" strokeweight=".48pt" strokecolor="#000000">
                <v:path arrowok="t"/>
              </v:shape>
            </v:group>
            <v:group style="position:absolute;left:6486;top:1445;width:651;height:2" coordorigin="6486,1445" coordsize="651,2">
              <v:shape style="position:absolute;left:6486;top:1445;width:651;height:2" coordorigin="6486,1445" coordsize="651,0" path="m6486,1445l7137,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5,1445e" filled="false" stroked="true" strokeweight=".48pt" strokecolor="#000000">
                <v:path arrowok="t"/>
              </v:shape>
            </v:group>
            <v:group style="position:absolute;left:7775;top:1445;width:730;height:2" coordorigin="7775,1445" coordsize="730,2">
              <v:shape style="position:absolute;left:7775;top:1445;width:730;height:2" coordorigin="7775,1445" coordsize="730,0" path="m7775,1445l8505,1445e" filled="false" stroked="true" strokeweight=".48pt" strokecolor="#000000">
                <v:path arrowok="t"/>
              </v:shape>
            </v:group>
            <v:group style="position:absolute;left:8514;top:1445;width:723;height:2" coordorigin="8514,1445" coordsize="723,2">
              <v:shape style="position:absolute;left:8514;top:1445;width:723;height:2" coordorigin="8514,1445" coordsize="723,0" path="m8514,1445l9237,1445e" filled="false" stroked="true" strokeweight=".48pt" strokecolor="#000000">
                <v:path arrowok="t"/>
              </v:shape>
            </v:group>
            <v:group style="position:absolute;left:9246;top:1445;width:726;height:2" coordorigin="9246,1445" coordsize="726,2">
              <v:shape style="position:absolute;left:9246;top:1445;width:726;height:2" coordorigin="9246,1445" coordsize="726,0" path="m9246,1445l9971,1445e" filled="false" stroked="true" strokeweight=".48pt" strokecolor="#000000">
                <v:path arrowok="t"/>
              </v:shape>
            </v:group>
            <v:group style="position:absolute;left:9981;top:1445;width:713;height:2" coordorigin="9981,1445" coordsize="713,2">
              <v:shape style="position:absolute;left:9981;top:1445;width:713;height:2" coordorigin="9981,1445" coordsize="713,0" path="m9981,1445l10694,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685;height:2" coordorigin="1138,15184" coordsize="685,2">
              <v:shape style="position:absolute;left:1138;top:15184;width:685;height:2" coordorigin="1138,15184" coordsize="685,0" path="m1138,15184l1822,15184e" filled="false" stroked="true" strokeweight=".47998pt" strokecolor="#000000">
                <v:path arrowok="t"/>
              </v:shape>
            </v:group>
            <v:group style="position:absolute;left:1827;top:1440;width:2;height:13750" coordorigin="1827,1440" coordsize="2,13750">
              <v:shape style="position:absolute;left:1827;top:1440;width:2;height:13750" coordorigin="1827,1440" coordsize="0,13750" path="m1827,1440l1827,15189e" filled="false" stroked="true" strokeweight=".48pt" strokecolor="#000000">
                <v:path arrowok="t"/>
              </v:shape>
            </v:group>
            <v:group style="position:absolute;left:1832;top:15184;width:684;height:2" coordorigin="1832,15184" coordsize="684,2">
              <v:shape style="position:absolute;left:1832;top:15184;width:684;height:2" coordorigin="1832,15184" coordsize="684,0" path="m1832,15184l2516,15184e" filled="false" stroked="true" strokeweight=".47998pt" strokecolor="#000000">
                <v:path arrowok="t"/>
              </v:shape>
            </v:group>
            <v:group style="position:absolute;left:2520;top:1440;width:2;height:13750" coordorigin="2520,1440" coordsize="2,13750">
              <v:shape style="position:absolute;left:2520;top:1440;width:2;height:13750" coordorigin="2520,1440" coordsize="0,13750" path="m2520,1440l2520,15189e" filled="false" stroked="true" strokeweight=".48pt" strokecolor="#000000">
                <v:path arrowok="t"/>
              </v:shape>
            </v:group>
            <v:group style="position:absolute;left:2525;top:15184;width:653;height:2" coordorigin="2525,15184" coordsize="653,2">
              <v:shape style="position:absolute;left:2525;top:15184;width:653;height:2" coordorigin="2525,15184" coordsize="653,0" path="m2525,15184l3178,15184e" filled="false" stroked="true" strokeweight=".47998pt" strokecolor="#000000">
                <v:path arrowok="t"/>
              </v:shape>
            </v:group>
            <v:group style="position:absolute;left:3183;top:1440;width:2;height:13750" coordorigin="3183,1440" coordsize="2,13750">
              <v:shape style="position:absolute;left:3183;top:1440;width:2;height:13750" coordorigin="3183,1440" coordsize="0,13750" path="m3183,1440l3183,15189e" filled="false" stroked="true" strokeweight=".48pt" strokecolor="#000000">
                <v:path arrowok="t"/>
              </v:shape>
            </v:group>
            <v:group style="position:absolute;left:3188;top:15184;width:653;height:2" coordorigin="3188,15184" coordsize="653,2">
              <v:shape style="position:absolute;left:3188;top:15184;width:653;height:2" coordorigin="3188,15184" coordsize="653,0" path="m3188,15184l3840,15184e" filled="false" stroked="true" strokeweight=".47998pt" strokecolor="#000000">
                <v:path arrowok="t"/>
              </v:shape>
            </v:group>
            <v:group style="position:absolute;left:3845;top:1440;width:2;height:13750" coordorigin="3845,1440" coordsize="2,13750">
              <v:shape style="position:absolute;left:3845;top:1440;width:2;height:13750" coordorigin="3845,1440" coordsize="0,13750" path="m3845,1440l3845,15189e" filled="false" stroked="true" strokeweight=".48pt" strokecolor="#000000">
                <v:path arrowok="t"/>
              </v:shape>
            </v:group>
            <v:group style="position:absolute;left:3850;top:15184;width:651;height:2" coordorigin="3850,15184" coordsize="651,2">
              <v:shape style="position:absolute;left:3850;top:15184;width:651;height:2" coordorigin="3850,15184" coordsize="651,0" path="m3850,15184l4501,15184e" filled="false" stroked="true" strokeweight=".47998pt" strokecolor="#000000">
                <v:path arrowok="t"/>
              </v:shape>
            </v:group>
            <v:group style="position:absolute;left:4506;top:1440;width:2;height:13750" coordorigin="4506,1440" coordsize="2,13750">
              <v:shape style="position:absolute;left:4506;top:1440;width:2;height:13750" coordorigin="4506,1440" coordsize="0,13750" path="m4506,1440l4506,15189e" filled="false" stroked="true" strokeweight=".48pt" strokecolor="#000000">
                <v:path arrowok="t"/>
              </v:shape>
            </v:group>
            <v:group style="position:absolute;left:4511;top:15184;width:653;height:2" coordorigin="4511,15184" coordsize="653,2">
              <v:shape style="position:absolute;left:4511;top:15184;width:653;height:2" coordorigin="4511,15184" coordsize="653,0" path="m4511,15184l5163,15184e" filled="false" stroked="true" strokeweight=".47998pt" strokecolor="#000000">
                <v:path arrowok="t"/>
              </v:shape>
            </v:group>
            <v:group style="position:absolute;left:5168;top:1440;width:2;height:13750" coordorigin="5168,1440" coordsize="2,13750">
              <v:shape style="position:absolute;left:5168;top:1440;width:2;height:13750" coordorigin="5168,1440" coordsize="0,13750" path="m5168,1440l5168,15189e" filled="false" stroked="true" strokeweight=".48001pt" strokecolor="#000000">
                <v:path arrowok="t"/>
              </v:shape>
            </v:group>
            <v:group style="position:absolute;left:5173;top:15184;width:648;height:2" coordorigin="5173,15184" coordsize="648,2">
              <v:shape style="position:absolute;left:5173;top:15184;width:648;height:2" coordorigin="5173,15184" coordsize="648,0" path="m5173,15184l5821,15184e" filled="false" stroked="true" strokeweight=".47998pt" strokecolor="#000000">
                <v:path arrowok="t"/>
              </v:shape>
            </v:group>
            <v:group style="position:absolute;left:5826;top:1440;width:2;height:13750" coordorigin="5826,1440" coordsize="2,13750">
              <v:shape style="position:absolute;left:5826;top:1440;width:2;height:13750" coordorigin="5826,1440" coordsize="0,13750" path="m5826,1440l5826,15189e" filled="false" stroked="true" strokeweight=".48001pt" strokecolor="#000000">
                <v:path arrowok="t"/>
              </v:shape>
            </v:group>
            <v:group style="position:absolute;left:5831;top:15184;width:646;height:2" coordorigin="5831,15184" coordsize="646,2">
              <v:shape style="position:absolute;left:5831;top:15184;width:646;height:2" coordorigin="5831,15184" coordsize="646,0" path="m5831,15184l6476,15184e" filled="false" stroked="true" strokeweight=".47998pt" strokecolor="#000000">
                <v:path arrowok="t"/>
              </v:shape>
            </v:group>
            <v:group style="position:absolute;left:6481;top:1440;width:2;height:13750" coordorigin="6481,1440" coordsize="2,13750">
              <v:shape style="position:absolute;left:6481;top:1440;width:2;height:13750" coordorigin="6481,1440" coordsize="0,13750" path="m6481,1440l6481,15189e" filled="false" stroked="true" strokeweight=".47998pt" strokecolor="#000000">
                <v:path arrowok="t"/>
              </v:shape>
            </v:group>
            <v:group style="position:absolute;left:6486;top:15184;width:651;height:2" coordorigin="6486,15184" coordsize="651,2">
              <v:shape style="position:absolute;left:6486;top:15184;width:651;height:2" coordorigin="6486,15184" coordsize="651,0" path="m6486,15184l7137,15184e" filled="false" stroked="true" strokeweight=".47998pt" strokecolor="#000000">
                <v:path arrowok="t"/>
              </v:shape>
            </v:group>
            <v:group style="position:absolute;left:7141;top:1440;width:2;height:13750" coordorigin="7141,1440" coordsize="2,13750">
              <v:shape style="position:absolute;left:7141;top:1440;width:2;height:13750" coordorigin="7141,1440" coordsize="0,13750" path="m7141,1440l7141,15189e" filled="false" stroked="true" strokeweight=".48001pt" strokecolor="#000000">
                <v:path arrowok="t"/>
              </v:shape>
            </v:group>
            <v:group style="position:absolute;left:7146;top:15184;width:620;height:2" coordorigin="7146,15184" coordsize="620,2">
              <v:shape style="position:absolute;left:7146;top:15184;width:620;height:2" coordorigin="7146,15184" coordsize="620,0" path="m7146,15184l7765,15184e" filled="false" stroked="true" strokeweight=".47998pt" strokecolor="#000000">
                <v:path arrowok="t"/>
              </v:shape>
            </v:group>
            <v:group style="position:absolute;left:7770;top:1440;width:2;height:13750" coordorigin="7770,1440" coordsize="2,13750">
              <v:shape style="position:absolute;left:7770;top:1440;width:2;height:13750" coordorigin="7770,1440" coordsize="0,13750" path="m7770,1440l7770,15189e" filled="false" stroked="true" strokeweight=".48001pt" strokecolor="#000000">
                <v:path arrowok="t"/>
              </v:shape>
            </v:group>
            <v:group style="position:absolute;left:7775;top:15184;width:730;height:2" coordorigin="7775,15184" coordsize="730,2">
              <v:shape style="position:absolute;left:7775;top:15184;width:730;height:2" coordorigin="7775,15184" coordsize="730,0" path="m7775,15184l8505,15184e" filled="false" stroked="true" strokeweight=".47998pt" strokecolor="#000000">
                <v:path arrowok="t"/>
              </v:shape>
            </v:group>
            <v:group style="position:absolute;left:8509;top:1440;width:2;height:13750" coordorigin="8509,1440" coordsize="2,13750">
              <v:shape style="position:absolute;left:8509;top:1440;width:2;height:13750" coordorigin="8509,1440" coordsize="0,13750" path="m8509,1440l8509,15189e" filled="false" stroked="true" strokeweight=".48001pt" strokecolor="#000000">
                <v:path arrowok="t"/>
              </v:shape>
            </v:group>
            <v:group style="position:absolute;left:8514;top:15184;width:723;height:2" coordorigin="8514,15184" coordsize="723,2">
              <v:shape style="position:absolute;left:8514;top:15184;width:723;height:2" coordorigin="8514,15184" coordsize="723,0" path="m8514,15184l9237,15184e" filled="false" stroked="true" strokeweight=".47998pt" strokecolor="#000000">
                <v:path arrowok="t"/>
              </v:shape>
            </v:group>
            <v:group style="position:absolute;left:9241;top:1440;width:2;height:13750" coordorigin="9241,1440" coordsize="2,13750">
              <v:shape style="position:absolute;left:9241;top:1440;width:2;height:13750" coordorigin="9241,1440" coordsize="0,13750" path="m9241,1440l9241,15189e" filled="false" stroked="true" strokeweight=".48001pt" strokecolor="#000000">
                <v:path arrowok="t"/>
              </v:shape>
            </v:group>
            <v:group style="position:absolute;left:9246;top:15184;width:726;height:2" coordorigin="9246,15184" coordsize="726,2">
              <v:shape style="position:absolute;left:9246;top:15184;width:726;height:2" coordorigin="9246,15184" coordsize="726,0" path="m9246,15184l9971,15184e" filled="false" stroked="true" strokeweight=".47998pt" strokecolor="#000000">
                <v:path arrowok="t"/>
              </v:shape>
            </v:group>
            <v:group style="position:absolute;left:9976;top:1440;width:2;height:13750" coordorigin="9976,1440" coordsize="2,13750">
              <v:shape style="position:absolute;left:9976;top:1440;width:2;height:13750" coordorigin="9976,1440" coordsize="0,13750" path="m9976,1440l9976,15189e" filled="false" stroked="true" strokeweight=".47998pt" strokecolor="#000000">
                <v:path arrowok="t"/>
              </v:shape>
            </v:group>
            <v:group style="position:absolute;left:9981;top:15184;width:713;height:2" coordorigin="9981,15184" coordsize="713,2">
              <v:shape style="position:absolute;left:9981;top:15184;width:713;height:2" coordorigin="9981,15184" coordsize="713,0" path="m9981,15184l10694,15184e" filled="false" stroked="true" strokeweight=".47998pt" strokecolor="#000000">
                <v:path arrowok="t"/>
              </v:shape>
            </v:group>
            <v:group style="position:absolute;left:10699;top:1440;width:2;height:13750" coordorigin="10699,1440" coordsize="2,13750">
              <v:shape style="position:absolute;left:10699;top:1440;width:2;height:13750" coordorigin="10699,1440" coordsize="0,13750" path="m10699,1440l10699,15189e" filled="false" stroked="true" strokeweight=".48004pt" strokecolor="#000000">
                <v:path arrowok="t"/>
              </v:shape>
            </v:group>
            <w10:wrap type="none"/>
          </v:group>
        </w:pict>
      </w:r>
    </w:p>
    <w:p>
      <w:pPr>
        <w:pStyle w:val="BodyText"/>
        <w:spacing w:line="314" w:lineRule="auto" w:before="160"/>
        <w:ind w:left="875" w:right="9311"/>
        <w:jc w:val="left"/>
      </w:pPr>
      <w:r>
        <w:rPr/>
        <w:t>息技术 的技术 </w:t>
      </w:r>
      <w:r>
        <w:rPr>
          <w:spacing w:val="-22"/>
        </w:rPr>
        <w:t>研发、应</w:t>
      </w:r>
      <w:r>
        <w:rPr>
          <w:spacing w:val="-87"/>
        </w:rPr>
        <w:t> </w:t>
      </w:r>
      <w:r>
        <w:rPr>
          <w:spacing w:val="-87"/>
        </w:rPr>
      </w:r>
      <w:r>
        <w:rPr/>
        <w:t>用及咨 询服务</w:t>
      </w:r>
      <w:r>
        <w:rPr>
          <w:rFonts w:ascii="Times New Roman" w:hAnsi="Times New Roman" w:cs="Times New Roman" w:eastAsia="Times New Roman" w:hint="default"/>
        </w:rPr>
        <w:t>, </w:t>
      </w:r>
      <w:r>
        <w:rPr/>
        <w:t>物联网 技术的 技术服 务</w:t>
      </w:r>
      <w:r>
        <w:rPr>
          <w:rFonts w:ascii="Times New Roman" w:hAnsi="Times New Roman" w:cs="Times New Roman" w:eastAsia="Times New Roman" w:hint="default"/>
        </w:rPr>
        <w:t>,</w:t>
      </w:r>
      <w:r>
        <w:rPr/>
        <w:t>电子 产品的 技术研 发</w:t>
      </w:r>
      <w:r>
        <w:rPr>
          <w:rFonts w:ascii="Times New Roman" w:hAnsi="Times New Roman" w:cs="Times New Roman" w:eastAsia="Times New Roman" w:hint="default"/>
        </w:rPr>
        <w:t>,</w:t>
      </w:r>
      <w:r>
        <w:rPr/>
        <w:t>传感 器网络 </w:t>
      </w:r>
      <w:r>
        <w:rPr>
          <w:spacing w:val="-22"/>
        </w:rPr>
        <w:t>技术、无</w:t>
      </w:r>
      <w:r>
        <w:rPr>
          <w:spacing w:val="-87"/>
        </w:rPr>
        <w:t> </w:t>
      </w:r>
      <w:r>
        <w:rPr>
          <w:spacing w:val="-87"/>
        </w:rPr>
      </w:r>
      <w:r>
        <w:rPr/>
        <w:t>线通讯 </w:t>
      </w:r>
      <w:r>
        <w:rPr>
          <w:spacing w:val="-22"/>
        </w:rPr>
        <w:t>技术、射</w:t>
      </w:r>
      <w:r>
        <w:rPr>
          <w:spacing w:val="-87"/>
        </w:rPr>
        <w:t> </w:t>
      </w:r>
      <w:r>
        <w:rPr>
          <w:spacing w:val="-87"/>
        </w:rPr>
      </w:r>
      <w:r>
        <w:rPr/>
        <w:t>频识别 技术的 技术研 </w:t>
      </w:r>
      <w:r>
        <w:rPr>
          <w:spacing w:val="-22"/>
        </w:rPr>
        <w:t>发、技术</w:t>
      </w:r>
      <w:r>
        <w:rPr>
          <w:spacing w:val="-87"/>
        </w:rPr>
        <w:t> </w:t>
      </w:r>
      <w:r>
        <w:rPr>
          <w:spacing w:val="-87"/>
        </w:rPr>
      </w:r>
      <w:r>
        <w:rPr/>
        <w:t>推广</w:t>
      </w:r>
      <w:r>
        <w:rPr>
          <w:rFonts w:ascii="Times New Roman" w:hAnsi="Times New Roman" w:cs="Times New Roman" w:eastAsia="Times New Roman" w:hint="default"/>
        </w:rPr>
        <w:t>;</w:t>
      </w:r>
      <w:r>
        <w:rPr/>
        <w:t>施 工</w:t>
      </w:r>
      <w:r>
        <w:rPr>
          <w:rFonts w:ascii="Times New Roman" w:hAnsi="Times New Roman" w:cs="Times New Roman" w:eastAsia="Times New Roman" w:hint="default"/>
        </w:rPr>
        <w:t>:</w:t>
      </w:r>
      <w:r>
        <w:rPr/>
        <w:t>计算 机信息 系统工 </w:t>
      </w:r>
      <w:r>
        <w:rPr>
          <w:spacing w:val="-22"/>
        </w:rPr>
        <w:t>程、通讯</w:t>
      </w:r>
      <w:r>
        <w:rPr>
          <w:spacing w:val="-87"/>
        </w:rPr>
        <w:t> </w:t>
      </w:r>
      <w:r>
        <w:rPr>
          <w:spacing w:val="-87"/>
        </w:rPr>
      </w:r>
      <w:r>
        <w:rPr/>
        <w:t>网络系 统工程、 建筑智 能化工 </w:t>
      </w:r>
      <w:r>
        <w:rPr>
          <w:spacing w:val="-22"/>
        </w:rPr>
        <w:t>程、管道</w:t>
      </w:r>
      <w:r>
        <w:rPr>
          <w:spacing w:val="-87"/>
        </w:rPr>
        <w:t> </w:t>
      </w:r>
      <w:r>
        <w:rPr>
          <w:spacing w:val="-87"/>
        </w:rPr>
      </w:r>
      <w:r>
        <w:rPr/>
        <w:t>安装工 </w:t>
      </w:r>
      <w:r>
        <w:rPr>
          <w:spacing w:val="-22"/>
        </w:rPr>
        <w:t>程、音视</w:t>
      </w:r>
      <w:r>
        <w:rPr>
          <w:spacing w:val="-87"/>
        </w:rPr>
        <w:t> </w:t>
      </w:r>
      <w:r>
        <w:rPr>
          <w:spacing w:val="-87"/>
        </w:rPr>
      </w:r>
      <w:r>
        <w:rPr/>
        <w:t>频工程</w:t>
      </w:r>
      <w:r>
        <w:rPr>
          <w:rFonts w:ascii="Times New Roman" w:hAnsi="Times New Roman" w:cs="Times New Roman" w:eastAsia="Times New Roman" w:hint="default"/>
        </w:rPr>
        <w:t>; </w:t>
      </w:r>
      <w:r>
        <w:rPr/>
        <w:t>销售</w:t>
      </w:r>
      <w:r>
        <w:rPr>
          <w:rFonts w:ascii="Times New Roman" w:hAnsi="Times New Roman" w:cs="Times New Roman" w:eastAsia="Times New Roman" w:hint="default"/>
        </w:rPr>
        <w:t>:</w:t>
      </w:r>
      <w:r>
        <w:rPr/>
        <w:t>办 公及工 业自动 化设备、 通信设 备</w:t>
      </w:r>
      <w:r>
        <w:rPr>
          <w:rFonts w:ascii="Times New Roman" w:hAnsi="Times New Roman" w:cs="Times New Roman" w:eastAsia="Times New Roman" w:hint="default"/>
        </w:rPr>
        <w:t>(</w:t>
      </w:r>
      <w:r>
        <w:rPr/>
        <w:t>依法 须经批 准的项 目</w:t>
      </w:r>
      <w:r>
        <w:rPr>
          <w:rFonts w:ascii="Times New Roman" w:hAnsi="Times New Roman" w:cs="Times New Roman" w:eastAsia="Times New Roman" w:hint="default"/>
        </w:rPr>
        <w:t>,</w:t>
      </w:r>
      <w:r>
        <w:rPr/>
        <w:t>经相 关部门 批准后</w:t>
      </w:r>
    </w:p>
    <w:p>
      <w:pPr>
        <w:spacing w:after="0" w:line="314"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1"/>
        <w:gridCol w:w="662"/>
        <w:gridCol w:w="658"/>
        <w:gridCol w:w="655"/>
        <w:gridCol w:w="660"/>
        <w:gridCol w:w="629"/>
        <w:gridCol w:w="739"/>
        <w:gridCol w:w="732"/>
        <w:gridCol w:w="735"/>
        <w:gridCol w:w="722"/>
      </w:tblGrid>
      <w:tr>
        <w:trPr>
          <w:trHeight w:val="987"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方可开 展经营 活动</w:t>
            </w:r>
            <w:r>
              <w:rPr>
                <w:rFonts w:ascii="Times New Roman" w:hAnsi="Times New Roman" w:cs="Times New Roman" w:eastAsia="Times New Roman"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-1,472,1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69.75</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80,787,419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-106,705,820.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91,306,266.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310,733,71</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3.31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207,062,321.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20,395,240.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521,891,975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391,521,13</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2.83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100,356,501.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20,395,240.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613,198,241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0" w:right="1140"/>
        <w:jc w:val="right"/>
      </w:pPr>
      <w:r>
        <w:rPr/>
        <w:pict>
          <v:shape style="position:absolute;margin-left:56.400002pt;margin-top:-143.611267pt;width:479.05pt;height:161.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138,326.82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1,533.02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108,859.02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46,269.22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终止补流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138,326.82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1,533.02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108,859.02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46,269.22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w:t>
                        </w:r>
                        <w:r>
                          <w:rPr>
                            <w:rFonts w:ascii="宋体" w:hAnsi="宋体" w:cs="宋体" w:eastAsia="宋体" w:hint="default"/>
                            <w:spacing w:val="-36"/>
                            <w:sz w:val="18"/>
                            <w:szCs w:val="18"/>
                          </w:rPr>
                          <w:t>会</w:t>
                        </w:r>
                        <w:r>
                          <w:rPr>
                            <w:rFonts w:ascii="宋体" w:hAnsi="宋体" w:cs="宋体" w:eastAsia="宋体" w:hint="default"/>
                            <w:sz w:val="18"/>
                            <w:szCs w:val="18"/>
                          </w:rPr>
                          <w:t>《关于核准汉鼎信息科技股份有限公司非公开发行股票的批复</w:t>
                        </w:r>
                        <w:r>
                          <w:rPr>
                            <w:rFonts w:ascii="宋体" w:hAnsi="宋体" w:cs="宋体" w:eastAsia="宋体" w:hint="default"/>
                            <w:spacing w:val="-125"/>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41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36"/>
                            <w:sz w:val="18"/>
                            <w:szCs w:val="18"/>
                          </w:rPr>
                          <w:t>）</w:t>
                        </w:r>
                        <w:r>
                          <w:rPr>
                            <w:rFonts w:ascii="宋体" w:hAnsi="宋体" w:cs="宋体" w:eastAsia="宋体" w:hint="default"/>
                            <w:sz w:val="18"/>
                            <w:szCs w:val="18"/>
                          </w:rPr>
                          <w:t>核准</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11"/>
        <w:rPr>
          <w:rFonts w:ascii="宋体" w:hAnsi="宋体" w:cs="宋体" w:eastAsia="宋体" w:hint="default"/>
          <w:sz w:val="28"/>
          <w:szCs w:val="28"/>
        </w:rPr>
      </w:pPr>
    </w:p>
    <w:p>
      <w:pPr>
        <w:spacing w:line="5355" w:lineRule="exact"/>
        <w:ind w:left="152" w:right="0" w:firstLine="0"/>
        <w:rPr>
          <w:rFonts w:ascii="宋体" w:hAnsi="宋体" w:cs="宋体" w:eastAsia="宋体" w:hint="default"/>
          <w:sz w:val="20"/>
          <w:szCs w:val="20"/>
        </w:rPr>
      </w:pPr>
      <w:r>
        <w:rPr>
          <w:rFonts w:ascii="宋体" w:hAnsi="宋体" w:cs="宋体" w:eastAsia="宋体" w:hint="default"/>
          <w:position w:val="-106"/>
          <w:sz w:val="20"/>
          <w:szCs w:val="20"/>
        </w:rPr>
        <w:pict>
          <v:shape style="width:478.3pt;height:267.8pt;mso-position-horizontal-relative:char;mso-position-vertical-relative:line" type="#_x0000_t202" filled="false" stroked="true" strokeweight=".48004pt" strokecolor="#000000">
            <w10:anchorlock/>
            <v:textbox inset="0,0,0,0">
              <w:txbxContent>
                <w:p>
                  <w:pPr>
                    <w:pStyle w:val="BodyText"/>
                    <w:spacing w:line="300" w:lineRule="auto" w:before="8"/>
                    <w:ind w:left="23" w:right="83"/>
                    <w:jc w:val="left"/>
                  </w:pPr>
                  <w:r>
                    <w:rPr/>
                    <w:t>汉鼎宇佑互联网股份有限公司（以下简称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）采用非公开方式发行人民币普通股（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75,983,716</w:t>
                  </w:r>
                  <w:r>
                    <w:rPr>
                      <w:rFonts w:ascii="Times New Roman" w:hAnsi="Times New Roman" w:cs="Times New Roman" w:eastAsia="Times New Roman" w:hint="default"/>
                      <w:spacing w:val="-3"/>
                    </w:rPr>
                    <w:t> </w:t>
                  </w:r>
                  <w:r>
                    <w:rPr>
                      <w:spacing w:val="-3"/>
                    </w:rPr>
                    <w:t>股， </w:t>
                  </w:r>
                  <w:r>
                    <w:rPr/>
                    <w:t>发行价格为每股</w:t>
                  </w:r>
                  <w:r>
                    <w:rPr>
                      <w:spacing w:val="-46"/>
                    </w:rPr>
                    <w:t> </w:t>
                  </w:r>
                  <w:r>
                    <w:rPr>
                      <w:rFonts w:ascii="Times New Roman" w:hAnsi="Times New Roman" w:cs="Times New Roman" w:eastAsia="Times New Roman" w:hint="default"/>
                    </w:rPr>
                    <w:t>18.38 </w:t>
                  </w:r>
                  <w:r>
                    <w:rPr/>
                    <w:t>元。截止</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日，本公司实际已向社会公开发行人民币普通股（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75,983,716 </w:t>
                  </w:r>
                  <w:r>
                    <w:rPr>
                      <w:spacing w:val="-3"/>
                    </w:rPr>
                    <w:t>股，</w:t>
                  </w:r>
                  <w:r>
                    <w:rPr/>
                  </w:r>
                </w:p>
                <w:p>
                  <w:pPr>
                    <w:pStyle w:val="BodyText"/>
                    <w:spacing w:line="240" w:lineRule="auto" w:before="13"/>
                    <w:ind w:left="23" w:right="0"/>
                    <w:jc w:val="left"/>
                  </w:pPr>
                  <w:r>
                    <w:rPr/>
                    <w:t>募集资金总额</w:t>
                  </w:r>
                  <w:r>
                    <w:rPr>
                      <w:spacing w:val="-47"/>
                    </w:rPr>
                    <w:t> </w:t>
                  </w:r>
                  <w:r>
                    <w:rPr>
                      <w:rFonts w:ascii="Times New Roman" w:hAnsi="Times New Roman" w:cs="Times New Roman" w:eastAsia="Times New Roman" w:hint="default"/>
                    </w:rPr>
                    <w:t>1,396,580,700.08</w:t>
                  </w:r>
                  <w:r>
                    <w:rPr>
                      <w:rFonts w:ascii="Times New Roman" w:hAnsi="Times New Roman" w:cs="Times New Roman" w:eastAsia="Times New Roman" w:hint="default"/>
                      <w:spacing w:val="-3"/>
                    </w:rPr>
                    <w:t> </w:t>
                  </w:r>
                  <w:r>
                    <w:rPr/>
                    <w:t>元，扣除承销费、保荐费、审计费、律师费、信息披露等发行费用</w:t>
                  </w:r>
                  <w:r>
                    <w:rPr>
                      <w:spacing w:val="-47"/>
                    </w:rPr>
                    <w:t> </w:t>
                  </w:r>
                  <w:r>
                    <w:rPr>
                      <w:rFonts w:ascii="Times New Roman" w:hAnsi="Times New Roman" w:cs="Times New Roman" w:eastAsia="Times New Roman" w:hint="default"/>
                    </w:rPr>
                    <w:t>13,312,530.03 </w:t>
                  </w:r>
                  <w:r>
                    <w:rPr/>
                    <w:t>元后，实</w:t>
                  </w:r>
                </w:p>
                <w:p>
                  <w:pPr>
                    <w:pStyle w:val="BodyText"/>
                    <w:spacing w:line="240" w:lineRule="auto" w:before="63"/>
                    <w:ind w:left="23" w:right="0"/>
                    <w:jc w:val="left"/>
                    <w:rPr>
                      <w:rFonts w:ascii="Times New Roman" w:hAnsi="Times New Roman" w:cs="Times New Roman" w:eastAsia="Times New Roman" w:hint="default"/>
                    </w:rPr>
                  </w:pPr>
                  <w:r>
                    <w:rPr/>
                    <w:t>际募集资金净额为人民币</w:t>
                  </w:r>
                  <w:r>
                    <w:rPr>
                      <w:spacing w:val="-51"/>
                    </w:rPr>
                    <w:t> </w:t>
                  </w:r>
                  <w:r>
                    <w:rPr>
                      <w:rFonts w:ascii="Times New Roman" w:hAnsi="Times New Roman" w:cs="Times New Roman" w:eastAsia="Times New Roman" w:hint="default"/>
                    </w:rPr>
                    <w:t>1,383,268,170.05</w:t>
                  </w:r>
                  <w:r>
                    <w:rPr>
                      <w:rFonts w:ascii="Times New Roman" w:hAnsi="Times New Roman" w:cs="Times New Roman" w:eastAsia="Times New Roman" w:hint="default"/>
                      <w:spacing w:val="-3"/>
                    </w:rPr>
                    <w:t> </w:t>
                  </w:r>
                  <w:r>
                    <w:rPr/>
                    <w:t>元。上述资金到位情况业经瑞华会计师事务所验证，并出具了瑞华验字</w:t>
                  </w:r>
                  <w:r>
                    <w:rPr>
                      <w:rFonts w:ascii="Times New Roman" w:hAnsi="Times New Roman" w:cs="Times New Roman" w:eastAsia="Times New Roman" w:hint="default"/>
                    </w:rPr>
                    <w:t>[2016]</w:t>
                  </w:r>
                </w:p>
                <w:p>
                  <w:pPr>
                    <w:pStyle w:val="BodyText"/>
                    <w:spacing w:line="300" w:lineRule="auto" w:before="63"/>
                    <w:ind w:left="23" w:right="20"/>
                    <w:jc w:val="left"/>
                  </w:pPr>
                  <w:r>
                    <w:rPr/>
                    <w:t>第</w:t>
                  </w:r>
                  <w:r>
                    <w:rPr>
                      <w:spacing w:val="-46"/>
                    </w:rPr>
                    <w:t> </w:t>
                  </w:r>
                  <w:r>
                    <w:rPr>
                      <w:rFonts w:ascii="Times New Roman" w:hAnsi="Times New Roman" w:cs="Times New Roman" w:eastAsia="Times New Roman" w:hint="default"/>
                    </w:rPr>
                    <w:t>02230069</w:t>
                  </w:r>
                  <w:r>
                    <w:rPr>
                      <w:rFonts w:ascii="Times New Roman" w:hAnsi="Times New Roman" w:cs="Times New Roman" w:eastAsia="Times New Roman" w:hint="default"/>
                      <w:spacing w:val="-1"/>
                    </w:rPr>
                    <w:t> </w:t>
                  </w:r>
                  <w:r>
                    <w:rPr/>
                    <w:t>号验资报告。</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年度，募集资金净额</w:t>
                  </w:r>
                  <w:r>
                    <w:rPr>
                      <w:spacing w:val="-46"/>
                    </w:rPr>
                    <w:t> </w:t>
                  </w:r>
                  <w:r>
                    <w:rPr>
                      <w:rFonts w:ascii="Times New Roman" w:hAnsi="Times New Roman" w:cs="Times New Roman" w:eastAsia="Times New Roman" w:hint="default"/>
                    </w:rPr>
                    <w:t>1,383,268,170.05 </w:t>
                  </w:r>
                  <w:r>
                    <w:rPr/>
                    <w:t>元，利息收入</w:t>
                  </w:r>
                  <w:r>
                    <w:rPr>
                      <w:spacing w:val="-47"/>
                    </w:rPr>
                    <w:t> </w:t>
                  </w:r>
                  <w:r>
                    <w:rPr>
                      <w:rFonts w:ascii="Times New Roman" w:hAnsi="Times New Roman" w:cs="Times New Roman" w:eastAsia="Times New Roman" w:hint="default"/>
                    </w:rPr>
                    <w:t>6,138,579.77 </w:t>
                  </w:r>
                  <w:r>
                    <w:rPr/>
                    <w:t>元，手续费支出</w:t>
                  </w:r>
                  <w:r>
                    <w:rPr>
                      <w:spacing w:val="-49"/>
                    </w:rPr>
                    <w:t> </w:t>
                  </w:r>
                  <w:r>
                    <w:rPr>
                      <w:rFonts w:ascii="Times New Roman" w:hAnsi="Times New Roman" w:cs="Times New Roman" w:eastAsia="Times New Roman" w:hint="default"/>
                    </w:rPr>
                    <w:t>400.42 </w:t>
                  </w:r>
                  <w:r>
                    <w:rPr/>
                    <w:t>元，实际募集资金总额为</w:t>
                  </w:r>
                  <w:r>
                    <w:rPr>
                      <w:spacing w:val="-48"/>
                    </w:rPr>
                    <w:t> </w:t>
                  </w:r>
                  <w:r>
                    <w:rPr>
                      <w:rFonts w:ascii="Times New Roman" w:hAnsi="Times New Roman" w:cs="Times New Roman" w:eastAsia="Times New Roman" w:hint="default"/>
                    </w:rPr>
                    <w:t>1,389,406,349.40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年度募集资金投资项目名称为</w:t>
                  </w:r>
                  <w:r>
                    <w:rPr>
                      <w:rFonts w:ascii="Times New Roman" w:hAnsi="Times New Roman" w:cs="Times New Roman" w:eastAsia="Times New Roman" w:hint="default"/>
                    </w:rPr>
                    <w:t>“</w:t>
                  </w:r>
                  <w:r>
                    <w:rPr/>
                    <w:t>基于智慧城市的互联网金融平台</w:t>
                  </w:r>
                  <w:r>
                    <w:rPr>
                      <w:rFonts w:ascii="Times New Roman" w:hAnsi="Times New Roman" w:cs="Times New Roman" w:eastAsia="Times New Roman" w:hint="default"/>
                    </w:rPr>
                    <w:t>”</w:t>
                  </w:r>
                  <w:r>
                    <w:rPr/>
                    <w:t>项目 投入金额为</w:t>
                  </w:r>
                  <w:r>
                    <w:rPr>
                      <w:spacing w:val="-53"/>
                    </w:rPr>
                    <w:t> </w:t>
                  </w:r>
                  <w:r>
                    <w:rPr>
                      <w:rFonts w:ascii="Times New Roman" w:hAnsi="Times New Roman" w:cs="Times New Roman" w:eastAsia="Times New Roman" w:hint="default"/>
                    </w:rPr>
                    <w:t>165,413,328.67</w:t>
                  </w:r>
                  <w:r>
                    <w:rPr>
                      <w:rFonts w:ascii="Times New Roman" w:hAnsi="Times New Roman" w:cs="Times New Roman" w:eastAsia="Times New Roman" w:hint="default"/>
                      <w:spacing w:val="-6"/>
                    </w:rPr>
                    <w:t> </w:t>
                  </w:r>
                  <w:r>
                    <w:rPr/>
                    <w:t>元，补充流动资金</w:t>
                  </w:r>
                  <w:r>
                    <w:rPr>
                      <w:spacing w:val="-53"/>
                    </w:rPr>
                    <w:t> </w:t>
                  </w:r>
                  <w:r>
                    <w:rPr>
                      <w:rFonts w:ascii="Times New Roman" w:hAnsi="Times New Roman" w:cs="Times New Roman" w:eastAsia="Times New Roman" w:hint="default"/>
                    </w:rPr>
                    <w:t>701,814,023.33</w:t>
                  </w:r>
                  <w:r>
                    <w:rPr>
                      <w:rFonts w:ascii="Times New Roman" w:hAnsi="Times New Roman" w:cs="Times New Roman" w:eastAsia="Times New Roman" w:hint="default"/>
                      <w:spacing w:val="-6"/>
                    </w:rPr>
                    <w:t> </w:t>
                  </w:r>
                  <w:r>
                    <w:rPr/>
                    <w:t>元，置换资金</w:t>
                  </w:r>
                  <w:r>
                    <w:rPr>
                      <w:spacing w:val="-55"/>
                    </w:rPr>
                    <w:t> </w:t>
                  </w:r>
                  <w:r>
                    <w:rPr>
                      <w:rFonts w:ascii="Times New Roman" w:hAnsi="Times New Roman" w:cs="Times New Roman" w:eastAsia="Times New Roman" w:hint="default"/>
                    </w:rPr>
                    <w:t>95,630,647.58</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年度，募集资金账户利</w:t>
                  </w:r>
                </w:p>
                <w:p>
                  <w:pPr>
                    <w:pStyle w:val="BodyText"/>
                    <w:spacing w:line="240" w:lineRule="auto" w:before="13"/>
                    <w:ind w:left="23" w:right="0"/>
                    <w:jc w:val="left"/>
                  </w:pPr>
                  <w:r>
                    <w:rPr/>
                    <w:t>息收入</w:t>
                  </w:r>
                  <w:r>
                    <w:rPr>
                      <w:spacing w:val="-46"/>
                    </w:rPr>
                    <w:t> </w:t>
                  </w:r>
                  <w:r>
                    <w:rPr>
                      <w:rFonts w:ascii="Times New Roman" w:hAnsi="Times New Roman" w:cs="Times New Roman" w:eastAsia="Times New Roman" w:hint="default"/>
                    </w:rPr>
                    <w:t>6,178,598.45 </w:t>
                  </w:r>
                  <w:r>
                    <w:rPr>
                      <w:spacing w:val="-4"/>
                    </w:rPr>
                    <w:t>元，其他收入</w:t>
                  </w:r>
                  <w:r>
                    <w:rPr>
                      <w:spacing w:val="-47"/>
                    </w:rPr>
                    <w:t> </w:t>
                  </w:r>
                  <w:r>
                    <w:rPr>
                      <w:rFonts w:ascii="Times New Roman" w:hAnsi="Times New Roman" w:cs="Times New Roman" w:eastAsia="Times New Roman" w:hint="default"/>
                    </w:rPr>
                    <w:t>1,590,000.00</w:t>
                  </w:r>
                  <w:r>
                    <w:rPr>
                      <w:rFonts w:ascii="Times New Roman" w:hAnsi="Times New Roman" w:cs="Times New Roman" w:eastAsia="Times New Roman" w:hint="default"/>
                      <w:spacing w:val="1"/>
                    </w:rPr>
                    <w:t> </w:t>
                  </w:r>
                  <w:r>
                    <w:rPr>
                      <w:spacing w:val="-4"/>
                    </w:rPr>
                    <w:t>元、手续费支出</w:t>
                  </w:r>
                  <w:r>
                    <w:rPr>
                      <w:spacing w:val="-47"/>
                    </w:rPr>
                    <w:t> </w:t>
                  </w:r>
                  <w:r>
                    <w:rPr>
                      <w:rFonts w:ascii="Times New Roman" w:hAnsi="Times New Roman" w:cs="Times New Roman" w:eastAsia="Times New Roman" w:hint="default"/>
                    </w:rPr>
                    <w:t>4,241.00</w:t>
                  </w:r>
                  <w:r>
                    <w:rPr>
                      <w:rFonts w:ascii="Times New Roman" w:hAnsi="Times New Roman" w:cs="Times New Roman" w:eastAsia="Times New Roman" w:hint="default"/>
                      <w:spacing w:val="1"/>
                    </w:rPr>
                    <w:t> </w:t>
                  </w:r>
                  <w:r>
                    <w:rPr>
                      <w:spacing w:val="-3"/>
                    </w:rPr>
                    <w:t>元，补充流动资金支出</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spacing w:val="-4"/>
                    </w:rPr>
                    <w:t>元，项目投</w:t>
                  </w:r>
                </w:p>
                <w:p>
                  <w:pPr>
                    <w:pStyle w:val="BodyText"/>
                    <w:spacing w:line="240" w:lineRule="auto" w:before="63"/>
                    <w:ind w:left="23" w:right="0"/>
                    <w:jc w:val="left"/>
                  </w:pPr>
                  <w:r>
                    <w:rPr/>
                    <w:t>入金额</w:t>
                  </w:r>
                  <w:r>
                    <w:rPr>
                      <w:spacing w:val="-50"/>
                    </w:rPr>
                    <w:t> </w:t>
                  </w:r>
                  <w:r>
                    <w:rPr>
                      <w:rFonts w:ascii="Times New Roman" w:hAnsi="Times New Roman" w:cs="Times New Roman" w:eastAsia="Times New Roman" w:hint="default"/>
                    </w:rPr>
                    <w:t>51,106,047.76</w:t>
                  </w:r>
                  <w:r>
                    <w:rPr>
                      <w:rFonts w:ascii="Times New Roman" w:hAnsi="Times New Roman" w:cs="Times New Roman" w:eastAsia="Times New Roman" w:hint="default"/>
                      <w:spacing w:val="-4"/>
                    </w:rPr>
                    <w:t> </w:t>
                  </w:r>
                  <w:r>
                    <w:rPr/>
                    <w:t>元，其中</w:t>
                  </w:r>
                  <w:r>
                    <w:rPr>
                      <w:rFonts w:ascii="Times New Roman" w:hAnsi="Times New Roman" w:cs="Times New Roman" w:eastAsia="Times New Roman" w:hint="default"/>
                    </w:rPr>
                    <w:t>“</w:t>
                  </w:r>
                  <w:r>
                    <w:rPr/>
                    <w:t>基于智慧城市的消费金融平台</w:t>
                  </w:r>
                  <w:r>
                    <w:rPr>
                      <w:rFonts w:ascii="Times New Roman" w:hAnsi="Times New Roman" w:cs="Times New Roman" w:eastAsia="Times New Roman" w:hint="default"/>
                    </w:rPr>
                    <w:t>”</w:t>
                  </w:r>
                  <w:r>
                    <w:rPr/>
                    <w:t>项目投入金额为</w:t>
                  </w:r>
                  <w:r>
                    <w:rPr>
                      <w:spacing w:val="-50"/>
                    </w:rPr>
                    <w:t> </w:t>
                  </w:r>
                  <w:r>
                    <w:rPr>
                      <w:rFonts w:ascii="Times New Roman" w:hAnsi="Times New Roman" w:cs="Times New Roman" w:eastAsia="Times New Roman" w:hint="default"/>
                    </w:rPr>
                    <w:t>25,172,075.76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基于智能技术的新商业</w:t>
                  </w:r>
                </w:p>
                <w:p>
                  <w:pPr>
                    <w:pStyle w:val="BodyText"/>
                    <w:spacing w:line="240" w:lineRule="auto" w:before="63"/>
                    <w:ind w:left="23" w:right="0"/>
                    <w:jc w:val="left"/>
                  </w:pPr>
                  <w:r>
                    <w:rPr/>
                    <w:t>运营项目之体验式商业项目</w:t>
                  </w:r>
                  <w:r>
                    <w:rPr>
                      <w:rFonts w:ascii="Times New Roman" w:hAnsi="Times New Roman" w:cs="Times New Roman" w:eastAsia="Times New Roman" w:hint="default"/>
                    </w:rPr>
                    <w:t>”</w:t>
                  </w:r>
                  <w:r>
                    <w:rPr/>
                    <w:t>投入金额为</w:t>
                  </w:r>
                  <w:r>
                    <w:rPr>
                      <w:spacing w:val="-53"/>
                    </w:rPr>
                    <w:t> </w:t>
                  </w:r>
                  <w:r>
                    <w:rPr>
                      <w:rFonts w:ascii="Times New Roman" w:hAnsi="Times New Roman" w:cs="Times New Roman" w:eastAsia="Times New Roman" w:hint="default"/>
                    </w:rPr>
                    <w:t>11,950,000.00</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基于智能技术的新商业运营项目之影院建设项目</w:t>
                  </w:r>
                  <w:r>
                    <w:rPr>
                      <w:rFonts w:ascii="Times New Roman" w:hAnsi="Times New Roman" w:cs="Times New Roman" w:eastAsia="Times New Roman" w:hint="default"/>
                    </w:rPr>
                    <w:t>”</w:t>
                  </w:r>
                  <w:r>
                    <w:rPr/>
                    <w:t>投入金额为</w:t>
                  </w:r>
                </w:p>
                <w:p>
                  <w:pPr>
                    <w:pStyle w:val="BodyText"/>
                    <w:spacing w:line="240" w:lineRule="auto" w:before="63"/>
                    <w:ind w:left="23" w:right="0"/>
                    <w:jc w:val="left"/>
                  </w:pPr>
                  <w:r>
                    <w:rPr>
                      <w:rFonts w:ascii="Times New Roman" w:hAnsi="Times New Roman" w:cs="Times New Roman" w:eastAsia="Times New Roman" w:hint="default"/>
                    </w:rPr>
                    <w:t>13,983,972.00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年度，募集资金账户利息收入</w:t>
                  </w:r>
                  <w:r>
                    <w:rPr>
                      <w:spacing w:val="-48"/>
                    </w:rPr>
                    <w:t> </w:t>
                  </w:r>
                  <w:r>
                    <w:rPr>
                      <w:rFonts w:ascii="Times New Roman" w:hAnsi="Times New Roman" w:cs="Times New Roman" w:eastAsia="Times New Roman" w:hint="default"/>
                    </w:rPr>
                    <w:t>2,629,995.05</w:t>
                  </w:r>
                  <w:r>
                    <w:rPr>
                      <w:rFonts w:ascii="Times New Roman" w:hAnsi="Times New Roman" w:cs="Times New Roman" w:eastAsia="Times New Roman" w:hint="default"/>
                      <w:spacing w:val="-2"/>
                    </w:rPr>
                    <w:t> </w:t>
                  </w:r>
                  <w:r>
                    <w:rPr/>
                    <w:t>元，补充流动资金归还</w:t>
                  </w:r>
                  <w:r>
                    <w:rPr>
                      <w:spacing w:val="-49"/>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其他收入</w:t>
                  </w:r>
                </w:p>
                <w:p>
                  <w:pPr>
                    <w:pStyle w:val="BodyText"/>
                    <w:spacing w:line="240" w:lineRule="auto" w:before="63"/>
                    <w:ind w:left="23" w:right="0"/>
                    <w:jc w:val="left"/>
                  </w:pPr>
                  <w:r>
                    <w:rPr>
                      <w:rFonts w:ascii="Times New Roman" w:hAnsi="Times New Roman" w:cs="Times New Roman" w:eastAsia="Times New Roman" w:hint="default"/>
                    </w:rPr>
                    <w:t>3,920,000.00</w:t>
                  </w:r>
                  <w:r>
                    <w:rPr>
                      <w:rFonts w:ascii="Times New Roman" w:hAnsi="Times New Roman" w:cs="Times New Roman" w:eastAsia="Times New Roman" w:hint="default"/>
                      <w:spacing w:val="-6"/>
                    </w:rPr>
                    <w:t> </w:t>
                  </w:r>
                  <w:r>
                    <w:rPr/>
                    <w:t>元、手续费支出</w:t>
                  </w:r>
                  <w:r>
                    <w:rPr>
                      <w:spacing w:val="-55"/>
                    </w:rPr>
                    <w:t> </w:t>
                  </w:r>
                  <w:r>
                    <w:rPr>
                      <w:rFonts w:ascii="Times New Roman" w:hAnsi="Times New Roman" w:cs="Times New Roman" w:eastAsia="Times New Roman" w:hint="default"/>
                    </w:rPr>
                    <w:t>3,290.15</w:t>
                  </w:r>
                  <w:r>
                    <w:rPr>
                      <w:rFonts w:ascii="Times New Roman" w:hAnsi="Times New Roman" w:cs="Times New Roman" w:eastAsia="Times New Roman" w:hint="default"/>
                      <w:spacing w:val="-6"/>
                    </w:rPr>
                    <w:t> </w:t>
                  </w:r>
                  <w:r>
                    <w:rPr/>
                    <w:t>元，补充流动资金支出</w:t>
                  </w:r>
                  <w:r>
                    <w:rPr>
                      <w:spacing w:val="-55"/>
                    </w:rPr>
                    <w:t> </w:t>
                  </w:r>
                  <w:r>
                    <w:rPr>
                      <w:rFonts w:ascii="Times New Roman" w:hAnsi="Times New Roman" w:cs="Times New Roman" w:eastAsia="Times New Roman" w:hint="default"/>
                    </w:rPr>
                    <w:t>197,694,289.43</w:t>
                  </w:r>
                  <w:r>
                    <w:rPr>
                      <w:rFonts w:ascii="Times New Roman" w:hAnsi="Times New Roman" w:cs="Times New Roman" w:eastAsia="Times New Roman" w:hint="default"/>
                      <w:spacing w:val="-6"/>
                    </w:rPr>
                    <w:t> </w:t>
                  </w:r>
                  <w:r>
                    <w:rPr/>
                    <w:t>元，其他支出</w:t>
                  </w:r>
                  <w:r>
                    <w:rPr>
                      <w:spacing w:val="-55"/>
                    </w:rPr>
                    <w:t> </w:t>
                  </w:r>
                  <w:r>
                    <w:rPr>
                      <w:rFonts w:ascii="Times New Roman" w:hAnsi="Times New Roman" w:cs="Times New Roman" w:eastAsia="Times New Roman" w:hint="default"/>
                    </w:rPr>
                    <w:t>1,590,000.00</w:t>
                  </w:r>
                  <w:r>
                    <w:rPr>
                      <w:rFonts w:ascii="Times New Roman" w:hAnsi="Times New Roman" w:cs="Times New Roman" w:eastAsia="Times New Roman" w:hint="default"/>
                      <w:spacing w:val="-6"/>
                    </w:rPr>
                    <w:t> </w:t>
                  </w:r>
                  <w:r>
                    <w:rPr/>
                    <w:t>元，项目投入金额</w:t>
                  </w:r>
                </w:p>
                <w:p>
                  <w:pPr>
                    <w:pStyle w:val="BodyText"/>
                    <w:spacing w:line="240" w:lineRule="auto" w:before="63"/>
                    <w:ind w:left="23" w:right="0"/>
                    <w:jc w:val="left"/>
                  </w:pPr>
                  <w:r>
                    <w:rPr>
                      <w:rFonts w:ascii="Times New Roman" w:hAnsi="Times New Roman" w:cs="Times New Roman" w:eastAsia="Times New Roman" w:hint="default"/>
                    </w:rPr>
                    <w:t>59,296,019.36</w:t>
                  </w:r>
                  <w:r>
                    <w:rPr>
                      <w:rFonts w:ascii="Times New Roman" w:hAnsi="Times New Roman" w:cs="Times New Roman" w:eastAsia="Times New Roman" w:hint="default"/>
                      <w:spacing w:val="-20"/>
                    </w:rPr>
                    <w:t> </w:t>
                  </w:r>
                  <w:r>
                    <w:rPr/>
                    <w:t>元，其中</w:t>
                  </w:r>
                  <w:r>
                    <w:rPr>
                      <w:rFonts w:ascii="Times New Roman" w:hAnsi="Times New Roman" w:cs="Times New Roman" w:eastAsia="Times New Roman" w:hint="default"/>
                    </w:rPr>
                    <w:t>“</w:t>
                  </w:r>
                  <w:r>
                    <w:rPr/>
                    <w:t>基于智慧城市的消费金融平台</w:t>
                  </w:r>
                  <w:r>
                    <w:rPr>
                      <w:rFonts w:ascii="Times New Roman" w:hAnsi="Times New Roman" w:cs="Times New Roman" w:eastAsia="Times New Roman" w:hint="default"/>
                    </w:rPr>
                    <w:t>”</w:t>
                  </w:r>
                  <w:r>
                    <w:rPr/>
                    <w:t>项目投入金额为</w:t>
                  </w:r>
                  <w:r>
                    <w:rPr>
                      <w:spacing w:val="-66"/>
                    </w:rPr>
                    <w:t> </w:t>
                  </w:r>
                  <w:r>
                    <w:rPr>
                      <w:rFonts w:ascii="Times New Roman" w:hAnsi="Times New Roman" w:cs="Times New Roman" w:eastAsia="Times New Roman" w:hint="default"/>
                    </w:rPr>
                    <w:t>1,549,403.66</w:t>
                  </w:r>
                  <w:r>
                    <w:rPr>
                      <w:rFonts w:ascii="Times New Roman" w:hAnsi="Times New Roman" w:cs="Times New Roman" w:eastAsia="Times New Roman" w:hint="default"/>
                      <w:spacing w:val="-20"/>
                    </w:rPr>
                    <w:t> </w:t>
                  </w:r>
                  <w:r>
                    <w:rPr/>
                    <w:t>元，</w:t>
                  </w:r>
                  <w:r>
                    <w:rPr>
                      <w:rFonts w:ascii="Times New Roman" w:hAnsi="Times New Roman" w:cs="Times New Roman" w:eastAsia="Times New Roman" w:hint="default"/>
                    </w:rPr>
                    <w:t>“</w:t>
                  </w:r>
                  <w:r>
                    <w:rPr/>
                    <w:t>基于智能技术的新商业运营项目</w:t>
                  </w:r>
                </w:p>
                <w:p>
                  <w:pPr>
                    <w:pStyle w:val="BodyText"/>
                    <w:spacing w:line="240" w:lineRule="auto" w:before="63"/>
                    <w:ind w:left="23" w:right="0"/>
                    <w:jc w:val="left"/>
                  </w:pPr>
                  <w:r>
                    <w:rPr/>
                    <w:t>之体验式商业项目</w:t>
                  </w:r>
                  <w:r>
                    <w:rPr>
                      <w:rFonts w:ascii="Times New Roman" w:hAnsi="Times New Roman" w:cs="Times New Roman" w:eastAsia="Times New Roman" w:hint="default"/>
                    </w:rPr>
                    <w:t>”</w:t>
                  </w:r>
                  <w:r>
                    <w:rPr/>
                    <w:t>投入金额为</w:t>
                  </w:r>
                  <w:r>
                    <w:rPr>
                      <w:spacing w:val="-50"/>
                    </w:rPr>
                    <w:t> </w:t>
                  </w:r>
                  <w:r>
                    <w:rPr>
                      <w:rFonts w:ascii="Times New Roman" w:hAnsi="Times New Roman" w:cs="Times New Roman" w:eastAsia="Times New Roman" w:hint="default"/>
                    </w:rPr>
                    <w:t>7,412,019.81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基于智能技术的新商业运营项目之影院建设项目</w:t>
                  </w:r>
                  <w:r>
                    <w:rPr>
                      <w:rFonts w:ascii="Times New Roman" w:hAnsi="Times New Roman" w:cs="Times New Roman" w:eastAsia="Times New Roman" w:hint="default"/>
                    </w:rPr>
                    <w:t>”</w:t>
                  </w:r>
                  <w:r>
                    <w:rPr/>
                    <w:t>投入金额为</w:t>
                  </w:r>
                </w:p>
                <w:p>
                  <w:pPr>
                    <w:pStyle w:val="BodyText"/>
                    <w:spacing w:line="240" w:lineRule="auto" w:before="63"/>
                    <w:ind w:left="23" w:right="0"/>
                    <w:jc w:val="left"/>
                    <w:rPr>
                      <w:rFonts w:ascii="Times New Roman" w:hAnsi="Times New Roman" w:cs="Times New Roman" w:eastAsia="Times New Roman" w:hint="default"/>
                    </w:rPr>
                  </w:pPr>
                  <w:r>
                    <w:rPr>
                      <w:rFonts w:ascii="Times New Roman" w:hAnsi="Times New Roman" w:cs="Times New Roman" w:eastAsia="Times New Roman" w:hint="default"/>
                    </w:rPr>
                    <w:t>50,334,595.89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年度，募集资金账户利息收入</w:t>
                  </w:r>
                  <w:r>
                    <w:rPr>
                      <w:spacing w:val="-48"/>
                    </w:rPr>
                    <w:t> </w:t>
                  </w:r>
                  <w:r>
                    <w:rPr>
                      <w:rFonts w:ascii="Times New Roman" w:hAnsi="Times New Roman" w:cs="Times New Roman" w:eastAsia="Times New Roman" w:hint="default"/>
                    </w:rPr>
                    <w:t>159,532.42</w:t>
                  </w:r>
                  <w:r>
                    <w:rPr>
                      <w:rFonts w:ascii="Times New Roman" w:hAnsi="Times New Roman" w:cs="Times New Roman" w:eastAsia="Times New Roman" w:hint="default"/>
                      <w:spacing w:val="-2"/>
                    </w:rPr>
                    <w:t> </w:t>
                  </w:r>
                  <w:r>
                    <w:rPr/>
                    <w:t>元，手续费支出</w:t>
                  </w:r>
                  <w:r>
                    <w:rPr>
                      <w:spacing w:val="-49"/>
                    </w:rPr>
                    <w:t> </w:t>
                  </w:r>
                  <w:r>
                    <w:rPr>
                      <w:rFonts w:ascii="Times New Roman" w:hAnsi="Times New Roman" w:cs="Times New Roman" w:eastAsia="Times New Roman" w:hint="default"/>
                    </w:rPr>
                    <w:t>635.00</w:t>
                  </w:r>
                  <w:r>
                    <w:rPr>
                      <w:rFonts w:ascii="Times New Roman" w:hAnsi="Times New Roman" w:cs="Times New Roman" w:eastAsia="Times New Roman" w:hint="default"/>
                      <w:spacing w:val="-2"/>
                    </w:rPr>
                    <w:t> </w:t>
                  </w:r>
                  <w:r>
                    <w:rPr/>
                    <w:t>元，项目投入金额</w:t>
                  </w:r>
                  <w:r>
                    <w:rPr>
                      <w:spacing w:val="-48"/>
                    </w:rPr>
                    <w:t> </w:t>
                  </w:r>
                  <w:r>
                    <w:rPr>
                      <w:rFonts w:ascii="Times New Roman" w:hAnsi="Times New Roman" w:cs="Times New Roman" w:eastAsia="Times New Roman" w:hint="default"/>
                    </w:rPr>
                    <w:t>15,330,191.99</w:t>
                  </w:r>
                </w:p>
                <w:p>
                  <w:pPr>
                    <w:pStyle w:val="BodyText"/>
                    <w:spacing w:line="240" w:lineRule="auto" w:before="63"/>
                    <w:ind w:left="23" w:right="0"/>
                    <w:jc w:val="left"/>
                    <w:rPr>
                      <w:rFonts w:ascii="Times New Roman" w:hAnsi="Times New Roman" w:cs="Times New Roman" w:eastAsia="Times New Roman" w:hint="default"/>
                    </w:rPr>
                  </w:pPr>
                  <w:r>
                    <w:rPr/>
                    <w:t>元，均为</w:t>
                  </w:r>
                  <w:r>
                    <w:rPr>
                      <w:spacing w:val="-8"/>
                    </w:rPr>
                    <w:t> </w:t>
                  </w:r>
                  <w:r>
                    <w:rPr>
                      <w:rFonts w:ascii="Times New Roman" w:hAnsi="Times New Roman" w:cs="Times New Roman" w:eastAsia="Times New Roman" w:hint="default"/>
                    </w:rPr>
                    <w:t>“</w:t>
                  </w:r>
                  <w:r>
                    <w:rPr/>
                    <w:t>基于智能技术的新商业运营项目之影院建设项目</w:t>
                  </w:r>
                  <w:r>
                    <w:rPr>
                      <w:rFonts w:ascii="Times New Roman" w:hAnsi="Times New Roman" w:cs="Times New Roman" w:eastAsia="Times New Roman" w:hint="default"/>
                    </w:rPr>
                    <w:t>”</w:t>
                  </w:r>
                  <w:r>
                    <w:rPr/>
                    <w:t>投入，补充流动资金金额</w:t>
                  </w:r>
                  <w:r>
                    <w:rPr>
                      <w:spacing w:val="-50"/>
                    </w:rPr>
                    <w:t> </w:t>
                  </w:r>
                  <w:r>
                    <w:rPr>
                      <w:rFonts w:ascii="Times New Roman" w:hAnsi="Times New Roman" w:cs="Times New Roman" w:eastAsia="Times New Roman" w:hint="default"/>
                    </w:rPr>
                    <w:t>116,001,761.05</w:t>
                  </w:r>
                  <w:r>
                    <w:rPr>
                      <w:rFonts w:ascii="Times New Roman" w:hAnsi="Times New Roman" w:cs="Times New Roman" w:eastAsia="Times New Roman" w:hint="default"/>
                      <w:spacing w:val="-2"/>
                    </w:rPr>
                    <w:t> </w:t>
                  </w:r>
                  <w:r>
                    <w:rPr/>
                    <w:t>元。截止</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p>
                <w:p>
                  <w:pPr>
                    <w:pStyle w:val="BodyText"/>
                    <w:spacing w:line="240" w:lineRule="auto" w:before="63"/>
                    <w:ind w:left="23" w:right="0"/>
                    <w:jc w:val="left"/>
                  </w:pPr>
                  <w:r>
                    <w:rPr/>
                    <w:t>月</w:t>
                  </w:r>
                  <w:r>
                    <w:rPr>
                      <w:spacing w:val="-45"/>
                    </w:rPr>
                    <w:t> </w:t>
                  </w:r>
                  <w:r>
                    <w:rPr>
                      <w:rFonts w:ascii="Times New Roman" w:hAnsi="Times New Roman" w:cs="Times New Roman" w:eastAsia="Times New Roman" w:hint="default"/>
                    </w:rPr>
                    <w:t>31 </w:t>
                  </w:r>
                  <w:r>
                    <w:rPr/>
                    <w:t>日，本公司剩余募集资金已永久补充流动资金，募集资金专户已全部销户。</w:t>
                  </w:r>
                </w:p>
              </w:txbxContent>
            </v:textbox>
          </v:shape>
        </w:pict>
      </w:r>
      <w:r>
        <w:rPr>
          <w:rFonts w:ascii="宋体" w:hAnsi="宋体" w:cs="宋体" w:eastAsia="宋体" w:hint="default"/>
          <w:position w:val="-106"/>
          <w:sz w:val="20"/>
          <w:szCs w:val="20"/>
        </w:rPr>
      </w:r>
    </w:p>
    <w:p>
      <w:pPr>
        <w:spacing w:line="240" w:lineRule="auto" w:before="8"/>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8"/>
        <w:gridCol w:w="727"/>
      </w:tblGrid>
      <w:tr>
        <w:trPr>
          <w:trHeight w:val="1650"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4"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基于智 慧城市 的互联 网金融 平台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68,326.82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11,711.91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17.14%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-767.57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补充营 运流动 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70,181.4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募集资 金置换</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9,563.06</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138,326.82</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91,456.37</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-767.57</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225.859985pt;width:442.05pt;height:15.6pt;mso-position-horizontal-relative:page;mso-position-vertical-relative:page;z-index:-1129936" coordorigin="1860,4517" coordsize="8841,312">
            <v:shape style="position:absolute;left:1860;top:4517;width:8841;height:312" coordorigin="1860,4517" coordsize="8841,312" path="m1860,4829l10701,4829,10701,4517,1860,4517,1860,482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8"/>
        <w:gridCol w:w="727"/>
      </w:tblGrid>
      <w:tr>
        <w:trPr>
          <w:trHeight w:val="40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8" w:right="0"/>
              <w:jc w:val="left"/>
              <w:rPr>
                <w:rFonts w:ascii="Times New Roman" w:hAnsi="Times New Roman" w:cs="Times New Roman" w:eastAsia="Times New Roman" w:hint="default"/>
                <w:sz w:val="18"/>
                <w:szCs w:val="18"/>
              </w:rPr>
            </w:pPr>
            <w:r>
              <w:rPr>
                <w:rFonts w:ascii="Times New Roman"/>
                <w:sz w:val="18"/>
              </w:rPr>
              <w:t>240,000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138,326.82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91,456.37</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2" w:right="0"/>
              <w:jc w:val="left"/>
              <w:rPr>
                <w:rFonts w:ascii="Times New Roman" w:hAnsi="Times New Roman" w:cs="Times New Roman" w:eastAsia="Times New Roman" w:hint="default"/>
                <w:sz w:val="18"/>
                <w:szCs w:val="18"/>
              </w:rPr>
            </w:pPr>
            <w:r>
              <w:rPr>
                <w:rFonts w:ascii="Times New Roman"/>
                <w:sz w:val="18"/>
              </w:rPr>
              <w:t>-767.57</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2585"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31"/>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42.05pt;height:15.6pt;mso-position-horizontal-relative:char;mso-position-vertical-relative:line" coordorigin="0,0" coordsize="8841,312">
                  <v:group style="position:absolute;left:0;top:0;width:8841;height:312" coordorigin="0,0" coordsize="8841,312">
                    <v:shape style="position:absolute;left:0;top:0;width:8841;height:312" coordorigin="0,0" coordsize="8841,312" path="m0,312l8841,312,884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307" w:lineRule="auto" w:before="49"/>
              <w:ind w:left="24" w:right="-6"/>
              <w:jc w:val="both"/>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年政策法规变化较多，公司为满足合规合法运营，进行了大量合规改造，优先实施</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 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中的网络消费贷平台项目，对于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P2G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项目和互联网金融大数据中心建设项目暂缓实施，造成项目 </w:t>
            </w:r>
            <w:r>
              <w:rPr>
                <w:rFonts w:ascii="宋体" w:hAnsi="宋体" w:cs="宋体" w:eastAsia="宋体" w:hint="default"/>
                <w:spacing w:val="-1"/>
                <w:sz w:val="18"/>
                <w:szCs w:val="18"/>
              </w:rPr>
              <w:t>实施进度缓慢，未达到预期。公司对当前监管环境和市场环境进行分析后，认为政策仍存在不确定性，考虑市场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变化，部分项目可行性与预期有一定的变化，为提高募集资金使用效率，公司对募集资金投资项目进行了变更， </w:t>
            </w:r>
            <w:r>
              <w:rPr>
                <w:rFonts w:ascii="宋体" w:hAnsi="宋体" w:cs="宋体" w:eastAsia="宋体" w:hint="default"/>
                <w:spacing w:val="-2"/>
                <w:sz w:val="18"/>
                <w:szCs w:val="18"/>
              </w:rPr>
              <w:t>将原募投项目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基于智慧城市的互联网金融平台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基于智慧城市的消费金融平台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基于智能技术的新商业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运营项目之体验式商业项目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基于智能技术的新商业运营项目之影院建设项目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964"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由于国家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政策发生变化，</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中涉及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P2G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部分尚未启动实施。</w:t>
            </w:r>
          </w:p>
        </w:tc>
      </w:tr>
      <w:tr>
        <w:trPr>
          <w:trHeight w:val="401"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8848"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723" w:type="dxa"/>
            <w:vMerge/>
            <w:tcBorders>
              <w:left w:val="single" w:sz="4" w:space="0" w:color="000000"/>
              <w:right w:val="single" w:sz="4" w:space="0" w:color="000000"/>
            </w:tcBorders>
            <w:shd w:val="clear" w:color="auto" w:fill="D2D2D2"/>
          </w:tcPr>
          <w:p>
            <w:pP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3"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日，公司第二届董事会第六十三次会议、公司第二届监事会第三十五次会议，审议通过了《关于 </w:t>
            </w:r>
            <w:r>
              <w:rPr>
                <w:rFonts w:ascii="宋体" w:hAnsi="宋体" w:cs="宋体" w:eastAsia="宋体" w:hint="default"/>
                <w:spacing w:val="-2"/>
                <w:sz w:val="18"/>
                <w:szCs w:val="18"/>
              </w:rPr>
              <w:t>变更部分募集资金投资项目实施地点的议案》，为利于集中优势资源、减少中间环节，提高公司营运效率、降低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经营成本，为利于加快募集资金投资项目的实施进度、提高募集资金的使用效率，公司将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基于智慧城市的互联 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的建设地点由杭州市变更为北京和杭州两地实施，公司独立董事对此发表了独立意见，保荐机构发 </w:t>
            </w:r>
            <w:r>
              <w:rPr>
                <w:rFonts w:ascii="宋体" w:hAnsi="宋体" w:cs="宋体" w:eastAsia="宋体" w:hint="default"/>
                <w:spacing w:val="-8"/>
                <w:sz w:val="18"/>
                <w:szCs w:val="18"/>
              </w:rPr>
              <w:t>表了核查意见，具体详见公司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日刊登在中国证监会指定信息披露网站巨潮资讯网上的专项公告《关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于变更部分募集资金投资项目实施地点的公告》。</w:t>
            </w:r>
          </w:p>
        </w:tc>
      </w:tr>
      <w:tr>
        <w:trPr>
          <w:trHeight w:val="401"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3" w:type="dxa"/>
            <w:vMerge/>
            <w:tcBorders>
              <w:left w:val="single" w:sz="4" w:space="0" w:color="000000"/>
              <w:right w:val="single" w:sz="4" w:space="0" w:color="000000"/>
            </w:tcBorders>
            <w:shd w:val="clear" w:color="auto" w:fill="D2D2D2"/>
          </w:tcPr>
          <w:p>
            <w:pPr/>
          </w:p>
        </w:tc>
        <w:tc>
          <w:tcPr>
            <w:tcW w:w="8848" w:type="dxa"/>
            <w:gridSpan w:val="11"/>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8848"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98"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为加快募集资金投资项目的建设进度，公司先期已投入自筹资金进行项目建设，截至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使用自筹资金预先投入募集资金投资项目的实际投资金额为人民币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且</w:t>
            </w:r>
            <w:r>
              <w:rPr>
                <w:rFonts w:ascii="宋体" w:hAnsi="宋体" w:cs="宋体" w:eastAsia="宋体" w:hint="default"/>
                <w:spacing w:val="-3"/>
                <w:sz w:val="18"/>
                <w:szCs w:val="18"/>
              </w:rPr>
              <w:t>在</w:t>
            </w:r>
            <w:r>
              <w:rPr>
                <w:rFonts w:ascii="宋体" w:hAnsi="宋体" w:cs="宋体" w:eastAsia="宋体" w:hint="default"/>
                <w:sz w:val="18"/>
                <w:szCs w:val="18"/>
              </w:rPr>
              <w:t>此之前未使用非公开发</w:t>
            </w:r>
          </w:p>
          <w:p>
            <w:pPr>
              <w:pStyle w:val="TableParagraph"/>
              <w:spacing w:line="300" w:lineRule="auto" w:before="63"/>
              <w:ind w:left="24" w:right="36"/>
              <w:jc w:val="left"/>
              <w:rPr>
                <w:rFonts w:ascii="宋体" w:hAnsi="宋体" w:cs="宋体" w:eastAsia="宋体" w:hint="default"/>
                <w:sz w:val="18"/>
                <w:szCs w:val="18"/>
              </w:rPr>
            </w:pPr>
            <w:r>
              <w:rPr>
                <w:rFonts w:ascii="宋体" w:hAnsi="宋体" w:cs="宋体" w:eastAsia="宋体" w:hint="default"/>
                <w:sz w:val="18"/>
                <w:szCs w:val="18"/>
              </w:rPr>
              <w:t>行股票募集资金置换已预先投入的自筹资金。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日召开的公司第二届董事会第六十六次会议、第二 </w:t>
            </w:r>
            <w:r>
              <w:rPr>
                <w:rFonts w:ascii="宋体" w:hAnsi="宋体" w:cs="宋体" w:eastAsia="宋体" w:hint="default"/>
                <w:spacing w:val="-2"/>
                <w:sz w:val="18"/>
                <w:szCs w:val="18"/>
              </w:rPr>
              <w:t>届监事会第三十六次会议审议通过了《关于使用募集资金置换预先已投入募投项目自筹资金的议案》，同意使用</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67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募集资金 </w:t>
            </w:r>
            <w:r>
              <w:rPr>
                <w:rFonts w:ascii="Times New Roman" w:hAnsi="Times New Roman" w:cs="Times New Roman" w:eastAsia="Times New Roman" w:hint="default"/>
                <w:sz w:val="18"/>
                <w:szCs w:val="18"/>
              </w:rPr>
              <w:t>95,630,647.58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元置换预先已投入募投项目的自筹资金，因此公司使用非公开发行股票募集资金人民币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95,630,647.58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元进行置换已预先投入的自筹资金。</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日，公司第三届董事会第十三次会议、第三届监事会第六次会议审议通过了《关于使用部分闲置 </w:t>
            </w:r>
            <w:r>
              <w:rPr>
                <w:rFonts w:ascii="宋体" w:hAnsi="宋体" w:cs="宋体" w:eastAsia="宋体" w:hint="default"/>
                <w:spacing w:val="-2"/>
                <w:sz w:val="18"/>
                <w:szCs w:val="18"/>
              </w:rPr>
              <w:t>募集资金暂时补充流动资金的议案》，同意公司在保证募集资金投资项目建设的资金需求以及募集资金投资项目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正常进行的前提下，使用闲置募集资金人民币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亿元暂时补充公司流动资金。使用期限为自公司董事会审议通过</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之日起不超过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个月。公司实际使用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亿元募集资金补充流动资金，已于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年归还至募集资金专户，使用期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限为自公司董事会审议通过之日起未超过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日，公司召开了第三届董事会第三十一次会议、第三届监事会第二十次会议、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w:t>
            </w:r>
            <w:r>
              <w:rPr>
                <w:rFonts w:ascii="宋体" w:hAnsi="宋体" w:cs="宋体" w:eastAsia="宋体" w:hint="default"/>
                <w:spacing w:val="-3"/>
                <w:sz w:val="18"/>
                <w:szCs w:val="18"/>
              </w:rPr>
              <w:t>股东大会，审议通过了《关于终止募集资金投资项目并将剩余募集资金永久补充流动资金的议案》，同意终止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w:t>
            </w:r>
            <w:r>
              <w:rPr>
                <w:rFonts w:ascii="宋体" w:hAnsi="宋体" w:cs="宋体" w:eastAsia="宋体" w:hint="default"/>
                <w:spacing w:val="-54"/>
                <w:sz w:val="18"/>
                <w:szCs w:val="18"/>
              </w:rPr>
              <w:t> </w:t>
            </w:r>
            <w:r>
              <w:rPr>
                <w:rFonts w:ascii="宋体" w:hAnsi="宋体" w:cs="宋体" w:eastAsia="宋体" w:hint="default"/>
                <w:sz w:val="18"/>
                <w:szCs w:val="18"/>
              </w:rPr>
              <w:t>于智能技术的新商业运营项目之影院建设项目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，并将剩余募集资金永久补充公司流动资金。</w:t>
            </w: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基于智慧城 市的消费金 融平台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基于智慧城 市的互联网 金融平台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10,939.22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7,501.57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68.58%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基于智能技 术的新商业 运营项目之 体验式商业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0" w:right="1150"/>
        <w:jc w:val="right"/>
      </w:pPr>
      <w:r>
        <w:rPr/>
        <w:pict>
          <v:shape style="position:absolute;margin-left:56.459999pt;margin-top:-246.298279pt;width:479.35pt;height:645.9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36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基于智能技 术的新商业 运营项目之 影院建设项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1,533.02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7,964.88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41.20%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46,269.22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1,533.02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17,402.65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45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年度国家对互联网金融领域以及政府融资加大了调控和监管，政策法规变 </w:t>
                        </w:r>
                        <w:r>
                          <w:rPr>
                            <w:rFonts w:ascii="宋体" w:hAnsi="宋体" w:cs="宋体" w:eastAsia="宋体" w:hint="default"/>
                            <w:spacing w:val="-1"/>
                            <w:sz w:val="18"/>
                            <w:szCs w:val="18"/>
                          </w:rPr>
                          <w:t>化较多，市场环境发生了较大变化，对互联网金融和消费金融行业的发展提出了较多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挑战，公司对行业所处市场环境、监管环境进行分析后，认为目前虽然存在一些政策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的不确定性和市场变化，部分项目可行性与预期方案也存在一定的变化可能性，但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w:t>
                        </w:r>
                        <w:r>
                          <w:rPr>
                            <w:rFonts w:ascii="宋体" w:hAnsi="宋体" w:cs="宋体" w:eastAsia="宋体" w:hint="default"/>
                            <w:spacing w:val="-74"/>
                            <w:sz w:val="18"/>
                            <w:szCs w:val="18"/>
                          </w:rPr>
                          <w:t> </w:t>
                        </w:r>
                        <w:r>
                          <w:rPr>
                            <w:rFonts w:ascii="宋体" w:hAnsi="宋体" w:cs="宋体" w:eastAsia="宋体" w:hint="default"/>
                            <w:sz w:val="18"/>
                            <w:szCs w:val="18"/>
                          </w:rPr>
                          <w:t>于智慧城市的互联网金融平台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中的网络消费贷平台项目依然具有可行的市场环境和 </w:t>
                        </w:r>
                        <w:r>
                          <w:rPr>
                            <w:rFonts w:ascii="宋体" w:hAnsi="宋体" w:cs="宋体" w:eastAsia="宋体" w:hint="default"/>
                            <w:spacing w:val="-1"/>
                            <w:sz w:val="18"/>
                            <w:szCs w:val="18"/>
                          </w:rPr>
                          <w:t>政策环境，同时对上市公司目前线上线下一体化的流量变现体系建设有较强的助推作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用。综合考虑后，公司根据实际变化进行的适当调整，拟将原募投项目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 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基于智慧城市的消费金融平台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 业运营项目之体验式商业项目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基于智能技术的新商业运营项目之影院建设项目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1"/>
                            <w:sz w:val="18"/>
                            <w:szCs w:val="18"/>
                          </w:rPr>
                          <w:t>此次变更募投项目经公司第三届董事会第四次会议、第三届监事会第二次会议、</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pacing w:val="-1"/>
                            <w:sz w:val="18"/>
                            <w:szCs w:val="18"/>
                          </w:rPr>
                          <w:t>年第九次临时股东大会审议通过，独立董事对此次变更发表明确同意意见，保荐机构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发表核查意见。具体详见公司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日刊登在中国证监会指定信息披露网站 </w:t>
                        </w:r>
                        <w:r>
                          <w:rPr>
                            <w:rFonts w:ascii="宋体" w:hAnsi="宋体" w:cs="宋体" w:eastAsia="宋体" w:hint="default"/>
                            <w:spacing w:val="-1"/>
                            <w:sz w:val="18"/>
                            <w:szCs w:val="18"/>
                          </w:rPr>
                          <w:t>巨潮资讯网上的专项公告《关于公司变更募集资金项目并缩减投资项目总体规模的公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告</w:t>
                        </w:r>
                        <w:r>
                          <w:rPr>
                            <w:rFonts w:ascii="宋体" w:hAnsi="宋体" w:cs="宋体" w:eastAsia="宋体"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020"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基于智慧城市的消费金融平台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项目因受国家互联网金融政策影响，相关业务暂缓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开展，未能达到计划进度和预计收益。已于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月终止实施。 </w:t>
                        </w:r>
                        <w:r>
                          <w:rPr>
                            <w:rFonts w:ascii="Times New Roman" w:hAnsi="Times New Roman" w:cs="Times New Roman" w:eastAsia="Times New Roman" w:hint="default"/>
                            <w:spacing w:val="-3"/>
                            <w:w w:val="100"/>
                            <w:sz w:val="18"/>
                            <w:szCs w:val="18"/>
                          </w:rPr>
                          <w:t>2</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基于智能技术的新商业运营项目之体验式商业项目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中已承租的杭州市下城区国有</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投资控股有限公司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期项目因地方政府招商引资需要，项目进展缓慢，因此未能达到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计划进度和预计收益，已于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月终止实施。</w:t>
                        </w:r>
                      </w:p>
                      <w:p>
                        <w:pPr>
                          <w:pStyle w:val="TableParagraph"/>
                          <w:spacing w:line="312" w:lineRule="auto" w:before="142"/>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基于智能技术的新商业运营项目之影院建设项目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由于市场形势发生剧烈变化，项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目预期收益发生变化，电影市场发展出现转账，市场竞争明显加剧，项目的盈利预期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存在一定的不确定性。项目实施难度增加，项目严重滞后。由于影院选址，商业谈判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装修建设等实际耗费时间较长，计划进度严重滞后，导致募投项目资金投入严重滞后</w:t>
                        </w:r>
                      </w:p>
                    </w:tc>
                  </w:tr>
                  <w:tr>
                    <w:trPr>
                      <w:trHeight w:val="301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基于智慧城市的消费金融平台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项目因受国家互联网金融政策影响，相关业务暂缓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开展，未能达到预计收益，已于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月终止实施。</w:t>
                        </w:r>
                      </w:p>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3"/>
                            <w:w w:val="100"/>
                            <w:sz w:val="18"/>
                            <w:szCs w:val="18"/>
                          </w:rPr>
                          <w:t>2</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基于智能技术的新商业运营项目之体验式商业项目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中已承租的杭州市下城区国有</w:t>
                        </w:r>
                        <w:r>
                          <w:rPr>
                            <w:rFonts w:ascii="宋体" w:hAnsi="宋体" w:cs="宋体" w:eastAsia="宋体" w:hint="default"/>
                            <w:spacing w:val="-64"/>
                            <w:w w:val="100"/>
                            <w:sz w:val="18"/>
                            <w:szCs w:val="18"/>
                          </w:rPr>
                          <w:t> </w:t>
                        </w:r>
                        <w:r>
                          <w:rPr>
                            <w:rFonts w:ascii="宋体" w:hAnsi="宋体" w:cs="宋体" w:eastAsia="宋体" w:hint="default"/>
                            <w:sz w:val="18"/>
                            <w:szCs w:val="18"/>
                          </w:rPr>
                          <w:t>投资控股有限公司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期项目因地方政府招商引资需要，项目进展缓慢，因此未能达到</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计划进度和预计收益，已于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月终止实施。</w:t>
                        </w:r>
                      </w:p>
                      <w:p>
                        <w:pPr>
                          <w:pStyle w:val="TableParagraph"/>
                          <w:spacing w:line="307" w:lineRule="auto" w:before="145"/>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基于智能技术的新商业运营项目之影院建设项目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由于市场形势发生剧烈变化，项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目预期收益发生变化，电影市场发展出现转账，市场竞争明显加剧，项目的盈利预期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也存在一定的不确定性，项目实施难度增加，项目严重滞后。已于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月终止 实施。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0" w:right="1134"/>
        <w:jc w:val="right"/>
      </w:pPr>
      <w:r>
        <w:rPr/>
        <w:t>，</w:t>
      </w:r>
    </w:p>
    <w:p>
      <w:pPr>
        <w:pStyle w:val="BodyText"/>
        <w:spacing w:line="240" w:lineRule="auto" w:before="76"/>
        <w:ind w:left="0" w:right="1137"/>
        <w:jc w:val="right"/>
      </w:pPr>
      <w:r>
        <w:rPr/>
        <w:t>。</w:t>
      </w:r>
    </w:p>
    <w:p>
      <w:pPr>
        <w:spacing w:after="0" w:line="240" w:lineRule="auto"/>
        <w:jc w:val="righ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pict>
          <v:shape style="position:absolute;margin-left:85.584pt;margin-top:37.751717pt;width:83.4pt;height:331.75pt;mso-position-horizontal-relative:page;mso-position-vertical-relative:paragraph;z-index:-1129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before="0"/>
                    <w:ind w:left="0" w:right="0"/>
                    <w:jc w:val="left"/>
                  </w:pPr>
                  <w:r>
                    <w:rPr/>
                    <w:t>公司，</w:t>
                  </w:r>
                </w:p>
              </w:txbxContent>
            </v:textbox>
            <w10:wrap type="none"/>
          </v:shape>
        </w:pict>
      </w:r>
      <w:r>
        <w:rPr/>
        <w:pict>
          <v:group style="position:absolute;margin-left:109.699997pt;margin-top:37.751717pt;width:59.3pt;height:331.75pt;mso-position-horizontal-relative:page;mso-position-vertical-relative:paragraph;z-index:-1129864" coordorigin="2194,755" coordsize="1186,6635">
            <v:group style="position:absolute;left:2194;top:755;width:1186;height:6635" coordorigin="2194,755" coordsize="1186,6635">
              <v:shape style="position:absolute;left:2194;top:755;width:1186;height:6635" coordorigin="2194,755" coordsize="1186,6635" path="m2194,7390l3380,7390,3380,755,2194,755,2194,7390xe" filled="true" fillcolor="#ffffff" stroked="false">
                <v:path arrowok="t"/>
                <v:fill type="solid"/>
              </v:shape>
            </v:group>
            <v:group style="position:absolute;left:2216;top:3875;width:1140;height:394" coordorigin="2216,3875" coordsize="1140,394">
              <v:shape style="position:absolute;left:2216;top:3875;width:1140;height:394" coordorigin="2216,3875" coordsize="1140,394" path="m2216,4269l3356,4269,3356,3875,2216,3875,2216,4269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664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微贷（杭州 金融信息服 务有限公司</w:t>
            </w:r>
          </w:p>
          <w:p>
            <w:pPr>
              <w:pStyle w:val="TableParagraph"/>
              <w:spacing w:line="300" w:lineRule="auto" w:before="19"/>
              <w:ind w:left="24" w:right="182"/>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Weidai</w:t>
            </w:r>
            <w:r>
              <w:rPr>
                <w:rFonts w:ascii="Times New Roman" w:hAnsi="Times New Roman" w:cs="Times New Roman" w:eastAsia="Times New Roman" w:hint="default"/>
                <w:sz w:val="18"/>
                <w:szCs w:val="18"/>
              </w:rPr>
              <w:t> Ltd.</w:t>
            </w:r>
            <w:r>
              <w:rPr>
                <w:rFonts w:ascii="宋体" w:hAnsi="宋体" w:cs="宋体" w:eastAsia="宋体" w:hint="default"/>
                <w:sz w:val="18"/>
                <w:szCs w:val="18"/>
              </w:rPr>
              <w:t>系其境 外</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VIE</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详见说明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服务：金融 信息服务</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（法律法规 规定需前置 审批的项目 </w:t>
            </w:r>
            <w:r>
              <w:rPr>
                <w:rFonts w:ascii="宋体" w:hAnsi="宋体" w:cs="宋体" w:eastAsia="宋体" w:hint="default"/>
                <w:spacing w:val="-16"/>
                <w:sz w:val="18"/>
                <w:szCs w:val="18"/>
              </w:rPr>
              <w:t>除外），投资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管理及咨询 服务、实业 投资（未经 金融等监管 部门批准， 不得从事向 公众融资存 款、融资担 保、代客理 财等金融服 </w:t>
            </w:r>
            <w:r>
              <w:rPr>
                <w:rFonts w:ascii="宋体" w:hAnsi="宋体" w:cs="宋体" w:eastAsia="宋体" w:hint="default"/>
                <w:spacing w:val="-16"/>
                <w:sz w:val="18"/>
                <w:szCs w:val="18"/>
              </w:rPr>
              <w:t>务），计算机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软件的技术 开发、技术 咨询、技术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128,099,790.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4,336,755,44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3.76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2,676,468,57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3,457,321,27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525,506,685.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423,030,736.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94</w:t>
            </w: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浙江汉鼎宇 佑金融服务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服务：接受 金融机构委 托从事金融 业务流程外 包、金融信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479,968,170.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480,068,016.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138,978,010.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4,258,015.29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-603,377,336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-605,025,181</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1003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息技术外 包，计算机 软件的技术 服务、技术 咨询、技术 开发、成果 转让，投资 管理，投资 咨询（除证 </w:t>
            </w:r>
            <w:r>
              <w:rPr>
                <w:rFonts w:ascii="宋体" w:hAnsi="宋体" w:cs="宋体" w:eastAsia="宋体" w:hint="default"/>
                <w:spacing w:val="-16"/>
                <w:sz w:val="18"/>
                <w:szCs w:val="18"/>
              </w:rPr>
              <w:t>券、期货），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经济信息咨 询，财务管 理咨询（除 </w:t>
            </w:r>
            <w:r>
              <w:rPr>
                <w:rFonts w:ascii="宋体" w:hAnsi="宋体" w:cs="宋体" w:eastAsia="宋体" w:hint="default"/>
                <w:spacing w:val="-16"/>
                <w:sz w:val="18"/>
                <w:szCs w:val="18"/>
              </w:rPr>
              <w:t>代理记帐），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企业管理咨 询，商务信 息咨询，自 有房屋租 </w:t>
            </w:r>
            <w:r>
              <w:rPr>
                <w:rFonts w:ascii="宋体" w:hAnsi="宋体" w:cs="宋体" w:eastAsia="宋体" w:hint="default"/>
                <w:spacing w:val="-16"/>
                <w:sz w:val="18"/>
                <w:szCs w:val="18"/>
              </w:rPr>
              <w:t>赁。（未经金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融等监管部 门批准，不 得从事向公 众融资存 款、融资担 保、代客理 财等金融服 </w:t>
            </w:r>
            <w:r>
              <w:rPr>
                <w:rFonts w:ascii="宋体" w:hAnsi="宋体" w:cs="宋体" w:eastAsia="宋体" w:hint="default"/>
                <w:spacing w:val="-16"/>
                <w:sz w:val="18"/>
                <w:szCs w:val="18"/>
              </w:rPr>
              <w:t>务）（依法须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汉鼎国际发 展有限公司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境外投资并 购，智慧城 市项目产品 进出口及结 算</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418,506,274.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158,786,484.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97,109,748.3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97,109,748.3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广东汉鼎蜂助手网络技术有限公司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与关联方共同投资设立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主要控股参股公司情况说明</w:t>
      </w:r>
    </w:p>
    <w:p>
      <w:pPr>
        <w:pStyle w:val="BodyText"/>
        <w:spacing w:line="309" w:lineRule="auto" w:before="117"/>
        <w:ind w:right="986"/>
        <w:jc w:val="left"/>
      </w:pPr>
      <w:r>
        <w:rPr>
          <w:spacing w:val="-2"/>
        </w:rPr>
        <w:t>截止报告期末，公司共有</w:t>
      </w:r>
      <w:r>
        <w:rPr>
          <w:rFonts w:ascii="Times New Roman" w:hAnsi="Times New Roman" w:cs="Times New Roman" w:eastAsia="Times New Roman" w:hint="default"/>
          <w:spacing w:val="-2"/>
        </w:rPr>
        <w:t>11</w:t>
      </w:r>
      <w:r>
        <w:rPr>
          <w:spacing w:val="-2"/>
        </w:rPr>
        <w:t>家全资子公司：汉鼎宇佑信息产业有限公司、汉鼎国际发展有限公司、浙江汉鼎宇佑金融服务有</w:t>
      </w:r>
      <w:r>
        <w:rPr>
          <w:spacing w:val="-63"/>
        </w:rPr>
        <w:t> </w:t>
      </w:r>
      <w:r>
        <w:rPr>
          <w:spacing w:val="-63"/>
        </w:rPr>
      </w:r>
      <w:r>
        <w:rPr>
          <w:spacing w:val="-2"/>
        </w:rPr>
        <w:t>限公司、杭州汉鼎宇佑金控投资有限公司、浙江汉鼎宇佑资本管理有限公司、杭州汉鼎宇佑互动娱乐管理有限公司、杭州汉</w:t>
      </w:r>
      <w:r>
        <w:rPr>
          <w:spacing w:val="-65"/>
        </w:rPr>
        <w:t> </w:t>
      </w:r>
      <w:r>
        <w:rPr>
          <w:spacing w:val="-65"/>
        </w:rPr>
      </w:r>
      <w:r>
        <w:rPr>
          <w:spacing w:val="-4"/>
        </w:rPr>
        <w:t>鼎宇佑商业发展有限公司、杭州汉鼎宇佑互联网技术有限公司、</w:t>
      </w:r>
      <w:r>
        <w:rPr>
          <w:rFonts w:ascii="Times New Roman" w:hAnsi="Times New Roman" w:cs="Times New Roman" w:eastAsia="Times New Roman" w:hint="default"/>
          <w:spacing w:val="-4"/>
        </w:rPr>
        <w:t>Hakim </w:t>
      </w:r>
      <w:r>
        <w:rPr>
          <w:rFonts w:ascii="Times New Roman" w:hAnsi="Times New Roman" w:cs="Times New Roman" w:eastAsia="Times New Roman" w:hint="default"/>
        </w:rPr>
        <w:t>Unique Technology </w:t>
      </w:r>
      <w:r>
        <w:rPr>
          <w:rFonts w:ascii="Times New Roman" w:hAnsi="Times New Roman" w:cs="Times New Roman" w:eastAsia="Times New Roman" w:hint="default"/>
          <w:spacing w:val="-6"/>
        </w:rPr>
        <w:t>Limited</w:t>
      </w:r>
      <w:r>
        <w:rPr>
          <w:spacing w:val="-6"/>
        </w:rPr>
        <w:t>（汉鼎宇佑科技有限公司）、</w:t>
      </w:r>
      <w:r>
        <w:rPr>
          <w:spacing w:val="-81"/>
        </w:rPr>
        <w:t> </w:t>
      </w:r>
      <w:r>
        <w:rPr>
          <w:spacing w:val="-81"/>
        </w:rPr>
      </w:r>
      <w:r>
        <w:rPr/>
        <w:t>汉鼎宇佑有限公司、上海汉鼎信息技术有限公司； </w:t>
      </w:r>
      <w:r>
        <w:rPr>
          <w:rFonts w:ascii="Times New Roman" w:hAnsi="Times New Roman" w:cs="Times New Roman" w:eastAsia="Times New Roman" w:hint="default"/>
        </w:rPr>
        <w:t>2</w:t>
      </w:r>
      <w:r>
        <w:rPr/>
        <w:t>家控股子公司：好医友医疗科技集团有限公司、浙江汉鼎宇佑智慧医疗服务有限公司；</w:t>
      </w:r>
    </w:p>
    <w:p>
      <w:pPr>
        <w:pStyle w:val="BodyText"/>
        <w:spacing w:line="309" w:lineRule="auto" w:before="5"/>
        <w:ind w:right="1130"/>
        <w:jc w:val="both"/>
      </w:pPr>
      <w:r>
        <w:rPr>
          <w:rFonts w:ascii="Times New Roman" w:hAnsi="Times New Roman" w:cs="Times New Roman" w:eastAsia="Times New Roman" w:hint="default"/>
          <w:spacing w:val="-2"/>
        </w:rPr>
        <w:t>10</w:t>
      </w:r>
      <w:r>
        <w:rPr>
          <w:spacing w:val="-2"/>
        </w:rPr>
        <w:t>家参股子公司：四川通普科技有限公司、深圳南洋码头网络科技有限公司、浙江大数据交易中心有限公司、北京数想科技</w:t>
      </w:r>
      <w:r>
        <w:rPr>
          <w:spacing w:val="-63"/>
        </w:rPr>
        <w:t> </w:t>
      </w:r>
      <w:r>
        <w:rPr>
          <w:spacing w:val="-63"/>
        </w:rPr>
      </w:r>
      <w:r>
        <w:rPr>
          <w:spacing w:val="-2"/>
        </w:rPr>
        <w:t>有限公司、上海保险交易所股份有限公司、浙江搜道网络技术有限公司、浙江中城智慧城市规划咨询有限公司、蜂助手股份</w:t>
      </w:r>
      <w:r>
        <w:rPr>
          <w:spacing w:val="-65"/>
        </w:rPr>
        <w:t> </w:t>
      </w:r>
      <w:r>
        <w:rPr>
          <w:spacing w:val="-65"/>
        </w:rPr>
      </w:r>
      <w:r>
        <w:rPr/>
        <w:t>有限公司、</w:t>
      </w:r>
      <w:r>
        <w:rPr>
          <w:rFonts w:ascii="Times New Roman" w:hAnsi="Times New Roman" w:cs="Times New Roman" w:eastAsia="Times New Roman" w:hint="default"/>
        </w:rPr>
        <w:t>Xynomic Pharmaceuticals</w:t>
      </w:r>
      <w:r>
        <w:rPr>
          <w:rFonts w:ascii="Times New Roman" w:hAnsi="Times New Roman" w:cs="Times New Roman" w:eastAsia="Times New Roman" w:hint="default"/>
          <w:spacing w:val="-11"/>
        </w:rPr>
        <w:t> </w:t>
      </w:r>
      <w:r>
        <w:rPr>
          <w:rFonts w:ascii="Times New Roman" w:hAnsi="Times New Roman" w:cs="Times New Roman" w:eastAsia="Times New Roman" w:hint="default"/>
        </w:rPr>
        <w:t>Holdings,Inc.</w:t>
      </w:r>
      <w:r>
        <w:rPr/>
        <w:t>，广东汉鼎蜂助手网络技术有限公司。</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（一）行业发展趋势与区位优势</w:t>
      </w:r>
    </w:p>
    <w:p>
      <w:pPr>
        <w:pStyle w:val="BodyText"/>
        <w:spacing w:line="240" w:lineRule="auto" w:before="76"/>
        <w:ind w:right="1133"/>
        <w:jc w:val="left"/>
      </w:pPr>
      <w:r>
        <w:rPr/>
        <w:t>（</w:t>
      </w:r>
      <w:r>
        <w:rPr>
          <w:rFonts w:ascii="Times New Roman" w:hAnsi="Times New Roman" w:cs="Times New Roman" w:eastAsia="Times New Roman" w:hint="default"/>
        </w:rPr>
        <w:t>1</w:t>
      </w:r>
      <w:r>
        <w:rPr/>
        <w:t>）新基建下智慧城市新的发展内涵和方向</w:t>
      </w:r>
    </w:p>
    <w:p>
      <w:pPr>
        <w:pStyle w:val="BodyText"/>
        <w:spacing w:line="309" w:lineRule="auto" w:before="63"/>
        <w:ind w:right="103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日，国务院发布了《国家新型城镇化规划（</w:t>
      </w:r>
      <w:r>
        <w:rPr>
          <w:rFonts w:ascii="Times New Roman" w:hAnsi="Times New Roman" w:cs="Times New Roman" w:eastAsia="Times New Roman" w:hint="default"/>
        </w:rPr>
        <w:t>2014</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年）》，将智慧城市建设上升到战略层面，明确了智慧 城市建设的</w:t>
      </w:r>
      <w:r>
        <w:rPr>
          <w:rFonts w:ascii="Times New Roman" w:hAnsi="Times New Roman" w:cs="Times New Roman" w:eastAsia="Times New Roman" w:hint="default"/>
        </w:rPr>
        <w:t>6</w:t>
      </w:r>
      <w:r>
        <w:rPr/>
        <w:t>大建设方向。之后，从中央各主管部委到行业、省市，多点、多层次的智慧城市规划密集出台，这些规划从宏 </w:t>
      </w:r>
      <w:r>
        <w:rPr>
          <w:spacing w:val="-2"/>
        </w:rPr>
        <w:t>观政策引导、应用行业指南、扶持资金支持等多个层面形成了对智慧城市建设发展的强大政策推动力，为我国智慧城市产业</w:t>
      </w:r>
      <w:r>
        <w:rPr>
          <w:spacing w:val="-64"/>
        </w:rPr>
        <w:t> </w:t>
      </w:r>
      <w:r>
        <w:rPr>
          <w:spacing w:val="-64"/>
        </w:rPr>
      </w:r>
      <w:r>
        <w:rPr/>
        <w:t>创造了良好的发展环境。智慧城市是城市发展与技术进步的结合，以科技创新为支撑，着力解决制约城市发展的现实问题， 近些年，我国的智慧城市产业取得了长足的进步。 </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w:t>
      </w:r>
      <w:r>
        <w:rPr>
          <w:spacing w:val="-2"/>
        </w:rPr>
        <w:t>中央政治局常务委员会提出</w:t>
      </w:r>
      <w:r>
        <w:rPr>
          <w:rFonts w:ascii="Times New Roman" w:hAnsi="Times New Roman" w:cs="Times New Roman" w:eastAsia="Times New Roman" w:hint="default"/>
          <w:spacing w:val="-2"/>
        </w:rPr>
        <w:t>“</w:t>
      </w:r>
      <w:r>
        <w:rPr>
          <w:spacing w:val="-2"/>
        </w:rPr>
        <w:t>加快推进国家规划已明确的重大工程和基础设施建设，加快</w:t>
      </w:r>
      <w:r>
        <w:rPr>
          <w:rFonts w:ascii="Times New Roman" w:hAnsi="Times New Roman" w:cs="Times New Roman" w:eastAsia="Times New Roman" w:hint="default"/>
          <w:spacing w:val="-2"/>
        </w:rPr>
        <w:t>5G</w:t>
      </w:r>
      <w:r>
        <w:rPr>
          <w:spacing w:val="-2"/>
        </w:rPr>
        <w:t>网络、数据中心等</w:t>
      </w:r>
      <w:r>
        <w:rPr>
          <w:spacing w:val="-44"/>
        </w:rPr>
        <w:t> </w:t>
      </w:r>
      <w:r>
        <w:rPr>
          <w:spacing w:val="-44"/>
        </w:rPr>
      </w:r>
      <w:r>
        <w:rPr>
          <w:spacing w:val="-2"/>
        </w:rPr>
        <w:t>新型基础设施建设进度</w:t>
      </w:r>
      <w:r>
        <w:rPr>
          <w:rFonts w:ascii="Times New Roman" w:hAnsi="Times New Roman" w:cs="Times New Roman" w:eastAsia="Times New Roman" w:hint="default"/>
          <w:spacing w:val="-2"/>
        </w:rPr>
        <w:t>”</w:t>
      </w:r>
      <w:r>
        <w:rPr>
          <w:spacing w:val="-2"/>
        </w:rPr>
        <w:t>。新基建带动应用，全产业链有望受益，也为智慧城市产业未来的发展赋予了新的内涵与方向，</w:t>
      </w:r>
      <w:r>
        <w:rPr>
          <w:spacing w:val="-49"/>
        </w:rPr>
        <w:t> </w:t>
      </w:r>
      <w:r>
        <w:rPr>
          <w:rFonts w:ascii="Times New Roman" w:hAnsi="Times New Roman" w:cs="Times New Roman" w:eastAsia="Times New Roman" w:hint="default"/>
          <w:spacing w:val="-1"/>
        </w:rPr>
        <w:t>“</w:t>
      </w:r>
      <w:r>
        <w:rPr>
          <w:spacing w:val="-1"/>
        </w:rPr>
        <w:t>科</w:t>
      </w:r>
      <w:r>
        <w:rPr>
          <w:spacing w:val="-88"/>
        </w:rPr>
        <w:t> </w:t>
      </w:r>
      <w:r>
        <w:rPr/>
        <w:t>技新基建</w:t>
      </w:r>
      <w:r>
        <w:rPr>
          <w:rFonts w:ascii="Times New Roman" w:hAnsi="Times New Roman" w:cs="Times New Roman" w:eastAsia="Times New Roman" w:hint="default"/>
        </w:rPr>
        <w:t>”</w:t>
      </w:r>
      <w:r>
        <w:rPr/>
        <w:t>助力经济数字化转型。未来随着人们信息化、智能化生活方式的转变，智慧城市的建设需求将进入新阶段，应用 领域不断扩张，行业发展需求的增加为行业提供了持续的发展动力。 在技术创新的不断驱动下，智慧城市建设将迈向更高级别，互联网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5G</w:t>
      </w:r>
      <w:r>
        <w:rPr/>
        <w:t>通信、大数据、云计算、云办公、虚拟现实等信息 </w:t>
      </w:r>
      <w:r>
        <w:rPr>
          <w:spacing w:val="-2"/>
        </w:rPr>
        <w:t>技术的逐渐成熟对于智慧城市解决方案质量的提升起着十分重要的作用，在整合智慧城市平台建设中，通过大数据发掘等方</w:t>
      </w:r>
      <w:r>
        <w:rPr>
          <w:spacing w:val="-64"/>
        </w:rPr>
        <w:t> </w:t>
      </w:r>
      <w:r>
        <w:rPr>
          <w:spacing w:val="-64"/>
        </w:rPr>
      </w:r>
      <w:r>
        <w:rPr/>
        <w:t>式实现智慧城市体验提升，将是未来智慧城市建设发展过程中的重要趋势。</w:t>
      </w:r>
    </w:p>
    <w:p>
      <w:pPr>
        <w:pStyle w:val="BodyText"/>
        <w:spacing w:line="307" w:lineRule="auto" w:before="24"/>
        <w:ind w:right="1124"/>
        <w:jc w:val="left"/>
      </w:pPr>
      <w:r>
        <w:rPr/>
        <w:t>（</w:t>
      </w:r>
      <w:r>
        <w:rPr>
          <w:rFonts w:ascii="Times New Roman" w:hAnsi="Times New Roman" w:cs="Times New Roman" w:eastAsia="Times New Roman" w:hint="default"/>
        </w:rPr>
        <w:t>2</w:t>
      </w:r>
      <w:r>
        <w:rPr/>
        <w:t>）新时代的新互联网医疗产业 </w:t>
      </w:r>
      <w:r>
        <w:rPr>
          <w:spacing w:val="-2"/>
        </w:rPr>
        <w:t>宏观环境的变化，给我国的医疗资源建设提出了新的挑战，特别体现在我国目前的医疗资源存在配置不均的状况，公立与民</w:t>
      </w:r>
      <w:r>
        <w:rPr>
          <w:spacing w:val="-63"/>
        </w:rPr>
        <w:t> </w:t>
      </w:r>
      <w:r>
        <w:rPr>
          <w:spacing w:val="-63"/>
        </w:rPr>
      </w:r>
      <w:r>
        <w:rPr>
          <w:spacing w:val="-2"/>
        </w:rPr>
        <w:t>营医院的资源配置失衡、城市大型医院与基层医疗机构的资源配置失衡，互联网医疗的大发展指日可待。远程会诊平台能有</w:t>
      </w:r>
      <w:r>
        <w:rPr>
          <w:spacing w:val="-63"/>
        </w:rPr>
        <w:t> </w:t>
      </w:r>
      <w:r>
        <w:rPr>
          <w:spacing w:val="-63"/>
        </w:rPr>
      </w:r>
      <w:r>
        <w:rPr/>
        <w:t>效提高病例诊断、救治的效率与效果，远程会诊平台能有效解决医疗资源配置失衡、诊疗效率有限等痛点。 近年来，在国家政策推动下，我国远程医疗市场规模出现明显增长。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月，国务院印发了《</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期间深化医药卫 生体制改革规划暨实施方案》，提出要发展面向农村基层及边远地区的远程诊疗系统；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月，国家卫计委印发《关于 推进医疗机构远程医疗服务的意见》，鼓励远程医疗发展。福建省于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月，公布《福建省</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示范省 建设实施方案》，加快推进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示范省建设。该方案提出，以全民健康信息平台互联互通为基础，以健康医 </w:t>
      </w:r>
      <w:r>
        <w:rPr>
          <w:spacing w:val="-2"/>
        </w:rPr>
        <w:t>疗信息安全可控为基准，以便民惠民为出发点，以</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等新兴信息技术为手段，争取到</w:t>
      </w:r>
      <w:r>
        <w:rPr>
          <w:rFonts w:ascii="Times New Roman" w:hAnsi="Times New Roman" w:cs="Times New Roman" w:eastAsia="Times New Roman" w:hint="default"/>
          <w:spacing w:val="-2"/>
        </w:rPr>
        <w:t>2022</w:t>
      </w:r>
      <w:r>
        <w:rPr>
          <w:spacing w:val="-2"/>
        </w:rPr>
        <w:t>年，建立健全省域</w:t>
      </w:r>
      <w:r>
        <w:rPr>
          <w:rFonts w:ascii="Times New Roman" w:hAnsi="Times New Roman" w:cs="Times New Roman" w:eastAsia="Times New Roman" w:hint="default"/>
          <w:spacing w:val="-2"/>
        </w:rPr>
        <w:t>“</w:t>
      </w:r>
      <w:r>
        <w:rPr>
          <w:spacing w:val="-2"/>
        </w:rPr>
        <w:t>互联网</w:t>
      </w:r>
    </w:p>
    <w:p>
      <w:pPr>
        <w:pStyle w:val="BodyText"/>
        <w:spacing w:line="307" w:lineRule="auto" w:before="7"/>
        <w:ind w:right="1034"/>
        <w:jc w:val="left"/>
      </w:pP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协同应用服务体系，</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示范省建设取得一定成效，努力打造</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建设示范区。 </w:t>
      </w:r>
      <w:r>
        <w:rPr>
          <w:spacing w:val="-2"/>
        </w:rPr>
        <w:t>同时，跨境远程医疗服务，也能在一定程度上缩小中国与国际先进医疗水平的差距，为国内患者提供更优质、便利的医疗服</w:t>
      </w:r>
      <w:r>
        <w:rPr>
          <w:spacing w:val="-64"/>
        </w:rPr>
        <w:t> </w:t>
      </w:r>
      <w:r>
        <w:rPr>
          <w:spacing w:val="-64"/>
        </w:rPr>
      </w:r>
      <w:r>
        <w:rPr/>
        <w:t>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月，国家卫生健康委疾控局发布的《癌症防治核心信息及知识要点》显示：我国每年新发癌症病例超过</w:t>
      </w:r>
      <w:r>
        <w:rPr>
          <w:rFonts w:ascii="Times New Roman" w:hAnsi="Times New Roman" w:cs="Times New Roman" w:eastAsia="Times New Roman" w:hint="default"/>
        </w:rPr>
        <w:t>350</w:t>
      </w:r>
      <w:r>
        <w:rPr/>
        <w:t>万，</w:t>
      </w:r>
      <w:r>
        <w:rPr>
          <w:spacing w:val="-3"/>
        </w:rPr>
        <w:t> </w:t>
      </w:r>
      <w:r>
        <w:rPr/>
        <w:t>死亡病例超过</w:t>
      </w:r>
      <w:r>
        <w:rPr>
          <w:rFonts w:ascii="Times New Roman" w:hAnsi="Times New Roman" w:cs="Times New Roman" w:eastAsia="Times New Roman" w:hint="default"/>
        </w:rPr>
        <w:t>200</w:t>
      </w:r>
      <w:r>
        <w:rPr/>
        <w:t>万，根据全球癌症负担估计结果显示，中国恶性肿瘤新发病例和死亡病例分别占全球恶性肿瘤新发病例和</w:t>
      </w:r>
    </w:p>
    <w:p>
      <w:pPr>
        <w:spacing w:after="0" w:line="30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ind w:right="986"/>
        <w:jc w:val="left"/>
      </w:pPr>
      <w:r>
        <w:rPr>
          <w:spacing w:val="-5"/>
          <w:w w:val="99"/>
        </w:rPr>
        <w:t>死亡病例的</w:t>
      </w:r>
      <w:r>
        <w:rPr>
          <w:rFonts w:ascii="Times New Roman" w:hAnsi="Times New Roman" w:cs="Times New Roman" w:eastAsia="Times New Roman" w:hint="default"/>
          <w:spacing w:val="-5"/>
          <w:w w:val="99"/>
        </w:rPr>
        <w:t>23.7%</w:t>
      </w:r>
      <w:r>
        <w:rPr>
          <w:spacing w:val="-5"/>
          <w:w w:val="99"/>
        </w:rPr>
        <w:t>和</w:t>
      </w:r>
      <w:r>
        <w:rPr>
          <w:rFonts w:ascii="Times New Roman" w:hAnsi="Times New Roman" w:cs="Times New Roman" w:eastAsia="Times New Roman" w:hint="default"/>
          <w:spacing w:val="-5"/>
          <w:w w:val="99"/>
        </w:rPr>
        <w:t>30.2%</w:t>
      </w:r>
      <w:r>
        <w:rPr>
          <w:spacing w:val="-5"/>
          <w:w w:val="99"/>
        </w:rPr>
        <w:t>。</w:t>
      </w:r>
      <w:r>
        <w:rPr>
          <w:rFonts w:ascii="Times New Roman" w:hAnsi="Times New Roman" w:cs="Times New Roman" w:eastAsia="Times New Roman" w:hint="default"/>
          <w:spacing w:val="-5"/>
          <w:w w:val="99"/>
        </w:rPr>
        <w:t>2020</w:t>
      </w:r>
      <w:r>
        <w:rPr>
          <w:spacing w:val="-5"/>
          <w:w w:val="99"/>
        </w:rPr>
        <w:t>年</w:t>
      </w:r>
      <w:r>
        <w:rPr>
          <w:rFonts w:ascii="Times New Roman" w:hAnsi="Times New Roman" w:cs="Times New Roman" w:eastAsia="Times New Roman" w:hint="default"/>
          <w:spacing w:val="-5"/>
          <w:w w:val="99"/>
        </w:rPr>
        <w:t>1</w:t>
      </w:r>
      <w:r>
        <w:rPr>
          <w:spacing w:val="-5"/>
          <w:w w:val="99"/>
        </w:rPr>
        <w:t>月</w:t>
      </w:r>
      <w:r>
        <w:rPr>
          <w:rFonts w:ascii="Times New Roman" w:hAnsi="Times New Roman" w:cs="Times New Roman" w:eastAsia="Times New Roman" w:hint="default"/>
          <w:spacing w:val="-5"/>
          <w:w w:val="99"/>
        </w:rPr>
        <w:t>8</w:t>
      </w:r>
      <w:r>
        <w:rPr>
          <w:spacing w:val="-5"/>
          <w:w w:val="99"/>
        </w:rPr>
        <w:t>日，美国癌症学会在</w:t>
      </w:r>
      <w:r>
        <w:rPr>
          <w:rFonts w:ascii="Times New Roman" w:hAnsi="Times New Roman" w:cs="Times New Roman" w:eastAsia="Times New Roman" w:hint="default"/>
          <w:spacing w:val="-5"/>
          <w:w w:val="99"/>
        </w:rPr>
        <w:t>A</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Cancer</w:t>
      </w:r>
      <w:r>
        <w:rPr>
          <w:rFonts w:ascii="Times New Roman" w:hAnsi="Times New Roman" w:cs="Times New Roman" w:eastAsia="Times New Roman" w:hint="default"/>
        </w:rPr>
        <w:t> </w:t>
      </w:r>
      <w:r>
        <w:rPr>
          <w:rFonts w:ascii="Times New Roman" w:hAnsi="Times New Roman" w:cs="Times New Roman" w:eastAsia="Times New Roman" w:hint="default"/>
          <w:w w:val="99"/>
        </w:rPr>
        <w:t>Journal </w:t>
      </w:r>
      <w:r>
        <w:rPr>
          <w:rFonts w:ascii="Times New Roman" w:hAnsi="Times New Roman" w:cs="Times New Roman" w:eastAsia="Times New Roman" w:hint="default"/>
          <w:spacing w:val="-1"/>
        </w:rPr>
        <w:t>for</w:t>
      </w:r>
      <w:r>
        <w:rPr>
          <w:rFonts w:ascii="Times New Roman" w:hAnsi="Times New Roman" w:cs="Times New Roman" w:eastAsia="Times New Roman" w:hint="default"/>
        </w:rPr>
        <w:t> </w:t>
      </w:r>
      <w:r>
        <w:rPr>
          <w:rFonts w:ascii="Times New Roman" w:hAnsi="Times New Roman" w:cs="Times New Roman" w:eastAsia="Times New Roman" w:hint="default"/>
          <w:spacing w:val="-6"/>
          <w:w w:val="99"/>
        </w:rPr>
        <w:t>Clinicians</w:t>
      </w:r>
      <w:r>
        <w:rPr>
          <w:spacing w:val="-6"/>
          <w:w w:val="99"/>
        </w:rPr>
        <w:t>发布了《</w:t>
      </w:r>
      <w:r>
        <w:rPr>
          <w:rFonts w:ascii="Times New Roman" w:hAnsi="Times New Roman" w:cs="Times New Roman" w:eastAsia="Times New Roman" w:hint="default"/>
          <w:spacing w:val="-6"/>
          <w:w w:val="99"/>
        </w:rPr>
        <w:t>2020</w:t>
      </w:r>
      <w:r>
        <w:rPr>
          <w:spacing w:val="-6"/>
          <w:w w:val="99"/>
        </w:rPr>
        <w:t>年美国癌症统计报告》，</w:t>
      </w:r>
      <w:r>
        <w:rPr>
          <w:spacing w:val="-76"/>
          <w:w w:val="99"/>
        </w:rPr>
        <w:t> </w:t>
      </w:r>
      <w:r>
        <w:rPr>
          <w:spacing w:val="-76"/>
          <w:w w:val="99"/>
        </w:rPr>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2015</w:t>
      </w:r>
      <w:r>
        <w:rPr/>
        <w:t>年间，美国整体癌症</w:t>
      </w:r>
      <w:r>
        <w:rPr>
          <w:rFonts w:ascii="Times New Roman" w:hAnsi="Times New Roman" w:cs="Times New Roman" w:eastAsia="Times New Roman" w:hint="default"/>
        </w:rPr>
        <w:t>5</w:t>
      </w:r>
      <w:r>
        <w:rPr/>
        <w:t>年生存率为</w:t>
      </w:r>
      <w:r>
        <w:rPr>
          <w:rFonts w:ascii="Times New Roman" w:hAnsi="Times New Roman" w:cs="Times New Roman" w:eastAsia="Times New Roman" w:hint="default"/>
        </w:rPr>
        <w:t>67%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日，国家肿瘤专业质控中心主任赫捷在国家卫健委新闻发 布会上表示，随着我国医疗质量和诊疗能力的提升，恶性肿瘤患者五年生存率已从</w:t>
      </w:r>
      <w:r>
        <w:rPr>
          <w:rFonts w:ascii="Times New Roman" w:hAnsi="Times New Roman" w:cs="Times New Roman" w:eastAsia="Times New Roman" w:hint="default"/>
        </w:rPr>
        <w:t>10</w:t>
      </w:r>
      <w:r>
        <w:rPr/>
        <w:t>年前的</w:t>
      </w:r>
      <w:r>
        <w:rPr>
          <w:rFonts w:ascii="Times New Roman" w:hAnsi="Times New Roman" w:cs="Times New Roman" w:eastAsia="Times New Roman" w:hint="default"/>
        </w:rPr>
        <w:t>30.9%</w:t>
      </w:r>
      <w:r>
        <w:rPr/>
        <w:t>上升至目前的</w:t>
      </w:r>
      <w:r>
        <w:rPr>
          <w:rFonts w:ascii="Times New Roman" w:hAnsi="Times New Roman" w:cs="Times New Roman" w:eastAsia="Times New Roman" w:hint="default"/>
        </w:rPr>
        <w:t>40.5%</w:t>
      </w:r>
      <w:r>
        <w:rPr/>
        <w:t>。在 </w:t>
      </w:r>
      <w:r>
        <w:rPr>
          <w:spacing w:val="-2"/>
        </w:rPr>
        <w:t>癌症等重症生存率方面，中国与美国等发达国家仍有较大的差距，主要原因为早期诊断和早期治疗的差异。此外，综合治疗</w:t>
      </w:r>
      <w:r>
        <w:rPr>
          <w:spacing w:val="-64"/>
        </w:rPr>
        <w:t> </w:t>
      </w:r>
      <w:r>
        <w:rPr>
          <w:spacing w:val="-64"/>
        </w:rPr>
      </w:r>
      <w:r>
        <w:rPr>
          <w:spacing w:val="-2"/>
        </w:rPr>
        <w:t>的普及程度、先进设备和治疗方法采用均有较大差距。近年来，中国的肿瘤诊断、治疗水平虽已有了很大提高，但与国外先</w:t>
      </w:r>
      <w:r>
        <w:rPr>
          <w:spacing w:val="-67"/>
        </w:rPr>
        <w:t> </w:t>
      </w:r>
      <w:r>
        <w:rPr>
          <w:spacing w:val="-67"/>
        </w:rPr>
      </w:r>
      <w:r>
        <w:rPr>
          <w:spacing w:val="-4"/>
        </w:rPr>
        <w:t>进水平相比还存在巨大差距。跨境医疗服务，可以通过构建中介服务平台，整合国外高端医疗资源，为国内患者提供更优质、</w:t>
      </w:r>
      <w:r>
        <w:rPr>
          <w:spacing w:val="-46"/>
        </w:rPr>
        <w:t> </w:t>
      </w:r>
      <w:r>
        <w:rPr>
          <w:spacing w:val="-46"/>
        </w:rPr>
      </w:r>
      <w:r>
        <w:rPr/>
        <w:t>便利的医疗服务。</w:t>
      </w:r>
    </w:p>
    <w:p>
      <w:pPr>
        <w:pStyle w:val="BodyText"/>
        <w:spacing w:line="304" w:lineRule="auto" w:before="24"/>
        <w:ind w:right="986"/>
        <w:jc w:val="left"/>
      </w:pPr>
      <w:r>
        <w:rPr/>
        <w:t>（</w:t>
      </w:r>
      <w:r>
        <w:rPr>
          <w:rFonts w:ascii="Times New Roman" w:hAnsi="Times New Roman" w:cs="Times New Roman" w:eastAsia="Times New Roman" w:hint="default"/>
        </w:rPr>
        <w:t>3</w:t>
      </w:r>
      <w:r>
        <w:rPr/>
        <w:t>）平潭综合实验区的区位优势和政策优势 </w:t>
      </w:r>
      <w:r>
        <w:rPr>
          <w:spacing w:val="-2"/>
        </w:rPr>
        <w:t>平潭综合实验区位于台湾海峡中北部，具有对台交流合作的独特优势。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月，国务院发布《平潭综合实验区总体发展</w:t>
      </w:r>
      <w:r>
        <w:rPr>
          <w:spacing w:val="-58"/>
        </w:rPr>
        <w:t> </w:t>
      </w:r>
      <w:r>
        <w:rPr>
          <w:spacing w:val="-58"/>
        </w:rPr>
      </w:r>
      <w:r>
        <w:rPr/>
        <w:t>规划》，明确了平潭建设</w:t>
      </w:r>
      <w:r>
        <w:rPr>
          <w:rFonts w:ascii="Times New Roman" w:hAnsi="Times New Roman" w:cs="Times New Roman" w:eastAsia="Times New Roman" w:hint="default"/>
        </w:rPr>
        <w:t>“</w:t>
      </w:r>
      <w:r>
        <w:rPr/>
        <w:t>两岸同胞共同家园</w:t>
      </w:r>
      <w:r>
        <w:rPr>
          <w:rFonts w:ascii="Times New Roman" w:hAnsi="Times New Roman" w:cs="Times New Roman" w:eastAsia="Times New Roman" w:hint="default"/>
        </w:rPr>
        <w:t>”</w:t>
      </w:r>
      <w:r>
        <w:rPr/>
        <w:t>的目标定位，</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月，国家批准设立福建自由贸易试验区平潭片区，</w:t>
      </w:r>
      <w:r>
        <w:rPr>
          <w:rFonts w:ascii="Times New Roman" w:hAnsi="Times New Roman" w:cs="Times New Roman" w:eastAsia="Times New Roman" w:hint="default"/>
        </w:rPr>
        <w:t>2016 </w:t>
      </w:r>
      <w:r>
        <w:rPr>
          <w:spacing w:val="-2"/>
        </w:rPr>
        <w:t>年</w:t>
      </w:r>
      <w:r>
        <w:rPr>
          <w:rFonts w:ascii="Times New Roman" w:hAnsi="Times New Roman" w:cs="Times New Roman" w:eastAsia="Times New Roman" w:hint="default"/>
          <w:spacing w:val="-2"/>
        </w:rPr>
        <w:t>8</w:t>
      </w:r>
      <w:r>
        <w:rPr>
          <w:spacing w:val="-2"/>
        </w:rPr>
        <w:t>月，国家批准建设平潭国际旅游岛。根据《国务院关于平潭国际旅游岛建设方案的批复》（国函〔</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143</w:t>
      </w:r>
      <w:r>
        <w:rPr>
          <w:spacing w:val="-2"/>
        </w:rPr>
        <w:t>号）和《国</w:t>
      </w:r>
      <w:r>
        <w:rPr>
          <w:spacing w:val="-61"/>
        </w:rPr>
        <w:t> </w:t>
      </w:r>
      <w:r>
        <w:rPr>
          <w:spacing w:val="-61"/>
        </w:rPr>
      </w:r>
      <w:r>
        <w:rPr/>
        <w:t>务院关于支持自由贸易试验区深化改革创新若干措施的通知》（国发〔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38</w:t>
      </w:r>
      <w:r>
        <w:rPr/>
        <w:t>号）等文件，平潭是大陆唯一的</w:t>
      </w:r>
      <w:r>
        <w:rPr>
          <w:rFonts w:ascii="Times New Roman" w:hAnsi="Times New Roman" w:cs="Times New Roman" w:eastAsia="Times New Roman" w:hint="default"/>
        </w:rPr>
        <w:t>“</w:t>
      </w:r>
      <w:r>
        <w:rPr/>
        <w:t>综合实验 区</w:t>
      </w:r>
      <w:r>
        <w:rPr>
          <w:rFonts w:ascii="Times New Roman" w:hAnsi="Times New Roman" w:cs="Times New Roman" w:eastAsia="Times New Roman" w:hint="default"/>
        </w:rPr>
        <w:t>+</w:t>
      </w:r>
      <w:r>
        <w:rPr/>
        <w:t>自由自贸区</w:t>
      </w:r>
      <w:r>
        <w:rPr>
          <w:rFonts w:ascii="Times New Roman" w:hAnsi="Times New Roman" w:cs="Times New Roman" w:eastAsia="Times New Roman" w:hint="default"/>
        </w:rPr>
        <w:t>+</w:t>
      </w:r>
      <w:r>
        <w:rPr/>
        <w:t>国际旅游岛</w:t>
      </w:r>
      <w:r>
        <w:rPr>
          <w:rFonts w:ascii="Times New Roman" w:hAnsi="Times New Roman" w:cs="Times New Roman" w:eastAsia="Times New Roman" w:hint="default"/>
        </w:rPr>
        <w:t>”</w:t>
      </w:r>
      <w:r>
        <w:rPr/>
        <w:t>，具有独特的区位及税收等政策优势。 </w:t>
      </w:r>
      <w:r>
        <w:rPr>
          <w:spacing w:val="-2"/>
        </w:rPr>
        <w:t>按照规划，平潭综合实验区优先发展医美康体、旅游文化、建筑、金融、影视、和重点培育会展、电子信息产业，目前平潭</w:t>
      </w:r>
      <w:r>
        <w:rPr>
          <w:spacing w:val="-65"/>
        </w:rPr>
        <w:t> </w:t>
      </w:r>
      <w:r>
        <w:rPr>
          <w:spacing w:val="-65"/>
        </w:rPr>
      </w:r>
      <w:r>
        <w:rPr>
          <w:spacing w:val="-2"/>
        </w:rPr>
        <w:t>综合实验区在政策、税收、产业方面也具较大的优势。平潭综合实验区已先后建成了平潭海峡大桥及复桥，加快建设跨海公</w:t>
      </w:r>
      <w:r>
        <w:rPr>
          <w:spacing w:val="-64"/>
        </w:rPr>
        <w:t> </w:t>
      </w:r>
      <w:r>
        <w:rPr>
          <w:spacing w:val="-64"/>
        </w:rPr>
      </w:r>
      <w:r>
        <w:rPr>
          <w:spacing w:val="-2"/>
        </w:rPr>
        <w:t>铁大桥。</w:t>
      </w:r>
      <w:r>
        <w:rPr>
          <w:rFonts w:ascii="Times New Roman" w:hAnsi="Times New Roman" w:cs="Times New Roman" w:eastAsia="Times New Roman" w:hint="default"/>
          <w:spacing w:val="-2"/>
        </w:rPr>
        <w:t>“</w:t>
      </w:r>
      <w:r>
        <w:rPr>
          <w:spacing w:val="-2"/>
        </w:rPr>
        <w:t>一环两纵两横</w:t>
      </w:r>
      <w:r>
        <w:rPr>
          <w:rFonts w:ascii="Times New Roman" w:hAnsi="Times New Roman" w:cs="Times New Roman" w:eastAsia="Times New Roman" w:hint="default"/>
          <w:spacing w:val="-2"/>
        </w:rPr>
        <w:t>”</w:t>
      </w:r>
      <w:r>
        <w:rPr>
          <w:spacing w:val="-2"/>
        </w:rPr>
        <w:t>城市主干道基本形成、岛外引调水工程、电力设施、综合管廊、垃圾污水处理等配套设施正全面推</w:t>
      </w:r>
      <w:r>
        <w:rPr>
          <w:spacing w:val="-45"/>
        </w:rPr>
        <w:t> </w:t>
      </w:r>
      <w:r>
        <w:rPr>
          <w:spacing w:val="-45"/>
        </w:rPr>
      </w:r>
      <w:r>
        <w:rPr/>
        <w:t>进。根据平潭政府公开信息，平潭确定</w:t>
      </w:r>
      <w:r>
        <w:rPr>
          <w:rFonts w:ascii="Times New Roman" w:hAnsi="Times New Roman" w:cs="Times New Roman" w:eastAsia="Times New Roman" w:hint="default"/>
        </w:rPr>
        <w:t>2020</w:t>
      </w:r>
      <w:r>
        <w:rPr/>
        <w:t>年度重点项目</w:t>
      </w:r>
      <w:r>
        <w:rPr>
          <w:rFonts w:ascii="Times New Roman" w:hAnsi="Times New Roman" w:cs="Times New Roman" w:eastAsia="Times New Roman" w:hint="default"/>
        </w:rPr>
        <w:t>100</w:t>
      </w:r>
      <w:r>
        <w:rPr/>
        <w:t>个，总投资</w:t>
      </w:r>
      <w:r>
        <w:rPr>
          <w:rFonts w:ascii="Times New Roman" w:hAnsi="Times New Roman" w:cs="Times New Roman" w:eastAsia="Times New Roman" w:hint="default"/>
        </w:rPr>
        <w:t>547</w:t>
      </w:r>
      <w:r>
        <w:rPr/>
        <w:t>亿，</w:t>
      </w:r>
      <w:r>
        <w:rPr>
          <w:rFonts w:ascii="Times New Roman" w:hAnsi="Times New Roman" w:cs="Times New Roman" w:eastAsia="Times New Roman" w:hint="default"/>
        </w:rPr>
        <w:t>2020</w:t>
      </w:r>
      <w:r>
        <w:rPr/>
        <w:t>年计划投资</w:t>
      </w:r>
      <w:r>
        <w:rPr>
          <w:rFonts w:ascii="Times New Roman" w:hAnsi="Times New Roman" w:cs="Times New Roman" w:eastAsia="Times New Roman" w:hint="default"/>
        </w:rPr>
        <w:t>53.3</w:t>
      </w:r>
      <w:r>
        <w:rPr/>
        <w:t>亿元。</w:t>
      </w:r>
    </w:p>
    <w:p>
      <w:pPr>
        <w:pStyle w:val="BodyText"/>
        <w:spacing w:line="316" w:lineRule="auto" w:before="9"/>
        <w:ind w:right="986"/>
        <w:jc w:val="left"/>
      </w:pPr>
      <w:r>
        <w:rPr/>
        <w:t>（二）未来发展战略 </w:t>
      </w:r>
      <w:r>
        <w:rPr>
          <w:spacing w:val="-2"/>
        </w:rPr>
        <w:t>平潭国资入驻公司后，新的治理层看好新基建和新医疗给公司带来的良好发展机遇，公司坚定智慧城市和智慧医疗为核心主</w:t>
      </w:r>
      <w:r>
        <w:rPr>
          <w:spacing w:val="-63"/>
        </w:rPr>
        <w:t> </w:t>
      </w:r>
      <w:r>
        <w:rPr>
          <w:spacing w:val="-63"/>
        </w:rPr>
      </w:r>
      <w:r>
        <w:rPr>
          <w:spacing w:val="-2"/>
        </w:rPr>
        <w:t>业的公司长期发展战略。公司将梳理现有的投资项目，规范公司内控，优化考核激励机制，借助原有的产业、技术和渠道优</w:t>
      </w:r>
      <w:r>
        <w:rPr>
          <w:spacing w:val="-67"/>
        </w:rPr>
        <w:t> </w:t>
      </w:r>
      <w:r>
        <w:rPr>
          <w:spacing w:val="-67"/>
        </w:rPr>
      </w:r>
      <w:r>
        <w:rPr/>
        <w:t>势，协同平潭实验区的区位和政策优势，努力实现汉鼎宇佑的第二次腾飞。</w:t>
      </w:r>
    </w:p>
    <w:p>
      <w:pPr>
        <w:pStyle w:val="BodyText"/>
        <w:spacing w:line="240" w:lineRule="auto" w:before="19"/>
        <w:ind w:right="1133"/>
        <w:jc w:val="left"/>
      </w:pPr>
      <w:r>
        <w:rPr/>
        <w:t>（三）下一年的经营计划</w:t>
      </w:r>
    </w:p>
    <w:p>
      <w:pPr>
        <w:pStyle w:val="BodyText"/>
        <w:spacing w:line="309" w:lineRule="auto" w:before="76"/>
        <w:ind w:right="1054"/>
        <w:jc w:val="left"/>
      </w:pPr>
      <w:r>
        <w:rPr>
          <w:rFonts w:ascii="Times New Roman" w:hAnsi="Times New Roman" w:cs="Times New Roman" w:eastAsia="Times New Roman" w:hint="default"/>
        </w:rPr>
        <w:t>1</w:t>
      </w:r>
      <w:r>
        <w:rPr/>
        <w:t>、坚持智慧城市板块主营业务 </w:t>
      </w:r>
      <w:r>
        <w:rPr>
          <w:spacing w:val="-2"/>
        </w:rPr>
        <w:t>新基建是未来中国新的发展方向，赋予了智慧城市新的内涵。</w:t>
      </w:r>
      <w:r>
        <w:rPr>
          <w:rFonts w:ascii="Times New Roman" w:hAnsi="Times New Roman" w:cs="Times New Roman" w:eastAsia="Times New Roman" w:hint="default"/>
          <w:spacing w:val="-2"/>
        </w:rPr>
        <w:t>2020</w:t>
      </w:r>
      <w:r>
        <w:rPr>
          <w:spacing w:val="-2"/>
        </w:rPr>
        <w:t>年，根据公司总体战略规划，公司依托</w:t>
      </w:r>
      <w:r>
        <w:rPr>
          <w:rFonts w:ascii="Times New Roman" w:hAnsi="Times New Roman" w:cs="Times New Roman" w:eastAsia="Times New Roman" w:hint="default"/>
          <w:spacing w:val="-2"/>
        </w:rPr>
        <w:t>“12</w:t>
      </w:r>
      <w:r>
        <w:rPr>
          <w:spacing w:val="-2"/>
        </w:rPr>
        <w:t>甲</w:t>
      </w:r>
      <w:r>
        <w:rPr>
          <w:rFonts w:ascii="Times New Roman" w:hAnsi="Times New Roman" w:cs="Times New Roman" w:eastAsia="Times New Roman" w:hint="default"/>
          <w:spacing w:val="-2"/>
        </w:rPr>
        <w:t>”</w:t>
      </w:r>
      <w:r>
        <w:rPr>
          <w:spacing w:val="-2"/>
        </w:rPr>
        <w:t>资质，继续</w:t>
      </w:r>
      <w:r>
        <w:rPr>
          <w:spacing w:val="-40"/>
        </w:rPr>
        <w:t> </w:t>
      </w:r>
      <w:r>
        <w:rPr>
          <w:spacing w:val="-40"/>
        </w:rPr>
      </w:r>
      <w:r>
        <w:rPr>
          <w:spacing w:val="-2"/>
        </w:rPr>
        <w:t>推进城市大脑等新城市运营的智慧城市发展新战略，积极拓展智慧市政、智慧警务和智慧交通领域的业务，实现智慧城市建</w:t>
      </w:r>
      <w:r>
        <w:rPr>
          <w:spacing w:val="-63"/>
        </w:rPr>
        <w:t> </w:t>
      </w:r>
      <w:r>
        <w:rPr>
          <w:spacing w:val="-63"/>
        </w:rPr>
      </w:r>
      <w:r>
        <w:rPr>
          <w:spacing w:val="-2"/>
        </w:rPr>
        <w:t>设、运营和服务全过程发展。加强与垂直技术公司合作，深耕垂直应用行业，拓展高附加值项目，通过科技赋能，持续提升</w:t>
      </w:r>
      <w:r>
        <w:rPr>
          <w:spacing w:val="-68"/>
        </w:rPr>
        <w:t> </w:t>
      </w:r>
      <w:r>
        <w:rPr>
          <w:spacing w:val="-68"/>
        </w:rPr>
      </w:r>
      <w:r>
        <w:rPr/>
        <w:t>公司综合竞争力。 </w:t>
      </w:r>
      <w:r>
        <w:rPr>
          <w:spacing w:val="-2"/>
        </w:rPr>
        <w:t>平潭拟重点发展大健康、数字经济等相关产业，公司作为平潭综合实验区国有资产管理局控制的上市公司，依托平潭综合实</w:t>
      </w:r>
      <w:r>
        <w:rPr>
          <w:spacing w:val="-63"/>
        </w:rPr>
        <w:t> </w:t>
      </w:r>
      <w:r>
        <w:rPr>
          <w:spacing w:val="-63"/>
        </w:rPr>
      </w:r>
      <w:r>
        <w:rPr/>
        <w:t>验区</w:t>
      </w:r>
      <w:r>
        <w:rPr>
          <w:rFonts w:ascii="Times New Roman" w:hAnsi="Times New Roman" w:cs="Times New Roman" w:eastAsia="Times New Roman" w:hint="default"/>
        </w:rPr>
        <w:t>“</w:t>
      </w:r>
      <w:r>
        <w:rPr/>
        <w:t>一岛两窗三区</w:t>
      </w:r>
      <w:r>
        <w:rPr>
          <w:rFonts w:ascii="Times New Roman" w:hAnsi="Times New Roman" w:cs="Times New Roman" w:eastAsia="Times New Roman" w:hint="default"/>
        </w:rPr>
        <w:t>”</w:t>
      </w:r>
      <w:r>
        <w:rPr/>
        <w:t>的战略定位，以参与打造两岸大健康产业融合示范区为突破口，积极参与两岸大健康产业的深度融合， 担负起促进平潭实验区发展的重要任务。</w:t>
      </w:r>
    </w:p>
    <w:p>
      <w:pPr>
        <w:pStyle w:val="BodyText"/>
        <w:spacing w:line="240" w:lineRule="auto" w:before="24"/>
        <w:ind w:right="1133"/>
        <w:jc w:val="left"/>
      </w:pPr>
      <w:r>
        <w:rPr>
          <w:rFonts w:ascii="Times New Roman" w:hAnsi="Times New Roman" w:cs="Times New Roman" w:eastAsia="Times New Roman" w:hint="default"/>
        </w:rPr>
        <w:t>2</w:t>
      </w:r>
      <w:r>
        <w:rPr/>
        <w:t>、加速推进智慧医疗板块业务发展</w:t>
      </w:r>
    </w:p>
    <w:p>
      <w:pPr>
        <w:pStyle w:val="BodyText"/>
        <w:spacing w:line="307" w:lineRule="auto" w:before="63"/>
        <w:ind w:right="1120"/>
        <w:jc w:val="left"/>
      </w:pPr>
      <w:r>
        <w:rPr>
          <w:rFonts w:ascii="Times New Roman" w:hAnsi="Times New Roman" w:cs="Times New Roman" w:eastAsia="Times New Roman" w:hint="default"/>
        </w:rPr>
        <w:t>2020</w:t>
      </w:r>
      <w:r>
        <w:rPr/>
        <w:t>年，继续强化公司跨境医疗中介服务和互联网医疗中介服务平台等智慧医疗服务。国内以好医友为核心，国外借力 </w:t>
      </w:r>
      <w:r>
        <w:rPr>
          <w:rFonts w:ascii="Times New Roman" w:hAnsi="Times New Roman" w:cs="Times New Roman" w:eastAsia="Times New Roman" w:hint="default"/>
          <w:spacing w:val="-1"/>
        </w:rPr>
        <w:t>MCAC</w:t>
      </w:r>
      <w:r>
        <w:rPr>
          <w:spacing w:val="-1"/>
        </w:rPr>
        <w:t>，整合资源，多方面着手打造</w:t>
      </w:r>
      <w:r>
        <w:rPr>
          <w:rFonts w:ascii="Times New Roman" w:hAnsi="Times New Roman" w:cs="Times New Roman" w:eastAsia="Times New Roman" w:hint="default"/>
          <w:spacing w:val="-1"/>
        </w:rPr>
        <w:t>“</w:t>
      </w:r>
      <w:r>
        <w:rPr>
          <w:spacing w:val="-1"/>
        </w:rPr>
        <w:t>中美远程医联体</w:t>
      </w:r>
      <w:r>
        <w:rPr>
          <w:rFonts w:ascii="Times New Roman" w:hAnsi="Times New Roman" w:cs="Times New Roman" w:eastAsia="Times New Roman" w:hint="default"/>
          <w:spacing w:val="-1"/>
        </w:rPr>
        <w:t>”</w:t>
      </w:r>
      <w:r>
        <w:rPr>
          <w:spacing w:val="-1"/>
        </w:rPr>
        <w:t>，构建线上国际远程会诊服务，线下海外就医服务，保险合作服务为</w:t>
      </w:r>
      <w:r>
        <w:rPr/>
        <w:t> </w:t>
      </w:r>
      <w:r>
        <w:rPr>
          <w:spacing w:val="-2"/>
        </w:rPr>
        <w:t>一体的，基于互联网和大数据驱动的跨境医疗闭环体系。同时，公司将在中美远程会诊基础上，叠加药品、器械销售及医疗</w:t>
      </w:r>
      <w:r>
        <w:rPr>
          <w:spacing w:val="-67"/>
        </w:rPr>
        <w:t> </w:t>
      </w:r>
      <w:r>
        <w:rPr>
          <w:spacing w:val="-67"/>
        </w:rPr>
      </w:r>
      <w:r>
        <w:rPr/>
        <w:t>服务，利用国内医院渠道开展</w:t>
      </w:r>
      <w:r>
        <w:rPr>
          <w:rFonts w:ascii="Times New Roman" w:hAnsi="Times New Roman" w:cs="Times New Roman" w:eastAsia="Times New Roman" w:hint="default"/>
        </w:rPr>
        <w:t>“</w:t>
      </w:r>
      <w:r>
        <w:rPr/>
        <w:t>绿通</w:t>
      </w:r>
      <w:r>
        <w:rPr>
          <w:rFonts w:ascii="Times New Roman" w:hAnsi="Times New Roman" w:cs="Times New Roman" w:eastAsia="Times New Roman" w:hint="default"/>
        </w:rPr>
        <w:t>”</w:t>
      </w:r>
      <w:r>
        <w:rPr/>
        <w:t>服务，为患者提供更全面的服务。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月，公司与好医友、平潭综合实验区金融创新服务中心有限责任公司共同出资设立互联网医院，未来公司将利用平 </w:t>
      </w:r>
      <w:r>
        <w:rPr>
          <w:spacing w:val="-2"/>
        </w:rPr>
        <w:t>潭综合实验区政策洼地的优势，通过建设平潭互联网医院，充分发挥控股股东资源，加快国内医疗资源的整合力度，围绕大</w:t>
      </w:r>
      <w:r>
        <w:rPr>
          <w:spacing w:val="-64"/>
        </w:rPr>
        <w:t> </w:t>
      </w:r>
      <w:r>
        <w:rPr>
          <w:spacing w:val="-64"/>
        </w:rPr>
      </w:r>
      <w:r>
        <w:rPr>
          <w:spacing w:val="-2"/>
        </w:rPr>
        <w:t>健康产业进行产业推进，打造智慧医疗、互联网医院等业务板块，探索全球创新药孵化基地、康养基地、康复理疗中心等项</w:t>
      </w:r>
      <w:r>
        <w:rPr>
          <w:spacing w:val="-67"/>
        </w:rPr>
        <w:t> </w:t>
      </w:r>
      <w:r>
        <w:rPr>
          <w:spacing w:val="-67"/>
        </w:rPr>
      </w:r>
      <w:r>
        <w:rPr/>
        <w:t>目建设，切实推进智慧医疗业务的快速发展。</w:t>
      </w:r>
    </w:p>
    <w:p>
      <w:pPr>
        <w:pStyle w:val="BodyText"/>
        <w:spacing w:line="312" w:lineRule="auto" w:before="26"/>
        <w:ind w:right="986"/>
        <w:jc w:val="left"/>
      </w:pPr>
      <w:r>
        <w:rPr>
          <w:rFonts w:ascii="Times New Roman" w:hAnsi="Times New Roman" w:cs="Times New Roman" w:eastAsia="Times New Roman" w:hint="default"/>
        </w:rPr>
        <w:t>3</w:t>
      </w:r>
      <w:r>
        <w:rPr/>
        <w:t>、优化投资体系 </w:t>
      </w:r>
      <w:r>
        <w:rPr>
          <w:spacing w:val="-2"/>
        </w:rPr>
        <w:t>公司将优化现有投资流程，加强现有项目的投后管理，梳理现有的投资项目和业务板块，降低投资风险。未来，公司将紧紧</w:t>
      </w:r>
      <w:r>
        <w:rPr>
          <w:spacing w:val="-67"/>
        </w:rPr>
        <w:t> </w:t>
      </w:r>
      <w:r>
        <w:rPr>
          <w:spacing w:val="-67"/>
        </w:rPr>
      </w:r>
      <w:r>
        <w:rPr>
          <w:spacing w:val="-2"/>
        </w:rPr>
        <w:t>围绕智慧产业和智慧医疗两个核心板块，借助外部专业机构和资本平台的丰富投资经验和资源，挖掘相关产业的股权投资和</w:t>
      </w:r>
      <w:r>
        <w:rPr>
          <w:spacing w:val="-64"/>
        </w:rPr>
        <w:t> </w:t>
      </w:r>
      <w:r>
        <w:rPr>
          <w:spacing w:val="-64"/>
        </w:rPr>
      </w:r>
      <w:r>
        <w:rPr/>
        <w:t>并购机会，通过外延式扩张，帮助公司获取新的投资机会和新的利润增长点。</w:t>
      </w:r>
    </w:p>
    <w:p>
      <w:pPr>
        <w:pStyle w:val="BodyText"/>
        <w:spacing w:line="240" w:lineRule="auto" w:before="22"/>
        <w:ind w:right="1133"/>
        <w:jc w:val="left"/>
      </w:pPr>
      <w:r>
        <w:rPr>
          <w:rFonts w:ascii="Times New Roman" w:hAnsi="Times New Roman" w:cs="Times New Roman" w:eastAsia="Times New Roman" w:hint="default"/>
        </w:rPr>
        <w:t>4</w:t>
      </w:r>
      <w:r>
        <w:rPr/>
        <w:t>、坚持技术研发与业务发展相结合</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0"/>
        <w:jc w:val="both"/>
      </w:pPr>
      <w:r>
        <w:rPr>
          <w:spacing w:val="-2"/>
        </w:rPr>
        <w:t>公司始终坚持技术研发与业务相结合，密切协作，顺应行业发展和客户市场需求，充分发挥公司三级研发体系功能，与国内</w:t>
      </w:r>
      <w:r>
        <w:rPr>
          <w:spacing w:val="-63"/>
        </w:rPr>
        <w:t> </w:t>
      </w:r>
      <w:r>
        <w:rPr>
          <w:spacing w:val="-63"/>
        </w:rPr>
      </w:r>
      <w:r>
        <w:rPr>
          <w:spacing w:val="-2"/>
        </w:rPr>
        <w:t>著名高等院校、科研院所和行业专家学者紧密合作，坚持前瞻性研究，重点开发基于人工智能、大数据、云计算等技术的互</w:t>
      </w:r>
      <w:r>
        <w:rPr>
          <w:spacing w:val="-67"/>
        </w:rPr>
        <w:t> </w:t>
      </w:r>
      <w:r>
        <w:rPr>
          <w:spacing w:val="-67"/>
        </w:rPr>
      </w:r>
      <w:r>
        <w:rPr>
          <w:spacing w:val="-2"/>
        </w:rPr>
        <w:t>联网服务平台，重点打造面向智慧医疗及商业的面向广大消费者的服务平台，为公司的业务转型升级和提升发展提供强大的</w:t>
      </w:r>
      <w:r>
        <w:rPr>
          <w:spacing w:val="-64"/>
        </w:rPr>
        <w:t> </w:t>
      </w:r>
      <w:r>
        <w:rPr>
          <w:spacing w:val="-64"/>
        </w:rPr>
      </w:r>
      <w:r>
        <w:rPr/>
        <w:t>技术保障。</w:t>
      </w:r>
    </w:p>
    <w:p>
      <w:pPr>
        <w:pStyle w:val="BodyText"/>
        <w:spacing w:line="240" w:lineRule="auto" w:before="17"/>
        <w:ind w:right="1133"/>
        <w:jc w:val="left"/>
      </w:pPr>
      <w:r>
        <w:rPr/>
        <w:t>（四）可能面对的风险</w:t>
      </w:r>
    </w:p>
    <w:p>
      <w:pPr>
        <w:pStyle w:val="BodyText"/>
        <w:spacing w:line="312" w:lineRule="auto" w:before="76"/>
        <w:ind w:right="986"/>
        <w:jc w:val="left"/>
      </w:pPr>
      <w:r>
        <w:rPr>
          <w:rFonts w:ascii="Times New Roman" w:hAnsi="Times New Roman" w:cs="Times New Roman" w:eastAsia="Times New Roman" w:hint="default"/>
        </w:rPr>
        <w:t>1</w:t>
      </w:r>
      <w:r>
        <w:rPr/>
        <w:t>、新领域开拓的风险 </w:t>
      </w:r>
      <w:r>
        <w:rPr>
          <w:spacing w:val="-2"/>
        </w:rPr>
        <w:t>公司按照既定的发展战略，坚持开拓新的业务领域，进军智慧医疗领域，但新业务、新领域的开拓仍有较大的不确定性，存</w:t>
      </w:r>
      <w:r>
        <w:rPr>
          <w:spacing w:val="-67"/>
        </w:rPr>
        <w:t> </w:t>
      </w:r>
      <w:r>
        <w:rPr>
          <w:spacing w:val="-67"/>
        </w:rPr>
      </w:r>
      <w:r>
        <w:rPr/>
        <w:t>在新业务发展不达预期的风险。 </w:t>
      </w:r>
      <w:r>
        <w:rPr>
          <w:spacing w:val="-2"/>
        </w:rPr>
        <w:t>应对措施：公司加强对国家政策导向的研究和最新行业动态的跟踪，加大研发投入，积极引进人才，打造出一支强大的业务</w:t>
      </w:r>
      <w:r>
        <w:rPr>
          <w:spacing w:val="-64"/>
        </w:rPr>
        <w:t> </w:t>
      </w:r>
      <w:r>
        <w:rPr>
          <w:spacing w:val="-64"/>
        </w:rPr>
      </w:r>
      <w:r>
        <w:rPr/>
        <w:t>营销团队，保持技术、人才优势，拓展多方面融资渠道，为公司新业务的开拓升级提供智力和资金保障。 </w:t>
      </w:r>
      <w:r>
        <w:rPr>
          <w:rFonts w:ascii="Times New Roman" w:hAnsi="Times New Roman" w:cs="Times New Roman" w:eastAsia="Times New Roman" w:hint="default"/>
        </w:rPr>
        <w:t>2</w:t>
      </w:r>
      <w:r>
        <w:rPr/>
        <w:t>、控制权变更过渡期的经营风险 公司于</w:t>
      </w:r>
      <w:r>
        <w:rPr>
          <w:rFonts w:ascii="Times New Roman" w:hAnsi="Times New Roman" w:cs="Times New Roman" w:eastAsia="Times New Roman" w:hint="default"/>
        </w:rPr>
        <w:t>2019</w:t>
      </w:r>
      <w:r>
        <w:rPr/>
        <w:t>年末完成控制权交割，</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月，新的经营管理团队正式成立。随着公司战略、经营计划方针、管理体系、激 </w:t>
      </w:r>
      <w:r>
        <w:rPr>
          <w:spacing w:val="-4"/>
        </w:rPr>
        <w:t>励考核体系的调整，过渡期内公司的各业务板块存在一定的市场开拓力度不足、人员流动的不利情况，存在一定的经营风险。</w:t>
      </w:r>
      <w:r>
        <w:rPr>
          <w:spacing w:val="-44"/>
        </w:rPr>
        <w:t> </w:t>
      </w:r>
      <w:r>
        <w:rPr>
          <w:spacing w:val="-44"/>
        </w:rPr>
      </w:r>
      <w:r>
        <w:rPr>
          <w:spacing w:val="-2"/>
        </w:rPr>
        <w:t>应对措施：公司加快战略制定、未来规划、经营方针、激励考核体系、内控制度等政策措施的制定，减少过渡期对公司稳定</w:t>
      </w:r>
      <w:r>
        <w:rPr>
          <w:spacing w:val="-69"/>
        </w:rPr>
        <w:t> </w:t>
      </w:r>
      <w:r>
        <w:rPr>
          <w:spacing w:val="-69"/>
        </w:rPr>
      </w:r>
      <w:r>
        <w:rPr/>
        <w:t>发展的风险。</w:t>
      </w:r>
    </w:p>
    <w:p>
      <w:pPr>
        <w:pStyle w:val="BodyText"/>
        <w:spacing w:line="314" w:lineRule="auto" w:before="22"/>
        <w:ind w:right="986"/>
        <w:jc w:val="left"/>
      </w:pPr>
      <w:r>
        <w:rPr>
          <w:rFonts w:ascii="Times New Roman" w:hAnsi="Times New Roman" w:cs="Times New Roman" w:eastAsia="Times New Roman" w:hint="default"/>
        </w:rPr>
        <w:t>3</w:t>
      </w:r>
      <w:r>
        <w:rPr/>
        <w:t>、投资并购风险 </w:t>
      </w:r>
      <w:r>
        <w:rPr>
          <w:spacing w:val="-2"/>
        </w:rPr>
        <w:t>资产并购可以产生协同效应，可以合理配置资源，有利于公司实现资源共享和优势互补，但也存在一定风险。同时，随着投</w:t>
      </w:r>
      <w:r>
        <w:rPr>
          <w:spacing w:val="-67"/>
        </w:rPr>
        <w:t> </w:t>
      </w:r>
      <w:r>
        <w:rPr>
          <w:spacing w:val="-67"/>
        </w:rPr>
      </w:r>
      <w:r>
        <w:rPr>
          <w:spacing w:val="-2"/>
        </w:rPr>
        <w:t>资并购项目的增加，公司旗下的控股子公司、参股公司数量逐渐增多，公司的经营规模及业务范围也不断扩大，人员构成和</w:t>
      </w:r>
      <w:r>
        <w:rPr>
          <w:spacing w:val="-65"/>
        </w:rPr>
        <w:t> </w:t>
      </w:r>
      <w:r>
        <w:rPr>
          <w:spacing w:val="-65"/>
        </w:rPr>
      </w:r>
      <w:r>
        <w:rPr>
          <w:spacing w:val="-4"/>
        </w:rPr>
        <w:t>管理体系愈加复杂，同时团队的稳定性、新业务领域的开拓风险都将给公司提出了更高的要求。同时，公司对外投资并购时，</w:t>
      </w:r>
      <w:r>
        <w:rPr>
          <w:spacing w:val="-46"/>
        </w:rPr>
        <w:t> </w:t>
      </w:r>
      <w:r>
        <w:rPr>
          <w:spacing w:val="-46"/>
        </w:rPr>
      </w:r>
      <w:r>
        <w:rPr/>
        <w:t>存在投资并购项目本身承诺利润能否达成、商誉减值、市场政策变化及法律等方面的风险因素。 </w:t>
      </w:r>
      <w:r>
        <w:rPr>
          <w:spacing w:val="-2"/>
        </w:rPr>
        <w:t>应对措施：公司采取较为稳健的投资策略，审慎选择投资标的，做好尽职调查工作，减少法律风险。重点围绕与公司智慧城</w:t>
      </w:r>
      <w:r>
        <w:rPr>
          <w:spacing w:val="-66"/>
        </w:rPr>
        <w:t> </w:t>
      </w:r>
      <w:r>
        <w:rPr>
          <w:spacing w:val="-66"/>
        </w:rPr>
      </w:r>
      <w:r>
        <w:rPr>
          <w:spacing w:val="-2"/>
        </w:rPr>
        <w:t>市、智慧医疗核心主业相关的投资标的开展投资并购，发挥协同效应实现其价值；借助外部专业机构和资本平台的丰富投资</w:t>
      </w:r>
      <w:r>
        <w:rPr>
          <w:spacing w:val="-63"/>
        </w:rPr>
        <w:t> </w:t>
      </w:r>
      <w:r>
        <w:rPr>
          <w:spacing w:val="-63"/>
        </w:rPr>
      </w:r>
      <w:r>
        <w:rPr/>
        <w:t>经验和资源，挖掘相关产业的股权投资和并购机会，帮助公司获取新的投资机会和新的利润增长点。</w:t>
      </w:r>
    </w:p>
    <w:p>
      <w:pPr>
        <w:pStyle w:val="BodyText"/>
        <w:spacing w:line="312" w:lineRule="auto" w:before="20"/>
        <w:ind w:right="986"/>
        <w:jc w:val="left"/>
      </w:pPr>
      <w:r>
        <w:rPr>
          <w:rFonts w:ascii="Times New Roman" w:hAnsi="Times New Roman" w:cs="Times New Roman" w:eastAsia="Times New Roman" w:hint="default"/>
        </w:rPr>
        <w:t>4</w:t>
      </w:r>
      <w:r>
        <w:rPr/>
        <w:t>、应收账款风险 </w:t>
      </w:r>
      <w:r>
        <w:rPr>
          <w:spacing w:val="-2"/>
        </w:rPr>
        <w:t>公司应收款项主要系智慧城市项目款，主要客户为政府或大型企业，应收账款回款较有保障。但随着公司工程项目推进结算</w:t>
      </w:r>
      <w:r>
        <w:rPr>
          <w:spacing w:val="-63"/>
        </w:rPr>
        <w:t> </w:t>
      </w:r>
      <w:r>
        <w:rPr>
          <w:spacing w:val="-63"/>
        </w:rPr>
      </w:r>
      <w:r>
        <w:rPr>
          <w:spacing w:val="-2"/>
        </w:rPr>
        <w:t>增加，应收账款数额不断增加。如账龄较长的应收账款增加，则可能使公司资金周转速度与运营效率降低，存在流动性风险</w:t>
      </w:r>
      <w:r>
        <w:rPr>
          <w:spacing w:val="-65"/>
        </w:rPr>
        <w:t> </w:t>
      </w:r>
      <w:r>
        <w:rPr>
          <w:spacing w:val="-65"/>
        </w:rPr>
      </w:r>
      <w:r>
        <w:rPr/>
        <w:t>或坏账风险。 </w:t>
      </w:r>
      <w:r>
        <w:rPr>
          <w:spacing w:val="-2"/>
        </w:rPr>
        <w:t>应对措施：一方面，公司从工程项目投标环节把控潜在客户的信用风险，通过调查了解客户信誉为未来工程实施和款项结算</w:t>
      </w:r>
      <w:r>
        <w:rPr>
          <w:spacing w:val="-66"/>
        </w:rPr>
        <w:t> </w:t>
      </w:r>
      <w:r>
        <w:rPr>
          <w:spacing w:val="-66"/>
        </w:rPr>
      </w:r>
      <w:r>
        <w:rPr>
          <w:spacing w:val="-2"/>
        </w:rPr>
        <w:t>保驾护航。另一方面，在内部管理层面，公司对应收款项管理遵循</w:t>
      </w:r>
      <w:r>
        <w:rPr>
          <w:rFonts w:ascii="Times New Roman" w:hAnsi="Times New Roman" w:cs="Times New Roman" w:eastAsia="Times New Roman" w:hint="default"/>
          <w:spacing w:val="-2"/>
        </w:rPr>
        <w:t>“</w:t>
      </w:r>
      <w:r>
        <w:rPr>
          <w:spacing w:val="-2"/>
        </w:rPr>
        <w:t>谁经办，谁负责，及时清理</w:t>
      </w:r>
      <w:r>
        <w:rPr>
          <w:rFonts w:ascii="Times New Roman" w:hAnsi="Times New Roman" w:cs="Times New Roman" w:eastAsia="Times New Roman" w:hint="default"/>
          <w:spacing w:val="-2"/>
        </w:rPr>
        <w:t>”</w:t>
      </w:r>
      <w:r>
        <w:rPr>
          <w:spacing w:val="-2"/>
        </w:rPr>
        <w:t>的原则。财务部及时准确登</w:t>
      </w:r>
      <w:r>
        <w:rPr>
          <w:spacing w:val="-45"/>
        </w:rPr>
        <w:t> </w:t>
      </w:r>
      <w:r>
        <w:rPr>
          <w:spacing w:val="-45"/>
        </w:rPr>
      </w:r>
      <w:r>
        <w:rPr/>
        <w:t>记客户往来账，按照应收单位、项目分别核算，及时核对，定期向责任中心发布</w:t>
      </w:r>
      <w:r>
        <w:rPr>
          <w:rFonts w:ascii="Times New Roman" w:hAnsi="Times New Roman" w:cs="Times New Roman" w:eastAsia="Times New Roman" w:hint="default"/>
        </w:rPr>
        <w:t>“</w:t>
      </w:r>
      <w:r>
        <w:rPr/>
        <w:t>应收账款统计月报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应收账龄分析表， </w:t>
      </w:r>
      <w:r>
        <w:rPr>
          <w:spacing w:val="-2"/>
        </w:rPr>
        <w:t>将应收账款回款情况，作为责任中心业绩考核的重要指标。公司将努力减少应收账款不断增大的风险，持续改善公司现金流</w:t>
      </w:r>
      <w:r>
        <w:rPr>
          <w:spacing w:val="-63"/>
        </w:rPr>
        <w:t> </w:t>
      </w:r>
      <w:r>
        <w:rPr>
          <w:spacing w:val="-63"/>
        </w:rPr>
      </w:r>
      <w:r>
        <w:rPr/>
        <w:t>情况，提高应收账款周转率和资金运转效率。</w:t>
      </w:r>
    </w:p>
    <w:p>
      <w:pPr>
        <w:pStyle w:val="BodyText"/>
        <w:spacing w:line="314" w:lineRule="auto" w:before="22"/>
        <w:ind w:right="986"/>
        <w:jc w:val="left"/>
      </w:pPr>
      <w:r>
        <w:rPr>
          <w:rFonts w:ascii="Times New Roman" w:hAnsi="Times New Roman" w:cs="Times New Roman" w:eastAsia="Times New Roman" w:hint="default"/>
        </w:rPr>
        <w:t>5</w:t>
      </w:r>
      <w:r>
        <w:rPr/>
        <w:t>、对外投资风险 </w:t>
      </w:r>
      <w:r>
        <w:rPr>
          <w:spacing w:val="-2"/>
        </w:rPr>
        <w:t>公司部分的投资项目与公司的主业关联性较小，给公司的投后管理带来一定的难度，如果被并购的企业经营状况在未来出现</w:t>
      </w:r>
      <w:r>
        <w:rPr>
          <w:spacing w:val="-64"/>
        </w:rPr>
        <w:t> </w:t>
      </w:r>
      <w:r>
        <w:rPr>
          <w:spacing w:val="-64"/>
        </w:rPr>
      </w:r>
      <w:r>
        <w:rPr/>
        <w:t>不利变化，则存在减值风险，对公司当期损益造成不利影响。 </w:t>
      </w:r>
      <w:r>
        <w:rPr>
          <w:spacing w:val="-4"/>
        </w:rPr>
        <w:t>应对措施：公司在业务方面整体筹划，和被并购的公司协同发展；加强被并购企业管理，加强与被并购企业之间的人员交流、</w:t>
      </w:r>
      <w:r>
        <w:rPr>
          <w:spacing w:val="-46"/>
        </w:rPr>
        <w:t> </w:t>
      </w:r>
      <w:r>
        <w:rPr>
          <w:spacing w:val="-46"/>
        </w:rPr>
      </w:r>
      <w:r>
        <w:rPr>
          <w:spacing w:val="-2"/>
        </w:rPr>
        <w:t>学习；财务方面，协助被并购企业搭建符合上市公司标准的财务管理体系；并在技术、业务、客户等方面进行资源整合，提</w:t>
      </w:r>
      <w:r>
        <w:rPr>
          <w:spacing w:val="-68"/>
        </w:rPr>
        <w:t> </w:t>
      </w:r>
      <w:r>
        <w:rPr>
          <w:spacing w:val="-68"/>
        </w:rPr>
      </w:r>
      <w:r>
        <w:rPr/>
        <w:t>高被并购公司的盈利水平。</w:t>
      </w:r>
    </w:p>
    <w:p>
      <w:pPr>
        <w:pStyle w:val="BodyText"/>
        <w:spacing w:line="314" w:lineRule="auto" w:before="20"/>
        <w:ind w:right="1034"/>
        <w:jc w:val="left"/>
      </w:pPr>
      <w:r>
        <w:rPr>
          <w:rFonts w:ascii="Times New Roman" w:hAnsi="Times New Roman" w:cs="Times New Roman" w:eastAsia="Times New Roman" w:hint="default"/>
        </w:rPr>
        <w:t>6</w:t>
      </w:r>
      <w:r>
        <w:rPr/>
        <w:t>、核心人员流失或管理人员不足的风险 </w:t>
      </w:r>
      <w:r>
        <w:rPr>
          <w:spacing w:val="-2"/>
        </w:rPr>
        <w:t>公司的核心竞争力之一是公司所拥有的核心技术人员和管理人员。近年来，公司业绩的持续快速增长和核心技术的不断提升</w:t>
      </w:r>
      <w:r>
        <w:rPr>
          <w:spacing w:val="-63"/>
        </w:rPr>
        <w:t> </w:t>
      </w:r>
      <w:r>
        <w:rPr>
          <w:spacing w:val="-63"/>
        </w:rPr>
      </w:r>
      <w:r>
        <w:rPr>
          <w:spacing w:val="-4"/>
        </w:rPr>
        <w:t>很大程度上有赖于上述核心人员。企业间的高薪招聘等因素都为核心员工的流动提供了客观条件，存在核心人员流失的风险。</w:t>
      </w:r>
      <w:r>
        <w:rPr>
          <w:spacing w:val="-44"/>
        </w:rPr>
        <w:t> </w:t>
      </w:r>
      <w:r>
        <w:rPr>
          <w:spacing w:val="-44"/>
        </w:rPr>
      </w:r>
      <w:r>
        <w:rPr>
          <w:spacing w:val="-2"/>
        </w:rPr>
        <w:t>应对措施：公司一直持续重点关注人力资源体系的建设，通过多年的建设和实践已建成一个高效的人力资源体系，包括建立</w:t>
      </w:r>
      <w:r>
        <w:rPr>
          <w:spacing w:val="-63"/>
        </w:rPr>
        <w:t> </w:t>
      </w:r>
      <w:r>
        <w:rPr>
          <w:spacing w:val="-63"/>
        </w:rPr>
      </w:r>
      <w:r>
        <w:rPr/>
        <w:t>以人为本的企业文化、员工职业生涯发展规划、渐进式的培训体系、技术人员任职资格鉴定、科学合理的薪酬及绩效体系、 </w:t>
      </w:r>
      <w:r>
        <w:rPr>
          <w:spacing w:val="-2"/>
        </w:rPr>
        <w:t>优秀人才特别奖励办法等。同时也开拓了多种人才引进渠道，建立系统的人才梯队，强化自身造血能力以满足企业发展的需</w:t>
      </w:r>
    </w:p>
    <w:p>
      <w:pPr>
        <w:spacing w:after="0" w:line="31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要。</w:t>
      </w:r>
    </w:p>
    <w:p>
      <w:pPr>
        <w:pStyle w:val="BodyText"/>
        <w:spacing w:line="240" w:lineRule="auto" w:before="77"/>
        <w:ind w:right="1133"/>
        <w:jc w:val="left"/>
      </w:pPr>
      <w:r>
        <w:rPr>
          <w:rFonts w:ascii="Times New Roman" w:hAnsi="Times New Roman" w:cs="Times New Roman" w:eastAsia="Times New Roman" w:hint="default"/>
        </w:rPr>
        <w:t>7</w:t>
      </w:r>
      <w:r>
        <w:rPr/>
        <w:t>、宏观环境变化带来的风险</w:t>
      </w:r>
    </w:p>
    <w:p>
      <w:pPr>
        <w:pStyle w:val="BodyText"/>
        <w:spacing w:line="314" w:lineRule="auto" w:before="63"/>
        <w:ind w:right="1124"/>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月以来，受宏观环境变化影响，公司各项业务均受到不同程度影响，导致公司一季度业绩出现大幅下滑，影响很难 迅速消除，对公司业务发展造成一定的风险。 </w:t>
      </w:r>
      <w:r>
        <w:rPr>
          <w:spacing w:val="-2"/>
        </w:rPr>
        <w:t>应对措施：首先做好卫生防控工作，做好办公场所及员工保护工作；其次通过加大智慧医疗、互联网医院的推进力度，提高</w:t>
      </w:r>
      <w:r>
        <w:rPr>
          <w:spacing w:val="-67"/>
        </w:rPr>
        <w:t> </w:t>
      </w:r>
      <w:r>
        <w:rPr>
          <w:spacing w:val="-67"/>
        </w:rPr>
      </w:r>
      <w:r>
        <w:rPr>
          <w:spacing w:val="-2"/>
        </w:rPr>
        <w:t>公司业务增长潜力；再次通过加大智慧城市拓展力度，提高公司订单量；最后，通过强化内部培训和内部管理，有效提高管</w:t>
      </w:r>
      <w:r>
        <w:rPr>
          <w:spacing w:val="-67"/>
        </w:rPr>
        <w:t> </w:t>
      </w:r>
      <w:r>
        <w:rPr>
          <w:spacing w:val="-67"/>
        </w:rPr>
      </w:r>
      <w:r>
        <w:rPr/>
        <w:t>理效率，降低管理费用。</w:t>
      </w:r>
    </w:p>
    <w:p>
      <w:pPr>
        <w:spacing w:line="240" w:lineRule="auto" w:before="13"/>
        <w:rPr>
          <w:rFonts w:ascii="宋体" w:hAnsi="宋体" w:cs="宋体" w:eastAsia="宋体" w:hint="default"/>
          <w:sz w:val="20"/>
          <w:szCs w:val="20"/>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日投资者活动关系记录表</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日投资者活动关系记录表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9"/>
        <w:jc w:val="center"/>
        <w:rPr>
          <w:b w:val="0"/>
          <w:bCs w:val="0"/>
        </w:rPr>
      </w:pPr>
      <w:bookmarkStart w:name="_bookmark3" w:id="4"/>
      <w:bookmarkEnd w:id="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报告期内普通股利润分配政策，特别是现金分红政策的制定、执行或调整情况</w:t>
      </w:r>
    </w:p>
    <w:p>
      <w:pPr>
        <w:pStyle w:val="BodyText"/>
        <w:spacing w:line="319" w:lineRule="auto" w:before="117"/>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w:t>
      </w:r>
      <w:r>
        <w:rPr>
          <w:rFonts w:ascii="Times New Roman" w:hAnsi="Times New Roman" w:cs="Times New Roman" w:eastAsia="Times New Roman" w:hint="default"/>
        </w:rPr>
        <w:t>2018</w:t>
      </w:r>
      <w:r>
        <w:rPr/>
        <w:t>年年度股东大会审议通过了公司</w:t>
      </w:r>
      <w:r>
        <w:rPr>
          <w:rFonts w:ascii="Times New Roman" w:hAnsi="Times New Roman" w:cs="Times New Roman" w:eastAsia="Times New Roman" w:hint="default"/>
        </w:rPr>
        <w:t>2018</w:t>
      </w:r>
      <w:r>
        <w:rPr/>
        <w:t>年年度权益分派方案：以总股本</w:t>
      </w:r>
      <w:r>
        <w:rPr>
          <w:rFonts w:ascii="Times New Roman" w:hAnsi="Times New Roman" w:cs="Times New Roman" w:eastAsia="Times New Roman" w:hint="default"/>
        </w:rPr>
        <w:t>683,136,428</w:t>
      </w:r>
      <w:r>
        <w:rPr/>
        <w:t>股为基数， 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0.20</w:t>
      </w:r>
      <w:r>
        <w:rPr/>
        <w:t>元人民币（含税），合计派发现金</w:t>
      </w:r>
      <w:r>
        <w:rPr>
          <w:rFonts w:ascii="Times New Roman" w:hAnsi="Times New Roman" w:cs="Times New Roman" w:eastAsia="Times New Roman" w:hint="default"/>
        </w:rPr>
        <w:t>13,662,728.56</w:t>
      </w:r>
      <w:r>
        <w:rPr/>
        <w:t>元（含税），本年度不以资本公积金转</w:t>
      </w:r>
    </w:p>
    <w:p>
      <w:pPr>
        <w:pStyle w:val="BodyText"/>
        <w:spacing w:line="246" w:lineRule="exact" w:before="0"/>
        <w:ind w:right="1133"/>
        <w:jc w:val="left"/>
      </w:pPr>
      <w:r>
        <w:rPr/>
        <w:t>增股本，不送红股，剩余未分配利润结转以后年度。</w:t>
      </w:r>
      <w:r>
        <w:rPr>
          <w:rFonts w:ascii="Times New Roman" w:hAnsi="Times New Roman" w:cs="Times New Roman" w:eastAsia="Times New Roman" w:hint="default"/>
        </w:rPr>
        <w:t>2018</w:t>
      </w:r>
      <w:r>
        <w:rPr/>
        <w:t>年度权益分派已于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日分派完毕。</w:t>
      </w:r>
    </w:p>
    <w:p>
      <w:pPr>
        <w:spacing w:line="240" w:lineRule="auto" w:before="4"/>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pict>
          <v:shape style="position:absolute;margin-left:218.649002pt;margin-top:98.961708pt;width:316.3pt;height:19.6pt;mso-position-horizontal-relative:page;mso-position-vertical-relative:paragraph;z-index:-1129840" type="#_x0000_t202" filled="false" stroked="false">
            <v:textbox inset="0,0,0,0">
              <w:txbxContent>
                <w:p>
                  <w:pPr>
                    <w:pStyle w:val="BodyText"/>
                    <w:spacing w:line="240" w:lineRule="auto" w:before="49"/>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9"/>
        <w:gridCol w:w="2426"/>
        <w:gridCol w:w="3426"/>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678,569,976</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2426" w:type="dxa"/>
            <w:tcBorders>
              <w:top w:val="single" w:sz="4" w:space="0" w:color="000000"/>
              <w:left w:val="single" w:sz="13" w:space="0" w:color="FFFFFF"/>
              <w:bottom w:val="single" w:sz="4" w:space="0" w:color="000000"/>
              <w:right w:val="nil" w:sz="6" w:space="0" w:color="auto"/>
            </w:tcBorders>
          </w:tcPr>
          <w:p>
            <w:pPr/>
          </w:p>
        </w:tc>
        <w:tc>
          <w:tcPr>
            <w:tcW w:w="342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17,996,196.31</w:t>
            </w:r>
          </w:p>
        </w:tc>
      </w:tr>
      <w:tr>
        <w:trPr>
          <w:trHeight w:val="161" w:hRule="exact"/>
        </w:trPr>
        <w:tc>
          <w:tcPr>
            <w:tcW w:w="3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85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17,996,196.31</w:t>
            </w:r>
          </w:p>
        </w:tc>
      </w:tr>
      <w:tr>
        <w:trPr>
          <w:trHeight w:val="391" w:hRule="exact"/>
        </w:trPr>
        <w:tc>
          <w:tcPr>
            <w:tcW w:w="3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gridSpan w:val="2"/>
            <w:vMerge/>
            <w:tcBorders>
              <w:left w:val="single" w:sz="4" w:space="0" w:color="000000"/>
              <w:right w:val="single" w:sz="4" w:space="0" w:color="000000"/>
            </w:tcBorders>
          </w:tcPr>
          <w:p>
            <w:pPr/>
          </w:p>
        </w:tc>
      </w:tr>
      <w:tr>
        <w:trPr>
          <w:trHeight w:val="162" w:hRule="exact"/>
        </w:trPr>
        <w:tc>
          <w:tcPr>
            <w:tcW w:w="3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852" w:type="dxa"/>
            <w:gridSpan w:val="2"/>
            <w:vMerge/>
            <w:tcBorders>
              <w:left w:val="single" w:sz="4" w:space="0" w:color="000000"/>
              <w:bottom w:val="single" w:sz="4" w:space="0" w:color="000000"/>
              <w:right w:val="single" w:sz="4" w:space="0" w:color="000000"/>
            </w:tcBorders>
          </w:tcPr>
          <w:p>
            <w:pP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-207,871,951.91</w:t>
            </w:r>
          </w:p>
        </w:tc>
      </w:tr>
      <w:tr>
        <w:trPr>
          <w:trHeight w:val="71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结合公司目前的实际经营发展需要，拟不派发现金红利，不送红股，不以资本公积金转增股本。</w:t>
            </w:r>
          </w:p>
        </w:tc>
      </w:tr>
    </w:tbl>
    <w:p>
      <w:pPr>
        <w:pStyle w:val="BodyText"/>
        <w:spacing w:line="240" w:lineRule="auto" w:before="72"/>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98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年度利润分配预案为：结合公司目前的实际经营发展需要，拟不派发现金红利，不送红股，不以资本公积金转增股</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ind w:right="1079"/>
        <w:jc w:val="left"/>
      </w:pPr>
      <w:r>
        <w:rPr/>
        <w:t>本。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年度利润分配方案为：以公司总股本</w:t>
      </w:r>
      <w:r>
        <w:rPr>
          <w:rFonts w:ascii="Times New Roman" w:hAnsi="Times New Roman" w:cs="Times New Roman" w:eastAsia="Times New Roman" w:hint="default"/>
        </w:rPr>
        <w:t>683,136,428</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w:t>
      </w:r>
      <w:r>
        <w:rPr/>
        <w:t>元人民币（含税）， </w:t>
      </w:r>
      <w:r>
        <w:rPr>
          <w:spacing w:val="-1"/>
        </w:rPr>
        <w:t>合计派发现金</w:t>
      </w:r>
      <w:r>
        <w:rPr>
          <w:rFonts w:ascii="Times New Roman" w:hAnsi="Times New Roman" w:cs="Times New Roman" w:eastAsia="Times New Roman" w:hint="default"/>
          <w:spacing w:val="-1"/>
        </w:rPr>
        <w:t>13,662,728.56</w:t>
      </w:r>
      <w:r>
        <w:rPr>
          <w:spacing w:val="-1"/>
        </w:rPr>
        <w:t>元（含税），本年度不以资本公积金转增股本，不送红股，剩余未分配利润结转以后年度。截至</w:t>
      </w:r>
      <w:r>
        <w:rPr>
          <w:spacing w:val="-75"/>
        </w:rPr>
        <w:t> </w:t>
      </w:r>
      <w:r>
        <w:rPr>
          <w:spacing w:val="-75"/>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日，上述权益分派方案已全部实施完毕。</w:t>
      </w:r>
    </w:p>
    <w:p>
      <w:pPr>
        <w:pStyle w:val="BodyText"/>
        <w:spacing w:line="300" w:lineRule="auto" w:before="7"/>
        <w:ind w:right="103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年度利润分配方案为：以扣除公司回购专户上已回购股份后的</w:t>
      </w:r>
      <w:r>
        <w:rPr>
          <w:rFonts w:ascii="Times New Roman" w:hAnsi="Times New Roman" w:cs="Times New Roman" w:eastAsia="Times New Roman" w:hint="default"/>
        </w:rPr>
        <w:t>450,109,521</w:t>
      </w:r>
      <w:r>
        <w:rPr/>
        <w:t>股为基数，向全体股东每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0.2</w:t>
      </w:r>
      <w:r>
        <w:rPr/>
        <w:t>元人民币（含税），每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5</w:t>
      </w:r>
      <w:r>
        <w:rPr/>
        <w:t>股。董事会审议利润分配方案后，因公司实施</w:t>
      </w:r>
      <w:r>
        <w:rPr>
          <w:rFonts w:ascii="Times New Roman" w:hAnsi="Times New Roman" w:cs="Times New Roman" w:eastAsia="Times New Roman" w:hint="default"/>
        </w:rPr>
        <w:t>2018</w:t>
      </w:r>
      <w:r>
        <w:rPr/>
        <w:t>年限制性股票激励计 划，权益分派基数发生变动，按照分配总额不变的原则对分配比例进行了调整，调整后的公司</w:t>
      </w:r>
      <w:r>
        <w:rPr>
          <w:rFonts w:ascii="Times New Roman" w:hAnsi="Times New Roman" w:cs="Times New Roman" w:eastAsia="Times New Roman" w:hint="default"/>
        </w:rPr>
        <w:t>2017</w:t>
      </w:r>
      <w:r>
        <w:rPr/>
        <w:t>年年度权益分派方案为： </w:t>
      </w:r>
      <w:r>
        <w:rPr>
          <w:spacing w:val="-2"/>
        </w:rPr>
        <w:t>以总股本</w:t>
      </w:r>
      <w:r>
        <w:rPr>
          <w:rFonts w:ascii="Times New Roman" w:hAnsi="Times New Roman" w:cs="Times New Roman" w:eastAsia="Times New Roman" w:hint="default"/>
          <w:spacing w:val="-2"/>
        </w:rPr>
        <w:t>459,393,716</w:t>
      </w:r>
      <w:r>
        <w:rPr>
          <w:spacing w:val="-2"/>
        </w:rPr>
        <w:t>股扣除公司股票回购专户股票数量</w:t>
      </w:r>
      <w:r>
        <w:rPr>
          <w:rFonts w:ascii="Times New Roman" w:hAnsi="Times New Roman" w:cs="Times New Roman" w:eastAsia="Times New Roman" w:hint="default"/>
          <w:spacing w:val="-2"/>
        </w:rPr>
        <w:t>1,621,195</w:t>
      </w:r>
      <w:r>
        <w:rPr>
          <w:spacing w:val="-2"/>
        </w:rPr>
        <w:t>股后的</w:t>
      </w:r>
      <w:r>
        <w:rPr>
          <w:rFonts w:ascii="Times New Roman" w:hAnsi="Times New Roman" w:cs="Times New Roman" w:eastAsia="Times New Roman" w:hint="default"/>
          <w:spacing w:val="-2"/>
        </w:rPr>
        <w:t>457,772,521</w:t>
      </w:r>
      <w:r>
        <w:rPr>
          <w:spacing w:val="-2"/>
        </w:rPr>
        <w:t>股为基数，向全体股东每</w:t>
      </w:r>
      <w:r>
        <w:rPr>
          <w:rFonts w:ascii="Times New Roman" w:hAnsi="Times New Roman" w:cs="Times New Roman" w:eastAsia="Times New Roman" w:hint="default"/>
          <w:spacing w:val="-2"/>
        </w:rPr>
        <w:t>10</w:t>
      </w:r>
      <w:r>
        <w:rPr>
          <w:spacing w:val="-2"/>
        </w:rPr>
        <w:t>股派发现金股</w:t>
      </w:r>
      <w:r>
        <w:rPr>
          <w:spacing w:val="-33"/>
        </w:rPr>
        <w:t> </w:t>
      </w:r>
      <w:r>
        <w:rPr/>
        <w:t>利</w:t>
      </w:r>
      <w:r>
        <w:rPr>
          <w:rFonts w:ascii="Times New Roman" w:hAnsi="Times New Roman" w:cs="Times New Roman" w:eastAsia="Times New Roman" w:hint="default"/>
        </w:rPr>
        <w:t>0.196652</w:t>
      </w:r>
      <w:r>
        <w:rPr/>
        <w:t>元人民币（含税），合计派发现金</w:t>
      </w:r>
      <w:r>
        <w:rPr>
          <w:rFonts w:ascii="Times New Roman" w:hAnsi="Times New Roman" w:cs="Times New Roman" w:eastAsia="Times New Roman" w:hint="default"/>
        </w:rPr>
        <w:t>9,000,219.98</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4.916301</w:t>
      </w:r>
      <w:r>
        <w:rPr/>
        <w:t>股，共 计转增</w:t>
      </w:r>
      <w:r>
        <w:rPr>
          <w:rFonts w:ascii="Times New Roman" w:hAnsi="Times New Roman" w:cs="Times New Roman" w:eastAsia="Times New Roman" w:hint="default"/>
        </w:rPr>
        <w:t>225,054,750</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日，上述权益分派方案已全部实施完毕。</w:t>
      </w:r>
    </w:p>
    <w:p>
      <w:pPr>
        <w:pStyle w:val="BodyText"/>
        <w:spacing w:line="240" w:lineRule="auto" w:before="53"/>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227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-793,295,024.4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17,996,196.31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17,996,196.31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13,662,728.56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124,307,511.26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13,662,728.56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9,000,219.98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85,140,455.29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9,000,219.98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10.57%</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9"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78"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平潭创新股 权投资合伙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权益变动报 告书</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本次交易权 益变动后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让本次权益 变动所获得 </w:t>
            </w:r>
            <w:r>
              <w:rPr>
                <w:rFonts w:ascii="宋体" w:hAnsi="宋体" w:cs="宋体" w:eastAsia="宋体" w:hint="default"/>
                <w:spacing w:val="-2"/>
                <w:sz w:val="18"/>
                <w:szCs w:val="18"/>
              </w:rPr>
              <w:t>的股份，目前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不存在明确 的未来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月内增持上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078"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市公司股份 的计划，若未 来发生相关 权益变动事 项，将严格按 照相关法律 法规的要求， 依法履行信 息披露义务。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平潭创新股 权投资合伙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91"/>
              <w:jc w:val="left"/>
              <w:rPr>
                <w:rFonts w:ascii="宋体" w:hAnsi="宋体" w:cs="宋体" w:eastAsia="宋体" w:hint="default"/>
                <w:sz w:val="18"/>
                <w:szCs w:val="18"/>
              </w:rPr>
            </w:pPr>
            <w:r>
              <w:rPr>
                <w:rFonts w:ascii="宋体" w:hAnsi="宋体" w:cs="宋体" w:eastAsia="宋体" w:hint="default"/>
                <w:sz w:val="18"/>
                <w:szCs w:val="18"/>
              </w:rPr>
              <w:t>权益变动报 告书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一、关于避免 同业竞争的 承诺；二、关 于减少和规 范关联交易 的承诺；三、 保持上市公 司独立性的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吴艳、王麒 </w:t>
            </w:r>
            <w:r>
              <w:rPr>
                <w:rFonts w:ascii="宋体" w:hAnsi="宋体" w:cs="宋体" w:eastAsia="宋体" w:hint="default"/>
                <w:spacing w:val="-3"/>
                <w:sz w:val="18"/>
                <w:szCs w:val="18"/>
              </w:rPr>
              <w:t>诚、汉鼎宇佑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集团有限公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91"/>
              <w:jc w:val="left"/>
              <w:rPr>
                <w:rFonts w:ascii="宋体" w:hAnsi="宋体" w:cs="宋体" w:eastAsia="宋体" w:hint="default"/>
                <w:sz w:val="18"/>
                <w:szCs w:val="18"/>
              </w:rPr>
            </w:pPr>
            <w:r>
              <w:rPr>
                <w:rFonts w:ascii="宋体" w:hAnsi="宋体" w:cs="宋体" w:eastAsia="宋体" w:hint="default"/>
                <w:sz w:val="18"/>
                <w:szCs w:val="18"/>
              </w:rPr>
              <w:t>首次公开发 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一、避免同业 竞争的承诺； 二、汉鼎宇佑 集团有限公 司避免同业 竞争的承诺； 三、避免关联 交易及相关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14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9"/>
              <w:jc w:val="left"/>
              <w:rPr>
                <w:rFonts w:ascii="宋体" w:hAnsi="宋体" w:cs="宋体" w:eastAsia="宋体" w:hint="default"/>
                <w:sz w:val="18"/>
                <w:szCs w:val="18"/>
              </w:rPr>
            </w:pPr>
            <w:r>
              <w:rPr>
                <w:rFonts w:ascii="宋体" w:hAnsi="宋体" w:cs="宋体" w:eastAsia="宋体" w:hint="default"/>
                <w:spacing w:val="-3"/>
                <w:sz w:val="18"/>
                <w:szCs w:val="18"/>
              </w:rPr>
              <w:t>吴艳、浙江奥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鑫控股集团 </w:t>
            </w:r>
            <w:r>
              <w:rPr>
                <w:rFonts w:ascii="宋体" w:hAnsi="宋体" w:cs="宋体" w:eastAsia="宋体" w:hint="default"/>
                <w:spacing w:val="-3"/>
                <w:sz w:val="18"/>
                <w:szCs w:val="18"/>
              </w:rPr>
              <w:t>有限公司、杭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州雄健投资 </w:t>
            </w:r>
            <w:r>
              <w:rPr>
                <w:rFonts w:ascii="宋体" w:hAnsi="宋体" w:cs="宋体" w:eastAsia="宋体" w:hint="default"/>
                <w:spacing w:val="-3"/>
                <w:sz w:val="18"/>
                <w:szCs w:val="18"/>
              </w:rPr>
              <w:t>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9"/>
              <w:ind w:left="26"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 公开发行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 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316" w:lineRule="auto" w:before="7"/>
              <w:ind w:left="23" w:right="19"/>
              <w:jc w:val="left"/>
              <w:rPr>
                <w:rFonts w:ascii="宋体" w:hAnsi="宋体" w:cs="宋体" w:eastAsia="宋体" w:hint="default"/>
                <w:sz w:val="18"/>
                <w:szCs w:val="18"/>
              </w:rPr>
            </w:pPr>
            <w:r>
              <w:rPr>
                <w:rFonts w:ascii="宋体" w:hAnsi="宋体" w:cs="宋体" w:eastAsia="宋体" w:hint="default"/>
                <w:sz w:val="18"/>
                <w:szCs w:val="18"/>
              </w:rPr>
              <w:t>日在深圳证 券交易所上 </w:t>
            </w:r>
            <w:r>
              <w:rPr>
                <w:rFonts w:ascii="宋体" w:hAnsi="宋体" w:cs="宋体" w:eastAsia="宋体" w:hint="default"/>
                <w:spacing w:val="-2"/>
                <w:sz w:val="18"/>
                <w:szCs w:val="18"/>
              </w:rPr>
              <w:t>市，自上市首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日起算，所有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发行对象认 购的股份均 自上市之日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 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0"/>
              <w:jc w:val="left"/>
              <w:rPr>
                <w:rFonts w:ascii="宋体" w:hAnsi="宋体" w:cs="宋体" w:eastAsia="宋体" w:hint="default"/>
                <w:sz w:val="18"/>
                <w:szCs w:val="18"/>
              </w:rPr>
            </w:pPr>
            <w:r>
              <w:rPr>
                <w:rFonts w:ascii="宋体" w:hAnsi="宋体" w:cs="宋体" w:eastAsia="宋体" w:hint="default"/>
                <w:sz w:val="18"/>
                <w:szCs w:val="18"/>
              </w:rPr>
              <w:t>公司承诺不 为激励对象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 性股票激励</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报告期内履 </w:t>
            </w:r>
            <w:r>
              <w:rPr>
                <w:rFonts w:ascii="宋体" w:hAnsi="宋体" w:cs="宋体" w:eastAsia="宋体" w:hint="default"/>
                <w:spacing w:val="-19"/>
                <w:sz w:val="18"/>
                <w:szCs w:val="18"/>
              </w:rPr>
              <w:t>行中，经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254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因股权激励 计划获取有 关权益提供 贷款以及其 他任何形式 的财务资助， 包括为其贷 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5"/>
              <w:jc w:val="left"/>
              <w:rPr>
                <w:rFonts w:ascii="宋体" w:hAnsi="宋体" w:cs="宋体" w:eastAsia="宋体" w:hint="default"/>
                <w:sz w:val="18"/>
                <w:szCs w:val="18"/>
              </w:rPr>
            </w:pPr>
            <w:r>
              <w:rPr>
                <w:rFonts w:ascii="宋体" w:hAnsi="宋体" w:cs="宋体" w:eastAsia="宋体" w:hint="default"/>
                <w:sz w:val="18"/>
                <w:szCs w:val="18"/>
              </w:rPr>
              <w:t>计划有效期 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69"/>
              <w:jc w:val="both"/>
              <w:rPr>
                <w:rFonts w:ascii="宋体" w:hAnsi="宋体" w:cs="宋体" w:eastAsia="宋体" w:hint="default"/>
                <w:sz w:val="18"/>
                <w:szCs w:val="18"/>
              </w:rPr>
            </w:pPr>
            <w:r>
              <w:rPr>
                <w:rFonts w:ascii="宋体" w:hAnsi="宋体" w:cs="宋体" w:eastAsia="宋体" w:hint="default"/>
                <w:sz w:val="18"/>
                <w:szCs w:val="18"/>
              </w:rPr>
              <w:t>年第一次临 时股东大会 审议，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年限制性股 票激励计划 已终止</w:t>
            </w:r>
          </w:p>
        </w:tc>
      </w:tr>
      <w:tr>
        <w:trPr>
          <w:trHeight w:val="6018"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本公司及关 联方不会违 反《证券发行 与承销管理 办法》第十六 条等有关法 规的规定，不 存在且未来 也将不会直 接或间接向 本次非公开 发行的认购 对象及其投 资人（包括但 不限于投资 人、合伙人、 股东）提供财 务资助或补 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83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因通过大宗 交易减持公 </w:t>
            </w:r>
            <w:r>
              <w:rPr>
                <w:rFonts w:ascii="宋体" w:hAnsi="宋体" w:cs="宋体" w:eastAsia="宋体" w:hint="default"/>
                <w:spacing w:val="-2"/>
                <w:sz w:val="18"/>
                <w:szCs w:val="18"/>
              </w:rPr>
              <w:t>司股份，吴艳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女士承诺自 本次减持之 日起连续六 个月内通过 证券交易系 统出售的股 份低于公司 股份总数的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129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因通过大宗 交易减持公 </w:t>
            </w:r>
            <w:r>
              <w:rPr>
                <w:rFonts w:ascii="宋体" w:hAnsi="宋体" w:cs="宋体" w:eastAsia="宋体" w:hint="default"/>
                <w:spacing w:val="-2"/>
                <w:sz w:val="18"/>
                <w:szCs w:val="18"/>
              </w:rPr>
              <w:t>司股份，吴艳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女士承诺自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0"/>
              <w:jc w:val="both"/>
              <w:rPr>
                <w:rFonts w:ascii="宋体" w:hAnsi="宋体" w:cs="宋体" w:eastAsia="宋体" w:hint="default"/>
                <w:sz w:val="18"/>
                <w:szCs w:val="18"/>
              </w:rPr>
            </w:pPr>
            <w:r>
              <w:rPr>
                <w:rFonts w:ascii="宋体" w:hAnsi="宋体" w:cs="宋体" w:eastAsia="宋体" w:hint="default"/>
                <w:sz w:val="18"/>
                <w:szCs w:val="18"/>
              </w:rPr>
              <w:t>本次减持之 日起连续六 个月内通过 证券交易系 统出售的股 份低于公司 股份总数的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因通过大宗 交易减持公 </w:t>
            </w:r>
            <w:r>
              <w:rPr>
                <w:rFonts w:ascii="宋体" w:hAnsi="宋体" w:cs="宋体" w:eastAsia="宋体" w:hint="default"/>
                <w:spacing w:val="-2"/>
                <w:sz w:val="18"/>
                <w:szCs w:val="18"/>
              </w:rPr>
              <w:t>司股份，吴艳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女士承诺自 本次减持之 日起连续六 个月内通过 证券交易系 统出售的股 份低于公司 股份总数的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83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因通过大宗 交易减持公 </w:t>
            </w:r>
            <w:r>
              <w:rPr>
                <w:rFonts w:ascii="宋体" w:hAnsi="宋体" w:cs="宋体" w:eastAsia="宋体" w:hint="default"/>
                <w:spacing w:val="-2"/>
                <w:sz w:val="18"/>
                <w:szCs w:val="18"/>
              </w:rPr>
              <w:t>司股份，吴艳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女士承诺自 本次减持之 日起连续六 个月内通过 证券交易系 统出售的股 份低于公司 股份总数的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48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因通过大宗 交易减持公 </w:t>
            </w:r>
            <w:r>
              <w:rPr>
                <w:rFonts w:ascii="宋体" w:hAnsi="宋体" w:cs="宋体" w:eastAsia="宋体" w:hint="default"/>
                <w:spacing w:val="-2"/>
                <w:sz w:val="18"/>
                <w:szCs w:val="18"/>
              </w:rPr>
              <w:t>司股份，吴艳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女士承诺自 本次减持之 日起连续六 个月内通过 证券交易系 统出售的股 份低于公司 股份总数的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因通过大宗 交易减持公 </w:t>
            </w:r>
            <w:r>
              <w:rPr>
                <w:rFonts w:ascii="宋体" w:hAnsi="宋体" w:cs="宋体" w:eastAsia="宋体" w:hint="default"/>
                <w:spacing w:val="-2"/>
                <w:sz w:val="18"/>
                <w:szCs w:val="18"/>
              </w:rPr>
              <w:t>司股份，吴艳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女士承诺自 本次减持之 日起连续六 个月内通过 证券交易系 统出售的股 份低于公司 股份总数的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5"/>
        <w:gridCol w:w="956"/>
        <w:gridCol w:w="958"/>
        <w:gridCol w:w="958"/>
        <w:gridCol w:w="956"/>
        <w:gridCol w:w="958"/>
        <w:gridCol w:w="958"/>
        <w:gridCol w:w="958"/>
        <w:gridCol w:w="962"/>
      </w:tblGrid>
      <w:tr>
        <w:trPr>
          <w:trHeight w:val="714"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2"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3" w:right="21"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 w:right="2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汉鼎宇佑 集团有限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9"/>
              <w:jc w:val="both"/>
              <w:rPr>
                <w:rFonts w:ascii="宋体" w:hAnsi="宋体" w:cs="宋体" w:eastAsia="宋体" w:hint="default"/>
                <w:sz w:val="18"/>
                <w:szCs w:val="18"/>
              </w:rPr>
            </w:pPr>
            <w:r>
              <w:rPr>
                <w:rFonts w:ascii="宋体" w:hAnsi="宋体" w:cs="宋体" w:eastAsia="宋体" w:hint="default"/>
                <w:sz w:val="18"/>
                <w:szCs w:val="18"/>
              </w:rPr>
              <w:t>沈阳汉鼎 宇佑置业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舟山市汉 鼎宇佑贸 易有限公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浙江汉鼎 宇佑智慧 产业开发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 今</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7,000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19" w:right="0"/>
              <w:jc w:val="left"/>
              <w:rPr>
                <w:rFonts w:ascii="Times New Roman" w:hAnsi="Times New Roman" w:cs="Times New Roman" w:eastAsia="Times New Roman" w:hint="default"/>
                <w:sz w:val="18"/>
                <w:szCs w:val="18"/>
              </w:rPr>
            </w:pPr>
            <w:r>
              <w:rPr>
                <w:rFonts w:ascii="Times New Roman"/>
                <w:sz w:val="18"/>
              </w:rPr>
              <w:t>7,000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6"/>
        <w:gridCol w:w="958"/>
        <w:gridCol w:w="958"/>
        <w:gridCol w:w="956"/>
        <w:gridCol w:w="958"/>
        <w:gridCol w:w="958"/>
        <w:gridCol w:w="958"/>
        <w:gridCol w:w="962"/>
      </w:tblGrid>
      <w:tr>
        <w:trPr>
          <w:trHeight w:val="363"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12,405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1,836.42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7,241.42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7,000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7,000</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2"/>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w:t>
            </w:r>
          </w:p>
        </w:tc>
      </w:tr>
      <w:tr>
        <w:trPr>
          <w:trHeight w:val="401"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1"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究及董事会拟定采取措施的情况说 明</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前控股股东及其关联企业在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年存在通过融资租赁、第三方支付等方式占用</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公司子公司资金合计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12,405 </w:t>
            </w:r>
            <w:r>
              <w:rPr>
                <w:rFonts w:ascii="宋体" w:hAnsi="宋体" w:cs="宋体" w:eastAsia="宋体" w:hint="default"/>
                <w:sz w:val="18"/>
                <w:szCs w:val="18"/>
              </w:rPr>
              <w:t>万元。截至报告期末，上述非经营性资金占用尚有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万元未归还，剩余款项正在逐步归还中，截至本报告披露日，已归还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据公司要求，前控股股东承诺在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日前将上述剩余非经营性资金占用归 还至上市公司。</w:t>
            </w:r>
          </w:p>
        </w:tc>
      </w:tr>
      <w:tr>
        <w:trPr>
          <w:trHeight w:val="102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采取的措施说明</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截至报告期末，上述非经营性资金占用尚有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万元未归还，剩余款项正在逐步归</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还中，截至本报告披露日，已归还 </w:t>
            </w:r>
            <w:r>
              <w:rPr>
                <w:rFonts w:ascii="Times New Roman" w:hAnsi="Times New Roman" w:cs="Times New Roman" w:eastAsia="Times New Roman" w:hint="default"/>
                <w:sz w:val="18"/>
                <w:szCs w:val="18"/>
              </w:rPr>
              <w:t>2000 </w:t>
            </w:r>
            <w:r>
              <w:rPr>
                <w:rFonts w:ascii="宋体" w:hAnsi="宋体" w:cs="宋体" w:eastAsia="宋体" w:hint="default"/>
                <w:spacing w:val="-5"/>
                <w:sz w:val="18"/>
                <w:szCs w:val="18"/>
              </w:rPr>
              <w:t>万元，根据公司要求，前控股股东承诺在</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日前将上述剩余非经营性资金占用归还至上市公司。</w:t>
            </w:r>
          </w:p>
        </w:tc>
      </w:tr>
      <w:tr>
        <w:trPr>
          <w:trHeight w:val="71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2"/>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3"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2"/>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详见巨潮资讯网同期披露公告</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一、会计政策变更</w:t>
      </w:r>
    </w:p>
    <w:p>
      <w:pPr>
        <w:pStyle w:val="BodyText"/>
        <w:spacing w:line="309" w:lineRule="auto" w:before="1"/>
        <w:ind w:right="1124"/>
        <w:jc w:val="left"/>
      </w:pPr>
      <w:r>
        <w:rPr/>
        <w:t>根据中华人民共和国财政部于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月修订印发《企业会计准则第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套期会计》，以及同年</w:t>
      </w:r>
      <w:r>
        <w:rPr>
          <w:rFonts w:ascii="Times New Roman" w:hAnsi="Times New Roman" w:cs="Times New Roman" w:eastAsia="Times New Roman" w:hint="default"/>
        </w:rPr>
        <w:t>5</w:t>
      </w:r>
      <w:r>
        <w:rPr/>
        <w:t>月修订印发的《企业会计准则第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w:t>
      </w:r>
      <w:r>
        <w:rPr>
          <w:spacing w:val="-3"/>
        </w:rPr>
        <w:t> </w:t>
      </w:r>
      <w:r>
        <w:rPr/>
        <w:t>工具列报》（以上四项准则统称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日起执行上述新金融工具准则，并将自公司</w:t>
      </w:r>
      <w:r>
        <w:rPr>
          <w:rFonts w:ascii="Times New Roman" w:hAnsi="Times New Roman" w:cs="Times New Roman" w:eastAsia="Times New Roman" w:hint="default"/>
        </w:rPr>
        <w:t>2019 </w:t>
      </w:r>
      <w:r>
        <w:rPr>
          <w:spacing w:val="-2"/>
        </w:rPr>
        <w:t>年第一季度报告起，按新金融工具准则要求进行财务报告的披露。本次会计政策变更涉及的项目包括：对新金融工具准则所</w:t>
      </w:r>
      <w:r>
        <w:rPr>
          <w:spacing w:val="-63"/>
        </w:rPr>
        <w:t> </w:t>
      </w:r>
      <w:r>
        <w:rPr>
          <w:spacing w:val="-63"/>
        </w:rPr>
      </w:r>
      <w:r>
        <w:rPr/>
        <w:t>规定的金融资产的分类、计量（含减值）及列报。 </w:t>
      </w:r>
      <w:r>
        <w:rPr>
          <w:spacing w:val="-2"/>
        </w:rPr>
        <w:t>会计政策变更是根据财政部新修订及颁布的企业会计准则进行的合理变更，符合《深圳证券交易所创业板上市公司规范运作</w:t>
      </w:r>
      <w:r>
        <w:rPr>
          <w:spacing w:val="-64"/>
        </w:rPr>
        <w:t> </w:t>
      </w:r>
      <w:r>
        <w:rPr>
          <w:spacing w:val="-64"/>
        </w:rPr>
      </w:r>
      <w:r>
        <w:rPr>
          <w:spacing w:val="-2"/>
        </w:rPr>
        <w:t>指引》的有关规定，符合公司实际情况，能够更加客观、公允地反映公司的财务状况和经营成果，符合公司及所有股东的利</w:t>
      </w:r>
      <w:r>
        <w:rPr>
          <w:spacing w:val="-67"/>
        </w:rPr>
        <w:t> </w:t>
      </w:r>
      <w:r>
        <w:rPr>
          <w:spacing w:val="-67"/>
        </w:rPr>
      </w:r>
      <w:r>
        <w:rPr/>
        <w:t>益。</w:t>
      </w:r>
    </w:p>
    <w:p>
      <w:pPr>
        <w:pStyle w:val="BodyText"/>
        <w:spacing w:line="316" w:lineRule="auto" w:before="24"/>
        <w:ind w:right="7874"/>
        <w:jc w:val="left"/>
      </w:pPr>
      <w:r>
        <w:rPr/>
        <w:t>二、会计估计变更 本报告期主要会计估计未发生变更。 三、重大会计差错更正</w:t>
      </w:r>
    </w:p>
    <w:p>
      <w:pPr>
        <w:pStyle w:val="BodyText"/>
        <w:spacing w:line="240" w:lineRule="auto" w:before="18"/>
        <w:ind w:right="1133"/>
        <w:jc w:val="left"/>
      </w:pPr>
      <w:r>
        <w:rPr/>
        <w:t>（一）前期会计差错更正的原因</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042"/>
        <w:jc w:val="left"/>
      </w:pPr>
      <w:r>
        <w:rPr>
          <w:spacing w:val="-2"/>
        </w:rPr>
        <w:t>好医友医疗科技集团有限公司（以下简称</w:t>
      </w:r>
      <w:r>
        <w:rPr>
          <w:rFonts w:ascii="Times New Roman" w:hAnsi="Times New Roman" w:cs="Times New Roman" w:eastAsia="Times New Roman" w:hint="default"/>
          <w:spacing w:val="-2"/>
        </w:rPr>
        <w:t>“</w:t>
      </w:r>
      <w:r>
        <w:rPr>
          <w:spacing w:val="-2"/>
        </w:rPr>
        <w:t>好医友</w:t>
      </w:r>
      <w:r>
        <w:rPr>
          <w:rFonts w:ascii="Times New Roman" w:hAnsi="Times New Roman" w:cs="Times New Roman" w:eastAsia="Times New Roman" w:hint="default"/>
          <w:spacing w:val="-2"/>
        </w:rPr>
        <w:t>”</w:t>
      </w:r>
      <w:r>
        <w:rPr>
          <w:spacing w:val="-2"/>
        </w:rPr>
        <w:t>）系本公司</w:t>
      </w:r>
      <w:r>
        <w:rPr>
          <w:rFonts w:ascii="Times New Roman" w:hAnsi="Times New Roman" w:cs="Times New Roman" w:eastAsia="Times New Roman" w:hint="default"/>
          <w:spacing w:val="-2"/>
        </w:rPr>
        <w:t>2018</w:t>
      </w:r>
      <w:r>
        <w:rPr>
          <w:spacing w:val="-2"/>
        </w:rPr>
        <w:t>年对外收购的控股子公司，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月开始纳入合并范围，</w:t>
      </w:r>
      <w:r>
        <w:rPr>
          <w:spacing w:val="-38"/>
        </w:rPr>
        <w:t> </w:t>
      </w:r>
      <w:r>
        <w:rPr>
          <w:spacing w:val="-38"/>
        </w:rPr>
      </w:r>
      <w:r>
        <w:rPr/>
        <w:t>持股比例</w:t>
      </w:r>
      <w:r>
        <w:rPr>
          <w:rFonts w:ascii="Times New Roman" w:hAnsi="Times New Roman" w:cs="Times New Roman" w:eastAsia="Times New Roman" w:hint="default"/>
        </w:rPr>
        <w:t>40%</w:t>
      </w:r>
      <w:r>
        <w:rPr/>
        <w:t>。更正前好医友</w:t>
      </w:r>
      <w:r>
        <w:rPr>
          <w:rFonts w:ascii="Times New Roman" w:hAnsi="Times New Roman" w:cs="Times New Roman" w:eastAsia="Times New Roman" w:hint="default"/>
        </w:rPr>
        <w:t>2018</w:t>
      </w:r>
      <w:r>
        <w:rPr/>
        <w:t>年期末资产总额</w:t>
      </w:r>
      <w:r>
        <w:rPr>
          <w:rFonts w:ascii="Times New Roman" w:hAnsi="Times New Roman" w:cs="Times New Roman" w:eastAsia="Times New Roman" w:hint="default"/>
        </w:rPr>
        <w:t>4,905.58</w:t>
      </w:r>
      <w:r>
        <w:rPr/>
        <w:t>万元，占公司合并报表资产总额的</w:t>
      </w:r>
      <w:r>
        <w:rPr>
          <w:rFonts w:ascii="Times New Roman" w:hAnsi="Times New Roman" w:cs="Times New Roman" w:eastAsia="Times New Roman" w:hint="default"/>
        </w:rPr>
        <w:t>1.41%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6-12</w:t>
      </w:r>
      <w:r>
        <w:rPr/>
        <w:t>月好医友实 现的净利润为</w:t>
      </w:r>
      <w:r>
        <w:rPr>
          <w:rFonts w:ascii="Times New Roman" w:hAnsi="Times New Roman" w:cs="Times New Roman" w:eastAsia="Times New Roman" w:hint="default"/>
        </w:rPr>
        <w:t>-1,349.94</w:t>
      </w:r>
      <w:r>
        <w:rPr/>
        <w:t>万元。 好医友</w:t>
      </w:r>
      <w:r>
        <w:rPr>
          <w:rFonts w:ascii="Times New Roman" w:hAnsi="Times New Roman" w:cs="Times New Roman" w:eastAsia="Times New Roman" w:hint="default"/>
        </w:rPr>
        <w:t>2018</w:t>
      </w:r>
      <w:r>
        <w:rPr/>
        <w:t>年通过远程医疗服务业务虚增主营业务收入</w:t>
      </w:r>
      <w:r>
        <w:rPr>
          <w:rFonts w:ascii="Times New Roman" w:hAnsi="Times New Roman" w:cs="Times New Roman" w:eastAsia="Times New Roman" w:hint="default"/>
        </w:rPr>
        <w:t>7,533.69</w:t>
      </w:r>
      <w:r>
        <w:rPr/>
        <w:t>万元、主营业务成本</w:t>
      </w:r>
      <w:r>
        <w:rPr>
          <w:rFonts w:ascii="Times New Roman" w:hAnsi="Times New Roman" w:cs="Times New Roman" w:eastAsia="Times New Roman" w:hint="default"/>
        </w:rPr>
        <w:t>3,923.73</w:t>
      </w:r>
      <w:r>
        <w:rPr/>
        <w:t>万元、以及期间费用</w:t>
      </w:r>
      <w:r>
        <w:rPr>
          <w:rFonts w:ascii="Times New Roman" w:hAnsi="Times New Roman" w:cs="Times New Roman" w:eastAsia="Times New Roman" w:hint="default"/>
        </w:rPr>
        <w:t>3,388.41</w:t>
      </w:r>
      <w:r>
        <w:rPr/>
        <w:t>万 元，影响</w:t>
      </w:r>
      <w:r>
        <w:rPr>
          <w:rFonts w:ascii="Times New Roman" w:hAnsi="Times New Roman" w:cs="Times New Roman" w:eastAsia="Times New Roman" w:hint="default"/>
        </w:rPr>
        <w:t>2018</w:t>
      </w:r>
      <w:r>
        <w:rPr/>
        <w:t>年度归属于母公司股东的净利润</w:t>
      </w:r>
      <w:r>
        <w:rPr>
          <w:rFonts w:ascii="Times New Roman" w:hAnsi="Times New Roman" w:cs="Times New Roman" w:eastAsia="Times New Roman" w:hint="default"/>
        </w:rPr>
        <w:t>-34.18</w:t>
      </w:r>
      <w:r>
        <w:rPr/>
        <w:t>万元。</w:t>
      </w:r>
    </w:p>
    <w:p>
      <w:pPr>
        <w:pStyle w:val="BodyText"/>
        <w:spacing w:line="240" w:lineRule="auto" w:before="13"/>
        <w:ind w:right="1133"/>
        <w:jc w:val="left"/>
      </w:pPr>
      <w:r>
        <w:rPr/>
        <w:t>（二）更正事项对</w:t>
      </w:r>
      <w:r>
        <w:rPr>
          <w:rFonts w:ascii="Times New Roman" w:hAnsi="Times New Roman" w:cs="Times New Roman" w:eastAsia="Times New Roman" w:hint="default"/>
        </w:rPr>
        <w:t>2018</w:t>
      </w:r>
      <w:r>
        <w:rPr/>
        <w:t>年度合并财务报表及母公司财务报表的影响</w:t>
      </w:r>
    </w:p>
    <w:p>
      <w:pPr>
        <w:pStyle w:val="BodyText"/>
        <w:spacing w:line="240" w:lineRule="auto" w:before="63"/>
        <w:ind w:right="1133"/>
        <w:jc w:val="left"/>
      </w:pPr>
      <w:r>
        <w:rPr>
          <w:rFonts w:ascii="Times New Roman" w:hAnsi="Times New Roman" w:cs="Times New Roman" w:eastAsia="Times New Roman" w:hint="default"/>
        </w:rPr>
        <w:t>1</w:t>
      </w:r>
      <w:r>
        <w:rPr/>
        <w:t>、更正事项对</w:t>
      </w:r>
      <w:r>
        <w:rPr>
          <w:rFonts w:ascii="Times New Roman" w:hAnsi="Times New Roman" w:cs="Times New Roman" w:eastAsia="Times New Roman" w:hint="default"/>
        </w:rPr>
        <w:t>2018</w:t>
      </w:r>
      <w:r>
        <w:rPr/>
        <w:t>年度合并财务报表的影响</w:t>
      </w:r>
    </w:p>
    <w:p>
      <w:pPr>
        <w:pStyle w:val="BodyText"/>
        <w:spacing w:line="240" w:lineRule="auto" w:before="63"/>
        <w:ind w:right="1133"/>
        <w:jc w:val="left"/>
      </w:pPr>
      <w:r>
        <w:rPr/>
        <w:t>（</w:t>
      </w:r>
      <w:r>
        <w:rPr>
          <w:rFonts w:ascii="Times New Roman" w:hAnsi="Times New Roman" w:cs="Times New Roman" w:eastAsia="Times New Roman" w:hint="default"/>
        </w:rPr>
        <w:t>1</w:t>
      </w:r>
      <w:r>
        <w:rPr/>
        <w:t>）更正事项对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日合并资产负债表的影响</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60"/>
        <w:gridCol w:w="2158"/>
        <w:gridCol w:w="2160"/>
        <w:gridCol w:w="2161"/>
      </w:tblGrid>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1" w:right="0"/>
              <w:jc w:val="left"/>
              <w:rPr>
                <w:rFonts w:ascii="宋体" w:hAnsi="宋体" w:cs="宋体" w:eastAsia="宋体" w:hint="default"/>
                <w:sz w:val="18"/>
                <w:szCs w:val="18"/>
              </w:rPr>
            </w:pPr>
            <w:r>
              <w:rPr>
                <w:rFonts w:ascii="宋体" w:hAnsi="宋体" w:cs="宋体" w:eastAsia="宋体" w:hint="default"/>
                <w:sz w:val="18"/>
                <w:szCs w:val="18"/>
              </w:rPr>
              <w:t>更正前金额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12" w:right="0"/>
              <w:jc w:val="left"/>
              <w:rPr>
                <w:rFonts w:ascii="宋体" w:hAnsi="宋体" w:cs="宋体" w:eastAsia="宋体" w:hint="default"/>
                <w:sz w:val="18"/>
                <w:szCs w:val="18"/>
              </w:rPr>
            </w:pPr>
            <w:r>
              <w:rPr>
                <w:rFonts w:ascii="宋体" w:hAnsi="宋体" w:cs="宋体" w:eastAsia="宋体" w:hint="default"/>
                <w:sz w:val="18"/>
                <w:szCs w:val="18"/>
              </w:rPr>
              <w:t>更正金额</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1" w:right="0"/>
              <w:jc w:val="left"/>
              <w:rPr>
                <w:rFonts w:ascii="宋体" w:hAnsi="宋体" w:cs="宋体" w:eastAsia="宋体" w:hint="default"/>
                <w:sz w:val="18"/>
                <w:szCs w:val="18"/>
              </w:rPr>
            </w:pPr>
            <w:r>
              <w:rPr>
                <w:rFonts w:ascii="宋体" w:hAnsi="宋体" w:cs="宋体" w:eastAsia="宋体" w:hint="default"/>
                <w:sz w:val="18"/>
                <w:szCs w:val="18"/>
              </w:rPr>
              <w:t>更正后金额</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217,257,120.47</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-30,609,403.75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186,647,716.72</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107,262,175.21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8,945,180.12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116,207,355.33</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71,533,475.65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574,492.66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72,107,968.31</w:t>
            </w:r>
          </w:p>
        </w:tc>
      </w:tr>
      <w:tr>
        <w:trPr>
          <w:trHeight w:val="349"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33,318,709.15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-285,055.58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33,033,653.57</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322,324,045.74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-19,741,606.48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302,582,439.26</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53,494,144.95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83,164.00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53,577,308.95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498,377,135.58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-341,842.03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498,035,293.55</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-19,699,207.93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-1,374,502.04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-21,073,709.97</w:t>
            </w:r>
          </w:p>
        </w:tc>
      </w:tr>
    </w:tbl>
    <w:p>
      <w:pPr>
        <w:pStyle w:val="BodyText"/>
        <w:spacing w:line="240" w:lineRule="auto" w:before="8"/>
        <w:ind w:right="1133"/>
        <w:jc w:val="left"/>
      </w:pPr>
      <w:r>
        <w:rPr/>
        <w:t>（</w:t>
      </w:r>
      <w:r>
        <w:rPr>
          <w:rFonts w:ascii="Times New Roman" w:hAnsi="Times New Roman" w:cs="Times New Roman" w:eastAsia="Times New Roman" w:hint="default"/>
        </w:rPr>
        <w:t>2</w:t>
      </w:r>
      <w:r>
        <w:rPr/>
        <w:t>）更正事项对</w:t>
      </w:r>
      <w:r>
        <w:rPr>
          <w:rFonts w:ascii="Times New Roman" w:hAnsi="Times New Roman" w:cs="Times New Roman" w:eastAsia="Times New Roman" w:hint="default"/>
        </w:rPr>
        <w:t>2018</w:t>
      </w:r>
      <w:r>
        <w:rPr/>
        <w:t>年度合并利润表的影响</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60"/>
        <w:gridCol w:w="2158"/>
        <w:gridCol w:w="2160"/>
        <w:gridCol w:w="2161"/>
      </w:tblGrid>
      <w:tr>
        <w:trPr>
          <w:trHeight w:val="355" w:hRule="exact"/>
        </w:trPr>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1" w:right="0"/>
              <w:jc w:val="left"/>
              <w:rPr>
                <w:rFonts w:ascii="宋体" w:hAnsi="宋体" w:cs="宋体" w:eastAsia="宋体" w:hint="default"/>
                <w:sz w:val="18"/>
                <w:szCs w:val="18"/>
              </w:rPr>
            </w:pPr>
            <w:r>
              <w:rPr>
                <w:rFonts w:ascii="宋体" w:hAnsi="宋体" w:cs="宋体" w:eastAsia="宋体" w:hint="default"/>
                <w:sz w:val="18"/>
                <w:szCs w:val="18"/>
              </w:rPr>
              <w:t>更正前金额</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12" w:right="0"/>
              <w:jc w:val="left"/>
              <w:rPr>
                <w:rFonts w:ascii="宋体" w:hAnsi="宋体" w:cs="宋体" w:eastAsia="宋体" w:hint="default"/>
                <w:sz w:val="18"/>
                <w:szCs w:val="18"/>
              </w:rPr>
            </w:pPr>
            <w:r>
              <w:rPr>
                <w:rFonts w:ascii="宋体" w:hAnsi="宋体" w:cs="宋体" w:eastAsia="宋体" w:hint="default"/>
                <w:sz w:val="18"/>
                <w:szCs w:val="18"/>
              </w:rPr>
              <w:t>更正金额</w:t>
            </w:r>
          </w:p>
        </w:tc>
        <w:tc>
          <w:tcPr>
            <w:tcW w:w="21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1" w:right="0"/>
              <w:jc w:val="left"/>
              <w:rPr>
                <w:rFonts w:ascii="宋体" w:hAnsi="宋体" w:cs="宋体" w:eastAsia="宋体" w:hint="default"/>
                <w:sz w:val="18"/>
                <w:szCs w:val="18"/>
              </w:rPr>
            </w:pPr>
            <w:r>
              <w:rPr>
                <w:rFonts w:ascii="宋体" w:hAnsi="宋体" w:cs="宋体" w:eastAsia="宋体" w:hint="default"/>
                <w:sz w:val="18"/>
                <w:szCs w:val="18"/>
              </w:rPr>
              <w:t>更正后金额</w:t>
            </w:r>
          </w:p>
        </w:tc>
      </w:tr>
      <w:tr>
        <w:trPr>
          <w:trHeight w:val="35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602,984,114.96</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-75,336,900.37</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527,647,214.59</w:t>
            </w:r>
          </w:p>
        </w:tc>
      </w:tr>
      <w:tr>
        <w:trPr>
          <w:trHeight w:val="350"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488,617,352.77</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-39,237,310.89</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449,380,041.88</w:t>
            </w:r>
          </w:p>
        </w:tc>
      </w:tr>
      <w:tr>
        <w:trPr>
          <w:trHeight w:val="35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56,521,724.62</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-28,540,997.58</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27,980,727.04</w:t>
            </w:r>
          </w:p>
        </w:tc>
      </w:tr>
      <w:tr>
        <w:trPr>
          <w:trHeight w:val="35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59,631,381.55</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-452,469.41</w:t>
            </w:r>
            <w:r>
              <w:rPr>
                <w:rFonts w:ascii="Times New Roman"/>
                <w:sz w:val="18"/>
              </w:rPr>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59,178,912.14</w:t>
            </w:r>
          </w:p>
        </w:tc>
      </w:tr>
      <w:tr>
        <w:trPr>
          <w:trHeight w:val="351"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36,919,173.05</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-4,890,615.89</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32,028,557.16</w:t>
            </w:r>
          </w:p>
        </w:tc>
      </w:tr>
      <w:tr>
        <w:trPr>
          <w:trHeight w:val="35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21,721,833.69</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-683,280.27</w:t>
            </w:r>
            <w:r>
              <w:rPr>
                <w:rFonts w:ascii="Times New Roman"/>
                <w:sz w:val="18"/>
              </w:rPr>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21,038,553.42</w:t>
            </w:r>
          </w:p>
        </w:tc>
      </w:tr>
      <w:tr>
        <w:trPr>
          <w:trHeight w:val="35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25,787,747.98</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-1,348,769.80</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24,438,978.18</w:t>
            </w:r>
          </w:p>
        </w:tc>
      </w:tr>
      <w:tr>
        <w:trPr>
          <w:trHeight w:val="35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11,414,754.13</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671,148.55</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12,085,902.68</w:t>
            </w:r>
          </w:p>
        </w:tc>
      </w:tr>
    </w:tbl>
    <w:p>
      <w:pPr>
        <w:pStyle w:val="BodyText"/>
        <w:spacing w:line="240" w:lineRule="auto" w:before="8"/>
        <w:ind w:right="1133"/>
        <w:jc w:val="left"/>
      </w:pPr>
      <w:r>
        <w:rPr/>
        <w:t>（</w:t>
      </w:r>
      <w:r>
        <w:rPr>
          <w:rFonts w:ascii="Times New Roman" w:hAnsi="Times New Roman" w:cs="Times New Roman" w:eastAsia="Times New Roman" w:hint="default"/>
        </w:rPr>
        <w:t>3</w:t>
      </w:r>
      <w:r>
        <w:rPr/>
        <w:t>）更正事项对</w:t>
      </w:r>
      <w:r>
        <w:rPr>
          <w:rFonts w:ascii="Times New Roman" w:hAnsi="Times New Roman" w:cs="Times New Roman" w:eastAsia="Times New Roman" w:hint="default"/>
        </w:rPr>
        <w:t>2018</w:t>
      </w:r>
      <w:r>
        <w:rPr/>
        <w:t>年度合并现金流量表的影响</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60"/>
        <w:gridCol w:w="2158"/>
        <w:gridCol w:w="2160"/>
        <w:gridCol w:w="2161"/>
      </w:tblGrid>
      <w:tr>
        <w:trPr>
          <w:trHeight w:val="353" w:hRule="exact"/>
        </w:trPr>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21" w:right="0"/>
              <w:jc w:val="left"/>
              <w:rPr>
                <w:rFonts w:ascii="宋体" w:hAnsi="宋体" w:cs="宋体" w:eastAsia="宋体" w:hint="default"/>
                <w:sz w:val="18"/>
                <w:szCs w:val="18"/>
              </w:rPr>
            </w:pPr>
            <w:r>
              <w:rPr>
                <w:rFonts w:ascii="宋体" w:hAnsi="宋体" w:cs="宋体" w:eastAsia="宋体" w:hint="default"/>
                <w:sz w:val="18"/>
                <w:szCs w:val="18"/>
              </w:rPr>
              <w:t>更正前金额</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12" w:right="0"/>
              <w:jc w:val="left"/>
              <w:rPr>
                <w:rFonts w:ascii="宋体" w:hAnsi="宋体" w:cs="宋体" w:eastAsia="宋体" w:hint="default"/>
                <w:sz w:val="18"/>
                <w:szCs w:val="18"/>
              </w:rPr>
            </w:pPr>
            <w:r>
              <w:rPr>
                <w:rFonts w:ascii="宋体" w:hAnsi="宋体" w:cs="宋体" w:eastAsia="宋体" w:hint="default"/>
                <w:sz w:val="18"/>
                <w:szCs w:val="18"/>
              </w:rPr>
              <w:t>更正金额</w:t>
            </w:r>
          </w:p>
        </w:tc>
        <w:tc>
          <w:tcPr>
            <w:tcW w:w="21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21" w:right="0"/>
              <w:jc w:val="left"/>
              <w:rPr>
                <w:rFonts w:ascii="宋体" w:hAnsi="宋体" w:cs="宋体" w:eastAsia="宋体" w:hint="default"/>
                <w:sz w:val="18"/>
                <w:szCs w:val="18"/>
              </w:rPr>
            </w:pPr>
            <w:r>
              <w:rPr>
                <w:rFonts w:ascii="宋体" w:hAnsi="宋体" w:cs="宋体" w:eastAsia="宋体" w:hint="default"/>
                <w:sz w:val="18"/>
                <w:szCs w:val="18"/>
              </w:rPr>
              <w:t>更正后金额</w:t>
            </w:r>
          </w:p>
        </w:tc>
      </w:tr>
      <w:tr>
        <w:trPr>
          <w:trHeight w:val="665"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销售商品、提供劳务收到的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703,853,680.62</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-59,108,871.37</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644,744,809.25</w:t>
            </w:r>
          </w:p>
        </w:tc>
      </w:tr>
      <w:tr>
        <w:trPr>
          <w:trHeight w:val="665"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9"/>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56,445,644.28</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59,108,871.37</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115,554,515.65</w:t>
            </w:r>
          </w:p>
        </w:tc>
      </w:tr>
      <w:tr>
        <w:trPr>
          <w:trHeight w:val="663"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4" w:right="0"/>
              <w:jc w:val="left"/>
              <w:rPr>
                <w:rFonts w:ascii="宋体" w:hAnsi="宋体" w:cs="宋体" w:eastAsia="宋体" w:hint="default"/>
                <w:sz w:val="18"/>
                <w:szCs w:val="18"/>
              </w:rPr>
            </w:pPr>
            <w:r>
              <w:rPr>
                <w:rFonts w:ascii="宋体" w:hAnsi="宋体" w:cs="宋体" w:eastAsia="宋体" w:hint="default"/>
                <w:spacing w:val="-2"/>
                <w:sz w:val="18"/>
                <w:szCs w:val="18"/>
              </w:rPr>
              <w:t>购买商品、接受劳务支付的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480,766,065.17</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-28,783,234.51</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451,982,830.66</w:t>
            </w:r>
          </w:p>
        </w:tc>
      </w:tr>
      <w:tr>
        <w:trPr>
          <w:trHeight w:val="667" w:hRule="exact"/>
        </w:trPr>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9"/>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148,189,971.81</w:t>
            </w:r>
          </w:p>
        </w:tc>
        <w:tc>
          <w:tcPr>
            <w:tcW w:w="21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28,783,234.51</w:t>
            </w:r>
          </w:p>
        </w:tc>
        <w:tc>
          <w:tcPr>
            <w:tcW w:w="21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176,973,206.32</w:t>
            </w:r>
          </w:p>
        </w:tc>
      </w:tr>
    </w:tbl>
    <w:p>
      <w:pPr>
        <w:pStyle w:val="BodyText"/>
        <w:spacing w:line="300" w:lineRule="auto" w:before="8"/>
        <w:ind w:right="7064"/>
        <w:jc w:val="left"/>
      </w:pPr>
      <w:r>
        <w:rPr>
          <w:rFonts w:ascii="Times New Roman" w:hAnsi="Times New Roman" w:cs="Times New Roman" w:eastAsia="Times New Roman" w:hint="default"/>
        </w:rPr>
        <w:t>2</w:t>
      </w:r>
      <w:r>
        <w:rPr/>
        <w:t>、更正事项对</w:t>
      </w:r>
      <w:r>
        <w:rPr>
          <w:rFonts w:ascii="Times New Roman" w:hAnsi="Times New Roman" w:cs="Times New Roman" w:eastAsia="Times New Roman" w:hint="default"/>
        </w:rPr>
        <w:t>2018</w:t>
      </w:r>
      <w:r>
        <w:rPr/>
        <w:t>年度母公司财务报表的影响 更正事项对</w:t>
      </w:r>
      <w:r>
        <w:rPr>
          <w:rFonts w:ascii="Times New Roman" w:hAnsi="Times New Roman" w:cs="Times New Roman" w:eastAsia="Times New Roman" w:hint="default"/>
        </w:rPr>
        <w:t>2018</w:t>
      </w:r>
      <w:r>
        <w:rPr/>
        <w:t>年度母公司财务报表无影响。</w:t>
      </w:r>
    </w:p>
    <w:p>
      <w:pPr>
        <w:spacing w:after="0" w:line="30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本期注销子公司成都宇佑信息科技有限公司。</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郭义喜、李赟莘</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rFonts w:ascii="Times New Roman" w:hAnsi="Times New Roman" w:cs="Times New Roman" w:eastAsia="Times New Roman" w:hint="default"/>
        </w:rPr>
        <w:t>2018</w:t>
      </w:r>
      <w:r>
        <w:rPr/>
        <w:t>年限制性股票激励计划</w:t>
      </w:r>
    </w:p>
    <w:p>
      <w:pPr>
        <w:pStyle w:val="BodyText"/>
        <w:spacing w:line="304" w:lineRule="auto" w:before="63"/>
        <w:ind w:right="1112"/>
        <w:jc w:val="left"/>
      </w:pPr>
      <w:r>
        <w:rPr/>
        <w:t>（一）股权激励实施过程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日，公司召开了第三届董事会第二十一次会议及第三届监事会第十二次会议，分别审议通过了《关于</w:t>
      </w:r>
      <w:r>
        <w:rPr>
          <w:rFonts w:ascii="Times New Roman" w:hAnsi="Times New Roman" w:cs="Times New Roman" w:eastAsia="Times New Roman" w:hint="default"/>
        </w:rPr>
        <w:t>&lt;</w:t>
      </w:r>
      <w:r>
        <w:rPr/>
        <w:t>汉鼎 宇佑互联网股份有限公司</w:t>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&gt;</w:t>
      </w:r>
      <w:r>
        <w:rPr/>
        <w:t>及其摘要的议案》等相关议案，公司独立董事对激励计划发 </w:t>
      </w:r>
      <w:r>
        <w:rPr>
          <w:spacing w:val="-2"/>
        </w:rPr>
        <w:t>表了明确同意的独立意见。公司监事会就《</w:t>
      </w:r>
      <w:r>
        <w:rPr>
          <w:rFonts w:ascii="Times New Roman" w:hAnsi="Times New Roman" w:cs="Times New Roman" w:eastAsia="Times New Roman" w:hint="default"/>
          <w:spacing w:val="-2"/>
        </w:rPr>
        <w:t>2018</w:t>
      </w:r>
      <w:r>
        <w:rPr>
          <w:spacing w:val="-2"/>
        </w:rPr>
        <w:t>年限制性股票激励计划（草案）》及其摘要及本次股权激励计划激励对象名</w:t>
      </w:r>
      <w:r>
        <w:rPr>
          <w:spacing w:val="-63"/>
        </w:rPr>
        <w:t> </w:t>
      </w:r>
      <w:r>
        <w:rPr>
          <w:spacing w:val="-63"/>
        </w:rPr>
      </w:r>
      <w:r>
        <w:rPr/>
        <w:t>单出具了审核意见。上海嘉坦律师事务所对本次激励计划出具了相应的法律意见。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日，公司召开了</w:t>
      </w:r>
      <w:r>
        <w:rPr>
          <w:rFonts w:ascii="Times New Roman" w:hAnsi="Times New Roman" w:cs="Times New Roman" w:eastAsia="Times New Roman" w:hint="default"/>
        </w:rPr>
        <w:t>2018</w:t>
      </w:r>
      <w:r>
        <w:rPr/>
        <w:t>年第二次临时股东大会，审议通过了《关于</w:t>
      </w:r>
      <w:r>
        <w:rPr>
          <w:rFonts w:ascii="Times New Roman" w:hAnsi="Times New Roman" w:cs="Times New Roman" w:eastAsia="Times New Roman" w:hint="default"/>
        </w:rPr>
        <w:t>&lt;</w:t>
      </w:r>
      <w:r>
        <w:rPr/>
        <w:t>汉鼎宇佑互联网股份有限公司</w:t>
      </w:r>
      <w:r>
        <w:rPr>
          <w:rFonts w:ascii="Times New Roman" w:hAnsi="Times New Roman" w:cs="Times New Roman" w:eastAsia="Times New Roman" w:hint="default"/>
        </w:rPr>
        <w:t>2018</w:t>
      </w:r>
      <w:r>
        <w:rPr/>
        <w:t>年限制 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汉鼎宇佑互联网股份有限公司</w:t>
      </w:r>
      <w:r>
        <w:rPr>
          <w:rFonts w:ascii="Times New Roman" w:hAnsi="Times New Roman" w:cs="Times New Roman" w:eastAsia="Times New Roman" w:hint="default"/>
        </w:rPr>
        <w:t>2018</w:t>
      </w:r>
      <w:r>
        <w:rPr/>
        <w:t>年限制性股票激励计划实施考核 管理办法</w:t>
      </w:r>
      <w:r>
        <w:rPr>
          <w:rFonts w:ascii="Times New Roman" w:hAnsi="Times New Roman" w:cs="Times New Roman" w:eastAsia="Times New Roman" w:hint="default"/>
        </w:rPr>
        <w:t>&gt;</w:t>
      </w:r>
      <w:r>
        <w:rPr/>
        <w:t>的议案》、《关于提请股东大会授权董事会办理股权激励相关事宜的议案》等议案。 </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22</w:t>
      </w:r>
      <w:r>
        <w:rPr>
          <w:spacing w:val="-5"/>
        </w:rPr>
        <w:t>日，公司召开了第三届董事会第二十二次会议及第三届监事会第十三次会议，分别审议通过了《关于调整</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年限制性股票激励计划首次授予激励对象名单及首次授予数量的议案》、《关于向激励对象首次授予</w:t>
      </w:r>
      <w:r>
        <w:rPr>
          <w:rFonts w:ascii="Times New Roman" w:hAnsi="Times New Roman" w:cs="Times New Roman" w:eastAsia="Times New Roman" w:hint="default"/>
          <w:spacing w:val="-2"/>
        </w:rPr>
        <w:t>2018</w:t>
      </w:r>
      <w:r>
        <w:rPr>
          <w:spacing w:val="-2"/>
        </w:rPr>
        <w:t>年限制性股票的议</w:t>
      </w:r>
      <w:r>
        <w:rPr>
          <w:spacing w:val="-61"/>
        </w:rPr>
        <w:t> </w:t>
      </w:r>
      <w:r>
        <w:rPr>
          <w:spacing w:val="-61"/>
        </w:rPr>
      </w:r>
      <w:r>
        <w:rPr>
          <w:spacing w:val="-2"/>
        </w:rPr>
        <w:t>案》。鉴于《汉鼎宇佑互联网股份有限公司</w:t>
      </w:r>
      <w:r>
        <w:rPr>
          <w:rFonts w:ascii="Times New Roman" w:hAnsi="Times New Roman" w:cs="Times New Roman" w:eastAsia="Times New Roman" w:hint="default"/>
          <w:spacing w:val="-2"/>
        </w:rPr>
        <w:t>2018</w:t>
      </w:r>
      <w:r>
        <w:rPr>
          <w:spacing w:val="-2"/>
        </w:rPr>
        <w:t>年限制性股票激励计划（草案）》中所确定的部分激励对象因个人原因自愿</w:t>
      </w:r>
      <w:r>
        <w:rPr>
          <w:spacing w:val="-65"/>
        </w:rPr>
        <w:t> </w:t>
      </w:r>
      <w:r>
        <w:rPr>
          <w:spacing w:val="-65"/>
        </w:rPr>
      </w:r>
      <w:r>
        <w:rPr>
          <w:spacing w:val="-2"/>
        </w:rPr>
        <w:t>放弃认购公司拟向其授予的全部或部分限制性股票，根据公司</w:t>
      </w:r>
      <w:r>
        <w:rPr>
          <w:rFonts w:ascii="Times New Roman" w:hAnsi="Times New Roman" w:cs="Times New Roman" w:eastAsia="Times New Roman" w:hint="default"/>
          <w:spacing w:val="-2"/>
        </w:rPr>
        <w:t>2018</w:t>
      </w:r>
      <w:r>
        <w:rPr>
          <w:spacing w:val="-2"/>
        </w:rPr>
        <w:t>年第二次临时股东大会的授权，董事会决定对本次限制性</w:t>
      </w:r>
      <w:r>
        <w:rPr>
          <w:spacing w:val="-61"/>
        </w:rPr>
        <w:t> </w:t>
      </w:r>
      <w:r>
        <w:rPr>
          <w:spacing w:val="-61"/>
        </w:rPr>
      </w:r>
      <w:r>
        <w:rPr>
          <w:spacing w:val="-2"/>
        </w:rPr>
        <w:t>股票激励计划的首次授予激励对象名单及首次授予限制性股票数量进行调整。调整后，公司本次限制性股票激励计划首次授</w:t>
      </w:r>
      <w:r>
        <w:rPr>
          <w:spacing w:val="-64"/>
        </w:rPr>
        <w:t> </w:t>
      </w:r>
      <w:r>
        <w:rPr>
          <w:spacing w:val="-64"/>
        </w:rPr>
      </w:r>
      <w:r>
        <w:rPr/>
        <w:t>予的激励对象由</w:t>
      </w:r>
      <w:r>
        <w:rPr>
          <w:rFonts w:ascii="Times New Roman" w:hAnsi="Times New Roman" w:cs="Times New Roman" w:eastAsia="Times New Roman" w:hint="default"/>
        </w:rPr>
        <w:t>107</w:t>
      </w:r>
      <w:r>
        <w:rPr/>
        <w:t>人调整为</w:t>
      </w:r>
      <w:r>
        <w:rPr>
          <w:rFonts w:ascii="Times New Roman" w:hAnsi="Times New Roman" w:cs="Times New Roman" w:eastAsia="Times New Roman" w:hint="default"/>
        </w:rPr>
        <w:t>97</w:t>
      </w:r>
      <w:r>
        <w:rPr/>
        <w:t>人，首次授予的限制性股票数量由原来的</w:t>
      </w:r>
      <w:r>
        <w:rPr>
          <w:rFonts w:ascii="Times New Roman" w:hAnsi="Times New Roman" w:cs="Times New Roman" w:eastAsia="Times New Roman" w:hint="default"/>
        </w:rPr>
        <w:t>818</w:t>
      </w:r>
      <w:r>
        <w:rPr/>
        <w:t>万股调整为</w:t>
      </w:r>
      <w:r>
        <w:rPr>
          <w:rFonts w:ascii="Times New Roman" w:hAnsi="Times New Roman" w:cs="Times New Roman" w:eastAsia="Times New Roman" w:hint="default"/>
        </w:rPr>
        <w:t>766.3</w:t>
      </w:r>
      <w:r>
        <w:rPr/>
        <w:t>万股。独立董事对此项议案发 表了同意的独立意见。上海嘉坦律师事务所出具了相应的法律意见。 </w:t>
      </w:r>
      <w:r>
        <w:rPr>
          <w:spacing w:val="-2"/>
        </w:rPr>
        <w:t>根据《上市公司股权激励管理办法》、《汉鼎宇佑互联网股份有限公司</w:t>
      </w:r>
      <w:r>
        <w:rPr>
          <w:rFonts w:ascii="Times New Roman" w:hAnsi="Times New Roman" w:cs="Times New Roman" w:eastAsia="Times New Roman" w:hint="default"/>
          <w:spacing w:val="-2"/>
        </w:rPr>
        <w:t>2018</w:t>
      </w:r>
      <w:r>
        <w:rPr>
          <w:spacing w:val="-2"/>
        </w:rPr>
        <w:t>年限制性股票激励计划（草案）》的相关规定以</w:t>
      </w:r>
      <w:r>
        <w:rPr>
          <w:spacing w:val="-68"/>
        </w:rPr>
        <w:t> </w:t>
      </w:r>
      <w:r>
        <w:rPr>
          <w:spacing w:val="-68"/>
        </w:rPr>
      </w:r>
      <w:r>
        <w:rPr>
          <w:spacing w:val="-2"/>
        </w:rPr>
        <w:t>及公司</w:t>
      </w:r>
      <w:r>
        <w:rPr>
          <w:rFonts w:ascii="Times New Roman" w:hAnsi="Times New Roman" w:cs="Times New Roman" w:eastAsia="Times New Roman" w:hint="default"/>
          <w:spacing w:val="-2"/>
        </w:rPr>
        <w:t>2018</w:t>
      </w:r>
      <w:r>
        <w:rPr>
          <w:spacing w:val="-2"/>
        </w:rPr>
        <w:t>年第二次临时股东大会的授权，公司董事会认为公司</w:t>
      </w:r>
      <w:r>
        <w:rPr>
          <w:rFonts w:ascii="Times New Roman" w:hAnsi="Times New Roman" w:cs="Times New Roman" w:eastAsia="Times New Roman" w:hint="default"/>
          <w:spacing w:val="-2"/>
        </w:rPr>
        <w:t>2018</w:t>
      </w:r>
      <w:r>
        <w:rPr>
          <w:spacing w:val="-2"/>
        </w:rPr>
        <w:t>年限制性股票激励计划的首次授予条件已达成，同意公</w:t>
      </w:r>
      <w:r>
        <w:rPr>
          <w:spacing w:val="-60"/>
        </w:rPr>
        <w:t> </w:t>
      </w:r>
      <w:r>
        <w:rPr>
          <w:spacing w:val="-60"/>
        </w:rPr>
      </w:r>
      <w:r>
        <w:rPr/>
        <w:t>司本次股权激励计划首次授予的授予日确定为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日，以授予价格</w:t>
      </w:r>
      <w:r>
        <w:rPr>
          <w:rFonts w:ascii="Times New Roman" w:hAnsi="Times New Roman" w:cs="Times New Roman" w:eastAsia="Times New Roman" w:hint="default"/>
        </w:rPr>
        <w:t>9.50</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97</w:t>
      </w:r>
      <w:r>
        <w:rPr/>
        <w:t>名激励对象授予公司</w:t>
      </w:r>
      <w:r>
        <w:rPr>
          <w:rFonts w:ascii="Times New Roman" w:hAnsi="Times New Roman" w:cs="Times New Roman" w:eastAsia="Times New Roman" w:hint="default"/>
        </w:rPr>
        <w:t>A</w:t>
      </w:r>
      <w:r>
        <w:rPr/>
        <w:t>股普通股股 票</w:t>
      </w:r>
      <w:r>
        <w:rPr>
          <w:rFonts w:ascii="Times New Roman" w:hAnsi="Times New Roman" w:cs="Times New Roman" w:eastAsia="Times New Roman" w:hint="default"/>
        </w:rPr>
        <w:t>766.3</w:t>
      </w:r>
      <w:r>
        <w:rPr/>
        <w:t>万股。独立董事对此项议案发表了同意的独立意见。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日，经中国证券登记结算有限责任公司深圳分公司办理，上述限制性股票已经登记完毕。</w:t>
      </w:r>
    </w:p>
    <w:p>
      <w:pPr>
        <w:pStyle w:val="BodyText"/>
        <w:spacing w:line="240" w:lineRule="auto" w:before="9"/>
        <w:ind w:right="98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日，公司召开第三届董事会第二十四次会议，审议通过了《关于注销回购账户部分股份的议案》。鉴于公司</w:t>
      </w:r>
    </w:p>
    <w:p>
      <w:pPr>
        <w:pStyle w:val="BodyText"/>
        <w:spacing w:line="300" w:lineRule="auto" w:before="63"/>
        <w:ind w:right="1132"/>
        <w:jc w:val="both"/>
      </w:pPr>
      <w:r>
        <w:rPr>
          <w:spacing w:val="-2"/>
        </w:rPr>
        <w:t>《</w:t>
      </w:r>
      <w:r>
        <w:rPr>
          <w:rFonts w:ascii="Times New Roman" w:hAnsi="Times New Roman" w:cs="Times New Roman" w:eastAsia="Times New Roman" w:hint="default"/>
          <w:spacing w:val="-2"/>
        </w:rPr>
        <w:t>2018</w:t>
      </w:r>
      <w:r>
        <w:rPr>
          <w:spacing w:val="-2"/>
        </w:rPr>
        <w:t>年限制性股票激励计划（草案）》中确定的首次授予的部分激励对象因个人原因自愿放弃认购公司拟授予的全部或部</w:t>
      </w:r>
      <w:r>
        <w:rPr>
          <w:spacing w:val="-63"/>
        </w:rPr>
        <w:t> </w:t>
      </w:r>
      <w:r>
        <w:rPr>
          <w:spacing w:val="-63"/>
        </w:rPr>
      </w:r>
      <w:r>
        <w:rPr/>
        <w:t>分限制性股票，合计</w:t>
      </w:r>
      <w:r>
        <w:rPr>
          <w:rFonts w:ascii="Times New Roman" w:hAnsi="Times New Roman" w:cs="Times New Roman" w:eastAsia="Times New Roman" w:hint="default"/>
        </w:rPr>
        <w:t>517,000</w:t>
      </w:r>
      <w:r>
        <w:rPr/>
        <w:t>股。根据公司调整后的首次授予计划，公司对</w:t>
      </w:r>
      <w:r>
        <w:rPr>
          <w:rFonts w:ascii="Times New Roman" w:hAnsi="Times New Roman" w:cs="Times New Roman" w:eastAsia="Times New Roman" w:hint="default"/>
        </w:rPr>
        <w:t>517,000</w:t>
      </w:r>
      <w:r>
        <w:rPr/>
        <w:t>股股票进行注销。该议案已获</w:t>
      </w:r>
      <w:r>
        <w:rPr>
          <w:rFonts w:ascii="Times New Roman" w:hAnsi="Times New Roman" w:cs="Times New Roman" w:eastAsia="Times New Roman" w:hint="default"/>
        </w:rPr>
        <w:t>2018</w:t>
      </w:r>
      <w:r>
        <w:rPr/>
        <w:t>年第三 次临时股东大会审议通过。</w:t>
      </w:r>
    </w:p>
    <w:p>
      <w:pPr>
        <w:pStyle w:val="BodyText"/>
        <w:spacing w:line="240" w:lineRule="auto" w:before="31"/>
        <w:ind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日，经中国证券登记结算有限责任公司深圳分公司办理，上述股票已经完成注销。</w:t>
      </w:r>
    </w:p>
    <w:p>
      <w:pPr>
        <w:pStyle w:val="BodyText"/>
        <w:spacing w:line="302" w:lineRule="auto" w:before="63"/>
        <w:ind w:right="986"/>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日，公司第三届董事会第二十八次会议，审议通过了《关于回购注销</w:t>
      </w:r>
      <w:r>
        <w:rPr>
          <w:rFonts w:ascii="Times New Roman" w:hAnsi="Times New Roman" w:cs="Times New Roman" w:eastAsia="Times New Roman" w:hint="default"/>
        </w:rPr>
        <w:t>2018</w:t>
      </w:r>
      <w:r>
        <w:rPr/>
        <w:t>年限制性股票激励计划首次授予 </w:t>
      </w:r>
      <w:r>
        <w:rPr>
          <w:spacing w:val="-4"/>
        </w:rPr>
        <w:t>部分限制性股票的议案》。公司</w:t>
      </w:r>
      <w:r>
        <w:rPr>
          <w:rFonts w:ascii="Times New Roman" w:hAnsi="Times New Roman" w:cs="Times New Roman" w:eastAsia="Times New Roman" w:hint="default"/>
          <w:spacing w:val="-4"/>
        </w:rPr>
        <w:t>2018</w:t>
      </w:r>
      <w:r>
        <w:rPr>
          <w:spacing w:val="-4"/>
        </w:rPr>
        <w:t>年限制性股票激励计划首次授予的激励对象厉紫阳等九名员工离职，已不符合激励条件，</w:t>
      </w:r>
      <w:r>
        <w:rPr>
          <w:spacing w:val="-38"/>
        </w:rPr>
        <w:t> </w:t>
      </w:r>
      <w:r>
        <w:rPr>
          <w:spacing w:val="-38"/>
        </w:rPr>
      </w:r>
      <w:r>
        <w:rPr/>
        <w:t>根据公司《</w:t>
      </w:r>
      <w:r>
        <w:rPr>
          <w:rFonts w:ascii="Times New Roman" w:hAnsi="Times New Roman" w:cs="Times New Roman" w:eastAsia="Times New Roman" w:hint="default"/>
        </w:rPr>
        <w:t>2018</w:t>
      </w:r>
      <w:r>
        <w:rPr/>
        <w:t>年限制性股票激励计划》的规定，公司董事会决定对其所持有已获授但尚未解除限售的限制性股票</w:t>
      </w:r>
      <w:r>
        <w:rPr>
          <w:spacing w:val="-28"/>
        </w:rPr>
        <w:t> </w:t>
      </w:r>
      <w:r>
        <w:rPr>
          <w:rFonts w:ascii="Times New Roman" w:hAnsi="Times New Roman" w:cs="Times New Roman" w:eastAsia="Times New Roman" w:hint="default"/>
        </w:rPr>
        <w:t>795,038 </w:t>
      </w:r>
      <w:r>
        <w:rPr/>
        <w:t>股进行回购注销。经中国证券登记结算有限责任公司深圳分公司审核确认，公司本次部分已回购股票注销事宜已于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26</w:t>
      </w:r>
      <w:r>
        <w:rPr/>
        <w:t>日办理完成。公司已依法办理相关的工商变更登记手续。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日，公司第三届董事会第三十次会议、第三届监事会第十九次会议，审议通过了《关于向激励对象授予预留 限制性股票的议案》，董事会确定公司预留限制性股票的授予日为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日，向</w:t>
      </w:r>
      <w:r>
        <w:rPr>
          <w:rFonts w:ascii="Times New Roman" w:hAnsi="Times New Roman" w:cs="Times New Roman" w:eastAsia="Times New Roman" w:hint="default"/>
        </w:rPr>
        <w:t>31</w:t>
      </w:r>
      <w:r>
        <w:rPr/>
        <w:t>名激励对象授予</w:t>
      </w:r>
      <w:r>
        <w:rPr>
          <w:rFonts w:ascii="Times New Roman" w:hAnsi="Times New Roman" w:cs="Times New Roman" w:eastAsia="Times New Roman" w:hint="default"/>
        </w:rPr>
        <w:t>110.4195</w:t>
      </w:r>
      <w:r>
        <w:rPr/>
        <w:t>万股预留限 制性股票。独立董事对此项议案发表了同意的独立意见。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日，经中国证券登记结算有限责任公司深圳分公司办 理，上述限制性股票已经授予登记完毕。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日，公司第三届董事会第三十三次会议，会议审议通过了《关于回购注销</w:t>
      </w:r>
      <w:r>
        <w:rPr>
          <w:rFonts w:ascii="Times New Roman" w:hAnsi="Times New Roman" w:cs="Times New Roman" w:eastAsia="Times New Roman" w:hint="default"/>
          <w:spacing w:val="-2"/>
        </w:rPr>
        <w:t>2018</w:t>
      </w:r>
      <w:r>
        <w:rPr>
          <w:spacing w:val="-2"/>
        </w:rPr>
        <w:t>年限制性股票激励计划首次授</w:t>
      </w:r>
      <w:r>
        <w:rPr>
          <w:spacing w:val="-55"/>
        </w:rPr>
        <w:t> </w:t>
      </w:r>
      <w:r>
        <w:rPr>
          <w:spacing w:val="-55"/>
        </w:rPr>
      </w:r>
      <w:r>
        <w:rPr>
          <w:spacing w:val="-2"/>
        </w:rPr>
        <w:t>予第一期限制性股票的议案》，因获授限制性股票未达解锁条件，公司决定对</w:t>
      </w:r>
      <w:r>
        <w:rPr>
          <w:rFonts w:ascii="Times New Roman" w:hAnsi="Times New Roman" w:cs="Times New Roman" w:eastAsia="Times New Roman" w:hint="default"/>
          <w:spacing w:val="-2"/>
        </w:rPr>
        <w:t>2018</w:t>
      </w:r>
      <w:r>
        <w:rPr>
          <w:spacing w:val="-2"/>
        </w:rPr>
        <w:t>年限制性股票激励计划首次授予第一期已</w:t>
      </w:r>
      <w:r>
        <w:rPr>
          <w:spacing w:val="-60"/>
        </w:rPr>
        <w:t> </w:t>
      </w:r>
      <w:r>
        <w:rPr>
          <w:spacing w:val="-60"/>
        </w:rPr>
      </w:r>
      <w:r>
        <w:rPr>
          <w:spacing w:val="-2"/>
        </w:rPr>
        <w:t>授予未解锁的限制性股票予以回购注销。本次回购涉及</w:t>
      </w:r>
      <w:r>
        <w:rPr>
          <w:rFonts w:ascii="Times New Roman" w:hAnsi="Times New Roman" w:cs="Times New Roman" w:eastAsia="Times New Roman" w:hint="default"/>
          <w:spacing w:val="-2"/>
        </w:rPr>
        <w:t>2018</w:t>
      </w:r>
      <w:r>
        <w:rPr>
          <w:spacing w:val="-2"/>
        </w:rPr>
        <w:t>年限制性股票激励计划首次授予激励对象</w:t>
      </w:r>
      <w:r>
        <w:rPr>
          <w:rFonts w:ascii="Times New Roman" w:hAnsi="Times New Roman" w:cs="Times New Roman" w:eastAsia="Times New Roman" w:hint="default"/>
          <w:spacing w:val="-2"/>
        </w:rPr>
        <w:t>88</w:t>
      </w:r>
      <w:r>
        <w:rPr>
          <w:spacing w:val="-2"/>
        </w:rPr>
        <w:t>人，回购限制性股票</w:t>
      </w:r>
      <w:r>
        <w:rPr>
          <w:spacing w:val="-59"/>
        </w:rPr>
        <w:t> </w:t>
      </w:r>
      <w:r>
        <w:rPr>
          <w:spacing w:val="-59"/>
        </w:rPr>
      </w:r>
      <w:r>
        <w:rPr/>
        <w:t>数量为</w:t>
      </w:r>
      <w:r>
        <w:rPr>
          <w:spacing w:val="-20"/>
        </w:rPr>
        <w:t> </w:t>
      </w:r>
      <w:r>
        <w:rPr>
          <w:rFonts w:ascii="Times New Roman" w:hAnsi="Times New Roman" w:cs="Times New Roman" w:eastAsia="Times New Roman" w:hint="default"/>
        </w:rPr>
        <w:t>3,190,600</w:t>
      </w:r>
      <w:r>
        <w:rPr/>
        <w:t>股。经中国证券登记结算有限责任公司深圳分公司审核确认，公司本次回购股票注销事宜已于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 </w:t>
      </w:r>
      <w:r>
        <w:rPr/>
        <w:t>日办理完成。公司已依法办理相关的工商变更登记手续。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日，公司第三届董事会第四十次会议，会议审议通过了《关于回购注销</w:t>
      </w:r>
      <w:r>
        <w:rPr>
          <w:rFonts w:ascii="Times New Roman" w:hAnsi="Times New Roman" w:cs="Times New Roman" w:eastAsia="Times New Roman" w:hint="default"/>
        </w:rPr>
        <w:t>2018</w:t>
      </w:r>
      <w:r>
        <w:rPr/>
        <w:t>年限制性股票激励计划部分限</w:t>
      </w:r>
    </w:p>
    <w:p>
      <w:pPr>
        <w:spacing w:after="0" w:line="30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ind w:right="1129"/>
        <w:jc w:val="both"/>
      </w:pPr>
      <w:r>
        <w:rPr>
          <w:spacing w:val="-2"/>
        </w:rPr>
        <w:t>制性股票的议案》。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w:t>
      </w:r>
      <w:r>
        <w:rPr>
          <w:rFonts w:ascii="Times New Roman" w:hAnsi="Times New Roman" w:cs="Times New Roman" w:eastAsia="Times New Roman" w:hint="default"/>
          <w:spacing w:val="-2"/>
        </w:rPr>
        <w:t>2019</w:t>
      </w:r>
      <w:r>
        <w:rPr>
          <w:spacing w:val="-2"/>
        </w:rPr>
        <w:t>年第二次临时股东大会审议通过该议案。公司</w:t>
      </w:r>
      <w:r>
        <w:rPr>
          <w:rFonts w:ascii="Times New Roman" w:hAnsi="Times New Roman" w:cs="Times New Roman" w:eastAsia="Times New Roman" w:hint="default"/>
          <w:spacing w:val="-2"/>
        </w:rPr>
        <w:t>2018</w:t>
      </w:r>
      <w:r>
        <w:rPr>
          <w:spacing w:val="-2"/>
        </w:rPr>
        <w:t>年限制性股票激励计划授</w:t>
      </w:r>
      <w:r>
        <w:rPr>
          <w:spacing w:val="-54"/>
        </w:rPr>
        <w:t> </w:t>
      </w:r>
      <w:r>
        <w:rPr>
          <w:spacing w:val="-54"/>
        </w:rPr>
      </w:r>
      <w:r>
        <w:rPr>
          <w:spacing w:val="-2"/>
        </w:rPr>
        <w:t>予的部分激励对象马桔英等十九名员工因个人原因离职，已不符合激励条件，根据公司《</w:t>
      </w:r>
      <w:r>
        <w:rPr>
          <w:rFonts w:ascii="Times New Roman" w:hAnsi="Times New Roman" w:cs="Times New Roman" w:eastAsia="Times New Roman" w:hint="default"/>
          <w:spacing w:val="-2"/>
        </w:rPr>
        <w:t>2018</w:t>
      </w:r>
      <w:r>
        <w:rPr>
          <w:spacing w:val="-2"/>
        </w:rPr>
        <w:t>年限制性股票激励计划》的有</w:t>
      </w:r>
      <w:r>
        <w:rPr>
          <w:spacing w:val="-62"/>
        </w:rPr>
        <w:t> </w:t>
      </w:r>
      <w:r>
        <w:rPr>
          <w:spacing w:val="-62"/>
        </w:rPr>
      </w:r>
      <w:r>
        <w:rPr>
          <w:spacing w:val="-2"/>
        </w:rPr>
        <w:t>关规定，由公司按照限制性股票授予价格回购注销，取消离职人员的激励对象资格并回购注销其已获授权但尚未解锁的全部</w:t>
      </w:r>
      <w:r>
        <w:rPr>
          <w:spacing w:val="-64"/>
        </w:rPr>
        <w:t> </w:t>
      </w:r>
      <w:r>
        <w:rPr>
          <w:spacing w:val="-64"/>
        </w:rPr>
      </w:r>
      <w:r>
        <w:rPr/>
        <w:t>限制性股票。本次回购涉及</w:t>
      </w:r>
      <w:r>
        <w:rPr>
          <w:rFonts w:ascii="Times New Roman" w:hAnsi="Times New Roman" w:cs="Times New Roman" w:eastAsia="Times New Roman" w:hint="default"/>
        </w:rPr>
        <w:t>2018</w:t>
      </w:r>
      <w:r>
        <w:rPr/>
        <w:t>年限制性股票激励计划激励对象</w:t>
      </w:r>
      <w:r>
        <w:rPr>
          <w:rFonts w:ascii="Times New Roman" w:hAnsi="Times New Roman" w:cs="Times New Roman" w:eastAsia="Times New Roman" w:hint="default"/>
        </w:rPr>
        <w:t>19</w:t>
      </w:r>
      <w:r>
        <w:rPr/>
        <w:t>人，回购限制性股票数量为</w:t>
      </w:r>
      <w:r>
        <w:rPr>
          <w:rFonts w:ascii="Times New Roman" w:hAnsi="Times New Roman" w:cs="Times New Roman" w:eastAsia="Times New Roman" w:hint="default"/>
        </w:rPr>
        <w:t>1,375,852</w:t>
      </w:r>
      <w:r>
        <w:rPr/>
        <w:t>股。</w:t>
      </w:r>
    </w:p>
    <w:p>
      <w:pPr>
        <w:pStyle w:val="BodyText"/>
        <w:spacing w:line="307" w:lineRule="auto" w:before="7"/>
        <w:ind w:right="1034"/>
        <w:jc w:val="left"/>
        <w:rPr>
          <w:rFonts w:ascii="Times New Roman" w:hAnsi="Times New Roman" w:cs="Times New Roman" w:eastAsia="Times New Roman" w:hint="default"/>
        </w:rPr>
      </w:pPr>
      <w:r>
        <w:rPr/>
        <w:t>（二）股权激励实施影响 本次股权激励计划，因业绩不达标已经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日公司第三届董事会第四十四次会议和</w:t>
      </w:r>
      <w:r>
        <w:rPr>
          <w:rFonts w:ascii="Times New Roman" w:hAnsi="Times New Roman" w:cs="Times New Roman" w:eastAsia="Times New Roman" w:hint="default"/>
        </w:rPr>
        <w:t>2020</w:t>
      </w:r>
      <w:r>
        <w:rPr/>
        <w:t>年第一次临时股东大会决议</w:t>
      </w:r>
      <w:r>
        <w:rPr>
          <w:spacing w:val="-87"/>
        </w:rPr>
        <w:t> </w:t>
      </w:r>
      <w:r>
        <w:rPr/>
        <w:t>终止，未能达到建立、健全了公司的长效激励机制，未能实现公司预期激励目标。 经测算，</w:t>
      </w:r>
      <w:r>
        <w:rPr>
          <w:rFonts w:ascii="Times New Roman" w:hAnsi="Times New Roman" w:cs="Times New Roman" w:eastAsia="Times New Roman" w:hint="default"/>
        </w:rPr>
        <w:t>2018</w:t>
      </w:r>
      <w:r>
        <w:rPr/>
        <w:t>年度公司实现的营业收入为</w:t>
      </w:r>
      <w:r>
        <w:rPr>
          <w:rFonts w:ascii="Times New Roman" w:hAnsi="Times New Roman" w:cs="Times New Roman" w:eastAsia="Times New Roman" w:hint="default"/>
        </w:rPr>
        <w:t>602,984,114.96</w:t>
      </w:r>
      <w:r>
        <w:rPr/>
        <w:t>元，较</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49.11%</w:t>
      </w:r>
      <w:r>
        <w:rPr/>
        <w:t>，扣减股权激励费用后公司实现的归属于 上市司股东的净利润为</w:t>
      </w:r>
      <w:r>
        <w:rPr>
          <w:rFonts w:ascii="Times New Roman" w:hAnsi="Times New Roman" w:cs="Times New Roman" w:eastAsia="Times New Roman" w:hint="default"/>
        </w:rPr>
        <w:t>118,299,236.79</w:t>
      </w:r>
      <w:r>
        <w:rPr/>
        <w:t>元，较</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38.95%</w:t>
      </w:r>
      <w:r>
        <w:rPr/>
        <w:t>，</w:t>
      </w:r>
      <w:r>
        <w:rPr>
          <w:rFonts w:ascii="Times New Roman" w:hAnsi="Times New Roman" w:cs="Times New Roman" w:eastAsia="Times New Roman" w:hint="default"/>
        </w:rPr>
        <w:t>2018</w:t>
      </w:r>
      <w:r>
        <w:rPr/>
        <w:t>年的净利润指标未达到首次授予的限制性股票在第一 个解除限售期的解除限售条件。因此，按照《企业会计准则》的相关规定，公司不确认第一个解除限售期的股权激励费用， 冲回此项费用后，公司</w:t>
      </w:r>
      <w:r>
        <w:rPr>
          <w:rFonts w:ascii="Times New Roman" w:hAnsi="Times New Roman" w:cs="Times New Roman" w:eastAsia="Times New Roman" w:hint="default"/>
        </w:rPr>
        <w:t>2018</w:t>
      </w:r>
      <w:r>
        <w:rPr/>
        <w:t>年度实现的归属于上市司股东的净利润</w:t>
      </w:r>
      <w:r>
        <w:rPr>
          <w:rFonts w:ascii="Times New Roman" w:hAnsi="Times New Roman" w:cs="Times New Roman" w:eastAsia="Times New Roman" w:hint="default"/>
        </w:rPr>
        <w:t>124,649,353.29</w:t>
      </w:r>
      <w:r>
        <w:rPr/>
        <w:t>元。 经测算，公司于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日首次授予的限制性股票在扣减第一个解除限售期的股权激励费用后，合计需摊销的总费用为 </w:t>
      </w:r>
      <w:r>
        <w:rPr>
          <w:rFonts w:ascii="Times New Roman" w:hAnsi="Times New Roman" w:cs="Times New Roman" w:eastAsia="Times New Roman" w:hint="default"/>
        </w:rPr>
        <w:t>2,960.34</w:t>
      </w:r>
      <w:r>
        <w:rPr/>
        <w:t>万元，具体成本摊销情况见下表</w:t>
      </w:r>
      <w:r>
        <w:rPr>
          <w:rFonts w:ascii="Times New Roman" w:hAnsi="Times New Roman" w:cs="Times New Roman" w:eastAsia="Times New Roman" w:hint="default"/>
        </w:rPr>
        <w:t>:</w:t>
      </w:r>
    </w:p>
    <w:p>
      <w:pPr>
        <w:pStyle w:val="Heading6"/>
        <w:spacing w:line="262" w:lineRule="exact" w:before="0"/>
        <w:ind w:left="741" w:right="1133"/>
        <w:jc w:val="left"/>
      </w:pPr>
      <w:r>
        <w:rPr/>
        <w:t>单位：万元</w:t>
      </w:r>
    </w:p>
    <w:p>
      <w:pPr>
        <w:spacing w:line="240" w:lineRule="auto" w:before="10"/>
        <w:rPr>
          <w:rFonts w:ascii="宋体" w:hAnsi="宋体" w:cs="宋体" w:eastAsia="宋体" w:hint="default"/>
          <w:sz w:val="3"/>
          <w:szCs w:val="3"/>
        </w:rPr>
      </w:pPr>
    </w:p>
    <w:tbl>
      <w:tblPr>
        <w:tblW w:w="0" w:type="auto"/>
        <w:jc w:val="left"/>
        <w:tblInd w:w="169" w:type="dxa"/>
        <w:tblLayout w:type="fixed"/>
        <w:tblCellMar>
          <w:top w:w="0" w:type="dxa"/>
          <w:left w:w="0" w:type="dxa"/>
          <w:bottom w:w="0" w:type="dxa"/>
          <w:right w:w="0" w:type="dxa"/>
        </w:tblCellMar>
        <w:tblLook w:val="01E0"/>
      </w:tblPr>
      <w:tblGrid>
        <w:gridCol w:w="2302"/>
        <w:gridCol w:w="1575"/>
        <w:gridCol w:w="1580"/>
        <w:gridCol w:w="1574"/>
        <w:gridCol w:w="1577"/>
      </w:tblGrid>
      <w:tr>
        <w:trPr>
          <w:trHeight w:val="427"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限制性股票摊销成本</w:t>
            </w:r>
            <w:r>
              <w:rPr>
                <w:rFonts w:ascii="宋体" w:hAnsi="宋体" w:cs="宋体" w:eastAsia="宋体" w:hint="default"/>
                <w:sz w:val="18"/>
                <w:szCs w:val="18"/>
              </w:rPr>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宋体" w:hAnsi="宋体" w:cs="宋体" w:eastAsia="宋体" w:hint="default"/>
                <w:sz w:val="18"/>
                <w:szCs w:val="18"/>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宋体" w:hAnsi="宋体" w:cs="宋体" w:eastAsia="宋体" w:hint="default"/>
                <w:sz w:val="18"/>
                <w:szCs w:val="18"/>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2020</w:t>
            </w:r>
            <w:r>
              <w:rPr>
                <w:rFonts w:ascii="宋体" w:hAnsi="宋体" w:cs="宋体" w:eastAsia="宋体" w:hint="default"/>
                <w:b/>
                <w:bCs/>
                <w:sz w:val="18"/>
                <w:szCs w:val="18"/>
              </w:rPr>
              <w:t>年</w:t>
            </w:r>
            <w:r>
              <w:rPr>
                <w:rFonts w:ascii="宋体" w:hAnsi="宋体" w:cs="宋体" w:eastAsia="宋体" w:hint="default"/>
                <w:sz w:val="18"/>
                <w:szCs w:val="18"/>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07"/>
              <w:jc w:val="righ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2021</w:t>
            </w:r>
            <w:r>
              <w:rPr>
                <w:rFonts w:ascii="宋体" w:hAnsi="宋体" w:cs="宋体" w:eastAsia="宋体" w:hint="default"/>
                <w:b/>
                <w:bCs/>
                <w:spacing w:val="-1"/>
                <w:sz w:val="18"/>
                <w:szCs w:val="18"/>
              </w:rPr>
              <w:t>年</w:t>
            </w:r>
            <w:r>
              <w:rPr>
                <w:rFonts w:ascii="宋体" w:hAnsi="宋体" w:cs="宋体" w:eastAsia="宋体" w:hint="default"/>
                <w:spacing w:val="-1"/>
                <w:sz w:val="18"/>
                <w:szCs w:val="18"/>
              </w:rPr>
            </w:r>
          </w:p>
        </w:tc>
      </w:tr>
      <w:tr>
        <w:trPr>
          <w:trHeight w:val="427"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2,960.34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22" w:right="0"/>
              <w:jc w:val="left"/>
              <w:rPr>
                <w:rFonts w:ascii="Times New Roman" w:hAnsi="Times New Roman" w:cs="Times New Roman" w:eastAsia="Times New Roman" w:hint="default"/>
                <w:sz w:val="18"/>
                <w:szCs w:val="18"/>
              </w:rPr>
            </w:pPr>
            <w:r>
              <w:rPr>
                <w:rFonts w:ascii="Times New Roman"/>
                <w:sz w:val="18"/>
              </w:rPr>
              <w:t>604.91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4" w:right="0"/>
              <w:jc w:val="center"/>
              <w:rPr>
                <w:rFonts w:ascii="Times New Roman" w:hAnsi="Times New Roman" w:cs="Times New Roman" w:eastAsia="Times New Roman" w:hint="default"/>
                <w:sz w:val="18"/>
                <w:szCs w:val="18"/>
              </w:rPr>
            </w:pPr>
            <w:r>
              <w:rPr>
                <w:rFonts w:ascii="Times New Roman"/>
                <w:sz w:val="18"/>
              </w:rPr>
              <w:t>1,209.82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2" w:right="0"/>
              <w:jc w:val="center"/>
              <w:rPr>
                <w:rFonts w:ascii="Times New Roman" w:hAnsi="Times New Roman" w:cs="Times New Roman" w:eastAsia="Times New Roman" w:hint="default"/>
                <w:sz w:val="18"/>
                <w:szCs w:val="18"/>
              </w:rPr>
            </w:pPr>
            <w:r>
              <w:rPr>
                <w:rFonts w:ascii="Times New Roman"/>
                <w:sz w:val="18"/>
              </w:rPr>
              <w:t>875.26</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94"/>
              <w:jc w:val="right"/>
              <w:rPr>
                <w:rFonts w:ascii="Times New Roman" w:hAnsi="Times New Roman" w:cs="Times New Roman" w:eastAsia="Times New Roman" w:hint="default"/>
                <w:sz w:val="18"/>
                <w:szCs w:val="18"/>
              </w:rPr>
            </w:pPr>
            <w:r>
              <w:rPr>
                <w:rFonts w:ascii="Times New Roman"/>
                <w:spacing w:val="-1"/>
                <w:sz w:val="18"/>
              </w:rPr>
              <w:t>270.35</w:t>
            </w:r>
          </w:p>
        </w:tc>
      </w:tr>
    </w:tbl>
    <w:p>
      <w:pPr>
        <w:pStyle w:val="BodyText"/>
        <w:spacing w:line="240" w:lineRule="auto" w:before="8"/>
        <w:ind w:right="1133"/>
        <w:jc w:val="left"/>
      </w:pPr>
      <w:r>
        <w:rPr/>
        <w:t>本次股权激励计划的激励成本将在管理费用列支。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23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蜂助手股份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公司时任董 事、财务总 </w:t>
            </w:r>
            <w:r>
              <w:rPr>
                <w:rFonts w:ascii="宋体" w:hAnsi="宋体" w:cs="宋体" w:eastAsia="宋体" w:hint="default"/>
                <w:spacing w:val="-11"/>
                <w:sz w:val="18"/>
                <w:szCs w:val="18"/>
              </w:rPr>
              <w:t>监、董事会秘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书周为利同 时担任蜂助 手董事</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6" w:right="140"/>
              <w:jc w:val="both"/>
              <w:rPr>
                <w:rFonts w:ascii="宋体" w:hAnsi="宋体" w:cs="宋体" w:eastAsia="宋体" w:hint="default"/>
                <w:sz w:val="18"/>
                <w:szCs w:val="18"/>
              </w:rPr>
            </w:pPr>
            <w:r>
              <w:rPr>
                <w:rFonts w:ascii="宋体" w:hAnsi="宋体" w:cs="宋体" w:eastAsia="宋体" w:hint="default"/>
                <w:sz w:val="18"/>
                <w:szCs w:val="18"/>
              </w:rPr>
              <w:t>广东汉鼎蜂 助手网络技 术有限公司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信息技术咨询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 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电子、通信 与自动控制技 术研究、开发</w:t>
            </w:r>
            <w:r>
              <w:rPr>
                <w:rFonts w:ascii="Times New Roman" w:hAnsi="Times New Roman" w:cs="Times New Roman" w:eastAsia="Times New Roman" w:hint="default"/>
                <w:sz w:val="18"/>
                <w:szCs w:val="18"/>
              </w:rPr>
              <w:t>; </w:t>
            </w:r>
            <w:r>
              <w:rPr>
                <w:rFonts w:ascii="宋体" w:hAnsi="宋体" w:cs="宋体" w:eastAsia="宋体" w:hint="default"/>
                <w:sz w:val="18"/>
                <w:szCs w:val="18"/>
              </w:rPr>
              <w:t>网络技术的研 究、开发</w:t>
            </w:r>
            <w:r>
              <w:rPr>
                <w:rFonts w:ascii="Times New Roman" w:hAnsi="Times New Roman" w:cs="Times New Roman" w:eastAsia="Times New Roman" w:hint="default"/>
                <w:sz w:val="18"/>
                <w:szCs w:val="18"/>
              </w:rPr>
              <w:t>;</w:t>
            </w:r>
            <w:r>
              <w:rPr>
                <w:rFonts w:ascii="宋体" w:hAnsi="宋体" w:cs="宋体" w:eastAsia="宋体" w:hint="default"/>
                <w:sz w:val="18"/>
                <w:szCs w:val="18"/>
              </w:rPr>
              <w:t>物联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1,528.22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1,451.96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-368.04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10972" w:hRule="exact"/>
        </w:trPr>
        <w:tc>
          <w:tcPr>
            <w:tcW w:w="10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网技术研究开 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计算机硬件 的研究、开发</w:t>
            </w:r>
            <w:r>
              <w:rPr>
                <w:rFonts w:ascii="Times New Roman" w:hAnsi="Times New Roman" w:cs="Times New Roman" w:eastAsia="Times New Roman" w:hint="default"/>
                <w:sz w:val="18"/>
                <w:szCs w:val="18"/>
              </w:rPr>
              <w:t>; </w:t>
            </w:r>
            <w:r>
              <w:rPr>
                <w:rFonts w:ascii="宋体" w:hAnsi="宋体" w:cs="宋体" w:eastAsia="宋体" w:hint="default"/>
                <w:sz w:val="18"/>
                <w:szCs w:val="18"/>
              </w:rPr>
              <w:t>通信技术研究 开发、技术服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信息电子技 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移动电 信业务代理服 务</w:t>
            </w:r>
            <w:r>
              <w:rPr>
                <w:rFonts w:ascii="Times New Roman" w:hAnsi="Times New Roman" w:cs="Times New Roman" w:eastAsia="Times New Roman" w:hint="default"/>
                <w:sz w:val="18"/>
                <w:szCs w:val="18"/>
              </w:rPr>
              <w:t>;</w:t>
            </w:r>
            <w:r>
              <w:rPr>
                <w:rFonts w:ascii="宋体" w:hAnsi="宋体" w:cs="宋体" w:eastAsia="宋体" w:hint="default"/>
                <w:sz w:val="18"/>
                <w:szCs w:val="18"/>
              </w:rPr>
              <w:t>通讯设备及 配套设备批发</w:t>
            </w:r>
            <w:r>
              <w:rPr>
                <w:rFonts w:ascii="Times New Roman" w:hAnsi="Times New Roman" w:cs="Times New Roman" w:eastAsia="Times New Roman" w:hint="default"/>
                <w:sz w:val="18"/>
                <w:szCs w:val="18"/>
              </w:rPr>
              <w:t>; </w:t>
            </w:r>
            <w:r>
              <w:rPr>
                <w:rFonts w:ascii="宋体" w:hAnsi="宋体" w:cs="宋体" w:eastAsia="宋体" w:hint="default"/>
                <w:sz w:val="18"/>
                <w:szCs w:val="18"/>
              </w:rPr>
              <w:t>通讯终端设备 批发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软件批 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电子产品批 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电子元器件 批发</w:t>
            </w:r>
            <w:r>
              <w:rPr>
                <w:rFonts w:ascii="Times New Roman" w:hAnsi="Times New Roman" w:cs="Times New Roman" w:eastAsia="Times New Roman" w:hint="default"/>
                <w:sz w:val="18"/>
                <w:szCs w:val="18"/>
              </w:rPr>
              <w:t>;</w:t>
            </w:r>
            <w:r>
              <w:rPr>
                <w:rFonts w:ascii="宋体" w:hAnsi="宋体" w:cs="宋体" w:eastAsia="宋体" w:hint="default"/>
                <w:sz w:val="18"/>
                <w:szCs w:val="18"/>
              </w:rPr>
              <w:t>电视设备 及其配件批发</w:t>
            </w:r>
            <w:r>
              <w:rPr>
                <w:rFonts w:ascii="Times New Roman" w:hAnsi="Times New Roman" w:cs="Times New Roman" w:eastAsia="Times New Roman" w:hint="default"/>
                <w:sz w:val="18"/>
                <w:szCs w:val="18"/>
              </w:rPr>
              <w:t>; </w:t>
            </w:r>
            <w:r>
              <w:rPr>
                <w:rFonts w:ascii="宋体" w:hAnsi="宋体" w:cs="宋体" w:eastAsia="宋体" w:hint="default"/>
                <w:sz w:val="18"/>
                <w:szCs w:val="18"/>
              </w:rPr>
              <w:t>家用视听设备 零售</w:t>
            </w:r>
            <w:r>
              <w:rPr>
                <w:rFonts w:ascii="Times New Roman" w:hAnsi="Times New Roman" w:cs="Times New Roman" w:eastAsia="Times New Roman" w:hint="default"/>
                <w:sz w:val="18"/>
                <w:szCs w:val="18"/>
              </w:rPr>
              <w:t>;</w:t>
            </w:r>
            <w:r>
              <w:rPr>
                <w:rFonts w:ascii="宋体" w:hAnsi="宋体" w:cs="宋体" w:eastAsia="宋体" w:hint="default"/>
                <w:sz w:val="18"/>
                <w:szCs w:val="18"/>
              </w:rPr>
              <w:t>日用家电 设备零售</w:t>
            </w:r>
            <w:r>
              <w:rPr>
                <w:rFonts w:ascii="Times New Roman" w:hAnsi="Times New Roman" w:cs="Times New Roman" w:eastAsia="Times New Roman" w:hint="default"/>
                <w:sz w:val="18"/>
                <w:szCs w:val="18"/>
              </w:rPr>
              <w:t>;</w:t>
            </w:r>
            <w:r>
              <w:rPr>
                <w:rFonts w:ascii="宋体" w:hAnsi="宋体" w:cs="宋体" w:eastAsia="宋体" w:hint="default"/>
                <w:sz w:val="18"/>
                <w:szCs w:val="18"/>
              </w:rPr>
              <w:t>通信 设备零售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 元器件零售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软 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电子产 品零售</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 商品零售（许 可审批类商品 除外）</w:t>
            </w:r>
            <w:r>
              <w:rPr>
                <w:rFonts w:ascii="Times New Roman" w:hAnsi="Times New Roman" w:cs="Times New Roman" w:eastAsia="Times New Roman" w:hint="default"/>
                <w:sz w:val="18"/>
                <w:szCs w:val="18"/>
              </w:rPr>
              <w:t>;</w:t>
            </w:r>
            <w:r>
              <w:rPr>
                <w:rFonts w:ascii="宋体" w:hAnsi="宋体" w:cs="宋体" w:eastAsia="宋体" w:hint="default"/>
                <w:sz w:val="18"/>
                <w:szCs w:val="18"/>
              </w:rPr>
              <w:t>商品批 发贸易（许可 审批类商品除 外）</w:t>
            </w:r>
            <w:r>
              <w:rPr>
                <w:rFonts w:ascii="Times New Roman" w:hAnsi="Times New Roman" w:cs="Times New Roman" w:eastAsia="Times New Roman" w:hint="default"/>
                <w:sz w:val="18"/>
                <w:szCs w:val="18"/>
              </w:rPr>
              <w:t>;</w:t>
            </w:r>
            <w:r>
              <w:rPr>
                <w:rFonts w:ascii="宋体" w:hAnsi="宋体" w:cs="宋体" w:eastAsia="宋体" w:hint="default"/>
                <w:sz w:val="18"/>
                <w:szCs w:val="18"/>
              </w:rPr>
              <w:t>商品零售 贸易（许可审 批类商品除 外）</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互联网商 品销售（许可 审批类商品除 外）</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1"/>
        <w:gridCol w:w="920"/>
        <w:gridCol w:w="1296"/>
        <w:gridCol w:w="1064"/>
        <w:gridCol w:w="1034"/>
        <w:gridCol w:w="1051"/>
        <w:gridCol w:w="790"/>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7"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5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杭州汉鼎俏星商业发 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11,199.17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11,199.17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6,199.1688</w:t>
            </w:r>
          </w:p>
          <w:p>
            <w:pPr>
              <w:pStyle w:val="TableParagraph"/>
              <w:spacing w:line="316" w:lineRule="auto" w:before="61"/>
              <w:ind w:left="23" w:right="17"/>
              <w:jc w:val="left"/>
              <w:rPr>
                <w:rFonts w:ascii="宋体" w:hAnsi="宋体" w:cs="宋体" w:eastAsia="宋体" w:hint="default"/>
                <w:sz w:val="18"/>
                <w:szCs w:val="18"/>
              </w:rPr>
            </w:pPr>
            <w:r>
              <w:rPr>
                <w:rFonts w:ascii="宋体" w:hAnsi="宋体" w:cs="宋体" w:eastAsia="宋体" w:hint="default"/>
                <w:sz w:val="18"/>
                <w:szCs w:val="18"/>
              </w:rPr>
              <w:t>万元担保金 额期限为自 四方协议签 署之日至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万元担</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4"/>
        <w:gridCol w:w="1302"/>
        <w:gridCol w:w="1057"/>
        <w:gridCol w:w="1041"/>
        <w:gridCol w:w="1048"/>
        <w:gridCol w:w="790"/>
        <w:gridCol w:w="783"/>
      </w:tblGrid>
      <w:tr>
        <w:trPr>
          <w:trHeight w:val="1611"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5" w:space="0" w:color="000000"/>
            </w:tcBorders>
          </w:tcPr>
          <w:p>
            <w:pPr/>
          </w:p>
        </w:tc>
        <w:tc>
          <w:tcPr>
            <w:tcW w:w="924"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保金额期限 为自四方协 议签署之日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6" w:lineRule="exact"/>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11,199.17</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11,199.17</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11,199.17</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12" w:right="26"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汉鼎国际发展有限公 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13,593.4</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27"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7" w:right="31"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11,199.17</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11,199.17</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11,199.17</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5"/>
        <w:gridCol w:w="4719"/>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采用复合方式担保的具体情况说明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spacing w:line="506" w:lineRule="auto" w:before="0"/>
        <w:ind w:left="152" w:right="8585"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5"/>
        <w:spacing w:line="240" w:lineRule="auto" w:before="15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公司报告年度暂未开展精准扶贫工作，也暂无后续精准扶贫计划。</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5714"/>
        <w:jc w:val="left"/>
      </w:pPr>
      <w:r>
        <w:rPr/>
        <w:t>上市公司及其子公司是否属于环境保护部门公布的重点排污单位 否</w:t>
      </w:r>
    </w:p>
    <w:p>
      <w:pPr>
        <w:pStyle w:val="BodyText"/>
        <w:spacing w:line="240" w:lineRule="auto" w:before="29"/>
        <w:ind w:right="1133"/>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1080"/>
        <w:gridCol w:w="1080"/>
        <w:gridCol w:w="5101"/>
        <w:gridCol w:w="1081"/>
      </w:tblGrid>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刊登日期</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2019-005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2019.02.28</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关于回购限制性股票注销完成的公告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2019-008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2019.03.04</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关于向激励对象授予预留限制性股票的公告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2019-009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2019.03.06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关于控股股东、实际控制人协议转让股份的提示性公告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2019.03.06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2019-012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2019.03.19</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关于控股股东、实际控制人协议转让股份完成过户登记的公告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2019.03.20</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年限制性股票激励计划预留授予登记完成的公告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2019-022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2019.04.04</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2"/>
              <w:jc w:val="left"/>
              <w:rPr>
                <w:rFonts w:ascii="宋体" w:hAnsi="宋体" w:cs="宋体" w:eastAsia="宋体" w:hint="default"/>
                <w:sz w:val="18"/>
                <w:szCs w:val="18"/>
              </w:rPr>
            </w:pPr>
            <w:r>
              <w:rPr>
                <w:rFonts w:ascii="宋体" w:hAnsi="宋体" w:cs="宋体" w:eastAsia="宋体" w:hint="default"/>
                <w:sz w:val="18"/>
                <w:szCs w:val="18"/>
              </w:rPr>
              <w:t>关于终止募集资金投资项目并将剩余募集资金永久补充流动资金 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2019-023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2019.04.04</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1080"/>
        <w:gridCol w:w="1080"/>
        <w:gridCol w:w="5101"/>
        <w:gridCol w:w="1081"/>
      </w:tblGrid>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2019-035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2019.04.26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关于非公开发行限售股份上市流通的提示性公告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2019.04.26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年度利润分配预案的公告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2019-042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2019.04.26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关于计提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年度资产减值准备的公告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2019.04.26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41"/>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年限制性股票激励计划首次授予第一期限制性 股票的公告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2019-046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2019.04.26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《公司章程》修改对照表</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2019.05.17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41"/>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年限制性股票激励计划首次授予第一期限制性 股票的减资公告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2019-058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2019.05.20</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color w:val="333333"/>
                <w:sz w:val="18"/>
                <w:szCs w:val="18"/>
              </w:rPr>
              <w:t>关于深圳证券交易所年报问询函回复的公告</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2019-063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2019.06.26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关于聘任副总经理及证券事务代表的公告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2019-066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2019.07.05</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关于公司董事、高级管理人员变动的公告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2019-067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2019.07.09</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年年度权益分派实施公告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2019-071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2019.08.07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2019-085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2019.09.27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2019-094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2019.11.06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关于控股股东、实际控制人拟发生变更的提示性公告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2019.11.07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关于拟变更控股股东、实际控制人的方案调整公告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2019-098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2019.11.26</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关于以集中竞价交易方式回购公司股份的方案</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2019-099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2019.11.27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2"/>
              <w:jc w:val="left"/>
              <w:rPr>
                <w:rFonts w:ascii="宋体" w:hAnsi="宋体" w:cs="宋体" w:eastAsia="宋体" w:hint="default"/>
                <w:sz w:val="18"/>
                <w:szCs w:val="18"/>
              </w:rPr>
            </w:pPr>
            <w:r>
              <w:rPr>
                <w:rFonts w:ascii="宋体" w:hAnsi="宋体" w:cs="宋体" w:eastAsia="宋体" w:hint="default"/>
                <w:sz w:val="18"/>
                <w:szCs w:val="18"/>
              </w:rPr>
              <w:t>关于回购股份事项中前十名股东及前十名无限售条件股东持股情 况的公告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2019.11.27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关于回购公司股份的报告书</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2019-101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2019.11.28</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2"/>
              <w:jc w:val="left"/>
              <w:rPr>
                <w:rFonts w:ascii="宋体" w:hAnsi="宋体" w:cs="宋体" w:eastAsia="宋体" w:hint="default"/>
                <w:sz w:val="18"/>
                <w:szCs w:val="18"/>
              </w:rPr>
            </w:pPr>
            <w:r>
              <w:rPr>
                <w:rFonts w:ascii="宋体" w:hAnsi="宋体" w:cs="宋体" w:eastAsia="宋体" w:hint="default"/>
                <w:sz w:val="18"/>
                <w:szCs w:val="18"/>
              </w:rPr>
              <w:t>关于控股股东、实际控制人协议转让股份暨公司控制权变更的进 展公告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2019-102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2019.11.28</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关于首次实施回购公司股份的公告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2019-103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2019.12.04</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2019-106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2019.12.11</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年限制性股票激励计划部分限制性股票的公告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2019-107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2019.12.11</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《公司章程》修改对照表</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2019.12.13</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2"/>
              <w:jc w:val="left"/>
              <w:rPr>
                <w:rFonts w:ascii="宋体" w:hAnsi="宋体" w:cs="宋体" w:eastAsia="宋体" w:hint="default"/>
                <w:sz w:val="18"/>
                <w:szCs w:val="18"/>
              </w:rPr>
            </w:pPr>
            <w:r>
              <w:rPr>
                <w:rFonts w:ascii="宋体" w:hAnsi="宋体" w:cs="宋体" w:eastAsia="宋体" w:hint="default"/>
                <w:sz w:val="18"/>
                <w:szCs w:val="18"/>
              </w:rPr>
              <w:t>关于控股股东、实际控制人协议转让股份完成过户暨公司控制权 变更的公告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2019-112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2019.12.14</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关于董事辞职暨补选非独立董事的公告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2019.12.25</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关于重大合同的进展公告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2019.12.27</w:t>
            </w:r>
          </w:p>
        </w:tc>
        <w:tc>
          <w:tcPr>
            <w:tcW w:w="51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41"/>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年限制性股票激励计划部分限制性股票的减资 公告</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169"/>
        <w:gridCol w:w="1169"/>
        <w:gridCol w:w="4854"/>
        <w:gridCol w:w="1169"/>
      </w:tblGrid>
      <w:tr>
        <w:trPr>
          <w:trHeight w:val="346"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刊登日期</w:t>
            </w:r>
          </w:p>
        </w:tc>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2019-021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2019.04.04</w:t>
            </w:r>
          </w:p>
        </w:tc>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关于对外投资暨关联交易的公告</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2019-055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2019.05.16</w:t>
            </w:r>
          </w:p>
        </w:tc>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关于参股子公司境外上市的公告</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2019-109</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2019.12.12</w:t>
            </w:r>
          </w:p>
        </w:tc>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关于参股子公司上市辅导备案登记的公告</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8"/>
        <w:ind w:right="98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日，公司召开总经理办公会议，审议并通过了《关于全资子公司汉鼎金服入股浙江慧居智能家居有限公司的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ind w:right="986"/>
        <w:jc w:val="left"/>
      </w:pPr>
      <w:r>
        <w:rPr/>
        <w:t>议案》，同意汉鼎金服以自有资金</w:t>
      </w:r>
      <w:r>
        <w:rPr>
          <w:rFonts w:ascii="Times New Roman" w:hAnsi="Times New Roman" w:cs="Times New Roman" w:eastAsia="Times New Roman" w:hint="default"/>
        </w:rPr>
        <w:t>200</w:t>
      </w:r>
      <w:r>
        <w:rPr/>
        <w:t>万元入股浙江慧居智能家居有限公司。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日，公司召开总经理办公会议，审议通过《关于放弃四川通普科技有限公司本次增资优先权的议案》，根据</w:t>
      </w:r>
      <w:r>
        <w:rPr>
          <w:spacing w:val="-60"/>
        </w:rPr>
        <w:t> </w:t>
      </w:r>
      <w:r>
        <w:rPr>
          <w:spacing w:val="-60"/>
        </w:rPr>
      </w:r>
      <w:r>
        <w:rPr/>
        <w:t>公司发展需要，公司不参与四川通普本次增资。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日，公司召开了总经理办公会议，审议通过《关于转让上海汉鼎信息技术有限公司部分股权的议案》，同意</w:t>
      </w:r>
      <w:r>
        <w:rPr>
          <w:spacing w:val="-61"/>
        </w:rPr>
        <w:t> </w:t>
      </w:r>
      <w:r>
        <w:rPr>
          <w:spacing w:val="-61"/>
        </w:rPr>
      </w:r>
      <w:r>
        <w:rPr/>
        <w:t>以</w:t>
      </w:r>
      <w:r>
        <w:rPr>
          <w:rFonts w:ascii="Times New Roman" w:hAnsi="Times New Roman" w:cs="Times New Roman" w:eastAsia="Times New Roman" w:hint="default"/>
        </w:rPr>
        <w:t>700</w:t>
      </w:r>
      <w:r>
        <w:rPr/>
        <w:t>万元人民币转让上海汉鼎信息技术有限公司（以下简称</w:t>
      </w:r>
      <w:r>
        <w:rPr>
          <w:rFonts w:ascii="Times New Roman" w:hAnsi="Times New Roman" w:cs="Times New Roman" w:eastAsia="Times New Roman" w:hint="default"/>
        </w:rPr>
        <w:t>“</w:t>
      </w:r>
      <w:r>
        <w:rPr/>
        <w:t>上海汉鼎</w:t>
      </w:r>
      <w:r>
        <w:rPr>
          <w:rFonts w:ascii="Times New Roman" w:hAnsi="Times New Roman" w:cs="Times New Roman" w:eastAsia="Times New Roman" w:hint="default"/>
        </w:rPr>
        <w:t>”</w:t>
      </w:r>
      <w:r>
        <w:rPr/>
        <w:t>）</w:t>
      </w:r>
      <w:r>
        <w:rPr>
          <w:rFonts w:ascii="Times New Roman" w:hAnsi="Times New Roman" w:cs="Times New Roman" w:eastAsia="Times New Roman" w:hint="default"/>
        </w:rPr>
        <w:t>35%</w:t>
      </w:r>
      <w:r>
        <w:rPr/>
        <w:t>股权，上海汉鼎法定代表人拟由庄良，变更 为钟浩。会议审议并通过了《关于好医友对外投资的议案》，同意好医友出资</w:t>
      </w:r>
      <w:r>
        <w:rPr>
          <w:rFonts w:ascii="Times New Roman" w:hAnsi="Times New Roman" w:cs="Times New Roman" w:eastAsia="Times New Roman" w:hint="default"/>
        </w:rPr>
        <w:t>680</w:t>
      </w:r>
      <w:r>
        <w:rPr/>
        <w:t>万元人民币，占合资公司</w:t>
      </w:r>
      <w:r>
        <w:rPr>
          <w:rFonts w:ascii="Times New Roman" w:hAnsi="Times New Roman" w:cs="Times New Roman" w:eastAsia="Times New Roman" w:hint="default"/>
        </w:rPr>
        <w:t>20%</w:t>
      </w:r>
      <w:r>
        <w:rPr/>
        <w:t>股权与杭州 </w:t>
      </w:r>
      <w:r>
        <w:rPr>
          <w:spacing w:val="-4"/>
        </w:rPr>
        <w:t>旗开晟企业管理合伙企业（有限合伙）、</w:t>
      </w:r>
      <w:r>
        <w:rPr>
          <w:rFonts w:ascii="Times New Roman" w:hAnsi="Times New Roman" w:cs="Times New Roman" w:eastAsia="Times New Roman" w:hint="default"/>
          <w:spacing w:val="-4"/>
        </w:rPr>
        <w:t>Genexa.lnc</w:t>
      </w:r>
      <w:r>
        <w:rPr>
          <w:spacing w:val="-4"/>
        </w:rPr>
        <w:t>合资设立健诺希（上海）生物科技有限公司（暂定）。会议审议通过《关</w:t>
      </w:r>
      <w:r>
        <w:rPr>
          <w:spacing w:val="-36"/>
        </w:rPr>
        <w:t> </w:t>
      </w:r>
      <w:r>
        <w:rPr>
          <w:spacing w:val="-36"/>
        </w:rPr>
      </w:r>
      <w:r>
        <w:rPr/>
        <w:t>于关闭乐清汉鼎宇佑影城的议案》，同意互动娱乐根据发展需要，关闭乐清汉鼎宇佑影城。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日，公司总经理办公会议审议并通过了《关于购回上海汉鼎信息技术有限公司部分股权的议案》、《关于全</w:t>
      </w:r>
      <w:r>
        <w:rPr>
          <w:spacing w:val="-60"/>
        </w:rPr>
        <w:t> </w:t>
      </w:r>
      <w:r>
        <w:rPr>
          <w:spacing w:val="-60"/>
        </w:rPr>
      </w:r>
      <w:r>
        <w:rPr>
          <w:spacing w:val="-2"/>
        </w:rPr>
        <w:t>资子公司更名、变更营业范围及修订公司章程的议案》、《关于注销成都宇佑信息科技有限公司的议案》、《关于汉鼎国际</w:t>
      </w:r>
      <w:r>
        <w:rPr>
          <w:spacing w:val="-69"/>
        </w:rPr>
        <w:t> </w:t>
      </w:r>
      <w:r>
        <w:rPr>
          <w:spacing w:val="-69"/>
        </w:rPr>
      </w:r>
      <w:r>
        <w:rPr>
          <w:spacing w:val="-2"/>
        </w:rPr>
        <w:t>出售</w:t>
      </w:r>
      <w:r>
        <w:rPr>
          <w:rFonts w:ascii="Times New Roman" w:hAnsi="Times New Roman" w:cs="Times New Roman" w:eastAsia="Times New Roman" w:hint="default"/>
          <w:spacing w:val="-2"/>
        </w:rPr>
        <w:t>MCAC</w:t>
      </w:r>
      <w:r>
        <w:rPr>
          <w:spacing w:val="-2"/>
        </w:rPr>
        <w:t>部分股权的议案》、《关于对杭州天卓网络有限公司进行尽职调查并签署相关协议的议案》、《关于公司控股孙</w:t>
      </w:r>
      <w:r>
        <w:rPr>
          <w:spacing w:val="-55"/>
        </w:rPr>
        <w:t> </w:t>
      </w:r>
      <w:r>
        <w:rPr>
          <w:spacing w:val="-55"/>
        </w:rPr>
      </w:r>
      <w:r>
        <w:rPr>
          <w:spacing w:val="-7"/>
        </w:rPr>
        <w:t>公司收购部分股权的议案》、《关于公司控股子公司对外投资的议案》和《关于全资子公司变更住所及修改公司章程的议案》，</w:t>
      </w:r>
      <w:r>
        <w:rPr>
          <w:spacing w:val="-52"/>
        </w:rPr>
        <w:t> </w:t>
      </w:r>
      <w:r>
        <w:rPr>
          <w:spacing w:val="-52"/>
        </w:rPr>
      </w:r>
      <w:r>
        <w:rPr/>
        <w:t>鉴于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月公司与葛芃签署关于转让上海汉鼎信息技术有限公司</w:t>
      </w:r>
      <w:r>
        <w:rPr>
          <w:rFonts w:ascii="Times New Roman" w:hAnsi="Times New Roman" w:cs="Times New Roman" w:eastAsia="Times New Roman" w:hint="default"/>
        </w:rPr>
        <w:t>35%</w:t>
      </w:r>
      <w:r>
        <w:rPr/>
        <w:t>股权协议后，股权转让款一直未实际支付，经双方 </w:t>
      </w:r>
      <w:r>
        <w:rPr>
          <w:spacing w:val="-2"/>
        </w:rPr>
        <w:t>协商一致，公司决定原价购回前次转让的上海汉鼎股权；根据发展需要，同意公司全资子公司杭州汉鼎宇佑人工智能有限公</w:t>
      </w:r>
      <w:r>
        <w:rPr>
          <w:spacing w:val="-62"/>
        </w:rPr>
        <w:t> </w:t>
      </w:r>
      <w:r>
        <w:rPr>
          <w:spacing w:val="-62"/>
        </w:rPr>
      </w:r>
      <w:r>
        <w:rPr>
          <w:spacing w:val="-2"/>
        </w:rPr>
        <w:t>司，更名为杭州汉鼎宇佑互联网技术有限公司，营业范围进行变更，章程进行相应变更；基于整体战略规划及经营效益的考</w:t>
      </w:r>
      <w:r>
        <w:rPr>
          <w:spacing w:val="-64"/>
        </w:rPr>
        <w:t> </w:t>
      </w:r>
      <w:r>
        <w:rPr>
          <w:spacing w:val="-64"/>
        </w:rPr>
      </w:r>
      <w:r>
        <w:rPr>
          <w:spacing w:val="-2"/>
        </w:rPr>
        <w:t>虑，为进一步整合和优化现有资源配置，同意注销成都宇佑信息科技有限公司；鉴于公司对外投资变现的需要，同意全资子</w:t>
      </w:r>
      <w:r>
        <w:rPr>
          <w:spacing w:val="-65"/>
        </w:rPr>
        <w:t> </w:t>
      </w:r>
      <w:r>
        <w:rPr>
          <w:spacing w:val="-65"/>
        </w:rPr>
      </w:r>
      <w:r>
        <w:rPr/>
        <w:t>公司汉鼎国际发展有限公司将所持有的</w:t>
      </w:r>
      <w:r>
        <w:rPr>
          <w:rFonts w:ascii="Times New Roman" w:hAnsi="Times New Roman" w:cs="Times New Roman" w:eastAsia="Times New Roman" w:hint="default"/>
        </w:rPr>
        <w:t>MCAC</w:t>
      </w:r>
      <w:r>
        <w:rPr/>
        <w:t>部分股份转让给</w:t>
      </w:r>
      <w:r>
        <w:rPr>
          <w:rFonts w:ascii="Times New Roman" w:hAnsi="Times New Roman" w:cs="Times New Roman" w:eastAsia="Times New Roman" w:hint="default"/>
        </w:rPr>
        <w:t>MJ</w:t>
      </w:r>
      <w:r>
        <w:rPr/>
        <w:t>资本投资有限公司，共计</w:t>
      </w:r>
      <w:r>
        <w:rPr>
          <w:rFonts w:ascii="Times New Roman" w:hAnsi="Times New Roman" w:cs="Times New Roman" w:eastAsia="Times New Roman" w:hint="default"/>
        </w:rPr>
        <w:t>20</w:t>
      </w:r>
      <w:r>
        <w:rPr/>
        <w:t>万股，总价</w:t>
      </w:r>
      <w:r>
        <w:rPr>
          <w:rFonts w:ascii="Times New Roman" w:hAnsi="Times New Roman" w:cs="Times New Roman" w:eastAsia="Times New Roman" w:hint="default"/>
        </w:rPr>
        <w:t>100</w:t>
      </w:r>
      <w:r>
        <w:rPr/>
        <w:t>万美元；应杭州 </w:t>
      </w:r>
      <w:r>
        <w:rPr>
          <w:spacing w:val="-2"/>
        </w:rPr>
        <w:t>天卓网络有限公司股东的邀请，授权公司相关部门对杭州天卓网络有限公司开展尽职调查并签署尽职调查相关协议；同意好</w:t>
      </w:r>
      <w:r>
        <w:rPr>
          <w:spacing w:val="-62"/>
        </w:rPr>
        <w:t> </w:t>
      </w:r>
      <w:r>
        <w:rPr>
          <w:spacing w:val="-62"/>
        </w:rPr>
      </w:r>
      <w:r>
        <w:rPr/>
        <w:t>医友控股子公司巢点（杭州）投资管理有限公司以</w:t>
      </w:r>
      <w:r>
        <w:rPr>
          <w:rFonts w:ascii="Times New Roman" w:hAnsi="Times New Roman" w:cs="Times New Roman" w:eastAsia="Times New Roman" w:hint="default"/>
        </w:rPr>
        <w:t>0</w:t>
      </w:r>
      <w:r>
        <w:rPr/>
        <w:t>元人民币收购杭州君睿生物医药科技有限公司</w:t>
      </w:r>
      <w:r>
        <w:rPr>
          <w:rFonts w:ascii="Times New Roman" w:hAnsi="Times New Roman" w:cs="Times New Roman" w:eastAsia="Times New Roman" w:hint="default"/>
        </w:rPr>
        <w:t>1%</w:t>
      </w:r>
      <w:r>
        <w:rPr/>
        <w:t>注册资金出资权；同意 好医友出资</w:t>
      </w:r>
      <w:r>
        <w:rPr>
          <w:rFonts w:ascii="Times New Roman" w:hAnsi="Times New Roman" w:cs="Times New Roman" w:eastAsia="Times New Roman" w:hint="default"/>
        </w:rPr>
        <w:t>100</w:t>
      </w:r>
      <w:r>
        <w:rPr/>
        <w:t>万元人民币对苏州恒动生物制药有限公司进行增资；同意全资子公司汉鼎宇佑信息产业有限公司，变更工商 注册地址，同时对营业执照及章程做出相应变更。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日，公司总经理办公会议审议并通过了《关于控股孙公司签署战略合作协议暨对外投资的议案》和《关于 </w:t>
      </w:r>
      <w:r>
        <w:rPr>
          <w:spacing w:val="-2"/>
        </w:rPr>
        <w:t>全资子公司签署战略合作协议暨对外投资的议案》，同意公司控股孙公司杭州医利智能科技有限公司与杭州嘉楠区块链科技</w:t>
      </w:r>
      <w:r>
        <w:rPr>
          <w:spacing w:val="-64"/>
        </w:rPr>
        <w:t> </w:t>
      </w:r>
      <w:r>
        <w:rPr>
          <w:spacing w:val="-64"/>
        </w:rPr>
      </w:r>
      <w:r>
        <w:rPr/>
        <w:t>有限公司签署关于成立合资公司的战略合作协议，合资公司注册资本暂定</w:t>
      </w:r>
      <w:r>
        <w:rPr>
          <w:rFonts w:ascii="Times New Roman" w:hAnsi="Times New Roman" w:cs="Times New Roman" w:eastAsia="Times New Roman" w:hint="default"/>
        </w:rPr>
        <w:t>1000</w:t>
      </w:r>
      <w:r>
        <w:rPr/>
        <w:t>万元，医利智能持股</w:t>
      </w:r>
      <w:r>
        <w:rPr>
          <w:rFonts w:ascii="Times New Roman" w:hAnsi="Times New Roman" w:cs="Times New Roman" w:eastAsia="Times New Roman" w:hint="default"/>
        </w:rPr>
        <w:t>60%</w:t>
      </w:r>
      <w:r>
        <w:rPr/>
        <w:t>，嘉楠区块链持股 </w:t>
      </w:r>
      <w:r>
        <w:rPr>
          <w:rFonts w:ascii="Times New Roman" w:hAnsi="Times New Roman" w:cs="Times New Roman" w:eastAsia="Times New Roman" w:hint="default"/>
        </w:rPr>
        <w:t>40%</w:t>
      </w:r>
      <w:r>
        <w:rPr/>
        <w:t>；同意公司全资子公司浙江汉鼎宇佑金融服务有限公司与浙江炬链科技股份有限公司签署关于成立合资公司的战略合作 协议，合资公司注册资本暂定</w:t>
      </w:r>
      <w:r>
        <w:rPr>
          <w:rFonts w:ascii="Times New Roman" w:hAnsi="Times New Roman" w:cs="Times New Roman" w:eastAsia="Times New Roman" w:hint="default"/>
        </w:rPr>
        <w:t>1000</w:t>
      </w:r>
      <w:r>
        <w:rPr/>
        <w:t>万元，汉鼎金服持股</w:t>
      </w:r>
      <w:r>
        <w:rPr>
          <w:rFonts w:ascii="Times New Roman" w:hAnsi="Times New Roman" w:cs="Times New Roman" w:eastAsia="Times New Roman" w:hint="default"/>
        </w:rPr>
        <w:t>51%</w:t>
      </w:r>
      <w:r>
        <w:rPr/>
        <w:t>，炬链科技持股</w:t>
      </w:r>
      <w:r>
        <w:rPr>
          <w:rFonts w:ascii="Times New Roman" w:hAnsi="Times New Roman" w:cs="Times New Roman" w:eastAsia="Times New Roman" w:hint="default"/>
        </w:rPr>
        <w:t>49%</w:t>
      </w:r>
      <w:r>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日，公司总经理办公会议审议并通过了《关于退出朵洲教育的议案》，拟作价</w:t>
      </w:r>
      <w:r>
        <w:rPr>
          <w:rFonts w:ascii="Times New Roman" w:hAnsi="Times New Roman" w:cs="Times New Roman" w:eastAsia="Times New Roman" w:hint="default"/>
        </w:rPr>
        <w:t>1,900</w:t>
      </w:r>
      <w:r>
        <w:rPr/>
        <w:t>万元，减资退出朵洲教 育。</w:t>
      </w:r>
    </w:p>
    <w:p>
      <w:pPr>
        <w:spacing w:after="0" w:line="30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4" w:id="5"/>
      <w:bookmarkEnd w:id="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3"/>
        <w:gridCol w:w="795"/>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18.26%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-116,300,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284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-116,300,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284</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8,595,866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124,896,1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18.26%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-116,300,</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284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-116,300,</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284</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8,595,866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4.73%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-32,382,7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92,513,41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13.53%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-83,917,5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-83,917,5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8,595,866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559,035,3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81.74%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112,314,6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112,314,6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46</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671,349,9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98.74%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559,035,3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81.74%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112,314,6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112,314,6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671,349,9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98.74%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679,945,8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319"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日，公司第三届董事会第二十八次会议，审议通过了《关于回购注销</w:t>
      </w:r>
      <w:r>
        <w:rPr>
          <w:rFonts w:ascii="Times New Roman" w:hAnsi="Times New Roman" w:cs="Times New Roman" w:eastAsia="Times New Roman" w:hint="default"/>
        </w:rPr>
        <w:t>2018</w:t>
      </w:r>
      <w:r>
        <w:rPr/>
        <w:t>年限制性股票激励计划首次授予 </w:t>
      </w:r>
      <w:r>
        <w:rPr>
          <w:spacing w:val="-4"/>
        </w:rPr>
        <w:t>部分限制性股票的议案》。公司</w:t>
      </w:r>
      <w:r>
        <w:rPr>
          <w:rFonts w:ascii="Times New Roman" w:hAnsi="Times New Roman" w:cs="Times New Roman" w:eastAsia="Times New Roman" w:hint="default"/>
          <w:spacing w:val="-4"/>
        </w:rPr>
        <w:t>2018</w:t>
      </w:r>
      <w:r>
        <w:rPr>
          <w:spacing w:val="-4"/>
        </w:rPr>
        <w:t>年限制性股票激励计划首次授予的激励对象厉紫阳等九名员工离职，已不符合激励条件，</w:t>
      </w:r>
    </w:p>
    <w:p>
      <w:pPr>
        <w:spacing w:after="0" w:line="31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2" w:lineRule="auto"/>
        <w:ind w:right="1116"/>
        <w:jc w:val="left"/>
      </w:pPr>
      <w:r>
        <w:rPr/>
        <w:t>根据公司《</w:t>
      </w:r>
      <w:r>
        <w:rPr>
          <w:rFonts w:ascii="Times New Roman" w:hAnsi="Times New Roman" w:cs="Times New Roman" w:eastAsia="Times New Roman" w:hint="default"/>
        </w:rPr>
        <w:t>2018</w:t>
      </w:r>
      <w:r>
        <w:rPr/>
        <w:t>年限制性股票激励计划》的规定，公司董事会决定对其所持有已获授但尚未解除限售的限制性股票</w:t>
      </w:r>
      <w:r>
        <w:rPr>
          <w:spacing w:val="-37"/>
        </w:rPr>
        <w:t> </w:t>
      </w:r>
      <w:r>
        <w:rPr>
          <w:rFonts w:ascii="Times New Roman" w:hAnsi="Times New Roman" w:cs="Times New Roman" w:eastAsia="Times New Roman" w:hint="default"/>
        </w:rPr>
        <w:t>795,038 </w:t>
      </w:r>
      <w:r>
        <w:rPr/>
        <w:t>股进行回购注销。该议案已获</w:t>
      </w:r>
      <w:r>
        <w:rPr>
          <w:rFonts w:ascii="Times New Roman" w:hAnsi="Times New Roman" w:cs="Times New Roman" w:eastAsia="Times New Roman" w:hint="default"/>
        </w:rPr>
        <w:t>2018</w:t>
      </w:r>
      <w:r>
        <w:rPr/>
        <w:t>年第五次临时股东大会以特别决议通过。 经中国证券登记结算有限责任公司深圳分公司审核确认，公司本次部分已回购股票注销事宜已于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日办理完成。 公司已依法办理相关的工商变更登记手续。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日，公司第三届董事会第三十三次会议，会议审议通过了《关于回购注销</w:t>
      </w:r>
      <w:r>
        <w:rPr>
          <w:rFonts w:ascii="Times New Roman" w:hAnsi="Times New Roman" w:cs="Times New Roman" w:eastAsia="Times New Roman" w:hint="default"/>
          <w:spacing w:val="-2"/>
        </w:rPr>
        <w:t>2018</w:t>
      </w:r>
      <w:r>
        <w:rPr>
          <w:spacing w:val="-2"/>
        </w:rPr>
        <w:t>年限制性股票激励计划首次授</w:t>
      </w:r>
      <w:r>
        <w:rPr>
          <w:spacing w:val="-55"/>
        </w:rPr>
        <w:t> </w:t>
      </w:r>
      <w:r>
        <w:rPr>
          <w:spacing w:val="-55"/>
        </w:rPr>
      </w:r>
      <w:r>
        <w:rPr>
          <w:spacing w:val="-2"/>
        </w:rPr>
        <w:t>予第一期限制性股票的议案》，因获授限制性股票未达解锁条件，公司决定对</w:t>
      </w:r>
      <w:r>
        <w:rPr>
          <w:rFonts w:ascii="Times New Roman" w:hAnsi="Times New Roman" w:cs="Times New Roman" w:eastAsia="Times New Roman" w:hint="default"/>
          <w:spacing w:val="-2"/>
        </w:rPr>
        <w:t>2018</w:t>
      </w:r>
      <w:r>
        <w:rPr>
          <w:spacing w:val="-2"/>
        </w:rPr>
        <w:t>年限制性股票激励计划首次授予第一期已</w:t>
      </w:r>
      <w:r>
        <w:rPr>
          <w:spacing w:val="-60"/>
        </w:rPr>
        <w:t> </w:t>
      </w:r>
      <w:r>
        <w:rPr>
          <w:spacing w:val="-60"/>
        </w:rPr>
      </w:r>
      <w:r>
        <w:rPr>
          <w:spacing w:val="-2"/>
        </w:rPr>
        <w:t>授予未解锁的限制性股票予以回购注销。本次回购涉及</w:t>
      </w:r>
      <w:r>
        <w:rPr>
          <w:rFonts w:ascii="Times New Roman" w:hAnsi="Times New Roman" w:cs="Times New Roman" w:eastAsia="Times New Roman" w:hint="default"/>
          <w:spacing w:val="-2"/>
        </w:rPr>
        <w:t>2018</w:t>
      </w:r>
      <w:r>
        <w:rPr>
          <w:spacing w:val="-2"/>
        </w:rPr>
        <w:t>年限制性股票激励计划首次授予激励对象</w:t>
      </w:r>
      <w:r>
        <w:rPr>
          <w:rFonts w:ascii="Times New Roman" w:hAnsi="Times New Roman" w:cs="Times New Roman" w:eastAsia="Times New Roman" w:hint="default"/>
          <w:spacing w:val="-2"/>
        </w:rPr>
        <w:t>88</w:t>
      </w:r>
      <w:r>
        <w:rPr>
          <w:spacing w:val="-2"/>
        </w:rPr>
        <w:t>人，回购限制性股票</w:t>
      </w:r>
      <w:r>
        <w:rPr>
          <w:spacing w:val="-59"/>
        </w:rPr>
        <w:t> </w:t>
      </w:r>
      <w:r>
        <w:rPr>
          <w:spacing w:val="-59"/>
        </w:rPr>
      </w:r>
      <w:r>
        <w:rPr/>
        <w:t>数量为</w:t>
      </w:r>
      <w:r>
        <w:rPr>
          <w:spacing w:val="-22"/>
        </w:rPr>
        <w:t> </w:t>
      </w:r>
      <w:r>
        <w:rPr>
          <w:rFonts w:ascii="Times New Roman" w:hAnsi="Times New Roman" w:cs="Times New Roman" w:eastAsia="Times New Roman" w:hint="default"/>
        </w:rPr>
        <w:t>3,190,600</w:t>
      </w:r>
      <w:r>
        <w:rPr/>
        <w:t>股。该议案已获</w:t>
      </w:r>
      <w:r>
        <w:rPr>
          <w:rFonts w:ascii="Times New Roman" w:hAnsi="Times New Roman" w:cs="Times New Roman" w:eastAsia="Times New Roman" w:hint="default"/>
        </w:rPr>
        <w:t>2018</w:t>
      </w:r>
      <w:r>
        <w:rPr/>
        <w:t>年度股东大会以特别决议通过。经中国证券登记结算有限责任公司深圳分公司审核确 认，公司本次回购股票注销事宜已于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日办理完成。公司已依法办理相关的工商变更登记手续。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2015</w:t>
      </w:r>
      <w:r>
        <w:rPr/>
        <w:t>年非公开发行股份已满</w:t>
      </w:r>
      <w:r>
        <w:rPr>
          <w:rFonts w:ascii="Times New Roman" w:hAnsi="Times New Roman" w:cs="Times New Roman" w:eastAsia="Times New Roman" w:hint="default"/>
        </w:rPr>
        <w:t>36</w:t>
      </w:r>
      <w:r>
        <w:rPr/>
        <w:t>个月承诺锁定期限，经中国证券登记结算有限责任公司深圳分公司审 核办理，解除限售上市流通，解除限售的数量为</w:t>
      </w:r>
      <w:r>
        <w:rPr>
          <w:rFonts w:ascii="Times New Roman" w:hAnsi="Times New Roman" w:cs="Times New Roman" w:eastAsia="Times New Roman" w:hint="default"/>
        </w:rPr>
        <w:t>113,339,598</w:t>
      </w:r>
      <w:r>
        <w:rPr/>
        <w:t>股。</w:t>
      </w:r>
    </w:p>
    <w:p>
      <w:pPr>
        <w:pStyle w:val="BodyText"/>
        <w:spacing w:line="240" w:lineRule="auto" w:before="52"/>
        <w:ind w:right="1133"/>
        <w:jc w:val="left"/>
      </w:pPr>
      <w:r>
        <w:rPr/>
        <w:t>股份变动的批准情况</w:t>
      </w:r>
    </w:p>
    <w:p>
      <w:pPr>
        <w:pStyle w:val="BodyText"/>
        <w:spacing w:line="321"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日，公司第三届董事会第二十八次会议，审议通过了《关于回购注销</w:t>
      </w:r>
      <w:r>
        <w:rPr>
          <w:rFonts w:ascii="Times New Roman" w:hAnsi="Times New Roman" w:cs="Times New Roman" w:eastAsia="Times New Roman" w:hint="default"/>
        </w:rPr>
        <w:t>2018</w:t>
      </w:r>
      <w:r>
        <w:rPr/>
        <w:t>年限制性股票激励计划首次授予 </w:t>
      </w:r>
      <w:r>
        <w:rPr>
          <w:spacing w:val="-4"/>
        </w:rPr>
        <w:t>部分限制性股票的议案》。公司</w:t>
      </w:r>
      <w:r>
        <w:rPr>
          <w:rFonts w:ascii="Times New Roman" w:hAnsi="Times New Roman" w:cs="Times New Roman" w:eastAsia="Times New Roman" w:hint="default"/>
          <w:spacing w:val="-4"/>
        </w:rPr>
        <w:t>2018</w:t>
      </w:r>
      <w:r>
        <w:rPr>
          <w:spacing w:val="-4"/>
        </w:rPr>
        <w:t>年限制性股票激励计划首次授予的激励对象厉紫阳等九名员工离职，已不符合激励条件，</w:t>
      </w:r>
    </w:p>
    <w:p>
      <w:pPr>
        <w:pStyle w:val="BodyText"/>
        <w:spacing w:line="300" w:lineRule="auto" w:before="0"/>
        <w:ind w:right="1116"/>
        <w:jc w:val="left"/>
      </w:pPr>
      <w:r>
        <w:rPr/>
        <w:t>根据公司《</w:t>
      </w:r>
      <w:r>
        <w:rPr>
          <w:rFonts w:ascii="Times New Roman" w:hAnsi="Times New Roman" w:cs="Times New Roman" w:eastAsia="Times New Roman" w:hint="default"/>
        </w:rPr>
        <w:t>2018</w:t>
      </w:r>
      <w:r>
        <w:rPr/>
        <w:t>年限制性股票激励计划》的规定，公司董事会决定对其所持有已获授但尚未解除限售的限制性股票</w:t>
      </w:r>
      <w:r>
        <w:rPr>
          <w:spacing w:val="-37"/>
        </w:rPr>
        <w:t> </w:t>
      </w:r>
      <w:r>
        <w:rPr>
          <w:rFonts w:ascii="Times New Roman" w:hAnsi="Times New Roman" w:cs="Times New Roman" w:eastAsia="Times New Roman" w:hint="default"/>
        </w:rPr>
        <w:t>795,038 </w:t>
      </w:r>
      <w:r>
        <w:rPr/>
        <w:t>股进行回购注销。该议案已获</w:t>
      </w:r>
      <w:r>
        <w:rPr>
          <w:rFonts w:ascii="Times New Roman" w:hAnsi="Times New Roman" w:cs="Times New Roman" w:eastAsia="Times New Roman" w:hint="default"/>
        </w:rPr>
        <w:t>2018</w:t>
      </w:r>
      <w:r>
        <w:rPr/>
        <w:t>年第五次临时股东大会以特别决议通过。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日，公司第三届董事会第三十三次会议，会议审议通过了《关于回购注销</w:t>
      </w:r>
      <w:r>
        <w:rPr>
          <w:rFonts w:ascii="Times New Roman" w:hAnsi="Times New Roman" w:cs="Times New Roman" w:eastAsia="Times New Roman" w:hint="default"/>
          <w:spacing w:val="-2"/>
        </w:rPr>
        <w:t>2018</w:t>
      </w:r>
      <w:r>
        <w:rPr>
          <w:spacing w:val="-2"/>
        </w:rPr>
        <w:t>年限制性股票激励计划首次授</w:t>
      </w:r>
      <w:r>
        <w:rPr>
          <w:spacing w:val="-55"/>
        </w:rPr>
        <w:t> </w:t>
      </w:r>
      <w:r>
        <w:rPr>
          <w:spacing w:val="-55"/>
        </w:rPr>
      </w:r>
      <w:r>
        <w:rPr>
          <w:spacing w:val="-2"/>
        </w:rPr>
        <w:t>予第一期限制性股票的议案》，因获授限制性股票未达解锁条件，公司决定对</w:t>
      </w:r>
      <w:r>
        <w:rPr>
          <w:rFonts w:ascii="Times New Roman" w:hAnsi="Times New Roman" w:cs="Times New Roman" w:eastAsia="Times New Roman" w:hint="default"/>
          <w:spacing w:val="-2"/>
        </w:rPr>
        <w:t>2018</w:t>
      </w:r>
      <w:r>
        <w:rPr>
          <w:spacing w:val="-2"/>
        </w:rPr>
        <w:t>年限制性股票激励计划首次授予第一期已</w:t>
      </w:r>
      <w:r>
        <w:rPr>
          <w:spacing w:val="-60"/>
        </w:rPr>
        <w:t> </w:t>
      </w:r>
      <w:r>
        <w:rPr>
          <w:spacing w:val="-60"/>
        </w:rPr>
      </w:r>
      <w:r>
        <w:rPr>
          <w:spacing w:val="-2"/>
        </w:rPr>
        <w:t>授予未解锁的限制性股票予以回购注销。本次回购涉及</w:t>
      </w:r>
      <w:r>
        <w:rPr>
          <w:rFonts w:ascii="Times New Roman" w:hAnsi="Times New Roman" w:cs="Times New Roman" w:eastAsia="Times New Roman" w:hint="default"/>
          <w:spacing w:val="-2"/>
        </w:rPr>
        <w:t>2018</w:t>
      </w:r>
      <w:r>
        <w:rPr>
          <w:spacing w:val="-2"/>
        </w:rPr>
        <w:t>年限制性股票激励计划首次授予激励对象</w:t>
      </w:r>
      <w:r>
        <w:rPr>
          <w:rFonts w:ascii="Times New Roman" w:hAnsi="Times New Roman" w:cs="Times New Roman" w:eastAsia="Times New Roman" w:hint="default"/>
          <w:spacing w:val="-2"/>
        </w:rPr>
        <w:t>88</w:t>
      </w:r>
      <w:r>
        <w:rPr>
          <w:spacing w:val="-2"/>
        </w:rPr>
        <w:t>人，回购限制性股票</w:t>
      </w:r>
      <w:r>
        <w:rPr>
          <w:spacing w:val="-59"/>
        </w:rPr>
        <w:t> </w:t>
      </w:r>
      <w:r>
        <w:rPr>
          <w:spacing w:val="-59"/>
        </w:rPr>
      </w:r>
      <w:r>
        <w:rPr/>
        <w:t>数量为</w:t>
      </w:r>
      <w:r>
        <w:rPr>
          <w:spacing w:val="-24"/>
        </w:rPr>
        <w:t> </w:t>
      </w:r>
      <w:r>
        <w:rPr>
          <w:rFonts w:ascii="Times New Roman" w:hAnsi="Times New Roman" w:cs="Times New Roman" w:eastAsia="Times New Roman" w:hint="default"/>
        </w:rPr>
        <w:t>3,190,600</w:t>
      </w:r>
      <w:r>
        <w:rPr/>
        <w:t>股。该议案已获</w:t>
      </w:r>
      <w:r>
        <w:rPr>
          <w:rFonts w:ascii="Times New Roman" w:hAnsi="Times New Roman" w:cs="Times New Roman" w:eastAsia="Times New Roman" w:hint="default"/>
        </w:rPr>
        <w:t>2018</w:t>
      </w:r>
      <w:r>
        <w:rPr/>
        <w:t>年度股东大会以特别决议通过。</w:t>
      </w:r>
    </w:p>
    <w:p>
      <w:pPr>
        <w:pStyle w:val="BodyText"/>
        <w:spacing w:line="240" w:lineRule="auto" w:before="53"/>
        <w:ind w:right="1133"/>
        <w:jc w:val="left"/>
      </w:pPr>
      <w:r>
        <w:rPr/>
        <w:t>股份变动的过户情况</w:t>
      </w:r>
    </w:p>
    <w:p>
      <w:pPr>
        <w:pStyle w:val="BodyText"/>
        <w:spacing w:line="319"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日，公司第三届董事会第二十八次会议，审议通过了《关于回购注销</w:t>
      </w:r>
      <w:r>
        <w:rPr>
          <w:rFonts w:ascii="Times New Roman" w:hAnsi="Times New Roman" w:cs="Times New Roman" w:eastAsia="Times New Roman" w:hint="default"/>
        </w:rPr>
        <w:t>2018</w:t>
      </w:r>
      <w:r>
        <w:rPr/>
        <w:t>年限制性股票激励计划首次授予 </w:t>
      </w:r>
      <w:r>
        <w:rPr>
          <w:spacing w:val="-4"/>
        </w:rPr>
        <w:t>部分限制性股票的议案》。公司</w:t>
      </w:r>
      <w:r>
        <w:rPr>
          <w:rFonts w:ascii="Times New Roman" w:hAnsi="Times New Roman" w:cs="Times New Roman" w:eastAsia="Times New Roman" w:hint="default"/>
          <w:spacing w:val="-4"/>
        </w:rPr>
        <w:t>2018</w:t>
      </w:r>
      <w:r>
        <w:rPr>
          <w:spacing w:val="-4"/>
        </w:rPr>
        <w:t>年限制性股票激励计划首次授予的激励对象厉紫阳等九名员工离职，已不符合激励条件，</w:t>
      </w:r>
    </w:p>
    <w:p>
      <w:pPr>
        <w:pStyle w:val="BodyText"/>
        <w:spacing w:line="300" w:lineRule="auto" w:before="0"/>
        <w:ind w:right="1116"/>
        <w:jc w:val="left"/>
      </w:pPr>
      <w:r>
        <w:rPr/>
        <w:t>根据公司《</w:t>
      </w:r>
      <w:r>
        <w:rPr>
          <w:rFonts w:ascii="Times New Roman" w:hAnsi="Times New Roman" w:cs="Times New Roman" w:eastAsia="Times New Roman" w:hint="default"/>
        </w:rPr>
        <w:t>2018</w:t>
      </w:r>
      <w:r>
        <w:rPr/>
        <w:t>年限制性股票激励计划》的规定，公司董事会决定对其所持有已获授但尚未解除限售的限制性股票</w:t>
      </w:r>
      <w:r>
        <w:rPr>
          <w:spacing w:val="-37"/>
        </w:rPr>
        <w:t> </w:t>
      </w:r>
      <w:r>
        <w:rPr>
          <w:rFonts w:ascii="Times New Roman" w:hAnsi="Times New Roman" w:cs="Times New Roman" w:eastAsia="Times New Roman" w:hint="default"/>
        </w:rPr>
        <w:t>795,038 </w:t>
      </w:r>
      <w:r>
        <w:rPr/>
        <w:t>股进行回购注销。该议案已获</w:t>
      </w:r>
      <w:r>
        <w:rPr>
          <w:rFonts w:ascii="Times New Roman" w:hAnsi="Times New Roman" w:cs="Times New Roman" w:eastAsia="Times New Roman" w:hint="default"/>
        </w:rPr>
        <w:t>2018</w:t>
      </w:r>
      <w:r>
        <w:rPr/>
        <w:t>年第五次临时股东大会以特别决议通过。 经中国证券登记结算有限责任公司深圳分公司审核确认，公司本次部分已回购股票注销事宜已于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日办理完成。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日，公司第三届董事会第三十三次会议，会议审议通过了《关于回购注销</w:t>
      </w:r>
      <w:r>
        <w:rPr>
          <w:rFonts w:ascii="Times New Roman" w:hAnsi="Times New Roman" w:cs="Times New Roman" w:eastAsia="Times New Roman" w:hint="default"/>
          <w:spacing w:val="-2"/>
        </w:rPr>
        <w:t>2018</w:t>
      </w:r>
      <w:r>
        <w:rPr>
          <w:spacing w:val="-2"/>
        </w:rPr>
        <w:t>年限制性股票激励计划首次授</w:t>
      </w:r>
      <w:r>
        <w:rPr>
          <w:spacing w:val="-55"/>
        </w:rPr>
        <w:t> </w:t>
      </w:r>
      <w:r>
        <w:rPr>
          <w:spacing w:val="-55"/>
        </w:rPr>
      </w:r>
      <w:r>
        <w:rPr>
          <w:spacing w:val="-2"/>
        </w:rPr>
        <w:t>予第一期限制性股票的议案》，因获授限制性股票未达解锁条件，公司决定对</w:t>
      </w:r>
      <w:r>
        <w:rPr>
          <w:rFonts w:ascii="Times New Roman" w:hAnsi="Times New Roman" w:cs="Times New Roman" w:eastAsia="Times New Roman" w:hint="default"/>
          <w:spacing w:val="-2"/>
        </w:rPr>
        <w:t>2018</w:t>
      </w:r>
      <w:r>
        <w:rPr>
          <w:spacing w:val="-2"/>
        </w:rPr>
        <w:t>年限制性股票激励计划首次授予第一期已</w:t>
      </w:r>
      <w:r>
        <w:rPr>
          <w:spacing w:val="-60"/>
        </w:rPr>
        <w:t> </w:t>
      </w:r>
      <w:r>
        <w:rPr>
          <w:spacing w:val="-60"/>
        </w:rPr>
      </w:r>
      <w:r>
        <w:rPr>
          <w:spacing w:val="-2"/>
        </w:rPr>
        <w:t>授予未解锁的限制性股票予以回购注销。本次回购涉及</w:t>
      </w:r>
      <w:r>
        <w:rPr>
          <w:rFonts w:ascii="Times New Roman" w:hAnsi="Times New Roman" w:cs="Times New Roman" w:eastAsia="Times New Roman" w:hint="default"/>
          <w:spacing w:val="-2"/>
        </w:rPr>
        <w:t>2018</w:t>
      </w:r>
      <w:r>
        <w:rPr>
          <w:spacing w:val="-2"/>
        </w:rPr>
        <w:t>年限制性股票激励计划首次授予激励对象</w:t>
      </w:r>
      <w:r>
        <w:rPr>
          <w:rFonts w:ascii="Times New Roman" w:hAnsi="Times New Roman" w:cs="Times New Roman" w:eastAsia="Times New Roman" w:hint="default"/>
          <w:spacing w:val="-2"/>
        </w:rPr>
        <w:t>88</w:t>
      </w:r>
      <w:r>
        <w:rPr>
          <w:spacing w:val="-2"/>
        </w:rPr>
        <w:t>人，回购限制性股票</w:t>
      </w:r>
      <w:r>
        <w:rPr>
          <w:spacing w:val="-59"/>
        </w:rPr>
        <w:t> </w:t>
      </w:r>
      <w:r>
        <w:rPr>
          <w:spacing w:val="-59"/>
        </w:rPr>
      </w:r>
      <w:r>
        <w:rPr/>
        <w:t>数量为</w:t>
      </w:r>
      <w:r>
        <w:rPr>
          <w:spacing w:val="-22"/>
        </w:rPr>
        <w:t> </w:t>
      </w:r>
      <w:r>
        <w:rPr>
          <w:rFonts w:ascii="Times New Roman" w:hAnsi="Times New Roman" w:cs="Times New Roman" w:eastAsia="Times New Roman" w:hint="default"/>
        </w:rPr>
        <w:t>3,190,600</w:t>
      </w:r>
      <w:r>
        <w:rPr/>
        <w:t>股。该议案已获</w:t>
      </w:r>
      <w:r>
        <w:rPr>
          <w:rFonts w:ascii="Times New Roman" w:hAnsi="Times New Roman" w:cs="Times New Roman" w:eastAsia="Times New Roman" w:hint="default"/>
        </w:rPr>
        <w:t>2018</w:t>
      </w:r>
      <w:r>
        <w:rPr/>
        <w:t>年度股东大会以特别决议通过。经中国证券登记结算有限责任公司深圳分公司审核确 认，公司本次回购股票注销事宜已于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日办理完成。</w:t>
      </w:r>
    </w:p>
    <w:p>
      <w:pPr>
        <w:pStyle w:val="BodyText"/>
        <w:spacing w:line="240" w:lineRule="auto" w:before="53"/>
        <w:ind w:right="1133"/>
        <w:jc w:val="left"/>
      </w:pPr>
      <w:r>
        <w:rPr/>
        <w:t>股份回购的实施进展情况</w:t>
      </w:r>
    </w:p>
    <w:p>
      <w:pPr>
        <w:pStyle w:val="BodyText"/>
        <w:spacing w:line="321"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w:t>
      </w:r>
      <w:r>
        <w:rPr/>
        <w:t>公司召开第三届董事会第三十九次会议，审议通过了《关于回购公司股份的议案》，公司计划使用自有资 </w:t>
      </w:r>
      <w:r>
        <w:rPr>
          <w:spacing w:val="-2"/>
        </w:rPr>
        <w:t>金以集中竞价交易的方式回购公司部分社会公众股份，本次回购股份的用途为实施员工持股计划或股权激励计划。本次回购</w:t>
      </w:r>
    </w:p>
    <w:p>
      <w:pPr>
        <w:pStyle w:val="BodyText"/>
        <w:spacing w:line="300" w:lineRule="auto" w:before="15"/>
        <w:ind w:right="1034"/>
        <w:jc w:val="left"/>
      </w:pPr>
      <w:r>
        <w:rPr/>
        <w:t>资金总额不低于人民币</w:t>
      </w:r>
      <w:r>
        <w:rPr>
          <w:rFonts w:ascii="Times New Roman" w:hAnsi="Times New Roman" w:cs="Times New Roman" w:eastAsia="Times New Roman" w:hint="default"/>
        </w:rPr>
        <w:t>3,000</w:t>
      </w:r>
      <w:r>
        <w:rPr/>
        <w:t>万元（含），不超过人民币</w:t>
      </w:r>
      <w:r>
        <w:rPr>
          <w:rFonts w:ascii="Times New Roman" w:hAnsi="Times New Roman" w:cs="Times New Roman" w:eastAsia="Times New Roman" w:hint="default"/>
        </w:rPr>
        <w:t>6,000</w:t>
      </w:r>
      <w:r>
        <w:rPr/>
        <w:t>万元（含），回购股份的价格不超过人民币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股。回购股份 </w:t>
      </w:r>
      <w:r>
        <w:rPr>
          <w:spacing w:val="-3"/>
        </w:rPr>
        <w:t>实施期限为自公司董事会审议通过本次回购股份方案之日起</w:t>
      </w:r>
      <w:r>
        <w:rPr>
          <w:rFonts w:ascii="Times New Roman" w:hAnsi="Times New Roman" w:cs="Times New Roman" w:eastAsia="Times New Roman" w:hint="default"/>
          <w:spacing w:val="-3"/>
        </w:rPr>
        <w:t>12</w:t>
      </w:r>
      <w:r>
        <w:rPr>
          <w:spacing w:val="-3"/>
        </w:rPr>
        <w:t>个月内，</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日披露了《关于回购公司股份的报告书》</w:t>
      </w:r>
    </w:p>
    <w:p>
      <w:pPr>
        <w:pStyle w:val="BodyText"/>
        <w:spacing w:line="300" w:lineRule="auto" w:before="13"/>
        <w:ind w:right="1039"/>
        <w:jc w:val="left"/>
      </w:pPr>
      <w:r>
        <w:rPr/>
        <w:t>（公告编号：</w:t>
      </w:r>
      <w:r>
        <w:rPr>
          <w:rFonts w:ascii="Times New Roman" w:hAnsi="Times New Roman" w:cs="Times New Roman" w:eastAsia="Times New Roman" w:hint="default"/>
        </w:rPr>
        <w:t>2019-100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日披露了《关于首次实施回购公司股份的公告》</w:t>
      </w:r>
      <w:r>
        <w:rPr>
          <w:spacing w:val="-22"/>
        </w:rPr>
        <w:t> </w:t>
      </w:r>
      <w:r>
        <w:rPr/>
        <w:t>（公告编号：</w:t>
      </w:r>
      <w:r>
        <w:rPr>
          <w:rFonts w:ascii="Times New Roman" w:hAnsi="Times New Roman" w:cs="Times New Roman" w:eastAsia="Times New Roman" w:hint="default"/>
        </w:rPr>
        <w:t>2019-102</w:t>
      </w:r>
      <w:r>
        <w:rPr/>
        <w:t>）</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日披露了《关于回购公司股份的进展公告》（公告编号：</w:t>
      </w:r>
      <w:r>
        <w:rPr>
          <w:rFonts w:ascii="Times New Roman" w:hAnsi="Times New Roman" w:cs="Times New Roman" w:eastAsia="Times New Roman" w:hint="default"/>
        </w:rPr>
        <w:t>2019-103</w:t>
      </w:r>
      <w:r>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日，公司通过股票回购专用证券账户以集中竞价交易方式累计回购公司股份</w:t>
      </w:r>
      <w:r>
        <w:rPr>
          <w:rFonts w:ascii="Times New Roman" w:hAnsi="Times New Roman" w:cs="Times New Roman" w:eastAsia="Times New Roman" w:hint="default"/>
          <w:spacing w:val="-2"/>
        </w:rPr>
        <w:t>1,915,400</w:t>
      </w:r>
      <w:r>
        <w:rPr>
          <w:spacing w:val="-2"/>
        </w:rPr>
        <w:t>股，占公司当时总股</w:t>
      </w:r>
      <w:r>
        <w:rPr>
          <w:spacing w:val="-53"/>
        </w:rPr>
        <w:t> </w:t>
      </w:r>
      <w:r>
        <w:rPr>
          <w:spacing w:val="-53"/>
        </w:rPr>
      </w:r>
      <w:r>
        <w:rPr>
          <w:spacing w:val="-3"/>
        </w:rPr>
        <w:t>本的比例为</w:t>
      </w:r>
      <w:r>
        <w:rPr>
          <w:rFonts w:ascii="Times New Roman" w:hAnsi="Times New Roman" w:cs="Times New Roman" w:eastAsia="Times New Roman" w:hint="default"/>
          <w:spacing w:val="-3"/>
        </w:rPr>
        <w:t>0.28%</w:t>
      </w:r>
      <w:r>
        <w:rPr>
          <w:spacing w:val="-3"/>
        </w:rPr>
        <w:t>，最高成交价为</w:t>
      </w:r>
      <w:r>
        <w:rPr>
          <w:rFonts w:ascii="Times New Roman" w:hAnsi="Times New Roman" w:cs="Times New Roman" w:eastAsia="Times New Roman" w:hint="default"/>
          <w:spacing w:val="-3"/>
        </w:rPr>
        <w:t>9.507</w:t>
      </w:r>
      <w:r>
        <w:rPr>
          <w:spacing w:val="-3"/>
        </w:rPr>
        <w:t>元</w:t>
      </w:r>
      <w:r>
        <w:rPr>
          <w:rFonts w:ascii="Times New Roman" w:hAnsi="Times New Roman" w:cs="Times New Roman" w:eastAsia="Times New Roman" w:hint="default"/>
          <w:spacing w:val="-3"/>
        </w:rPr>
        <w:t>/</w:t>
      </w:r>
      <w:r>
        <w:rPr>
          <w:spacing w:val="-3"/>
        </w:rPr>
        <w:t>股，最低成交价为</w:t>
      </w:r>
      <w:r>
        <w:rPr>
          <w:rFonts w:ascii="Times New Roman" w:hAnsi="Times New Roman" w:cs="Times New Roman" w:eastAsia="Times New Roman" w:hint="default"/>
          <w:spacing w:val="-3"/>
        </w:rPr>
        <w:t>9.19</w:t>
      </w:r>
      <w:r>
        <w:rPr>
          <w:spacing w:val="-3"/>
        </w:rPr>
        <w:t>元</w:t>
      </w:r>
      <w:r>
        <w:rPr>
          <w:rFonts w:ascii="Times New Roman" w:hAnsi="Times New Roman" w:cs="Times New Roman" w:eastAsia="Times New Roman" w:hint="default"/>
          <w:spacing w:val="-3"/>
        </w:rPr>
        <w:t>/</w:t>
      </w:r>
      <w:r>
        <w:rPr>
          <w:spacing w:val="-3"/>
        </w:rPr>
        <w:t>股，成交总金额为人民币</w:t>
      </w:r>
      <w:r>
        <w:rPr>
          <w:rFonts w:ascii="Times New Roman" w:hAnsi="Times New Roman" w:cs="Times New Roman" w:eastAsia="Times New Roman" w:hint="default"/>
          <w:spacing w:val="-3"/>
        </w:rPr>
        <w:t>17,996,196.31</w:t>
      </w:r>
      <w:r>
        <w:rPr>
          <w:spacing w:val="-3"/>
        </w:rPr>
        <w:t>元（不含手续费）。</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ind w:right="2623"/>
        <w:jc w:val="left"/>
      </w:pPr>
      <w:r>
        <w:rPr/>
        <w:t>具体内容详见公司在中国证监会指定信息披露网站巨潮资讯网</w:t>
      </w:r>
      <w:r>
        <w:rPr>
          <w:spacing w:val="-24"/>
        </w:rPr>
        <w:t> </w:t>
      </w:r>
      <w:r>
        <w:rPr>
          <w:rFonts w:ascii="Times New Roman" w:hAnsi="Times New Roman" w:cs="Times New Roman" w:eastAsia="Times New Roman" w:hint="default"/>
        </w:rPr>
        <w:t>(www.cninfo.com.cn)</w:t>
      </w:r>
      <w:r>
        <w:rPr/>
        <w:t>上披露的相关公告。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28" w:lineRule="auto" w:before="4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报告期内，公司办理了部分限制性股票回购注销手续，导致公司总股本减少，相关变动增厚每股净资产，同时增厚基本每股</w:t>
      </w:r>
      <w:r>
        <w:rPr>
          <w:spacing w:val="-65"/>
        </w:rPr>
        <w:t> </w:t>
      </w:r>
      <w:r>
        <w:rPr>
          <w:spacing w:val="-65"/>
        </w:rPr>
      </w:r>
      <w:r>
        <w:rPr/>
        <w:t>收益和稀释每股收益。</w:t>
      </w:r>
    </w:p>
    <w:p>
      <w:pPr>
        <w:pStyle w:val="BodyText"/>
        <w:spacing w:line="240" w:lineRule="auto" w:before="50"/>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8"/>
        <w:gridCol w:w="1489"/>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290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522,071</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156,621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365,450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9" w:lineRule="auto"/>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289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522,071</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156,621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365,450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7" w:lineRule="auto"/>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7"/>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254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111,872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2" w:lineRule="auto"/>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首期及预留部 分授予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w:t>
            </w:r>
          </w:p>
        </w:tc>
      </w:tr>
    </w:tbl>
    <w:p>
      <w:pPr>
        <w:spacing w:after="0" w:line="314"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8"/>
        <w:gridCol w:w="1489"/>
        <w:gridCol w:w="1488"/>
        <w:gridCol w:w="1488"/>
        <w:gridCol w:w="1203"/>
        <w:gridCol w:w="1205"/>
      </w:tblGrid>
      <w:tr>
        <w:trPr>
          <w:trHeight w:val="363"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购注销</w:t>
            </w:r>
          </w:p>
        </w:tc>
      </w:tr>
      <w:tr>
        <w:trPr>
          <w:trHeight w:val="289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111,872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290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应明霞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111,872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289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111,872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290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111,872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192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111,872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07" w:lineRule="auto"/>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9"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w:t>
            </w:r>
          </w:p>
        </w:tc>
      </w:tr>
    </w:tbl>
    <w:p>
      <w:pPr>
        <w:spacing w:after="0" w:line="309"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8"/>
        <w:gridCol w:w="1489"/>
        <w:gridCol w:w="1488"/>
        <w:gridCol w:w="1488"/>
        <w:gridCol w:w="1203"/>
        <w:gridCol w:w="1205"/>
      </w:tblGrid>
      <w:tr>
        <w:trPr>
          <w:trHeight w:val="987"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89"/>
              <w:jc w:val="both"/>
              <w:rPr>
                <w:rFonts w:ascii="宋体" w:hAnsi="宋体" w:cs="宋体" w:eastAsia="宋体" w:hint="default"/>
                <w:sz w:val="18"/>
                <w:szCs w:val="18"/>
              </w:rPr>
            </w:pPr>
            <w:r>
              <w:rPr>
                <w:rFonts w:ascii="宋体" w:hAnsi="宋体" w:cs="宋体" w:eastAsia="宋体" w:hint="default"/>
                <w:sz w:val="18"/>
                <w:szCs w:val="18"/>
              </w:rPr>
              <w:t>限售的限制性 股票将予以回 购注销</w:t>
            </w:r>
          </w:p>
        </w:tc>
      </w:tr>
      <w:tr>
        <w:trPr>
          <w:trHeight w:val="289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庄继道</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298,326</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218,828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290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王予祺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149,163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214,414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2" w:lineRule="auto"/>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首期及预留部 分授予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4" w:lineRule="auto" w:before="5"/>
              <w:ind w:left="24" w:right="8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 激励对象已获 授但尚未解除 限售的限制性 股票将予以回 购注销</w:t>
            </w:r>
          </w:p>
        </w:tc>
      </w:tr>
      <w:tr>
        <w:trPr>
          <w:trHeight w:val="6018"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121,087,828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984,195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116,216,515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5,855,508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2" w:lineRule="auto"/>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首期及预留部 分授予、高管 锁定股、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年非公开发行</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2"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9"/>
                <w:sz w:val="18"/>
                <w:szCs w:val="18"/>
              </w:rPr>
              <w:t>日终止，，</w:t>
            </w:r>
            <w:r>
              <w:rPr>
                <w:rFonts w:ascii="宋体" w:hAnsi="宋体" w:cs="宋体" w:eastAsia="宋体" w:hint="default"/>
                <w:sz w:val="18"/>
                <w:szCs w:val="18"/>
              </w:rPr>
              <w:t> 激励对象已获 授但尚未解除 限售的限制性 股票将予以回 购注销；</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年非公开发行 股票已于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before="3"/>
              <w:ind w:left="24" w:right="8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 除限售上市流 通；高管锁定 股每年的第一 个交易日，按 照上年末持有 股份数量的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124,816,907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1,104,195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117,325,236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8,595,866</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日，公司第三届董事会第二十八次会议，审议通过了《关于回购注销</w:t>
      </w:r>
      <w:r>
        <w:rPr>
          <w:rFonts w:ascii="Times New Roman" w:hAnsi="Times New Roman" w:cs="Times New Roman" w:eastAsia="Times New Roman" w:hint="default"/>
        </w:rPr>
        <w:t>2018</w:t>
      </w:r>
      <w:r>
        <w:rPr/>
        <w:t>年限制性股票激励计划首次授予 </w:t>
      </w:r>
      <w:r>
        <w:rPr>
          <w:spacing w:val="-4"/>
        </w:rPr>
        <w:t>部分限制性股票的议案》。公司</w:t>
      </w:r>
      <w:r>
        <w:rPr>
          <w:rFonts w:ascii="Times New Roman" w:hAnsi="Times New Roman" w:cs="Times New Roman" w:eastAsia="Times New Roman" w:hint="default"/>
          <w:spacing w:val="-4"/>
        </w:rPr>
        <w:t>2018</w:t>
      </w:r>
      <w:r>
        <w:rPr>
          <w:spacing w:val="-4"/>
        </w:rPr>
        <w:t>年限制性股票激励计划首次授予的激励对象厉紫阳等九名员工离职，已不符合激励条件，</w:t>
      </w:r>
    </w:p>
    <w:p>
      <w:pPr>
        <w:pStyle w:val="BodyText"/>
        <w:spacing w:line="302" w:lineRule="auto" w:before="0"/>
        <w:ind w:right="1124"/>
        <w:jc w:val="left"/>
      </w:pPr>
      <w:r>
        <w:rPr/>
        <w:t>根据公司《</w:t>
      </w:r>
      <w:r>
        <w:rPr>
          <w:rFonts w:ascii="Times New Roman" w:hAnsi="Times New Roman" w:cs="Times New Roman" w:eastAsia="Times New Roman" w:hint="default"/>
        </w:rPr>
        <w:t>2018</w:t>
      </w:r>
      <w:r>
        <w:rPr/>
        <w:t>年限制性股票激励计划》的规定，公司董事会决定对其所持有已获授但尚未解除限售的限制性股票</w:t>
      </w:r>
      <w:r>
        <w:rPr>
          <w:rFonts w:ascii="Times New Roman" w:hAnsi="Times New Roman" w:cs="Times New Roman" w:eastAsia="Times New Roman" w:hint="default"/>
        </w:rPr>
        <w:t>795,038 </w:t>
      </w:r>
      <w:r>
        <w:rPr/>
        <w:t>股进行回购注销。经中国证券登记结算有限责任公司深圳分公司审核确认，公司本次部分已回购股票注销事宜已于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26</w:t>
      </w:r>
      <w:r>
        <w:rPr/>
        <w:t>日办理完成，公司总股本由</w:t>
      </w:r>
      <w:r>
        <w:rPr>
          <w:rFonts w:ascii="Times New Roman" w:hAnsi="Times New Roman" w:cs="Times New Roman" w:eastAsia="Times New Roman" w:hint="default"/>
        </w:rPr>
        <w:t>683,931,466</w:t>
      </w:r>
      <w:r>
        <w:rPr/>
        <w:t>股变更为</w:t>
      </w:r>
      <w:r>
        <w:rPr>
          <w:rFonts w:ascii="Times New Roman" w:hAnsi="Times New Roman" w:cs="Times New Roman" w:eastAsia="Times New Roman" w:hint="default"/>
        </w:rPr>
        <w:t>683,136,428</w:t>
      </w:r>
      <w:r>
        <w:rPr/>
        <w:t>股。公司已依法办理相关的工商变更登记手续。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日，公司第三届董事会第三十次会议、第三届监事会第十九次会议，审议通过了《关于向激励对象授予预留 </w:t>
      </w:r>
      <w:r>
        <w:rPr>
          <w:spacing w:val="-1"/>
        </w:rPr>
        <w:t>限制性股票的议案》，董事会确定公司预留限制性股票的授予日为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日，向</w:t>
      </w:r>
      <w:r>
        <w:rPr>
          <w:rFonts w:ascii="Times New Roman" w:hAnsi="Times New Roman" w:cs="Times New Roman" w:eastAsia="Times New Roman" w:hint="default"/>
          <w:spacing w:val="-1"/>
        </w:rPr>
        <w:t>31</w:t>
      </w:r>
      <w:r>
        <w:rPr>
          <w:spacing w:val="-1"/>
        </w:rPr>
        <w:t>名激励对象授予</w:t>
      </w:r>
      <w:r>
        <w:rPr>
          <w:rFonts w:ascii="Times New Roman" w:hAnsi="Times New Roman" w:cs="Times New Roman" w:eastAsia="Times New Roman" w:hint="default"/>
          <w:spacing w:val="-1"/>
        </w:rPr>
        <w:t>110.4195</w:t>
      </w:r>
      <w:r>
        <w:rPr>
          <w:spacing w:val="-1"/>
        </w:rPr>
        <w:t>万股预留限</w:t>
      </w:r>
      <w:r>
        <w:rPr>
          <w:spacing w:val="-75"/>
        </w:rPr>
        <w:t> </w:t>
      </w:r>
      <w:r>
        <w:rPr>
          <w:spacing w:val="-75"/>
        </w:rPr>
      </w:r>
      <w:r>
        <w:rPr/>
        <w:t>制性股票。独立董事对此项议案发表了同意的独立意见。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日，经中国证券登记结算有限责任公司深圳分公司办 理，上述限制性股票已经授予登记完毕。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日，公司第三届董事会第三十三次会议，会议审议通过了《关于回购注销</w:t>
      </w:r>
      <w:r>
        <w:rPr>
          <w:rFonts w:ascii="Times New Roman" w:hAnsi="Times New Roman" w:cs="Times New Roman" w:eastAsia="Times New Roman" w:hint="default"/>
          <w:spacing w:val="-2"/>
        </w:rPr>
        <w:t>2018</w:t>
      </w:r>
      <w:r>
        <w:rPr>
          <w:spacing w:val="-2"/>
        </w:rPr>
        <w:t>年限制性股票激励计划首次授</w:t>
      </w:r>
      <w:r>
        <w:rPr>
          <w:spacing w:val="-55"/>
        </w:rPr>
        <w:t> </w:t>
      </w:r>
      <w:r>
        <w:rPr>
          <w:spacing w:val="-55"/>
        </w:rPr>
      </w:r>
      <w:r>
        <w:rPr>
          <w:spacing w:val="-2"/>
        </w:rPr>
        <w:t>予第一期限制性股票的议案》，因获授限制性股票未达解锁条件，公司决定对</w:t>
      </w:r>
      <w:r>
        <w:rPr>
          <w:rFonts w:ascii="Times New Roman" w:hAnsi="Times New Roman" w:cs="Times New Roman" w:eastAsia="Times New Roman" w:hint="default"/>
          <w:spacing w:val="-2"/>
        </w:rPr>
        <w:t>2018</w:t>
      </w:r>
      <w:r>
        <w:rPr>
          <w:spacing w:val="-2"/>
        </w:rPr>
        <w:t>年限制性股票激励计划首次授予第一期已</w:t>
      </w:r>
      <w:r>
        <w:rPr>
          <w:spacing w:val="-60"/>
        </w:rPr>
        <w:t> </w:t>
      </w:r>
      <w:r>
        <w:rPr>
          <w:spacing w:val="-60"/>
        </w:rPr>
      </w:r>
      <w:r>
        <w:rPr>
          <w:spacing w:val="-2"/>
        </w:rPr>
        <w:t>授予未解锁的限制性股票予以回购注销。本次回购涉及</w:t>
      </w:r>
      <w:r>
        <w:rPr>
          <w:rFonts w:ascii="Times New Roman" w:hAnsi="Times New Roman" w:cs="Times New Roman" w:eastAsia="Times New Roman" w:hint="default"/>
          <w:spacing w:val="-2"/>
        </w:rPr>
        <w:t>2018</w:t>
      </w:r>
      <w:r>
        <w:rPr>
          <w:spacing w:val="-2"/>
        </w:rPr>
        <w:t>年限制性股票激励计划首次授予激励对象</w:t>
      </w:r>
      <w:r>
        <w:rPr>
          <w:rFonts w:ascii="Times New Roman" w:hAnsi="Times New Roman" w:cs="Times New Roman" w:eastAsia="Times New Roman" w:hint="default"/>
          <w:spacing w:val="-2"/>
        </w:rPr>
        <w:t>88</w:t>
      </w:r>
      <w:r>
        <w:rPr>
          <w:spacing w:val="-2"/>
        </w:rPr>
        <w:t>人，回购限制性股票</w:t>
      </w:r>
      <w:r>
        <w:rPr>
          <w:spacing w:val="-59"/>
        </w:rPr>
        <w:t> </w:t>
      </w:r>
      <w:r>
        <w:rPr>
          <w:spacing w:val="-59"/>
        </w:rPr>
      </w:r>
      <w:r>
        <w:rPr/>
        <w:t>数量为</w:t>
      </w:r>
      <w:r>
        <w:rPr>
          <w:spacing w:val="-21"/>
        </w:rPr>
        <w:t> </w:t>
      </w:r>
      <w:r>
        <w:rPr>
          <w:rFonts w:ascii="Times New Roman" w:hAnsi="Times New Roman" w:cs="Times New Roman" w:eastAsia="Times New Roman" w:hint="default"/>
        </w:rPr>
        <w:t>3,190,600</w:t>
      </w:r>
      <w:r>
        <w:rPr/>
        <w:t>股。经中国证券登记结算有限责任公司深圳分公司审核确认，公司本次回购股票注销事宜已于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 </w:t>
      </w:r>
      <w:r>
        <w:rPr/>
        <w:t>日办理完成，公司总股本由</w:t>
      </w:r>
      <w:r>
        <w:rPr>
          <w:rFonts w:ascii="Times New Roman" w:hAnsi="Times New Roman" w:cs="Times New Roman" w:eastAsia="Times New Roman" w:hint="default"/>
        </w:rPr>
        <w:t>683,136,428</w:t>
      </w:r>
      <w:r>
        <w:rPr/>
        <w:t>股变更为</w:t>
      </w:r>
      <w:r>
        <w:rPr>
          <w:rFonts w:ascii="Times New Roman" w:hAnsi="Times New Roman" w:cs="Times New Roman" w:eastAsia="Times New Roman" w:hint="default"/>
        </w:rPr>
        <w:t>679,945,828</w:t>
      </w:r>
      <w:r>
        <w:rPr/>
        <w:t>股。公司已依法办理相关的工商变更登记手续。</w:t>
      </w:r>
    </w:p>
    <w:p>
      <w:pPr>
        <w:spacing w:line="240" w:lineRule="auto" w:before="2"/>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pict>
          <v:group style="position:absolute;margin-left:329.690002pt;margin-top:17.71773pt;width:52.6pt;height:82pt;mso-position-horizontal-relative:page;mso-position-vertical-relative:paragraph;z-index:-1129816" coordorigin="6594,354" coordsize="1052,1640">
            <v:group style="position:absolute;left:6594;top:354;width:1052;height:1640" coordorigin="6594,354" coordsize="1052,1640">
              <v:shape style="position:absolute;left:6594;top:354;width:1052;height:1640" coordorigin="6594,354" coordsize="1052,1640" path="m6594,1994l7645,1994,7645,354,6594,354,6594,1994xe" filled="true" fillcolor="#ffffff" stroked="false">
                <v:path arrowok="t"/>
                <v:fill type="solid"/>
              </v:shape>
            </v:group>
            <v:group style="position:absolute;left:6616;top:978;width:1008;height:392" coordorigin="6616,978" coordsize="1008,392">
              <v:shape style="position:absolute;left:6616;top:978;width:1008;height:392" coordorigin="6616,978" coordsize="1008,392" path="m6616,1369l7624,1369,7624,978,6616,978,6616,1369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9"/>
        <w:gridCol w:w="1058"/>
      </w:tblGrid>
      <w:tr>
        <w:trPr>
          <w:trHeight w:val="165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28,348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7"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7"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15.34%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104,314,895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-177,740,887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 w:right="0"/>
              <w:jc w:val="left"/>
              <w:rPr>
                <w:rFonts w:ascii="Times New Roman" w:hAnsi="Times New Roman" w:cs="Times New Roman" w:eastAsia="Times New Roman" w:hint="default"/>
                <w:sz w:val="18"/>
                <w:szCs w:val="18"/>
              </w:rPr>
            </w:pPr>
            <w:r>
              <w:rPr>
                <w:rFonts w:ascii="Times New Roman"/>
                <w:sz w:val="18"/>
              </w:rPr>
              <w:t>104,314,89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83,420,581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6.9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198"/>
                    <w:gridCol w:w="929"/>
                    <w:gridCol w:w="1063"/>
                    <w:gridCol w:w="1063"/>
                    <w:gridCol w:w="1064"/>
                    <w:gridCol w:w="926"/>
                    <w:gridCol w:w="1069"/>
                    <w:gridCol w:w="1058"/>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平潭创新股权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101,991,874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101,991,874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汉鼎宇佑集团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49,223,794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49,223,794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38,322,688</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江苏联峰投资 发展有限公司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33,997,194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23,199,574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33,997,194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杭州新安实业 投资有限公司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260,660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杭州雄健投资 合伙企业（有 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8,095,685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-8,095,685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8,095,685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浙江福士达集 团有限公司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6,139,926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6,139,926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四川璞信产融 投资有限责任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-28,142,424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国盛证券有限 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-18,461,395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5,176,892</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79,745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5,065,500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上述股东中：杭州雄健投资合伙企业（有限合伙）为公司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年度非公开发行的特定认购</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方，认购股份已于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日解除限售在深圳证券交易所上市流通。</w:t>
                        </w:r>
                      </w:p>
                    </w:tc>
                  </w:tr>
                  <w:tr>
                    <w:trPr>
                      <w:trHeight w:val="161"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7"/>
                        <w:vMerge w:val="restart"/>
                        <w:tcBorders>
                          <w:top w:val="single" w:sz="4" w:space="0" w:color="000000"/>
                          <w:left w:val="single" w:sz="4" w:space="0" w:color="000000"/>
                          <w:right w:val="single" w:sz="4" w:space="0" w:color="000000"/>
                        </w:tcBorders>
                      </w:tcPr>
                      <w:p>
                        <w:pPr>
                          <w:pStyle w:val="TableParagraph"/>
                          <w:spacing w:line="300" w:lineRule="auto" w:before="49"/>
                          <w:ind w:left="23" w:right="110"/>
                          <w:jc w:val="both"/>
                          <w:rPr>
                            <w:rFonts w:ascii="宋体" w:hAnsi="宋体" w:cs="宋体" w:eastAsia="宋体" w:hint="default"/>
                            <w:sz w:val="18"/>
                            <w:szCs w:val="18"/>
                          </w:rPr>
                        </w:pPr>
                        <w:r>
                          <w:rPr>
                            <w:rFonts w:ascii="宋体" w:hAnsi="宋体" w:cs="宋体" w:eastAsia="宋体" w:hint="default"/>
                            <w:spacing w:val="-5"/>
                            <w:sz w:val="18"/>
                            <w:szCs w:val="18"/>
                          </w:rPr>
                          <w:t>上述股东中：（</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）吴艳与汉鼎宇佑集团有限公司的实际控制人王麒诚先生系夫妻关系；（</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pacing w:val="-7"/>
                            <w:sz w:val="18"/>
                            <w:szCs w:val="18"/>
                          </w:rPr>
                          <w:t>杭州新安实业投资有限公司、施玮属于一致行动人；（</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）其余股东之间，未知是否存在关联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也未知是否属于一致行动人。</w:t>
                        </w:r>
                      </w:p>
                    </w:tc>
                  </w:tr>
                  <w:tr>
                    <w:trPr>
                      <w:trHeight w:val="703"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vMerge/>
                        <w:tcBorders>
                          <w:left w:val="single" w:sz="4" w:space="0" w:color="000000"/>
                          <w:right w:val="single" w:sz="4" w:space="0" w:color="000000"/>
                        </w:tcBorders>
                      </w:tcPr>
                      <w:p>
                        <w:pPr/>
                      </w:p>
                    </w:tc>
                  </w:tr>
                  <w:tr>
                    <w:trPr>
                      <w:trHeight w:val="161"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3" w:type="dxa"/>
                        <w:gridSpan w:val="7"/>
                        <w:vMerge/>
                        <w:tcBorders>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104,314,895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104,314,895</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平潭创新股权投资合伙企业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101,991,874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101,991,874</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49,223,794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49,223,794</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江苏联峰投资发展有限公司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33,997,194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33,997,194</w:t>
                        </w:r>
                      </w:p>
                    </w:tc>
                  </w:tr>
                  <w:tr>
                    <w:trPr>
                      <w:trHeight w:val="401"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杭州新安实业投资有限公司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人民币普通</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center"/>
                          <w:rPr>
                            <w:rFonts w:ascii="Times New Roman" w:hAnsi="Times New Roman" w:cs="Times New Roman" w:eastAsia="Times New Roman" w:hint="default"/>
                            <w:sz w:val="18"/>
                            <w:szCs w:val="18"/>
                          </w:rPr>
                        </w:pPr>
                        <w:r>
                          <w:rPr>
                            <w:rFonts w:ascii="Times New Roman"/>
                            <w:sz w:val="18"/>
                          </w:rPr>
                          <w:t>11,430,000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143"/>
        <w:jc w:val="right"/>
      </w:pPr>
      <w:r>
        <w:rPr/>
        <w:t>）</w:t>
      </w:r>
    </w:p>
    <w:p>
      <w:pPr>
        <w:pStyle w:val="BodyText"/>
        <w:spacing w:line="240" w:lineRule="auto" w:before="76"/>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ind w:left="0" w:right="1143"/>
        <w:jc w:val="right"/>
      </w:pPr>
      <w:r>
        <w:rPr/>
        <w:pict>
          <v:shape style="position:absolute;margin-left:56.400002pt;margin-top:-205.138275pt;width:479.3pt;height:486.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5046"/>
                    <w:gridCol w:w="1069"/>
                    <w:gridCol w:w="1058"/>
                  </w:tblGrid>
                  <w:tr>
                    <w:trPr>
                      <w:trHeight w:val="363"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504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杭州雄健投资合伙企业（有限 合伙）</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8,095,685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8,095,685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浙江福士达集团有限公司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6,139,926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6,139,926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四川璞信产融投资有限责任公 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5,176,892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5,176,892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施玮</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5,065,500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5,065,500</w:t>
                        </w:r>
                      </w:p>
                    </w:tc>
                  </w:tr>
                  <w:tr>
                    <w:trPr>
                      <w:trHeight w:val="1340"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0"/>
                          <w:jc w:val="left"/>
                          <w:rPr>
                            <w:rFonts w:ascii="宋体" w:hAnsi="宋体" w:cs="宋体" w:eastAsia="宋体" w:hint="default"/>
                            <w:sz w:val="18"/>
                            <w:szCs w:val="18"/>
                          </w:rPr>
                        </w:pPr>
                        <w:r>
                          <w:rPr>
                            <w:rFonts w:ascii="宋体" w:hAnsi="宋体" w:cs="宋体" w:eastAsia="宋体" w:hint="default"/>
                            <w:spacing w:val="-5"/>
                            <w:sz w:val="18"/>
                            <w:szCs w:val="18"/>
                          </w:rPr>
                          <w:t>上述股东中：（</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）吴艳与汉鼎宇佑集团有限公司的实际控制人王麒诚先生系夫妻关系；（</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杭州新安实业投资有限公司、施玮属于一致行动人；（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）其余无限售流通股股东之间，未知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是否存在关联，也未知是否属于一致行动人。</w:t>
                        </w:r>
                      </w:p>
                    </w:tc>
                  </w:tr>
                  <w:tr>
                    <w:trPr>
                      <w:trHeight w:val="4457"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）公司股东吴艳通过普通证券账户持有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94,314,895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股，通过平安证券股份有限公司客户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9"/>
                            <w:sz w:val="18"/>
                            <w:szCs w:val="18"/>
                          </w:rPr>
                          <w:t>，</w:t>
                        </w:r>
                        <w:r>
                          <w:rPr>
                            <w:rFonts w:ascii="宋体" w:hAnsi="宋体" w:cs="宋体" w:eastAsia="宋体" w:hint="default"/>
                            <w:sz w:val="18"/>
                            <w:szCs w:val="18"/>
                          </w:rPr>
                          <w:t>合计持有</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9"/>
                            <w:sz w:val="18"/>
                            <w:szCs w:val="18"/>
                          </w:rPr>
                          <w:t>）</w:t>
                        </w:r>
                        <w:r>
                          <w:rPr>
                            <w:rFonts w:ascii="宋体" w:hAnsi="宋体" w:cs="宋体" w:eastAsia="宋体" w:hint="default"/>
                            <w:sz w:val="18"/>
                            <w:szCs w:val="18"/>
                          </w:rPr>
                          <w:t>公司股东汉鼎宇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佑集团有限公司通过普通证券账户持有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w:t>
                        </w:r>
                        <w:r>
                          <w:rPr>
                            <w:rFonts w:ascii="宋体" w:hAnsi="宋体" w:cs="宋体" w:eastAsia="宋体" w:hint="default"/>
                            <w:spacing w:val="-3"/>
                            <w:sz w:val="18"/>
                            <w:szCs w:val="18"/>
                          </w:rPr>
                          <w:t>东</w:t>
                        </w:r>
                        <w:r>
                          <w:rPr>
                            <w:rFonts w:ascii="宋体" w:hAnsi="宋体" w:cs="宋体" w:eastAsia="宋体" w:hint="default"/>
                            <w:sz w:val="18"/>
                            <w:szCs w:val="18"/>
                          </w:rPr>
                          <w:t>北证券股份有限公司客户信用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29"/>
                            <w:sz w:val="18"/>
                            <w:szCs w:val="18"/>
                          </w:rPr>
                          <w:t>，</w:t>
                        </w:r>
                        <w:r>
                          <w:rPr>
                            <w:rFonts w:ascii="宋体" w:hAnsi="宋体" w:cs="宋体" w:eastAsia="宋体" w:hint="default"/>
                            <w:sz w:val="18"/>
                            <w:szCs w:val="18"/>
                          </w:rPr>
                          <w:t>合计持有</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9"/>
                            <w:sz w:val="18"/>
                            <w:szCs w:val="18"/>
                          </w:rPr>
                          <w:t>）</w:t>
                        </w:r>
                        <w:r>
                          <w:rPr>
                            <w:rFonts w:ascii="宋体" w:hAnsi="宋体" w:cs="宋体" w:eastAsia="宋体" w:hint="default"/>
                            <w:sz w:val="18"/>
                            <w:szCs w:val="18"/>
                          </w:rPr>
                          <w:t>公司股东江苏联峰投资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发展有限公司通过普通证券账户持有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通过中信证券股</w:t>
                        </w:r>
                        <w:r>
                          <w:rPr>
                            <w:rFonts w:ascii="宋体" w:hAnsi="宋体" w:cs="宋体" w:eastAsia="宋体" w:hint="default"/>
                            <w:spacing w:val="-3"/>
                            <w:sz w:val="18"/>
                            <w:szCs w:val="18"/>
                          </w:rPr>
                          <w:t>份</w:t>
                        </w:r>
                        <w:r>
                          <w:rPr>
                            <w:rFonts w:ascii="宋体" w:hAnsi="宋体" w:cs="宋体" w:eastAsia="宋体" w:hint="default"/>
                            <w:sz w:val="18"/>
                            <w:szCs w:val="18"/>
                          </w:rPr>
                          <w:t>有限公司客户信用交易担保证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合</w:t>
                        </w:r>
                        <w:r>
                          <w:rPr>
                            <w:rFonts w:ascii="宋体" w:hAnsi="宋体" w:cs="宋体" w:eastAsia="宋体" w:hint="default"/>
                            <w:sz w:val="18"/>
                            <w:szCs w:val="18"/>
                          </w:rPr>
                          <w:t>计持有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司股东杭州新安实业投资有限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通过国信证券股份有限公司客户信用交易担保证券账户持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w:t>
                        </w:r>
                        <w:r>
                          <w:rPr>
                            <w:rFonts w:ascii="宋体" w:hAnsi="宋体" w:cs="宋体" w:eastAsia="宋体" w:hint="default"/>
                            <w:spacing w:val="-2"/>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）公司股东</w:t>
                        </w:r>
                        <w:r>
                          <w:rPr>
                            <w:rFonts w:ascii="宋体" w:hAnsi="宋体" w:cs="宋体" w:eastAsia="宋体" w:hint="default"/>
                            <w:spacing w:val="-3"/>
                            <w:sz w:val="18"/>
                            <w:szCs w:val="18"/>
                          </w:rPr>
                          <w:t>浙</w:t>
                        </w:r>
                        <w:r>
                          <w:rPr>
                            <w:rFonts w:ascii="宋体" w:hAnsi="宋体" w:cs="宋体" w:eastAsia="宋体" w:hint="default"/>
                            <w:sz w:val="18"/>
                            <w:szCs w:val="18"/>
                          </w:rPr>
                          <w:t>江福士达集团有限公司通过普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3,681,385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股，通过海通证券股份有限公司客户信用交易担保证券账户持有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29"/>
                            <w:sz w:val="18"/>
                            <w:szCs w:val="18"/>
                          </w:rPr>
                          <w:t>，</w:t>
                        </w:r>
                        <w:r>
                          <w:rPr>
                            <w:rFonts w:ascii="宋体" w:hAnsi="宋体" w:cs="宋体" w:eastAsia="宋体" w:hint="default"/>
                            <w:sz w:val="18"/>
                            <w:szCs w:val="18"/>
                          </w:rPr>
                          <w:t>合计持有</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29"/>
                            <w:sz w:val="18"/>
                            <w:szCs w:val="18"/>
                          </w:rPr>
                          <w:t>）</w:t>
                        </w:r>
                        <w:r>
                          <w:rPr>
                            <w:rFonts w:ascii="宋体" w:hAnsi="宋体" w:cs="宋体" w:eastAsia="宋体" w:hint="default"/>
                            <w:sz w:val="18"/>
                            <w:szCs w:val="18"/>
                          </w:rPr>
                          <w:t>公司股东四川璞</w:t>
                        </w:r>
                        <w:r>
                          <w:rPr>
                            <w:rFonts w:ascii="宋体" w:hAnsi="宋体" w:cs="宋体" w:eastAsia="宋体" w:hint="default"/>
                            <w:spacing w:val="-3"/>
                            <w:sz w:val="18"/>
                            <w:szCs w:val="18"/>
                          </w:rPr>
                          <w:t>信</w:t>
                        </w:r>
                        <w:r>
                          <w:rPr>
                            <w:rFonts w:ascii="宋体" w:hAnsi="宋体" w:cs="宋体" w:eastAsia="宋体" w:hint="default"/>
                            <w:sz w:val="18"/>
                            <w:szCs w:val="18"/>
                          </w:rPr>
                          <w:t>产融投资有限责任公司通过普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通证券账户持有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股，通过华泰证券股份有限公司客户信用交易担保证券账户持有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10"/>
                            <w:sz w:val="18"/>
                            <w:szCs w:val="18"/>
                          </w:rPr>
                          <w:t>，</w:t>
                        </w:r>
                        <w:r>
                          <w:rPr>
                            <w:rFonts w:ascii="宋体" w:hAnsi="宋体" w:cs="宋体" w:eastAsia="宋体" w:hint="default"/>
                            <w:sz w:val="18"/>
                            <w:szCs w:val="18"/>
                          </w:rPr>
                          <w:t>合计</w:t>
                        </w:r>
                        <w:r>
                          <w:rPr>
                            <w:rFonts w:ascii="宋体" w:hAnsi="宋体" w:cs="宋体" w:eastAsia="宋体" w:hint="default"/>
                            <w:spacing w:val="-3"/>
                            <w:sz w:val="18"/>
                            <w:szCs w:val="18"/>
                          </w:rPr>
                          <w:t>持</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10"/>
                            <w:sz w:val="18"/>
                            <w:szCs w:val="18"/>
                          </w:rPr>
                          <w:t>）</w:t>
                        </w:r>
                        <w:r>
                          <w:rPr>
                            <w:rFonts w:ascii="宋体" w:hAnsi="宋体" w:cs="宋体" w:eastAsia="宋体" w:hint="default"/>
                            <w:sz w:val="18"/>
                            <w:szCs w:val="18"/>
                          </w:rPr>
                          <w:t>公司股东施</w:t>
                        </w:r>
                        <w:r>
                          <w:rPr>
                            <w:rFonts w:ascii="宋体" w:hAnsi="宋体" w:cs="宋体" w:eastAsia="宋体" w:hint="default"/>
                            <w:spacing w:val="-1"/>
                            <w:sz w:val="18"/>
                            <w:szCs w:val="18"/>
                          </w:rPr>
                          <w:t>玮</w:t>
                        </w:r>
                        <w:r>
                          <w:rPr>
                            <w:rFonts w:ascii="宋体" w:hAnsi="宋体" w:cs="宋体" w:eastAsia="宋体" w:hint="default"/>
                            <w:sz w:val="18"/>
                            <w:szCs w:val="18"/>
                          </w:rPr>
                          <w:t>通</w:t>
                        </w:r>
                        <w:r>
                          <w:rPr>
                            <w:rFonts w:ascii="宋体" w:hAnsi="宋体" w:cs="宋体" w:eastAsia="宋体" w:hint="default"/>
                            <w:spacing w:val="-3"/>
                            <w:sz w:val="18"/>
                            <w:szCs w:val="18"/>
                          </w:rPr>
                          <w:t>过</w:t>
                        </w:r>
                        <w:r>
                          <w:rPr>
                            <w:rFonts w:ascii="宋体" w:hAnsi="宋体" w:cs="宋体" w:eastAsia="宋体" w:hint="default"/>
                            <w:sz w:val="18"/>
                            <w:szCs w:val="18"/>
                          </w:rPr>
                          <w:t>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0"/>
                            <w:sz w:val="18"/>
                            <w:szCs w:val="18"/>
                          </w:rPr>
                          <w:t>，</w:t>
                        </w:r>
                        <w:r>
                          <w:rPr>
                            <w:rFonts w:ascii="宋体" w:hAnsi="宋体" w:cs="宋体" w:eastAsia="宋体" w:hint="default"/>
                            <w:sz w:val="18"/>
                            <w:szCs w:val="18"/>
                          </w:rPr>
                          <w:t>通过</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国信证券股份有限公司客户信用交易担保证券账户持有 </w:t>
                        </w:r>
                        <w:r>
                          <w:rPr>
                            <w:rFonts w:ascii="Times New Roman" w:hAnsi="Times New Roman" w:cs="Times New Roman" w:eastAsia="Times New Roman" w:hint="default"/>
                            <w:sz w:val="18"/>
                            <w:szCs w:val="18"/>
                          </w:rPr>
                          <w:t>5,065,500 </w:t>
                        </w:r>
                        <w:r>
                          <w:rPr>
                            <w:rFonts w:ascii="宋体" w:hAnsi="宋体" w:cs="宋体" w:eastAsia="宋体" w:hint="default"/>
                            <w:sz w:val="18"/>
                            <w:szCs w:val="18"/>
                          </w:rPr>
                          <w:t>股，合计持有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5,065,500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8414"/>
        <w:jc w:val="left"/>
      </w:pPr>
      <w:r>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平潭创新股权投资合伙企 业（有限合伙）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7"/>
              <w:jc w:val="left"/>
              <w:rPr>
                <w:rFonts w:ascii="Times New Roman" w:hAnsi="Times New Roman" w:cs="Times New Roman" w:eastAsia="Times New Roman" w:hint="default"/>
                <w:sz w:val="18"/>
                <w:szCs w:val="18"/>
              </w:rPr>
            </w:pPr>
            <w:r>
              <w:rPr>
                <w:rFonts w:ascii="Times New Roman"/>
                <w:sz w:val="18"/>
              </w:rPr>
              <w:t>91350128MA33B679 XW</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38"/>
              <w:jc w:val="left"/>
              <w:rPr>
                <w:rFonts w:ascii="宋体" w:hAnsi="宋体" w:cs="宋体" w:eastAsia="宋体" w:hint="default"/>
                <w:sz w:val="18"/>
                <w:szCs w:val="18"/>
              </w:rPr>
            </w:pPr>
            <w:r>
              <w:rPr>
                <w:rFonts w:ascii="宋体" w:hAnsi="宋体" w:cs="宋体" w:eastAsia="宋体" w:hint="default"/>
                <w:sz w:val="18"/>
                <w:szCs w:val="18"/>
              </w:rPr>
              <w:t>依法从事对非公开交易的企 业股权进行投资以及相关咨</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1611" w:hRule="exact"/>
        </w:trPr>
        <w:tc>
          <w:tcPr>
            <w:tcW w:w="2199"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both"/>
              <w:rPr>
                <w:rFonts w:ascii="宋体" w:hAnsi="宋体" w:cs="宋体" w:eastAsia="宋体" w:hint="default"/>
                <w:sz w:val="18"/>
                <w:szCs w:val="18"/>
              </w:rPr>
            </w:pPr>
            <w:r>
              <w:rPr>
                <w:rFonts w:ascii="宋体" w:hAnsi="宋体" w:cs="宋体" w:eastAsia="宋体" w:hint="default"/>
                <w:sz w:val="18"/>
                <w:szCs w:val="18"/>
              </w:rPr>
              <w:t>询服务（以上均不含金融、 证券、保险、期货等需审批 </w:t>
            </w:r>
            <w:r>
              <w:rPr>
                <w:rFonts w:ascii="宋体" w:hAnsi="宋体" w:cs="宋体" w:eastAsia="宋体" w:hint="default"/>
                <w:spacing w:val="-13"/>
                <w:sz w:val="18"/>
                <w:szCs w:val="18"/>
              </w:rPr>
              <w:t>的项目）（依法须经批准的项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目，经相关部门批准后方可 开展经营活动）</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控股股东报告期内变更</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平潭创新股权投资合伙企业（有限合伙）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19"/>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2019-111</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公告名称：《关于控股股东、实际控制人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协议转让股份完成过户暨公司控制权变更的公告》</w:t>
            </w:r>
            <w:r>
              <w:rPr>
                <w:rFonts w:ascii="宋体" w:hAnsi="宋体" w:cs="宋体" w:eastAsia="宋体" w:hint="default"/>
                <w:spacing w:val="5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r>
              <w:rPr>
                <w:rFonts w:ascii="宋体" w:hAnsi="宋体" w:cs="宋体" w:eastAsia="宋体" w:hint="default"/>
                <w:spacing w:val="-17"/>
                <w:sz w:val="18"/>
                <w:szCs w:val="18"/>
              </w:rPr>
              <w:t> </w:t>
            </w:r>
            <w:hyperlink r:id="rId14">
              <w:r>
                <w:rPr>
                  <w:rFonts w:ascii="Times New Roman" w:hAnsi="Times New Roman" w:cs="Times New Roman" w:eastAsia="Times New Roman" w:hint="default"/>
                  <w:sz w:val="18"/>
                  <w:szCs w:val="18"/>
                </w:rPr>
                <w:t>www.cninfo.com</w:t>
              </w:r>
            </w:hyperlink>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87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433"/>
        <w:gridCol w:w="1594"/>
        <w:gridCol w:w="255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76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平潭综合实验区国有资产 管理局</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沈福泉</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6" w:right="0"/>
              <w:jc w:val="left"/>
              <w:rPr>
                <w:rFonts w:ascii="Times New Roman" w:hAnsi="Times New Roman" w:cs="Times New Roman" w:eastAsia="Times New Roman" w:hint="default"/>
                <w:sz w:val="18"/>
                <w:szCs w:val="18"/>
              </w:rPr>
            </w:pPr>
            <w:r>
              <w:rPr>
                <w:rFonts w:ascii="Times New Roman"/>
                <w:sz w:val="18"/>
              </w:rPr>
              <w:t>11350128310773412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C</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根据区管委会授权，依法履行出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资人职责，负责监管所监管企业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国有资产；起草并组织实施我区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有关国有资产监督管理的规范 </w:t>
            </w:r>
            <w:r>
              <w:rPr>
                <w:rFonts w:ascii="宋体" w:hAnsi="宋体" w:cs="宋体" w:eastAsia="宋体" w:hint="default"/>
                <w:spacing w:val="-2"/>
                <w:sz w:val="18"/>
                <w:szCs w:val="18"/>
              </w:rPr>
              <w:t>性文件；承担监督所监管企业国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有资产保值增值的责任；负责区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属企业工资分配管理工作，制定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并组织实施区属企业负责人收 </w:t>
            </w:r>
            <w:r>
              <w:rPr>
                <w:rFonts w:ascii="宋体" w:hAnsi="宋体" w:cs="宋体" w:eastAsia="宋体" w:hint="default"/>
                <w:spacing w:val="-2"/>
                <w:sz w:val="18"/>
                <w:szCs w:val="18"/>
              </w:rPr>
              <w:t>入分配政策；依法参与区属企业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的重大决策；指导推进所监管企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业的改革、重组和现代企业制度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建设；依法承担所监管企业国有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资本经营预算编制和执行有关 </w:t>
            </w:r>
            <w:r>
              <w:rPr>
                <w:rFonts w:ascii="宋体" w:hAnsi="宋体" w:cs="宋体" w:eastAsia="宋体" w:hint="default"/>
                <w:spacing w:val="-2"/>
                <w:sz w:val="18"/>
                <w:szCs w:val="18"/>
              </w:rPr>
              <w:t>工作；承办区党工委、管委会交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办的其他事项。</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实际控制人报告期内变更</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平潭综合实验区国有资产管理局</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2019-111</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公告名称：《关于控股股东、实际控制人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协议转让股份完成过户暨公司控制权变更的公告》</w:t>
            </w:r>
            <w:r>
              <w:rPr>
                <w:rFonts w:ascii="宋体" w:hAnsi="宋体" w:cs="宋体" w:eastAsia="宋体" w:hint="default"/>
                <w:spacing w:val="5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r>
              <w:rPr>
                <w:rFonts w:ascii="宋体" w:hAnsi="宋体" w:cs="宋体" w:eastAsia="宋体" w:hint="default"/>
                <w:spacing w:val="-17"/>
                <w:sz w:val="18"/>
                <w:szCs w:val="18"/>
              </w:rPr>
              <w:t> </w:t>
            </w:r>
            <w:hyperlink r:id="rId14">
              <w:r>
                <w:rPr>
                  <w:rFonts w:ascii="Times New Roman" w:hAnsi="Times New Roman" w:cs="Times New Roman" w:eastAsia="Times New Roman" w:hint="default"/>
                  <w:sz w:val="18"/>
                  <w:szCs w:val="18"/>
                </w:rPr>
                <w:t>www.cninfo.com</w:t>
              </w:r>
            </w:hyperlink>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pStyle w:val="BodyText"/>
        <w:spacing w:line="240" w:lineRule="auto" w:before="49"/>
        <w:ind w:right="1133"/>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6300" w:lineRule="exact"/>
        <w:ind w:left="1355"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4592132" cy="40005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2132" cy="4000500"/>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2"/>
        <w:rPr>
          <w:rFonts w:ascii="宋体" w:hAnsi="宋体" w:cs="宋体" w:eastAsia="宋体" w:hint="default"/>
          <w:sz w:val="22"/>
          <w:szCs w:val="22"/>
        </w:rPr>
      </w:pPr>
    </w:p>
    <w:p>
      <w:pPr>
        <w:pStyle w:val="Heading3"/>
        <w:spacing w:line="240" w:lineRule="auto"/>
        <w:ind w:left="152" w:right="1133"/>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5" w:id="6"/>
      <w:bookmarkEnd w:id="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6" w:id="7"/>
      <w:bookmarkEnd w:id="7"/>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7" w:id="8"/>
      <w:bookmarkEnd w:id="8"/>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53009pt;margin-top:32.975597pt;width:63.65pt;height:50.9pt;mso-position-horizontal-relative:page;mso-position-vertical-relative:paragraph;z-index:-1129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365,450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354,262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261,036</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董事、财 务总监、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372,908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264,764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261,482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216,733</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1,510,723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1,107,983</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叶兴波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叶兴波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裘学初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为配合控制权变更辞职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为配合控制权变更辞职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Henry</w:t>
            </w:r>
            <w:r>
              <w:rPr>
                <w:rFonts w:ascii="Times New Roman"/>
                <w:spacing w:val="-5"/>
                <w:sz w:val="18"/>
              </w:rPr>
              <w:t> </w:t>
            </w:r>
            <w:r>
              <w:rPr>
                <w:rFonts w:ascii="Times New Roman"/>
                <w:sz w:val="18"/>
              </w:rPr>
              <w:t>L.Huang</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为配合控制权变更辞职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陶宝山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为配合控制权变更辞职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林向阳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公司股东大会选举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谢家清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公司股东大会选举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倪晨勋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公司股东大会选举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公司股东大会选举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公司股东大会选举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裘学初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林庆华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曾志勇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3734"/>
        <w:jc w:val="left"/>
      </w:pPr>
      <w:r>
        <w:rPr/>
        <w:t>公司现任董事、监事、高级管理人员专业背景、主要工作经历以及目前在公司的主要职责 董事：</w:t>
      </w:r>
    </w:p>
    <w:p>
      <w:pPr>
        <w:pStyle w:val="BodyText"/>
        <w:spacing w:line="236" w:lineRule="exact" w:before="0"/>
        <w:ind w:right="0"/>
        <w:jc w:val="both"/>
      </w:pPr>
      <w:r>
        <w:rPr/>
        <w:t>（</w:t>
      </w:r>
      <w:r>
        <w:rPr>
          <w:rFonts w:ascii="Times New Roman" w:hAnsi="Times New Roman" w:cs="Times New Roman" w:eastAsia="Times New Roman" w:hint="default"/>
        </w:rPr>
        <w:t>1</w:t>
      </w:r>
      <w:r>
        <w:rPr/>
        <w:t>）曹阳，男，</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11</w:t>
      </w:r>
      <w:r>
        <w:rPr/>
        <w:t>月出生，中国国籍，无境外永久居留权，英国谢菲尔德哈莱姆大学硕士学位，并拥有基金从业资</w:t>
      </w:r>
    </w:p>
    <w:p>
      <w:pPr>
        <w:pStyle w:val="BodyText"/>
        <w:spacing w:line="300" w:lineRule="auto" w:before="63"/>
        <w:ind w:right="1128"/>
        <w:jc w:val="both"/>
      </w:pPr>
      <w:r>
        <w:rPr>
          <w:spacing w:val="-2"/>
        </w:rPr>
        <w:t>格证、期货从业资格证及证券从业资格证，并已获得相关机构认定的基金高管资格。</w:t>
      </w:r>
      <w:r>
        <w:rPr>
          <w:rFonts w:ascii="Times New Roman" w:hAnsi="Times New Roman" w:cs="Times New Roman" w:eastAsia="Times New Roman" w:hint="default"/>
          <w:spacing w:val="-2"/>
        </w:rPr>
        <w:t>2014</w:t>
      </w:r>
      <w:r>
        <w:rPr>
          <w:spacing w:val="-2"/>
        </w:rPr>
        <w:t>年至今任福建省投资开发集团有限</w:t>
      </w:r>
      <w:r>
        <w:rPr>
          <w:spacing w:val="-58"/>
        </w:rPr>
        <w:t> </w:t>
      </w:r>
      <w:r>
        <w:rPr>
          <w:spacing w:val="-2"/>
        </w:rPr>
        <w:t>公司项目主管；</w:t>
      </w:r>
      <w:r>
        <w:rPr>
          <w:rFonts w:ascii="Times New Roman" w:hAnsi="Times New Roman" w:cs="Times New Roman" w:eastAsia="Times New Roman" w:hint="default"/>
          <w:spacing w:val="-2"/>
        </w:rPr>
        <w:t>2017</w:t>
      </w:r>
      <w:r>
        <w:rPr>
          <w:spacing w:val="-2"/>
        </w:rPr>
        <w:t>年至今，先后任平潭综合实验区麒麟股权投资管理有限公司总经理、董事；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月至今任公司非独</w:t>
      </w:r>
      <w:r>
        <w:rPr>
          <w:spacing w:val="-55"/>
        </w:rPr>
        <w:t> </w:t>
      </w:r>
      <w:r>
        <w:rPr/>
        <w:t>立董事；</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3</w:t>
      </w:r>
      <w:r>
        <w:rPr/>
        <w:t>月，任公司代财务总监；</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月至今，任公司董事长。</w:t>
      </w:r>
    </w:p>
    <w:p>
      <w:pPr>
        <w:pStyle w:val="BodyText"/>
        <w:spacing w:line="240" w:lineRule="auto" w:before="13"/>
        <w:ind w:right="0"/>
        <w:jc w:val="both"/>
      </w:pPr>
      <w:r>
        <w:rPr/>
        <w:t>（</w:t>
      </w:r>
      <w:r>
        <w:rPr>
          <w:rFonts w:ascii="Times New Roman" w:hAnsi="Times New Roman" w:cs="Times New Roman" w:eastAsia="Times New Roman" w:hint="default"/>
        </w:rPr>
        <w:t>2</w:t>
      </w:r>
      <w:r>
        <w:rPr/>
        <w:t>）林向阳，男，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10</w:t>
      </w:r>
      <w:r>
        <w:rPr/>
        <w:t>月出生，中国国籍，无境外永久居留权，毕业于南昌大学食品科学专业，博士研究生学历，工</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131"/>
        <w:jc w:val="both"/>
      </w:pPr>
      <w:r>
        <w:rPr>
          <w:spacing w:val="-1"/>
        </w:rPr>
        <w:t>学博士学位。</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-2011</w:t>
      </w:r>
      <w:r>
        <w:rPr>
          <w:spacing w:val="-1"/>
        </w:rPr>
        <w:t>年任福州大学生物工程研究所助理研究员，食品科学与工程教授；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-2015</w:t>
      </w:r>
      <w:r>
        <w:rPr>
          <w:spacing w:val="-1"/>
        </w:rPr>
        <w:t>年任莆田市人民政</w:t>
      </w:r>
      <w:r>
        <w:rPr>
          <w:spacing w:val="-56"/>
        </w:rPr>
        <w:t> </w:t>
      </w:r>
      <w:r>
        <w:rPr>
          <w:spacing w:val="-56"/>
        </w:rPr>
      </w:r>
      <w:r>
        <w:rPr/>
        <w:t>府发改委副主任；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-2018</w:t>
      </w:r>
      <w:r>
        <w:rPr/>
        <w:t>年任福建自贸试验区闽投投资发展有限公司总经理；</w:t>
      </w:r>
      <w:r>
        <w:rPr>
          <w:rFonts w:ascii="Times New Roman" w:hAnsi="Times New Roman" w:cs="Times New Roman" w:eastAsia="Times New Roman" w:hint="default"/>
        </w:rPr>
        <w:t>2018</w:t>
      </w:r>
      <w:r>
        <w:rPr/>
        <w:t>年至今任平潭综合实验区金融控股 集团有限公司党委书记、董事长；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月至今任公司非独立董事。</w:t>
      </w:r>
    </w:p>
    <w:p>
      <w:pPr>
        <w:pStyle w:val="BodyText"/>
        <w:spacing w:line="300" w:lineRule="auto" w:before="13"/>
        <w:ind w:right="1051"/>
        <w:jc w:val="left"/>
      </w:pPr>
      <w:r>
        <w:rPr/>
        <w:t>（</w:t>
      </w:r>
      <w:r>
        <w:rPr>
          <w:rFonts w:ascii="Times New Roman" w:hAnsi="Times New Roman" w:cs="Times New Roman" w:eastAsia="Times New Roman" w:hint="default"/>
        </w:rPr>
        <w:t>3</w:t>
      </w:r>
      <w:r>
        <w:rPr/>
        <w:t>）谢家清，男，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2</w:t>
      </w:r>
      <w:r>
        <w:rPr/>
        <w:t>月出生，中国国籍，无境外永久居留权，西安公路交通大学本科毕业，学士学位，高级会计师， 并拥有总会计师资格证书。</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-2015</w:t>
      </w:r>
      <w:r>
        <w:rPr/>
        <w:t>年任福建省高速公路养护工程有限公司财务部经理；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年任福建交通一卡 </w:t>
      </w:r>
      <w:r>
        <w:rPr>
          <w:spacing w:val="-2"/>
        </w:rPr>
        <w:t>通有限公司综合部经理；</w:t>
      </w:r>
      <w:r>
        <w:rPr>
          <w:rFonts w:ascii="Times New Roman" w:hAnsi="Times New Roman" w:cs="Times New Roman" w:eastAsia="Times New Roman" w:hint="default"/>
          <w:spacing w:val="-2"/>
        </w:rPr>
        <w:t>2016</w:t>
      </w:r>
      <w:r>
        <w:rPr>
          <w:spacing w:val="-2"/>
        </w:rPr>
        <w:t>年至今任平潭综合实验区金融控股集团有限公司常务副总经理；</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月至今任公司非独立</w:t>
      </w:r>
      <w:r>
        <w:rPr>
          <w:spacing w:val="-57"/>
        </w:rPr>
        <w:t> </w:t>
      </w:r>
      <w:r>
        <w:rPr>
          <w:spacing w:val="-57"/>
        </w:rPr>
      </w:r>
      <w:r>
        <w:rPr/>
        <w:t>董事。</w:t>
      </w:r>
    </w:p>
    <w:p>
      <w:pPr>
        <w:pStyle w:val="BodyText"/>
        <w:spacing w:line="300" w:lineRule="auto" w:before="31"/>
        <w:ind w:right="1131"/>
        <w:jc w:val="both"/>
      </w:pPr>
      <w:r>
        <w:rPr>
          <w:spacing w:val="-2"/>
        </w:rPr>
        <w:t>（</w:t>
      </w:r>
      <w:r>
        <w:rPr>
          <w:rFonts w:ascii="Times New Roman" w:hAnsi="Times New Roman" w:cs="Times New Roman" w:eastAsia="Times New Roman" w:hint="default"/>
          <w:spacing w:val="-2"/>
        </w:rPr>
        <w:t>4</w:t>
      </w:r>
      <w:r>
        <w:rPr>
          <w:spacing w:val="-2"/>
        </w:rPr>
        <w:t>）倪晨勋，男，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2</w:t>
      </w:r>
      <w:r>
        <w:rPr>
          <w:spacing w:val="-2"/>
        </w:rPr>
        <w:t>月出生，中国国籍，无境外永久居留权，深圳大学金融系本科学历，拥有中级理财规划师资格证</w:t>
      </w:r>
      <w:r>
        <w:rPr>
          <w:spacing w:val="-69"/>
        </w:rPr>
        <w:t> </w:t>
      </w:r>
      <w:r>
        <w:rPr>
          <w:spacing w:val="-69"/>
        </w:rPr>
      </w:r>
      <w:r>
        <w:rPr/>
        <w:t>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-2019</w:t>
      </w:r>
      <w:r>
        <w:rPr/>
        <w:t>年历任中国民生银行福州分行企业金融二部总经理、中国民生银行福州中亭街支行副行长、中国民生银行 </w:t>
      </w:r>
      <w:r>
        <w:rPr>
          <w:spacing w:val="-2"/>
        </w:rPr>
        <w:t>福州温泉支行副行长；</w:t>
      </w:r>
      <w:r>
        <w:rPr>
          <w:rFonts w:ascii="Times New Roman" w:hAnsi="Times New Roman" w:cs="Times New Roman" w:eastAsia="Times New Roman" w:hint="default"/>
          <w:spacing w:val="-2"/>
        </w:rPr>
        <w:t>2019</w:t>
      </w:r>
      <w:r>
        <w:rPr>
          <w:spacing w:val="-2"/>
        </w:rPr>
        <w:t>年至今任平潭综合实验区金融控股集团有限公司战略投资部副经理；</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月至今任公司非独</w:t>
      </w:r>
      <w:r>
        <w:rPr>
          <w:spacing w:val="-58"/>
        </w:rPr>
        <w:t> </w:t>
      </w:r>
      <w:r>
        <w:rPr>
          <w:spacing w:val="-58"/>
        </w:rPr>
      </w:r>
      <w:r>
        <w:rPr/>
        <w:t>立董事。</w:t>
      </w:r>
    </w:p>
    <w:p>
      <w:pPr>
        <w:pStyle w:val="BodyText"/>
        <w:spacing w:line="300" w:lineRule="auto" w:before="31"/>
        <w:ind w:right="1051"/>
        <w:jc w:val="left"/>
      </w:pPr>
      <w:r>
        <w:rPr/>
        <w:t>（</w:t>
      </w:r>
      <w:r>
        <w:rPr>
          <w:rFonts w:ascii="Times New Roman" w:hAnsi="Times New Roman" w:cs="Times New Roman" w:eastAsia="Times New Roman" w:hint="default"/>
        </w:rPr>
        <w:t>5</w:t>
      </w:r>
      <w:r>
        <w:rPr/>
        <w:t>）李童童，男，</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2</w:t>
      </w:r>
      <w:r>
        <w:rPr/>
        <w:t>月出生，中国国籍，无境外永久居留权，集美大学法学专业本科学历，学士学位，中级经济师， 并拥有国家法律职业资格证，基金从业资格证及证券从业资格证。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-2017</w:t>
      </w:r>
      <w:r>
        <w:rPr/>
        <w:t>年任福建平潭华兴小额贷款股份有限公司客 户经理及风控负责人；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年任平潭综合实验区金融控股集团有限公司风险控制部副经理兼任平潭综合实验区麒麟 </w:t>
      </w:r>
      <w:r>
        <w:rPr>
          <w:spacing w:val="-2"/>
        </w:rPr>
        <w:t>股权投资管理有限公司风控总监；</w:t>
      </w:r>
      <w:r>
        <w:rPr>
          <w:rFonts w:ascii="Times New Roman" w:hAnsi="Times New Roman" w:cs="Times New Roman" w:eastAsia="Times New Roman" w:hint="default"/>
          <w:spacing w:val="-2"/>
        </w:rPr>
        <w:t>2018</w:t>
      </w:r>
      <w:r>
        <w:rPr>
          <w:spacing w:val="-2"/>
        </w:rPr>
        <w:t>年至今任平潭综合实验区金融控股集团有限公司风险控制部经理兼平潭综合实验区麒</w:t>
      </w:r>
      <w:r>
        <w:rPr>
          <w:spacing w:val="-61"/>
        </w:rPr>
        <w:t> </w:t>
      </w:r>
      <w:r>
        <w:rPr>
          <w:spacing w:val="-61"/>
        </w:rPr>
      </w:r>
      <w:r>
        <w:rPr/>
        <w:t>麟股权投资管理有限公司董事长及法定代表人；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月至今任公司非独立董事。</w:t>
      </w:r>
    </w:p>
    <w:p>
      <w:pPr>
        <w:pStyle w:val="BodyText"/>
        <w:spacing w:line="304" w:lineRule="auto" w:before="13"/>
        <w:ind w:right="1131"/>
        <w:jc w:val="both"/>
      </w:pPr>
      <w:r>
        <w:rPr/>
        <w:t>（</w:t>
      </w:r>
      <w:r>
        <w:rPr>
          <w:rFonts w:ascii="Times New Roman" w:hAnsi="Times New Roman" w:cs="Times New Roman" w:eastAsia="Times New Roman" w:hint="default"/>
        </w:rPr>
        <w:t>6</w:t>
      </w:r>
      <w:r>
        <w:rPr/>
        <w:t>）金雪军，男，中国国籍，</w:t>
      </w:r>
      <w:r>
        <w:rPr>
          <w:rFonts w:ascii="Times New Roman" w:hAnsi="Times New Roman" w:cs="Times New Roman" w:eastAsia="Times New Roman" w:hint="default"/>
        </w:rPr>
        <w:t>1958</w:t>
      </w:r>
      <w:r>
        <w:rPr/>
        <w:t>年出生，硕士研究生，系浙江省特级专家、国务院政府特殊津贴专家、浙江省有突出贡 献中青年专家、全国百篇优秀博士论文指导教师，国家社会科学基金重大招标项目首席专家。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月至今任本公司非独 </w:t>
      </w:r>
      <w:r>
        <w:rPr>
          <w:spacing w:val="-2"/>
        </w:rPr>
        <w:t>立董事。现任浙江大学求是特聘教授、博士生导师、浙江大学公共政策研究院执行院长、浙江大学工程师学院互联网金融分</w:t>
      </w:r>
      <w:r>
        <w:rPr>
          <w:spacing w:val="-64"/>
        </w:rPr>
        <w:t> </w:t>
      </w:r>
      <w:r>
        <w:rPr>
          <w:spacing w:val="-64"/>
        </w:rPr>
      </w:r>
      <w:r>
        <w:rPr/>
        <w:t>院院长、浙江大学资产管理研究中心主任、浙江省国际金融学会会长、浙江省政府咨询委员等。</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月至今任浙江伟星 </w:t>
      </w:r>
      <w:r>
        <w:rPr>
          <w:spacing w:val="-2"/>
        </w:rPr>
        <w:t>实业发展股份有限公司独立董事，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月任华安证券股份有限公司独立董事，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月至今任新湖中宝股</w:t>
      </w:r>
      <w:r>
        <w:rPr>
          <w:spacing w:val="-58"/>
        </w:rPr>
        <w:t> </w:t>
      </w:r>
      <w:r>
        <w:rPr>
          <w:spacing w:val="-58"/>
        </w:rPr>
      </w:r>
      <w:r>
        <w:rPr/>
        <w:t>份有限公司监事长，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月至今任佐力科创小额贷款股份有限公司独立董事。</w:t>
      </w:r>
    </w:p>
    <w:p>
      <w:pPr>
        <w:pStyle w:val="BodyText"/>
        <w:spacing w:line="300" w:lineRule="auto" w:before="9"/>
        <w:ind w:right="1132"/>
        <w:jc w:val="both"/>
      </w:pPr>
      <w:r>
        <w:rPr>
          <w:spacing w:val="-2"/>
        </w:rPr>
        <w:t>（</w:t>
      </w:r>
      <w:r>
        <w:rPr>
          <w:rFonts w:ascii="Times New Roman" w:hAnsi="Times New Roman" w:cs="Times New Roman" w:eastAsia="Times New Roman" w:hint="default"/>
          <w:spacing w:val="-2"/>
        </w:rPr>
        <w:t>7</w:t>
      </w:r>
      <w:r>
        <w:rPr>
          <w:spacing w:val="-2"/>
        </w:rPr>
        <w:t>）吴飞，男，中国国籍，</w:t>
      </w:r>
      <w:r>
        <w:rPr>
          <w:rFonts w:ascii="Times New Roman" w:hAnsi="Times New Roman" w:cs="Times New Roman" w:eastAsia="Times New Roman" w:hint="default"/>
          <w:spacing w:val="-2"/>
        </w:rPr>
        <w:t>1964</w:t>
      </w:r>
      <w:r>
        <w:rPr>
          <w:spacing w:val="-2"/>
        </w:rPr>
        <w:t>年出生，博士研究生学历，教授。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月至今任本公司独立董事。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2"/>
        </w:rPr>
        <w:t> </w:t>
      </w:r>
      <w:r>
        <w:rPr/>
        <w:t>月，担任浙江大学传媒与国际文化学院常务副院长，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月，任浙江大学传媒与国际文化学院院长。</w:t>
      </w:r>
      <w:r>
        <w:rPr>
          <w:spacing w:val="-19"/>
        </w:rPr>
        <w:t> </w:t>
      </w:r>
      <w:r>
        <w:rPr/>
        <w:t>现任</w:t>
      </w:r>
      <w:r>
        <w:rPr/>
        <w:t> 浙江大学公共外交与战略传播研究中心主任。</w:t>
      </w:r>
    </w:p>
    <w:p>
      <w:pPr>
        <w:pStyle w:val="BodyText"/>
        <w:spacing w:line="300" w:lineRule="auto" w:before="32"/>
        <w:ind w:right="986"/>
        <w:jc w:val="left"/>
      </w:pPr>
      <w:r>
        <w:rPr/>
        <w:t>（</w:t>
      </w:r>
      <w:r>
        <w:rPr>
          <w:rFonts w:ascii="Times New Roman" w:hAnsi="Times New Roman" w:cs="Times New Roman" w:eastAsia="Times New Roman" w:hint="default"/>
        </w:rPr>
        <w:t>8</w:t>
      </w:r>
      <w:r>
        <w:rPr/>
        <w:t>）周亚力，男，中国国籍，</w:t>
      </w:r>
      <w:r>
        <w:rPr>
          <w:rFonts w:ascii="Times New Roman" w:hAnsi="Times New Roman" w:cs="Times New Roman" w:eastAsia="Times New Roman" w:hint="default"/>
        </w:rPr>
        <w:t>1961</w:t>
      </w:r>
      <w:r>
        <w:rPr/>
        <w:t>年出生，本科学历，中国注册会计师。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月至今任本公司独立董事。</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8</w:t>
      </w:r>
      <w:r>
        <w:rPr/>
        <w:t>月至 </w:t>
      </w:r>
      <w:r>
        <w:rPr>
          <w:spacing w:val="-2"/>
        </w:rPr>
        <w:t>今历任浙江工商大学助教、讲师、副教授，硕士生导师，曾于</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2</w:t>
      </w:r>
      <w:r>
        <w:rPr>
          <w:spacing w:val="-2"/>
        </w:rPr>
        <w:t>月兼任浙江国华会计事务所注册会计师，</w:t>
      </w:r>
      <w:r>
        <w:rPr>
          <w:spacing w:val="-57"/>
        </w:rPr>
        <w:t> </w:t>
      </w:r>
      <w:r>
        <w:rPr>
          <w:spacing w:val="-57"/>
        </w:rPr>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w:t>
      </w:r>
      <w:r>
        <w:rPr>
          <w:spacing w:val="-2"/>
        </w:rPr>
        <w:t>月香港何铁文会计师行从事审计公司。现任顺发恒业股份有限公司独立董事、浙江健盛集团股份有限公</w:t>
      </w:r>
      <w:r>
        <w:rPr>
          <w:spacing w:val="-59"/>
        </w:rPr>
        <w:t> </w:t>
      </w:r>
      <w:r>
        <w:rPr>
          <w:spacing w:val="-59"/>
        </w:rPr>
      </w:r>
      <w:r>
        <w:rPr/>
        <w:t>司独立董事。</w:t>
      </w:r>
    </w:p>
    <w:p>
      <w:pPr>
        <w:pStyle w:val="BodyText"/>
        <w:spacing w:line="307" w:lineRule="auto" w:before="31"/>
        <w:ind w:right="1130"/>
        <w:jc w:val="both"/>
      </w:pPr>
      <w:r>
        <w:rPr/>
        <w:t>（</w:t>
      </w:r>
      <w:r>
        <w:rPr>
          <w:rFonts w:ascii="Times New Roman" w:hAnsi="Times New Roman" w:cs="Times New Roman" w:eastAsia="Times New Roman" w:hint="default"/>
        </w:rPr>
        <w:t>9</w:t>
      </w:r>
      <w:r>
        <w:rPr/>
        <w:t>）范悦龙，男，中国国籍，</w:t>
      </w:r>
      <w:r>
        <w:rPr>
          <w:rFonts w:ascii="Times New Roman" w:hAnsi="Times New Roman" w:cs="Times New Roman" w:eastAsia="Times New Roman" w:hint="default"/>
        </w:rPr>
        <w:t>1973</w:t>
      </w:r>
      <w:r>
        <w:rPr/>
        <w:t>年出生，本科学历，中级会计师。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月至今任本公司独立董事。</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月至今任 </w:t>
      </w:r>
      <w:r>
        <w:rPr>
          <w:spacing w:val="-2"/>
        </w:rPr>
        <w:t>浙江网盛生意宝股份有限公司副总经理、董事会秘书。</w:t>
      </w:r>
      <w:r>
        <w:rPr>
          <w:rFonts w:ascii="Times New Roman" w:hAnsi="Times New Roman" w:cs="Times New Roman" w:eastAsia="Times New Roman" w:hint="default"/>
          <w:spacing w:val="-2"/>
        </w:rPr>
        <w:t>2015</w:t>
      </w:r>
      <w:r>
        <w:rPr>
          <w:spacing w:val="-2"/>
        </w:rPr>
        <w:t>年至今任浙江金服网络科技有限公司监事，浙江网盛跨境电商服</w:t>
      </w:r>
      <w:r>
        <w:rPr>
          <w:spacing w:val="-61"/>
        </w:rPr>
        <w:t> </w:t>
      </w:r>
      <w:r>
        <w:rPr>
          <w:spacing w:val="-61"/>
        </w:rPr>
      </w:r>
      <w:r>
        <w:rPr>
          <w:spacing w:val="-2"/>
        </w:rPr>
        <w:t>务有限公司董事兼总经理，浙江网盛融资担保有限公司董事兼总经理，浙江生意通科技有限公司董事，宁波网盛大宗商品交</w:t>
      </w:r>
      <w:r>
        <w:rPr>
          <w:spacing w:val="-63"/>
        </w:rPr>
        <w:t> </w:t>
      </w:r>
      <w:r>
        <w:rPr>
          <w:spacing w:val="-63"/>
        </w:rPr>
      </w:r>
      <w:r>
        <w:rPr/>
        <w:t>易有限公司董事。</w:t>
      </w:r>
    </w:p>
    <w:p>
      <w:pPr>
        <w:spacing w:line="240" w:lineRule="auto" w:before="11"/>
        <w:rPr>
          <w:rFonts w:ascii="宋体" w:hAnsi="宋体" w:cs="宋体" w:eastAsia="宋体" w:hint="default"/>
          <w:sz w:val="25"/>
          <w:szCs w:val="25"/>
        </w:rPr>
      </w:pPr>
    </w:p>
    <w:p>
      <w:pPr>
        <w:pStyle w:val="BodyText"/>
        <w:spacing w:line="240" w:lineRule="auto" w:before="0"/>
        <w:ind w:right="1133"/>
        <w:jc w:val="left"/>
      </w:pPr>
      <w:r>
        <w:rPr/>
        <w:t>监事：</w:t>
      </w:r>
    </w:p>
    <w:p>
      <w:pPr>
        <w:pStyle w:val="BodyText"/>
        <w:spacing w:line="307" w:lineRule="auto" w:before="76"/>
        <w:ind w:right="1124"/>
        <w:jc w:val="left"/>
      </w:pPr>
      <w:r>
        <w:rPr>
          <w:spacing w:val="-2"/>
        </w:rPr>
        <w:t>（</w:t>
      </w:r>
      <w:r>
        <w:rPr>
          <w:rFonts w:ascii="Times New Roman" w:hAnsi="Times New Roman" w:cs="Times New Roman" w:eastAsia="Times New Roman" w:hint="default"/>
          <w:spacing w:val="-2"/>
        </w:rPr>
        <w:t>1</w:t>
      </w:r>
      <w:r>
        <w:rPr>
          <w:spacing w:val="-2"/>
        </w:rPr>
        <w:t>）李嫣，女，中国国籍，</w:t>
      </w:r>
      <w:r>
        <w:rPr>
          <w:rFonts w:ascii="Times New Roman" w:hAnsi="Times New Roman" w:cs="Times New Roman" w:eastAsia="Times New Roman" w:hint="default"/>
          <w:spacing w:val="-2"/>
        </w:rPr>
        <w:t>1981</w:t>
      </w:r>
      <w:r>
        <w:rPr>
          <w:spacing w:val="-2"/>
        </w:rPr>
        <w:t>年出生，大专，助理人力资源管理师。</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月任公司监事，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月至今</w:t>
      </w:r>
      <w:r>
        <w:rPr>
          <w:spacing w:val="-56"/>
        </w:rPr>
        <w:t> </w:t>
      </w:r>
      <w:r>
        <w:rPr>
          <w:spacing w:val="-56"/>
        </w:rPr>
      </w:r>
      <w:r>
        <w:rPr/>
        <w:t>任公司监事会主席。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月任汉鼎宇佑互联网股份有限公司行政管理中心副总监。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月任四川通普科技有 限公司（原名：四川宇佑通普系统工程有限公司）监事。</w:t>
      </w:r>
    </w:p>
    <w:p>
      <w:pPr>
        <w:pStyle w:val="BodyText"/>
        <w:spacing w:line="300" w:lineRule="auto" w:before="26"/>
        <w:ind w:right="986"/>
        <w:jc w:val="left"/>
      </w:pPr>
      <w:r>
        <w:rPr/>
        <w:t>（</w:t>
      </w:r>
      <w:r>
        <w:rPr>
          <w:rFonts w:ascii="Times New Roman" w:hAnsi="Times New Roman" w:cs="Times New Roman" w:eastAsia="Times New Roman" w:hint="default"/>
        </w:rPr>
        <w:t>2</w:t>
      </w:r>
      <w:r>
        <w:rPr/>
        <w:t>）徐策，男，中国国籍，</w:t>
      </w:r>
      <w:r>
        <w:rPr>
          <w:rFonts w:ascii="Times New Roman" w:hAnsi="Times New Roman" w:cs="Times New Roman" w:eastAsia="Times New Roman" w:hint="default"/>
        </w:rPr>
        <w:t>1971</w:t>
      </w:r>
      <w:r>
        <w:rPr/>
        <w:t>年出生，在职研究生，高级工程师，注册电气工程师，一级注册建造师，系统集成高级项 目经理。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月至今任公司监事。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至今任公司项目管理负责人，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月至今任汉鼎宇佑健康科技有限公司监事，</w:t>
      </w:r>
      <w:r>
        <w:rPr>
          <w:spacing w:val="-1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月至今任辽宁华迪电子 科技有限公司监事，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月至今任杭州汉鼎宇佑金控投资有限公司监事，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月至今任杭州宇佑股权众筹科技有限 </w:t>
      </w:r>
      <w:r>
        <w:rPr>
          <w:spacing w:val="-2"/>
        </w:rPr>
        <w:t>公司监事，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月至今任浙江汉鼎宇佑智慧医疗服务有限公司监事，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月至今任上海汉鼎信息技术有限公司监事。</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131"/>
        <w:jc w:val="both"/>
      </w:pPr>
      <w:r>
        <w:rPr>
          <w:spacing w:val="-2"/>
        </w:rPr>
        <w:t>（</w:t>
      </w:r>
      <w:r>
        <w:rPr>
          <w:rFonts w:ascii="Times New Roman" w:hAnsi="Times New Roman" w:cs="Times New Roman" w:eastAsia="Times New Roman" w:hint="default"/>
          <w:spacing w:val="-2"/>
        </w:rPr>
        <w:t>3</w:t>
      </w:r>
      <w:r>
        <w:rPr>
          <w:spacing w:val="-2"/>
        </w:rPr>
        <w:t>）章怡雯，女，中国国籍，</w:t>
      </w:r>
      <w:r>
        <w:rPr>
          <w:rFonts w:ascii="Times New Roman" w:hAnsi="Times New Roman" w:cs="Times New Roman" w:eastAsia="Times New Roman" w:hint="default"/>
          <w:spacing w:val="-2"/>
        </w:rPr>
        <w:t>1989</w:t>
      </w:r>
      <w:r>
        <w:rPr>
          <w:spacing w:val="-2"/>
        </w:rPr>
        <w:t>年出生，本科学历，中级经济师，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月至今历任本公司人力资源部助理，人力资源</w:t>
      </w:r>
      <w:r>
        <w:rPr>
          <w:spacing w:val="-64"/>
        </w:rPr>
        <w:t> </w:t>
      </w:r>
      <w:r>
        <w:rPr>
          <w:spacing w:val="-64"/>
        </w:rPr>
      </w:r>
      <w:r>
        <w:rPr/>
        <w:t>中心薪酬主管。</w:t>
      </w:r>
    </w:p>
    <w:p>
      <w:pPr>
        <w:pStyle w:val="BodyText"/>
        <w:spacing w:line="240" w:lineRule="auto" w:before="31"/>
        <w:ind w:right="0"/>
        <w:jc w:val="both"/>
      </w:pPr>
      <w:r>
        <w:rPr/>
        <w:t>高级管理人员</w:t>
      </w:r>
    </w:p>
    <w:p>
      <w:pPr>
        <w:pStyle w:val="BodyText"/>
        <w:spacing w:line="300" w:lineRule="auto" w:before="76"/>
        <w:ind w:right="986"/>
        <w:jc w:val="left"/>
      </w:pPr>
      <w:r>
        <w:rPr>
          <w:spacing w:val="-2"/>
        </w:rPr>
        <w:t>（</w:t>
      </w:r>
      <w:r>
        <w:rPr>
          <w:rFonts w:ascii="Times New Roman" w:hAnsi="Times New Roman" w:cs="Times New Roman" w:eastAsia="Times New Roman" w:hint="default"/>
          <w:spacing w:val="-2"/>
        </w:rPr>
        <w:t>1</w:t>
      </w:r>
      <w:r>
        <w:rPr>
          <w:spacing w:val="-2"/>
        </w:rPr>
        <w:t>）林庆华，男，</w:t>
      </w:r>
      <w:r>
        <w:rPr>
          <w:rFonts w:ascii="Times New Roman" w:hAnsi="Times New Roman" w:cs="Times New Roman" w:eastAsia="Times New Roman" w:hint="default"/>
          <w:spacing w:val="-2"/>
        </w:rPr>
        <w:t>1969</w:t>
      </w:r>
      <w:r>
        <w:rPr>
          <w:spacing w:val="-2"/>
        </w:rPr>
        <w:t>年出生，中国国籍，无境外永久居留权，大学本科学历，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月，任太平洋（香港）</w:t>
      </w:r>
      <w:r>
        <w:rPr>
          <w:spacing w:val="-58"/>
        </w:rPr>
        <w:t> </w:t>
      </w:r>
      <w:r>
        <w:rPr>
          <w:spacing w:val="-58"/>
        </w:rPr>
      </w:r>
      <w:r>
        <w:rPr/>
        <w:t>医院投资管理有限公司副总裁，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月，任职于博生医疗投资股份有限公司。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 </w:t>
      </w:r>
      <w:r>
        <w:rPr>
          <w:spacing w:val="-2"/>
        </w:rPr>
        <w:t>福建隆德集团有限公司董事长助理兼董事会办公室主任。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月，任和美医疗管理咨询有限公司事业发展部</w:t>
      </w:r>
      <w:r>
        <w:rPr>
          <w:spacing w:val="-61"/>
        </w:rPr>
        <w:t> </w:t>
      </w:r>
      <w:r>
        <w:rPr>
          <w:spacing w:val="-61"/>
        </w:rPr>
      </w:r>
      <w:r>
        <w:rPr>
          <w:spacing w:val="-2"/>
        </w:rPr>
        <w:t>总经理。</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11</w:t>
      </w:r>
      <w:r>
        <w:rPr>
          <w:spacing w:val="-2"/>
        </w:rPr>
        <w:t>月，任中关村联创医学工程转化中心福建项目总经理。</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月至今，在汉鼎宇佑互联网股份有限</w:t>
      </w:r>
      <w:r>
        <w:rPr>
          <w:spacing w:val="-58"/>
        </w:rPr>
        <w:t> </w:t>
      </w:r>
      <w:r>
        <w:rPr>
          <w:spacing w:val="-58"/>
        </w:rPr>
      </w:r>
      <w:r>
        <w:rPr/>
        <w:t>公司任职，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月至今，任好医友互联网医院（平潭）有限公司董事、经理；</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月至今任公司总经理。</w:t>
      </w:r>
    </w:p>
    <w:p>
      <w:pPr>
        <w:pStyle w:val="BodyText"/>
        <w:spacing w:line="309" w:lineRule="auto" w:before="13"/>
        <w:ind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Henry L.</w:t>
      </w:r>
      <w:r>
        <w:rPr>
          <w:rFonts w:ascii="Times New Roman" w:hAnsi="Times New Roman" w:cs="Times New Roman" w:eastAsia="Times New Roman" w:hint="default"/>
          <w:spacing w:val="-9"/>
        </w:rPr>
        <w:t> </w:t>
      </w:r>
      <w:r>
        <w:rPr>
          <w:rFonts w:ascii="Times New Roman" w:hAnsi="Times New Roman" w:cs="Times New Roman" w:eastAsia="Times New Roman" w:hint="default"/>
        </w:rPr>
        <w:t>Huang</w:t>
      </w:r>
      <w:r>
        <w:rPr/>
        <w:t>，男，美国国籍，</w:t>
      </w:r>
      <w:r>
        <w:rPr>
          <w:rFonts w:ascii="Times New Roman" w:hAnsi="Times New Roman" w:cs="Times New Roman" w:eastAsia="Times New Roman" w:hint="default"/>
        </w:rPr>
        <w:t>1986</w:t>
      </w:r>
      <w:r>
        <w:rPr/>
        <w:t>年出生，大学学历。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月任本公司副总经理，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月任本 公司非独立董事。 </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2008</w:t>
      </w:r>
      <w:r>
        <w:rPr>
          <w:spacing w:val="-2"/>
        </w:rPr>
        <w:t>年任美国劳工部第九区代表助理；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2009</w:t>
      </w:r>
      <w:r>
        <w:rPr>
          <w:spacing w:val="-2"/>
        </w:rPr>
        <w:t>年任美国财政部铸币局政府及立法事务署署长助理；</w:t>
      </w:r>
      <w:r>
        <w:rPr>
          <w:rFonts w:ascii="Times New Roman" w:hAnsi="Times New Roman" w:cs="Times New Roman" w:eastAsia="Times New Roman" w:hint="default"/>
          <w:spacing w:val="-2"/>
        </w:rPr>
        <w:t>2009</w:t>
      </w:r>
      <w:r>
        <w:rPr>
          <w:spacing w:val="-2"/>
        </w:rPr>
        <w:t>年至</w:t>
      </w:r>
      <w:r>
        <w:rPr/>
      </w:r>
    </w:p>
    <w:p>
      <w:pPr>
        <w:pStyle w:val="BodyText"/>
        <w:spacing w:line="300" w:lineRule="auto" w:before="5"/>
        <w:ind w:right="1131"/>
        <w:jc w:val="both"/>
      </w:pPr>
      <w:r>
        <w:rPr>
          <w:rFonts w:ascii="Times New Roman" w:hAnsi="Times New Roman" w:cs="Times New Roman" w:eastAsia="Times New Roman" w:hint="default"/>
          <w:spacing w:val="-2"/>
        </w:rPr>
        <w:t>2012</w:t>
      </w:r>
      <w:r>
        <w:rPr>
          <w:spacing w:val="-2"/>
        </w:rPr>
        <w:t>年任加州心脏影像科技中心</w:t>
      </w:r>
      <w:r>
        <w:rPr>
          <w:rFonts w:ascii="Times New Roman" w:hAnsi="Times New Roman" w:cs="Times New Roman" w:eastAsia="Times New Roman" w:hint="default"/>
          <w:spacing w:val="-2"/>
        </w:rPr>
        <w:t>CEO</w:t>
      </w:r>
      <w:r>
        <w:rPr>
          <w:spacing w:val="-2"/>
        </w:rPr>
        <w:t>；</w:t>
      </w:r>
      <w:r>
        <w:rPr>
          <w:rFonts w:ascii="Times New Roman" w:hAnsi="Times New Roman" w:cs="Times New Roman" w:eastAsia="Times New Roman" w:hint="default"/>
          <w:spacing w:val="-2"/>
        </w:rPr>
        <w:t>2011</w:t>
      </w:r>
      <w:r>
        <w:rPr>
          <w:spacing w:val="-2"/>
        </w:rPr>
        <w:t>年至今任洛杉矶县信息委员会委员；</w:t>
      </w:r>
      <w:r>
        <w:rPr>
          <w:rFonts w:ascii="Times New Roman" w:hAnsi="Times New Roman" w:cs="Times New Roman" w:eastAsia="Times New Roman" w:hint="default"/>
          <w:spacing w:val="-2"/>
        </w:rPr>
        <w:t>2013</w:t>
      </w:r>
      <w:r>
        <w:rPr>
          <w:spacing w:val="-2"/>
        </w:rPr>
        <w:t>年至今任加州健康科技集团联合创始人</w:t>
      </w:r>
      <w:r>
        <w:rPr>
          <w:spacing w:val="-56"/>
        </w:rPr>
        <w:t> </w:t>
      </w:r>
      <w:r>
        <w:rPr>
          <w:spacing w:val="-56"/>
        </w:rPr>
      </w:r>
      <w:r>
        <w:rPr/>
        <w:t>兼</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2017</w:t>
      </w:r>
      <w:r>
        <w:rPr/>
        <w:t>年至今任好医友医疗科技集团有限公司创始人兼董事长。</w:t>
      </w:r>
    </w:p>
    <w:p>
      <w:pPr>
        <w:pStyle w:val="BodyText"/>
        <w:spacing w:line="300" w:lineRule="auto" w:before="13"/>
        <w:ind w:right="1136"/>
        <w:jc w:val="both"/>
      </w:pPr>
      <w:r>
        <w:rPr/>
        <w:t>（</w:t>
      </w:r>
      <w:r>
        <w:rPr>
          <w:rFonts w:ascii="Times New Roman" w:hAnsi="Times New Roman" w:cs="Times New Roman" w:eastAsia="Times New Roman" w:hint="default"/>
        </w:rPr>
        <w:t>3</w:t>
      </w:r>
      <w:r>
        <w:rPr/>
        <w:t>）叶兴波，男，</w:t>
      </w:r>
      <w:r>
        <w:rPr>
          <w:rFonts w:ascii="Times New Roman" w:hAnsi="Times New Roman" w:cs="Times New Roman" w:eastAsia="Times New Roman" w:hint="default"/>
        </w:rPr>
        <w:t>1974</w:t>
      </w:r>
      <w:r>
        <w:rPr/>
        <w:t>年出生，中国国籍，无境外居留权，博士研究生学历，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2014</w:t>
      </w:r>
      <w:r>
        <w:rPr/>
        <w:t>年，任浙江中瑞江南会计师事 务所评估一部部门经理；</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2019</w:t>
      </w:r>
      <w:r>
        <w:rPr/>
        <w:t>年，历任浙江盾安人工环境股份有限公司高级投资经理、证券投资部部长。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 </w:t>
      </w:r>
      <w:r>
        <w:rPr/>
        <w:t>月至今，任公司副总经理；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月至今任公司董事会秘书。</w:t>
      </w:r>
    </w:p>
    <w:p>
      <w:pPr>
        <w:pStyle w:val="BodyText"/>
        <w:spacing w:line="300" w:lineRule="auto" w:before="13"/>
        <w:ind w:right="1138"/>
        <w:jc w:val="both"/>
      </w:pPr>
      <w:r>
        <w:rPr/>
        <w:t>（</w:t>
      </w:r>
      <w:r>
        <w:rPr>
          <w:rFonts w:ascii="Times New Roman" w:hAnsi="Times New Roman" w:cs="Times New Roman" w:eastAsia="Times New Roman" w:hint="default"/>
        </w:rPr>
        <w:t>4</w:t>
      </w:r>
      <w:r>
        <w:rPr/>
        <w:t>）王维山，男，</w:t>
      </w:r>
      <w:r>
        <w:rPr>
          <w:rFonts w:ascii="Times New Roman" w:hAnsi="Times New Roman" w:cs="Times New Roman" w:eastAsia="Times New Roman" w:hint="default"/>
        </w:rPr>
        <w:t>1974</w:t>
      </w:r>
      <w:r>
        <w:rPr/>
        <w:t>年出生，中国国籍，无境外永久居留权，大学本科学历，高级工程师，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月任汉 鼎宇佑互联网股份有限公司副总经理，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月，任职于汉鼎宇佑集团有限公司。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月至今，任职于汉 鼎宇佑互联网股份有限公司；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月至今任公司副总经理。</w:t>
      </w:r>
    </w:p>
    <w:p>
      <w:pPr>
        <w:pStyle w:val="BodyText"/>
        <w:spacing w:line="300" w:lineRule="auto" w:before="13"/>
        <w:ind w:right="1130"/>
        <w:jc w:val="both"/>
      </w:pPr>
      <w:r>
        <w:rPr>
          <w:spacing w:val="-5"/>
        </w:rPr>
        <w:t>（</w:t>
      </w:r>
      <w:r>
        <w:rPr>
          <w:rFonts w:ascii="Times New Roman" w:hAnsi="Times New Roman" w:cs="Times New Roman" w:eastAsia="Times New Roman" w:hint="default"/>
          <w:spacing w:val="-5"/>
        </w:rPr>
        <w:t>5</w:t>
      </w:r>
      <w:r>
        <w:rPr>
          <w:spacing w:val="-5"/>
        </w:rPr>
        <w:t>）曾志勇，男，</w:t>
      </w:r>
      <w:r>
        <w:rPr>
          <w:rFonts w:ascii="Times New Roman" w:hAnsi="Times New Roman" w:cs="Times New Roman" w:eastAsia="Times New Roman" w:hint="default"/>
          <w:spacing w:val="-5"/>
        </w:rPr>
        <w:t>1970</w:t>
      </w:r>
      <w:r>
        <w:rPr>
          <w:spacing w:val="-5"/>
        </w:rPr>
        <w:t>年出生，中国国籍，无境外永久居留权，大学本科学历，高级会计师，注册税务师，</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3</w:t>
      </w:r>
      <w:r>
        <w:rPr>
          <w:spacing w:val="-5"/>
        </w:rPr>
        <w:t>月至</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6</w:t>
      </w:r>
      <w:r>
        <w:rPr/>
        <w:t>月，任福建金山医药集团财务总监；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月，历任南威软件股份有限公司财务总经理、财务总监；</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月，任杭州回水科技股份有限公司财务总监兼董事会秘书。</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月至今任公司财务总监。</w:t>
      </w:r>
    </w:p>
    <w:p>
      <w:pPr>
        <w:pStyle w:val="BodyText"/>
        <w:spacing w:line="240" w:lineRule="auto" w:before="53"/>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2"/>
              <w:jc w:val="left"/>
              <w:rPr>
                <w:rFonts w:ascii="宋体" w:hAnsi="宋体" w:cs="宋体" w:eastAsia="宋体" w:hint="default"/>
                <w:sz w:val="18"/>
                <w:szCs w:val="18"/>
              </w:rPr>
            </w:pPr>
            <w:r>
              <w:rPr>
                <w:rFonts w:ascii="宋体" w:hAnsi="宋体" w:cs="宋体" w:eastAsia="宋体" w:hint="default"/>
                <w:sz w:val="18"/>
                <w:szCs w:val="18"/>
              </w:rPr>
              <w:t>平潭综合实验区麒麟股权投资管理有限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林向阳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林向阳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平潭综合实验区产业服务有限公司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谢家清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2"/>
                <w:sz w:val="18"/>
                <w:szCs w:val="18"/>
              </w:rPr>
              <w:t>董事、副总经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谢家清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2"/>
              <w:jc w:val="left"/>
              <w:rPr>
                <w:rFonts w:ascii="宋体" w:hAnsi="宋体" w:cs="宋体" w:eastAsia="宋体" w:hint="default"/>
                <w:sz w:val="18"/>
                <w:szCs w:val="18"/>
              </w:rPr>
            </w:pPr>
            <w:r>
              <w:rPr>
                <w:rFonts w:ascii="宋体" w:hAnsi="宋体" w:cs="宋体" w:eastAsia="宋体" w:hint="default"/>
                <w:sz w:val="18"/>
                <w:szCs w:val="18"/>
              </w:rPr>
              <w:t>平潭综合实验区信平融资担保有限责任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谢家清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平潭综合实验区麒麟股权投资管理有限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倪晨勋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12"/>
                <w:sz w:val="18"/>
                <w:szCs w:val="18"/>
              </w:rPr>
              <w:t>董事、战略投</w:t>
            </w:r>
            <w:r>
              <w:rPr>
                <w:rFonts w:ascii="宋体" w:hAnsi="宋体" w:cs="宋体" w:eastAsia="宋体" w:hint="default"/>
                <w:sz w:val="18"/>
                <w:szCs w:val="18"/>
              </w:rPr>
              <w:t> 资部副经理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倪晨勋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平潭综合实验区产业服务有限公司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倪晨勋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平潭综合实验区麒麟股权投资管理有限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平潭综合实验区麒麟股权投资管理有限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平潭综合实验区金融科技有限公司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平潭发展基金合伙企业（有限合伙）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平潭两岸创新创业股权投资合伙企业</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平潭创新股权投资合伙企业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p>
            <w:pPr>
              <w:pStyle w:val="TableParagraph"/>
              <w:spacing w:line="1015" w:lineRule="exact"/>
              <w:ind w:left="2"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52.7pt;height:50.8pt;mso-position-horizontal-relative:char;mso-position-vertical-relative:line" coordorigin="0,0" coordsize="1054,1016">
                  <v:group style="position:absolute;left:0;top:0;width:1054;height:1016" coordorigin="0,0" coordsize="1054,1016">
                    <v:shape style="position:absolute;left:0;top:0;width:1054;height:1016" coordorigin="0,0" coordsize="1054,1016" path="m0,1015l1054,1015,1054,0,0,0,0,1015xe" filled="true" fillcolor="#ffffff" stroked="false">
                      <v:path arrowok="t"/>
                      <v:fill type="solid"/>
                    </v:shape>
                  </v:group>
                  <v:group style="position:absolute;left:22;top:0;width:1008;height:353" coordorigin="22,0" coordsize="1008,353">
                    <v:shape style="position:absolute;left:22;top:0;width:1008;height:353" coordorigin="22,0" coordsize="1008,353" path="m22,353l1030,353,1030,0,22,0,22,353xe" filled="true" fillcolor="#ffffff" stroked="false">
                      <v:path arrowok="t"/>
                      <v:fill type="solid"/>
                    </v:shape>
                  </v:group>
                  <v:group style="position:absolute;left:22;top:353;width:1008;height:312" coordorigin="22,353" coordsize="1008,312">
                    <v:shape style="position:absolute;left:22;top:353;width:1008;height:312" coordorigin="22,353" coordsize="1008,312" path="m22,665l1030,665,1030,353,22,353,22,665xe" filled="true" fillcolor="#ffffff" stroked="false">
                      <v:path arrowok="t"/>
                      <v:fill type="solid"/>
                    </v:shape>
                  </v:group>
                  <v:group style="position:absolute;left:22;top:665;width:1008;height:351" coordorigin="22,665" coordsize="1008,351">
                    <v:shape style="position:absolute;left:22;top:665;width:1008;height:351" coordorigin="22,665" coordsize="1008,351" path="m22,1015l1030,1015,1030,665,22,665,22,1015xe" filled="true" fillcolor="#ffffff" stroked="false">
                      <v:path arrowok="t"/>
                      <v:fill type="solid"/>
                    </v:shape>
                  </v:group>
                </v:group>
              </w:pict>
            </w:r>
            <w:r>
              <w:rPr>
                <w:rFonts w:ascii="宋体" w:hAnsi="宋体" w:cs="宋体" w:eastAsia="宋体" w:hint="default"/>
                <w:position w:val="-19"/>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汉鼎宇佑健康科技有限公司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pict>
          <v:shape style="position:absolute;margin-left:225.412994pt;margin-top:-86.998276pt;width:103.8pt;height:50.8pt;mso-position-horizontal-relative:page;mso-position-vertical-relative:paragraph;z-index:-11296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（有限合伙）</w:t>
                  </w:r>
                </w:p>
              </w:txbxContent>
            </v:textbox>
            <w10:wrap type="none"/>
          </v:shape>
        </w:pict>
      </w: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福建省投资开发集团有限公司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项目主管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微贷（杭州）金融信息服务有限公司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517"/>
              <w:jc w:val="left"/>
              <w:rPr>
                <w:rFonts w:ascii="Times New Roman" w:hAnsi="Times New Roman" w:cs="Times New Roman" w:eastAsia="Times New Roman" w:hint="default"/>
                <w:sz w:val="18"/>
                <w:szCs w:val="18"/>
              </w:rPr>
            </w:pPr>
            <w:r>
              <w:rPr>
                <w:rFonts w:ascii="Times New Roman"/>
                <w:sz w:val="18"/>
              </w:rPr>
              <w:t>Henry</w:t>
            </w:r>
            <w:r>
              <w:rPr>
                <w:rFonts w:ascii="Times New Roman"/>
                <w:spacing w:val="-4"/>
                <w:sz w:val="18"/>
              </w:rPr>
              <w:t> </w:t>
            </w:r>
            <w:r>
              <w:rPr>
                <w:rFonts w:ascii="Times New Roman"/>
                <w:sz w:val="18"/>
              </w:rPr>
              <w:t>L.</w:t>
            </w:r>
            <w:r>
              <w:rPr>
                <w:rFonts w:ascii="Times New Roman"/>
                <w:sz w:val="18"/>
              </w:rPr>
              <w:t> Huang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好医友医疗科技集团有限公司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17"/>
              <w:jc w:val="left"/>
              <w:rPr>
                <w:rFonts w:ascii="Times New Roman" w:hAnsi="Times New Roman" w:cs="Times New Roman" w:eastAsia="Times New Roman" w:hint="default"/>
                <w:sz w:val="18"/>
                <w:szCs w:val="18"/>
              </w:rPr>
            </w:pPr>
            <w:r>
              <w:rPr>
                <w:rFonts w:ascii="Times New Roman"/>
                <w:sz w:val="18"/>
              </w:rPr>
              <w:t>Henry</w:t>
            </w:r>
            <w:r>
              <w:rPr>
                <w:rFonts w:ascii="Times New Roman"/>
                <w:spacing w:val="-4"/>
                <w:sz w:val="18"/>
              </w:rPr>
              <w:t> </w:t>
            </w:r>
            <w:r>
              <w:rPr>
                <w:rFonts w:ascii="Times New Roman"/>
                <w:sz w:val="18"/>
              </w:rPr>
              <w:t>L.</w:t>
            </w:r>
            <w:r>
              <w:rPr>
                <w:rFonts w:ascii="Times New Roman"/>
                <w:sz w:val="18"/>
              </w:rPr>
              <w:t> Huang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医盛（杭州）投资管理有限公司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517"/>
              <w:jc w:val="left"/>
              <w:rPr>
                <w:rFonts w:ascii="Times New Roman" w:hAnsi="Times New Roman" w:cs="Times New Roman" w:eastAsia="Times New Roman" w:hint="default"/>
                <w:sz w:val="18"/>
                <w:szCs w:val="18"/>
              </w:rPr>
            </w:pPr>
            <w:r>
              <w:rPr>
                <w:rFonts w:ascii="Times New Roman"/>
                <w:sz w:val="18"/>
              </w:rPr>
              <w:t>Henry</w:t>
            </w:r>
            <w:r>
              <w:rPr>
                <w:rFonts w:ascii="Times New Roman"/>
                <w:spacing w:val="-4"/>
                <w:sz w:val="18"/>
              </w:rPr>
              <w:t> </w:t>
            </w:r>
            <w:r>
              <w:rPr>
                <w:rFonts w:ascii="Times New Roman"/>
                <w:sz w:val="18"/>
              </w:rPr>
              <w:t>L.</w:t>
            </w:r>
            <w:r>
              <w:rPr>
                <w:rFonts w:ascii="Times New Roman"/>
                <w:sz w:val="18"/>
              </w:rPr>
              <w:t> Huang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加州（厦门）健康管理有限公司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浙江伟星实业发展股份有限公司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华安证券股份有限公司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浙江中控技术股份有限公司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杭商资产管理（杭州）有限公司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浙商基金管理有限公司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浙商期货有限公司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浙江圆音海收藏艺术品交易中心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浙江中新力合融资担保有限公司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佐力科创小额贷款股份有限公司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杭州工商信托股份有限公司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华融金融租赁股份有限公司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大地期货有限公司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舟山蓝海金融研究院有限公司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新湖中宝股份有限公司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杭州汉鼎宇佑金控投资有限公司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汉鼎宇佑健康科技有限公司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浙江汉鼎宇佑智慧医疗服务有限公司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汉鼎宇佑信息产业有限公司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杭州汉鼎宇佑金控投资有限公司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杭州汉鼎宇佑金控投资有限公司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顺发恒业股份有限公司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浙江健盛集团股份有限公司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浙江网盛跨境电商服务有限公司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浙江网盛融资担保有限公司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浙江生意通科技有限公司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浙江金服网络科技有限公司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浙江网盛生意宝股份有限公司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副总经理、董</w:t>
            </w:r>
            <w:r>
              <w:rPr>
                <w:rFonts w:ascii="宋体" w:hAnsi="宋体" w:cs="宋体" w:eastAsia="宋体" w:hint="default"/>
                <w:sz w:val="18"/>
                <w:szCs w:val="18"/>
              </w:rPr>
              <w:t>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宁波网盛大宗商品交易有限公司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董事、监事、高级管理人员报酬的决策程序、确定依据、实际支付情况</w:t>
      </w:r>
    </w:p>
    <w:p>
      <w:pPr>
        <w:pStyle w:val="BodyText"/>
        <w:spacing w:line="300" w:lineRule="auto" w:before="115"/>
        <w:ind w:right="1124"/>
        <w:jc w:val="left"/>
      </w:pPr>
      <w:r>
        <w:rPr>
          <w:rFonts w:ascii="Times New Roman" w:hAnsi="Times New Roman" w:cs="Times New Roman" w:eastAsia="Times New Roman" w:hint="default"/>
        </w:rPr>
        <w:t>1</w:t>
      </w:r>
      <w:r>
        <w:rPr/>
        <w:t>、董事、监事、高级管理人员报酬的决策程序：董事、监事、高级管理人员报酬根据公司薪酬制度确定，由提名、薪酬与 考核委员会考核。独立董事报酬由股东大会确定。</w:t>
      </w:r>
    </w:p>
    <w:p>
      <w:pPr>
        <w:pStyle w:val="BodyText"/>
        <w:spacing w:line="240" w:lineRule="auto" w:before="31"/>
        <w:ind w:right="1133"/>
        <w:jc w:val="left"/>
      </w:pPr>
      <w:r>
        <w:rPr>
          <w:rFonts w:ascii="Times New Roman" w:hAnsi="Times New Roman" w:cs="Times New Roman" w:eastAsia="Times New Roman" w:hint="default"/>
        </w:rPr>
        <w:t>2</w:t>
      </w:r>
      <w:r>
        <w:rPr/>
        <w:t>、董事、监事、高级管理人员报酬确定依据：公司薪酬制度。</w:t>
      </w:r>
    </w:p>
    <w:p>
      <w:pPr>
        <w:pStyle w:val="BodyText"/>
        <w:spacing w:line="340" w:lineRule="auto" w:before="63"/>
        <w:ind w:right="3239"/>
        <w:jc w:val="left"/>
      </w:pPr>
      <w:r>
        <w:rPr>
          <w:rFonts w:ascii="Times New Roman" w:hAnsi="Times New Roman" w:cs="Times New Roman" w:eastAsia="Times New Roman" w:hint="default"/>
        </w:rPr>
        <w:t>3</w:t>
      </w:r>
      <w:r>
        <w:rPr/>
        <w:t>、董事、监事和高级管理人员报酬的实际支付情况：</w:t>
      </w:r>
      <w:r>
        <w:rPr>
          <w:rFonts w:ascii="Times New Roman" w:hAnsi="Times New Roman" w:cs="Times New Roman" w:eastAsia="Times New Roman" w:hint="default"/>
        </w:rPr>
        <w:t>2019</w:t>
      </w:r>
      <w:r>
        <w:rPr/>
        <w:t>年度公司董监高工资合计</w:t>
      </w:r>
      <w:r>
        <w:rPr>
          <w:rFonts w:ascii="Times New Roman" w:hAnsi="Times New Roman" w:cs="Times New Roman" w:eastAsia="Times New Roman" w:hint="default"/>
        </w:rPr>
        <w:t>240.7</w:t>
      </w:r>
      <w:r>
        <w:rPr/>
        <w:t>万元。 公司报告期内董事、监事和高级管理人员报酬情况</w:t>
      </w:r>
    </w:p>
    <w:p>
      <w:pPr>
        <w:pStyle w:val="BodyText"/>
        <w:spacing w:line="240" w:lineRule="auto" w:before="39"/>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从公司获得的税</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是否在公司关联</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陶宝山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31"/>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705" w:lineRule="exact"/>
              <w:ind w:left="2"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67.850pt;height:35.3pt;mso-position-horizontal-relative:char;mso-position-vertical-relative:line" coordorigin="0,0" coordsize="1357,706">
                  <v:group style="position:absolute;left:0;top:0;width:1357;height:706" coordorigin="0,0" coordsize="1357,706">
                    <v:shape style="position:absolute;left:0;top:0;width:1357;height:706" coordorigin="0,0" coordsize="1357,706" path="m0,706l1356,706,1356,0,0,0,0,706xe" filled="true" fillcolor="#ffffff" stroked="false">
                      <v:path arrowok="t"/>
                      <v:fill type="solid"/>
                    </v:shape>
                  </v:group>
                  <v:group style="position:absolute;left:22;top:156;width:1311;height:394" coordorigin="22,156" coordsize="1311,394">
                    <v:shape style="position:absolute;left:22;top:156;width:1311;height:394" coordorigin="22,156" coordsize="1311,394" path="m22,550l1332,550,1332,156,22,156,22,550xe" filled="true" fillcolor="#ffffff" stroked="false">
                      <v:path arrowok="t"/>
                      <v:fill type="solid"/>
                    </v:shape>
                  </v:group>
                </v:group>
              </w:pict>
            </w:r>
            <w:r>
              <w:rPr>
                <w:rFonts w:ascii="宋体" w:hAnsi="宋体" w:cs="宋体" w:eastAsia="宋体"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Henry L.</w:t>
            </w:r>
            <w:r>
              <w:rPr>
                <w:rFonts w:ascii="Times New Roman"/>
                <w:spacing w:val="-5"/>
                <w:sz w:val="18"/>
              </w:rPr>
              <w:t> </w:t>
            </w:r>
            <w:r>
              <w:rPr>
                <w:rFonts w:ascii="Times New Roman"/>
                <w:sz w:val="18"/>
              </w:rPr>
              <w:t>Huang</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林向阳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谢家清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倪晨勋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李童童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章怡雯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叶兴波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裘学初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pict>
          <v:shape style="position:absolute;margin-left:259.010010pt;margin-top:17.717718pt;width:58.1pt;height:66.55pt;mso-position-horizontal-relative:page;mso-position-vertical-relative:paragraph;z-index:-1129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r>
        <w:rPr/>
        <w:pict>
          <v:shape style="position:absolute;margin-left:151.703003pt;margin-top:231.259979pt;width:109.95pt;height:35.3pt;mso-position-horizontal-relative:page;mso-position-vertical-relative:page;z-index:-1129648" type="#_x0000_t202" filled="false" stroked="false">
            <v:textbox inset="0,0,0,0">
              <w:txbxContent>
                <w:p>
                  <w:pPr>
                    <w:pStyle w:val="BodyText"/>
                    <w:spacing w:line="240" w:lineRule="auto" w:before="49"/>
                    <w:ind w:left="0" w:right="0"/>
                    <w:jc w:val="left"/>
                  </w:pPr>
                  <w:r>
                    <w:rPr/>
                    <w:t>财务总监、</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2"/>
        <w:gridCol w:w="869"/>
        <w:gridCol w:w="871"/>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156,621</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365,450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93,226</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208,828</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总监、董事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372,908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108,144</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69"/>
        <w:gridCol w:w="871"/>
        <w:gridCol w:w="869"/>
        <w:gridCol w:w="872"/>
        <w:gridCol w:w="869"/>
        <w:gridCol w:w="871"/>
        <w:gridCol w:w="869"/>
        <w:gridCol w:w="871"/>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149,163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44,749</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104,414</w:t>
            </w: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1,342,468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402,740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939,728</w:t>
            </w:r>
          </w:p>
        </w:tc>
      </w:tr>
      <w:tr>
        <w:trPr>
          <w:trHeight w:val="196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日，公司第三届董事会第三十三次会议，会议审议通过了《关于回购注销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年限制性股票激</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励计划首次授予第一期限制性股票的议案</w:t>
            </w:r>
            <w:r>
              <w:rPr>
                <w:rFonts w:ascii="宋体" w:hAnsi="宋体" w:cs="宋体" w:eastAsia="宋体" w:hint="default"/>
                <w:spacing w:val="-92"/>
                <w:sz w:val="18"/>
                <w:szCs w:val="18"/>
              </w:rPr>
              <w:t>》</w:t>
            </w:r>
            <w:r>
              <w:rPr>
                <w:rFonts w:ascii="宋体" w:hAnsi="宋体" w:cs="宋体" w:eastAsia="宋体" w:hint="default"/>
                <w:sz w:val="18"/>
                <w:szCs w:val="18"/>
              </w:rPr>
              <w:t>，因获授限制性</w:t>
            </w:r>
            <w:r>
              <w:rPr>
                <w:rFonts w:ascii="宋体" w:hAnsi="宋体" w:cs="宋体" w:eastAsia="宋体" w:hint="default"/>
                <w:spacing w:val="2"/>
                <w:sz w:val="18"/>
                <w:szCs w:val="18"/>
              </w:rPr>
              <w:t>股</w:t>
            </w:r>
            <w:r>
              <w:rPr>
                <w:rFonts w:ascii="宋体" w:hAnsi="宋体" w:cs="宋体" w:eastAsia="宋体" w:hint="default"/>
                <w:sz w:val="18"/>
                <w:szCs w:val="18"/>
              </w:rPr>
              <w:t>票未达解锁条件，公司决定对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激励计划首次授予第一期已授予未解锁的限制性股票予以回购注销</w:t>
            </w:r>
            <w:r>
              <w:rPr>
                <w:rFonts w:ascii="宋体" w:hAnsi="宋体" w:cs="宋体" w:eastAsia="宋体" w:hint="default"/>
                <w:spacing w:val="-89"/>
                <w:sz w:val="18"/>
                <w:szCs w:val="18"/>
              </w:rPr>
              <w:t>。</w:t>
            </w:r>
            <w:r>
              <w:rPr>
                <w:rFonts w:ascii="宋体" w:hAnsi="宋体" w:cs="宋体" w:eastAsia="宋体" w:hint="default"/>
                <w:sz w:val="18"/>
                <w:szCs w:val="18"/>
              </w:rPr>
              <w:t>本次回购涉及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限制性股票激励计划</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首次授予激励对象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人，回购限制性股票数量为</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3,190,600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股，其中涉及董事、高管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名，限制性股票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402,740</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股。经中国证券登记结算有限责任公司深圳分公司审核确认，公司本次回购股票注销事宜已于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日办理完成。公司已依法办理相关的工商变更登记手续。</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spacing w:val="-2"/>
        </w:rPr>
        <w:t>公司严格按照《中华人民共和国劳动法》和有关劳动法律法规的规定，向员工提供稳定且在行业内具备竞争优势的薪酬，以</w:t>
      </w:r>
      <w:r>
        <w:rPr>
          <w:spacing w:val="-64"/>
        </w:rPr>
        <w:t> </w:t>
      </w:r>
      <w:r>
        <w:rPr>
          <w:spacing w:val="-64"/>
        </w:rPr>
      </w:r>
      <w:r>
        <w:rPr>
          <w:spacing w:val="-2"/>
        </w:rPr>
        <w:t>维持员工队伍的凝聚力及向心力，并充分调动员工工作的积极性和创造性。公司严格执行国家用工制度、劳动保护制度、社</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2"/>
        <w:jc w:val="both"/>
      </w:pPr>
      <w:r>
        <w:rPr>
          <w:spacing w:val="-2"/>
        </w:rPr>
        <w:t>会保障制度和医疗保障制度，按照国家规定为员工缴纳医疗保险金、养老保险、失业保险、工伤保险、生育保险、住房公积</w:t>
      </w:r>
      <w:r>
        <w:rPr>
          <w:spacing w:val="-67"/>
        </w:rPr>
        <w:t> </w:t>
      </w:r>
      <w:r>
        <w:rPr>
          <w:spacing w:val="-67"/>
        </w:rPr>
      </w:r>
      <w:r>
        <w:rPr/>
        <w:t>金。</w:t>
      </w:r>
    </w:p>
    <w:p>
      <w:pPr>
        <w:spacing w:line="240" w:lineRule="auto" w:before="9"/>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jc w:val="both"/>
      </w:pPr>
      <w:r>
        <w:rPr>
          <w:spacing w:val="-2"/>
        </w:rPr>
        <w:t>公司将培训工作作为公司长期战略的重要组成部分。通过年度发展计划、岗位职责和绩效改进的需要，以及员工自身能力差</w:t>
      </w:r>
      <w:r>
        <w:rPr>
          <w:spacing w:val="-63"/>
        </w:rPr>
        <w:t> </w:t>
      </w:r>
      <w:r>
        <w:rPr>
          <w:spacing w:val="-63"/>
        </w:rPr>
      </w:r>
      <w:r>
        <w:rPr>
          <w:spacing w:val="-2"/>
        </w:rPr>
        <w:t>距和职业发展的需求，使员工的学习和发展既能促进公司整体目标的实现，又能满足员工个人能力和职业发展的需求，实现</w:t>
      </w:r>
      <w:r>
        <w:rPr>
          <w:spacing w:val="-63"/>
        </w:rPr>
        <w:t> </w:t>
      </w:r>
      <w:r>
        <w:rPr>
          <w:spacing w:val="-63"/>
        </w:rPr>
      </w:r>
      <w:r>
        <w:rPr/>
        <w:t>公司和个人的双赢。公司培训内容以内部培训、在职培训等多种形式开展。</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9"/>
        <w:jc w:val="center"/>
        <w:rPr>
          <w:b w:val="0"/>
          <w:bCs w:val="0"/>
        </w:rPr>
      </w:pPr>
      <w:bookmarkStart w:name="_bookmark8" w:id="9"/>
      <w:bookmarkEnd w:id="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jc w:val="both"/>
      </w:pPr>
      <w:r>
        <w:rPr>
          <w:spacing w:val="-5"/>
        </w:rPr>
        <w:t>报告期内，公司严格按照《公司法》、《证券法》、《上市公司治理准则》、《深圳证券交易所创业板股票上市规则》、《深</w:t>
      </w:r>
      <w:r>
        <w:rPr>
          <w:spacing w:val="-87"/>
        </w:rPr>
        <w:t> </w:t>
      </w:r>
      <w:r>
        <w:rPr>
          <w:spacing w:val="-87"/>
        </w:rPr>
      </w:r>
      <w:r>
        <w:rPr>
          <w:spacing w:val="-2"/>
        </w:rPr>
        <w:t>圳证券交易所创业板上市公司规范运作指引》等法律、法规和中国证监会有关法律法规的要求，不断完善公司的法人治理结</w:t>
      </w:r>
      <w:r>
        <w:rPr>
          <w:spacing w:val="-66"/>
        </w:rPr>
        <w:t> </w:t>
      </w:r>
      <w:r>
        <w:rPr>
          <w:spacing w:val="-66"/>
        </w:rPr>
      </w:r>
      <w:r>
        <w:rPr>
          <w:spacing w:val="-2"/>
        </w:rPr>
        <w:t>构，建立健全公司内部管理和控制制度，持续深入开展公司治理活动，促进公司规范运作，提高公司治理水平。截至报告期</w:t>
      </w:r>
      <w:r>
        <w:rPr>
          <w:spacing w:val="-67"/>
        </w:rPr>
        <w:t> </w:t>
      </w:r>
      <w:r>
        <w:rPr>
          <w:spacing w:val="-67"/>
        </w:rPr>
      </w:r>
      <w:r>
        <w:rPr/>
        <w:t>末，公司治理的实际状况符合《上市公司治理准则》和《深圳证券交易所创业板上市公司规范运作指引》等要求。</w:t>
      </w:r>
    </w:p>
    <w:p>
      <w:pPr>
        <w:pStyle w:val="BodyText"/>
        <w:spacing w:line="316" w:lineRule="auto" w:before="19"/>
        <w:ind w:right="986"/>
        <w:jc w:val="left"/>
      </w:pPr>
      <w:r>
        <w:rPr/>
        <w:t>（一）关于股东和股东大会 </w:t>
      </w:r>
      <w:r>
        <w:rPr>
          <w:spacing w:val="-4"/>
        </w:rPr>
        <w:t>报告期内，公司召开股东大会四次，其中召开年度股东大会一次。公司严格按照《上市公司股东大会规则》、《公司章程》、</w:t>
      </w:r>
    </w:p>
    <w:p>
      <w:pPr>
        <w:pStyle w:val="BodyText"/>
        <w:spacing w:line="314" w:lineRule="auto" w:before="19"/>
        <w:ind w:right="1129"/>
        <w:jc w:val="both"/>
      </w:pPr>
      <w:r>
        <w:rPr>
          <w:spacing w:val="-2"/>
        </w:rPr>
        <w:t>《股东大会议事规则》等规定和要求，规范股东大会召集、召开、表决程序，切实保护中小股东的权益，会议记录完整、会</w:t>
      </w:r>
      <w:r>
        <w:rPr>
          <w:spacing w:val="-73"/>
        </w:rPr>
        <w:t> </w:t>
      </w:r>
      <w:r>
        <w:rPr>
          <w:spacing w:val="-73"/>
        </w:rPr>
      </w:r>
      <w:r>
        <w:rPr>
          <w:spacing w:val="-2"/>
        </w:rPr>
        <w:t>议决议及时完整披露。聘请律师列席股东大会并对股东大会的召开和表决程序出具法律意见书。公司召开的股东大会不存在</w:t>
      </w:r>
      <w:r>
        <w:rPr>
          <w:spacing w:val="-64"/>
        </w:rPr>
        <w:t> </w:t>
      </w:r>
      <w:r>
        <w:rPr>
          <w:spacing w:val="-64"/>
        </w:rPr>
      </w:r>
      <w:r>
        <w:rPr>
          <w:spacing w:val="-1"/>
        </w:rPr>
        <w:t>违反《上市公司股东大会规则》的情形，公司未发生单独或合并持有公司有表决权股份总数</w:t>
      </w:r>
      <w:r>
        <w:rPr>
          <w:rFonts w:ascii="Times New Roman" w:hAnsi="Times New Roman" w:cs="Times New Roman" w:eastAsia="Times New Roman" w:hint="default"/>
          <w:spacing w:val="-1"/>
        </w:rPr>
        <w:t>10%</w:t>
      </w:r>
      <w:r>
        <w:rPr>
          <w:spacing w:val="-1"/>
        </w:rPr>
        <w:t>以上的股东请求召开临时股</w:t>
      </w:r>
      <w:r>
        <w:rPr>
          <w:spacing w:val="-85"/>
        </w:rPr>
        <w:t> </w:t>
      </w:r>
      <w:r>
        <w:rPr>
          <w:spacing w:val="-2"/>
        </w:rPr>
        <w:t>东大会的情形，也无应监事会提议召开的股东大会。按照《公司章程》规定应由股东大会审议的重大事项，本公司均通过股</w:t>
      </w:r>
      <w:r>
        <w:rPr>
          <w:spacing w:val="-66"/>
        </w:rPr>
        <w:t> </w:t>
      </w:r>
      <w:r>
        <w:rPr>
          <w:spacing w:val="-66"/>
        </w:rPr>
      </w:r>
      <w:r>
        <w:rPr>
          <w:spacing w:val="-2"/>
        </w:rPr>
        <w:t>东大会审议，不存在绕过股东大会的情况，也不存在先实施后审议的情况。公司平等对待所有股东，并采用网络投票的方式</w:t>
      </w:r>
      <w:r>
        <w:rPr>
          <w:spacing w:val="-65"/>
        </w:rPr>
        <w:t> </w:t>
      </w:r>
      <w:r>
        <w:rPr>
          <w:spacing w:val="-65"/>
        </w:rPr>
      </w:r>
      <w:r>
        <w:rPr/>
        <w:t>为股东参加股东大会提供便利，确保全体股东特别是中小股东享有平等地位，充分尊重和维护全体股东的合法权益。</w:t>
      </w:r>
    </w:p>
    <w:p>
      <w:pPr>
        <w:pStyle w:val="BodyText"/>
        <w:spacing w:line="309" w:lineRule="auto" w:before="20"/>
        <w:ind w:right="986"/>
        <w:jc w:val="left"/>
      </w:pPr>
      <w:r>
        <w:rPr/>
        <w:t>（二）关于董事和董事会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名，独立董事人数达到董事会人数的三分之一，且人员构成符合法律、法规和《公司</w:t>
      </w:r>
      <w:r>
        <w:rPr>
          <w:spacing w:val="-63"/>
        </w:rPr>
        <w:t> </w:t>
      </w:r>
      <w:r>
        <w:rPr>
          <w:spacing w:val="-63"/>
        </w:rPr>
      </w:r>
      <w:r>
        <w:rPr>
          <w:spacing w:val="-4"/>
        </w:rPr>
        <w:t>章程》的要求。公司董事能够依据《深圳证券交易所创业板上市公司规范运作指引》、《公司章程》、《董事会议事规则》、</w:t>
      </w:r>
    </w:p>
    <w:p>
      <w:pPr>
        <w:pStyle w:val="BodyText"/>
        <w:spacing w:line="319" w:lineRule="auto" w:before="24"/>
        <w:ind w:right="986"/>
        <w:jc w:val="left"/>
      </w:pPr>
      <w:r>
        <w:rPr/>
        <w:t>《独立董事工作制度》等开展工作，出席董事会会议和股东大会会议，忠实、诚信、勤勉履行职责和义务。 </w:t>
      </w:r>
      <w:r>
        <w:rPr>
          <w:spacing w:val="-2"/>
        </w:rPr>
        <w:t>报告期内，董事会召开会议十二次。董事会的召集和召开程序符合《公司法》、《公司章程》、《董事会议事规则》的相关</w:t>
      </w:r>
      <w:r>
        <w:rPr>
          <w:spacing w:val="-71"/>
        </w:rPr>
        <w:t> </w:t>
      </w:r>
      <w:r>
        <w:rPr>
          <w:spacing w:val="-71"/>
        </w:rPr>
      </w:r>
      <w:r>
        <w:rPr>
          <w:spacing w:val="-2"/>
        </w:rPr>
        <w:t>规定，会议记录完整，会议决议及时充分披露。董事会各成员都能勤勉尽责，认真履行《公司章程》赋予的职权，并积极参</w:t>
      </w:r>
      <w:r>
        <w:rPr>
          <w:spacing w:val="-73"/>
        </w:rPr>
        <w:t> </w:t>
      </w:r>
      <w:r>
        <w:rPr>
          <w:spacing w:val="-73"/>
        </w:rPr>
      </w:r>
      <w:r>
        <w:rPr>
          <w:spacing w:val="-2"/>
        </w:rPr>
        <w:t>加公司历次董事会，对公司董事会的科学决策、促进公司的良性发展起到了积极的作用。董事会下设的专门委员会，各尽其</w:t>
      </w:r>
      <w:r>
        <w:rPr>
          <w:spacing w:val="-65"/>
        </w:rPr>
        <w:t> </w:t>
      </w:r>
      <w:r>
        <w:rPr>
          <w:spacing w:val="-65"/>
        </w:rPr>
      </w:r>
      <w:r>
        <w:rPr/>
        <w:t>责，提高了董事会的决策效率。</w:t>
      </w:r>
    </w:p>
    <w:p>
      <w:pPr>
        <w:pStyle w:val="BodyText"/>
        <w:spacing w:line="314" w:lineRule="auto" w:before="17"/>
        <w:ind w:right="986"/>
        <w:jc w:val="left"/>
      </w:pPr>
      <w:r>
        <w:rPr/>
        <w:t>（三）关于监事和监事会 </w:t>
      </w:r>
      <w:r>
        <w:rPr>
          <w:spacing w:val="-2"/>
        </w:rPr>
        <w:t>公司监事会设立监事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名，监事会的人数及人员构成符合法律、法规和《公司章程》的要求。各位监</w:t>
      </w:r>
      <w:r>
        <w:rPr>
          <w:spacing w:val="-66"/>
        </w:rPr>
        <w:t> </w:t>
      </w:r>
      <w:r>
        <w:rPr>
          <w:spacing w:val="-66"/>
        </w:rPr>
      </w:r>
      <w:r>
        <w:rPr/>
        <w:t>事能够按照《公司监事会议事规则》的要求，认真履行自己的职责。 </w:t>
      </w:r>
      <w:r>
        <w:rPr>
          <w:spacing w:val="-2"/>
        </w:rPr>
        <w:t>报告期内，监事会召开会议八次。各位监事能够按照公司《监事会议事规则》的要求，认真履行职责，对公司重大事项、关</w:t>
      </w:r>
      <w:r>
        <w:rPr>
          <w:spacing w:val="-73"/>
        </w:rPr>
        <w:t> </w:t>
      </w:r>
      <w:r>
        <w:rPr>
          <w:spacing w:val="-73"/>
        </w:rPr>
      </w:r>
      <w:r>
        <w:rPr/>
        <w:t>联交易、财务状况以及董事、高级管理人员履行职责的合法合规性进行监督，并发表专项核查意见。</w:t>
      </w:r>
    </w:p>
    <w:p>
      <w:pPr>
        <w:pStyle w:val="BodyText"/>
        <w:spacing w:line="309" w:lineRule="auto" w:before="20"/>
        <w:ind w:right="1124"/>
        <w:jc w:val="left"/>
      </w:pPr>
      <w:r>
        <w:rPr/>
        <w:t>（四）关于公司与控股股东及实际控制人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月公司完成了控股股东及实际控制人变更，实际控制人变更为平潭国资局，控股股东变更为平潭创投。公司通过自</w:t>
      </w:r>
      <w:r>
        <w:rPr>
          <w:spacing w:val="-60"/>
        </w:rPr>
        <w:t> </w:t>
      </w:r>
      <w:r>
        <w:rPr>
          <w:spacing w:val="-60"/>
        </w:rPr>
      </w:r>
      <w:r>
        <w:rPr>
          <w:spacing w:val="-2"/>
        </w:rPr>
        <w:t>查发现，截至报告期末，上述非经营性资金占用尚有</w:t>
      </w:r>
      <w:r>
        <w:rPr>
          <w:rFonts w:ascii="Times New Roman" w:hAnsi="Times New Roman" w:cs="Times New Roman" w:eastAsia="Times New Roman" w:hint="default"/>
          <w:spacing w:val="-2"/>
        </w:rPr>
        <w:t>7000</w:t>
      </w:r>
      <w:r>
        <w:rPr>
          <w:spacing w:val="-2"/>
        </w:rPr>
        <w:t>万元未归还，剩余款项正在逐步归还中，截至本报告披露日，已归</w:t>
      </w:r>
      <w:r>
        <w:rPr>
          <w:spacing w:val="-66"/>
        </w:rPr>
        <w:t> </w:t>
      </w:r>
      <w:r>
        <w:rPr>
          <w:spacing w:val="-66"/>
        </w:rPr>
      </w:r>
      <w:r>
        <w:rPr/>
        <w:t>还</w:t>
      </w:r>
      <w:r>
        <w:rPr>
          <w:rFonts w:ascii="Times New Roman" w:hAnsi="Times New Roman" w:cs="Times New Roman" w:eastAsia="Times New Roman" w:hint="default"/>
        </w:rPr>
        <w:t>2000</w:t>
      </w:r>
      <w:r>
        <w:rPr/>
        <w:t>万元，根据公司要求，前控股股东承诺在</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日前将上述剩余非经营性资金占用归还至上市公司。公司控制 </w:t>
      </w:r>
      <w:r>
        <w:rPr>
          <w:spacing w:val="-2"/>
        </w:rPr>
        <w:t>权变更后，公司拥有独立的业务和经营自主能力，在业务、人员、资产、机构、财务上独立于控股股东，公司董事会、监事</w:t>
      </w:r>
      <w:r>
        <w:rPr>
          <w:spacing w:val="-65"/>
        </w:rPr>
        <w:t> </w:t>
      </w:r>
      <w:r>
        <w:rPr>
          <w:spacing w:val="-65"/>
        </w:rPr>
      </w:r>
      <w:r>
        <w:rPr>
          <w:spacing w:val="-2"/>
        </w:rPr>
        <w:t>会和内部机构独立运作。公司现控股股东及实际控制人均严格规范自己的行为，没有超越公司股东大会直接或间接干预公司</w:t>
      </w:r>
      <w:r>
        <w:rPr>
          <w:spacing w:val="-64"/>
        </w:rPr>
        <w:t> </w:t>
      </w:r>
      <w:r>
        <w:rPr>
          <w:spacing w:val="-64"/>
        </w:rPr>
      </w:r>
      <w:r>
        <w:rPr/>
        <w:t>的决策和经营活动的行为。</w:t>
      </w:r>
    </w:p>
    <w:p>
      <w:pPr>
        <w:pStyle w:val="BodyText"/>
        <w:spacing w:line="316" w:lineRule="auto" w:before="24"/>
        <w:ind w:right="1129"/>
        <w:jc w:val="left"/>
      </w:pPr>
      <w:r>
        <w:rPr/>
        <w:t>（五）关于信息披露与透明度 </w:t>
      </w:r>
      <w:r>
        <w:rPr>
          <w:spacing w:val="-2"/>
        </w:rPr>
        <w:t>公司严格按照有关法律法规以及《信息披露管理制度》、《投资者关系管理制度》的要求，真实、准确、及时、公平、完整</w:t>
      </w:r>
      <w:r>
        <w:rPr>
          <w:spacing w:val="-69"/>
        </w:rPr>
        <w:t> </w:t>
      </w:r>
      <w:r>
        <w:rPr>
          <w:spacing w:val="-69"/>
        </w:rPr>
      </w:r>
      <w:r>
        <w:rPr>
          <w:spacing w:val="-2"/>
        </w:rPr>
        <w:t>地披露有关信息。为规范公司的内幕信息管理，防范内幕信息知情人员滥用知情权，泄露内幕信息，进行内幕交易，损害广</w:t>
      </w:r>
      <w:r>
        <w:rPr>
          <w:spacing w:val="-67"/>
        </w:rPr>
        <w:t> </w:t>
      </w:r>
      <w:r>
        <w:rPr>
          <w:spacing w:val="-67"/>
        </w:rPr>
      </w:r>
      <w:r>
        <w:rPr>
          <w:spacing w:val="-5"/>
        </w:rPr>
        <w:t>大投资者的合法权益，根据《中华人民共和国公司法》、《中华人民共和国证券法》、《上市公司信息披露管理办法》、《深</w:t>
      </w:r>
      <w:r>
        <w:rPr>
          <w:spacing w:val="-82"/>
        </w:rPr>
        <w:t> </w:t>
      </w:r>
      <w:r>
        <w:rPr>
          <w:spacing w:val="-82"/>
        </w:rPr>
      </w:r>
      <w:r>
        <w:rPr>
          <w:spacing w:val="-2"/>
        </w:rPr>
        <w:t>圳证券交易所创业板股票上市规则》等有关法律、法规和《公司章程》、公司制定的《内幕信息知情人管理制度》等有关规</w:t>
      </w:r>
      <w:r>
        <w:rPr>
          <w:spacing w:val="-73"/>
        </w:rPr>
        <w:t> </w:t>
      </w:r>
      <w:r>
        <w:rPr>
          <w:spacing w:val="-73"/>
        </w:rPr>
      </w:r>
      <w:r>
        <w:rPr/>
        <w:t>定，在重要情况发生时，公司第一时间建立内幕信息知情人档案登记。</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129"/>
        <w:jc w:val="both"/>
      </w:pPr>
      <w:r>
        <w:rPr>
          <w:spacing w:val="-2"/>
        </w:rPr>
        <w:t>公司指定董事会秘书全面负责信息披露工作，协调公司与投资者关系，接待股东来访，回答投资者咨询，向投资者提供公司</w:t>
      </w:r>
      <w:r>
        <w:rPr>
          <w:spacing w:val="-63"/>
        </w:rPr>
        <w:t> </w:t>
      </w:r>
      <w:r>
        <w:rPr>
          <w:spacing w:val="-63"/>
        </w:rPr>
      </w:r>
      <w:r>
        <w:rPr>
          <w:spacing w:val="-2"/>
        </w:rPr>
        <w:t>已披露的资料；以巨潮资讯网为信息披露网站，中国证券报、证券时报、证券日报和上海证券报作为公司定期报告披露提示</w:t>
      </w:r>
      <w:r>
        <w:rPr>
          <w:spacing w:val="-64"/>
        </w:rPr>
        <w:t> </w:t>
      </w:r>
      <w:r>
        <w:rPr>
          <w:spacing w:val="-64"/>
        </w:rPr>
      </w:r>
      <w:r>
        <w:rPr>
          <w:spacing w:val="-2"/>
        </w:rPr>
        <w:t>性公告的指定报刊，使公司所有投资者能够平等获得公司信息；维护专线电话、专用邮箱、互动易平台等多种沟通渠道，采</w:t>
      </w:r>
      <w:r>
        <w:rPr>
          <w:spacing w:val="-67"/>
        </w:rPr>
        <w:t> </w:t>
      </w:r>
      <w:r>
        <w:rPr>
          <w:spacing w:val="-67"/>
        </w:rPr>
      </w:r>
      <w:r>
        <w:rPr>
          <w:spacing w:val="-2"/>
        </w:rPr>
        <w:t>取积极回复投资者咨询、接受投资者来访与调研的态度，持续重视和维护与投资者之间良好的互动关系。同时，公司利用自</w:t>
      </w:r>
      <w:r>
        <w:rPr>
          <w:spacing w:val="-64"/>
        </w:rPr>
        <w:t> </w:t>
      </w:r>
      <w:r>
        <w:rPr>
          <w:spacing w:val="-64"/>
        </w:rPr>
      </w:r>
      <w:r>
        <w:rPr>
          <w:spacing w:val="-2"/>
        </w:rPr>
        <w:t>有官方网站作为信息披露的补充手段，传播公司新闻和简讯，为关注公司的投资者提供多角度的信息获取通道。今后，公司</w:t>
      </w:r>
      <w:r>
        <w:rPr>
          <w:spacing w:val="-64"/>
        </w:rPr>
        <w:t> </w:t>
      </w:r>
      <w:r>
        <w:rPr>
          <w:spacing w:val="-64"/>
        </w:rPr>
      </w:r>
      <w:r>
        <w:rPr/>
        <w:t>仍将不断尝试更加有效和充分的管理方式和方法，不断提高公司信息透明度，最大程度保障全体股东的合法权益。</w:t>
      </w:r>
    </w:p>
    <w:p>
      <w:pPr>
        <w:pStyle w:val="BodyText"/>
        <w:spacing w:line="316" w:lineRule="auto" w:before="19"/>
        <w:ind w:right="1133"/>
        <w:jc w:val="left"/>
      </w:pPr>
      <w:r>
        <w:rPr/>
        <w:t>（六）关于绩效评价和激励约束 </w:t>
      </w:r>
      <w:r>
        <w:rPr>
          <w:spacing w:val="-2"/>
        </w:rPr>
        <w:t>公司正逐步建立和完善公正、透明的董事、监事和高级管理人员的绩效评价标准。高级管理人员的聘任公开、透明，符合法</w:t>
      </w:r>
      <w:r>
        <w:rPr>
          <w:spacing w:val="-67"/>
        </w:rPr>
        <w:t> </w:t>
      </w:r>
      <w:r>
        <w:rPr>
          <w:spacing w:val="-67"/>
        </w:rPr>
      </w:r>
      <w:r>
        <w:rPr/>
        <w:t>律、法规的规定。</w:t>
      </w:r>
    </w:p>
    <w:p>
      <w:pPr>
        <w:pStyle w:val="BodyText"/>
        <w:spacing w:line="316" w:lineRule="auto" w:before="19"/>
        <w:ind w:right="1133"/>
        <w:jc w:val="left"/>
      </w:pPr>
      <w:r>
        <w:rPr/>
        <w:t>（七）关于相关利益者 </w:t>
      </w:r>
      <w:r>
        <w:rPr>
          <w:spacing w:val="-2"/>
        </w:rPr>
        <w:t>公司充分尊重和维护相关利益者的合法权益，实现投资者、客户、供应商、员工及社会等各方利益的协调平衡，共同推动公</w:t>
      </w:r>
      <w:r>
        <w:rPr>
          <w:spacing w:val="-67"/>
        </w:rPr>
        <w:t> </w:t>
      </w:r>
      <w:r>
        <w:rPr>
          <w:spacing w:val="-67"/>
        </w:rPr>
      </w:r>
      <w:r>
        <w:rPr/>
        <w:t>司持续、健康发展。</w:t>
      </w:r>
    </w:p>
    <w:p>
      <w:pPr>
        <w:pStyle w:val="BodyText"/>
        <w:spacing w:line="319" w:lineRule="auto" w:before="19"/>
        <w:ind w:right="986"/>
        <w:jc w:val="left"/>
      </w:pPr>
      <w:r>
        <w:rPr/>
        <w:t>（八）关于内部审计 </w:t>
      </w:r>
      <w:r>
        <w:rPr>
          <w:spacing w:val="-2"/>
        </w:rPr>
        <w:t>公司设立内审部，内审部人员在董事会审计委员会的领导下对公司的内部控制、项目运行及财务状况等进行审计和监督。加</w:t>
      </w:r>
      <w:r>
        <w:rPr>
          <w:spacing w:val="-63"/>
        </w:rPr>
        <w:t> </w:t>
      </w:r>
      <w:r>
        <w:rPr>
          <w:spacing w:val="-63"/>
        </w:rPr>
      </w:r>
      <w:r>
        <w:rPr/>
        <w:t>强了公司内部监督和风险控制，保障公司财务管理、会计核算等符合国家各项法律法规要求。</w:t>
      </w:r>
    </w:p>
    <w:p>
      <w:pPr>
        <w:pStyle w:val="BodyText"/>
        <w:spacing w:line="240" w:lineRule="auto" w:before="58"/>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124"/>
        <w:jc w:val="left"/>
      </w:pPr>
      <w:r>
        <w:rPr/>
        <w:t>公司与控股股东相互独立，具有独立完整的业务及自主经营能力。 </w:t>
      </w:r>
      <w:r>
        <w:rPr>
          <w:rFonts w:ascii="Times New Roman" w:hAnsi="Times New Roman" w:cs="Times New Roman" w:eastAsia="Times New Roman" w:hint="default"/>
        </w:rPr>
        <w:t>1</w:t>
      </w:r>
      <w:r>
        <w:rPr/>
        <w:t>、业务：公司业务独立于控股股东及其下属单位，拥有独立完整的供应、生产和销售系统，独立开展业务，不依赖于股东 或其它任何关联方。 </w:t>
      </w:r>
      <w:r>
        <w:rPr>
          <w:rFonts w:ascii="Times New Roman" w:hAnsi="Times New Roman" w:cs="Times New Roman" w:eastAsia="Times New Roman" w:hint="default"/>
        </w:rPr>
        <w:t>2</w:t>
      </w:r>
      <w:r>
        <w:rPr/>
        <w:t>、人员：公司人员、劳动、人事及工资完全独立。公司总经理、副总经理、董事会秘书、财务负责人等高级管理人员均在 公司工作并领取薪酬，未出现在控股股东及其下属企业担任职务和领取报酬的情形。 </w:t>
      </w:r>
      <w:r>
        <w:rPr>
          <w:rFonts w:ascii="Times New Roman" w:hAnsi="Times New Roman" w:cs="Times New Roman" w:eastAsia="Times New Roman" w:hint="default"/>
        </w:rPr>
        <w:t>3</w:t>
      </w:r>
      <w:r>
        <w:rPr/>
        <w:t>、资产：公司拥有独立于控股股东的经营场所，拥有独立完整的资产结构，房屋所有权等资产，拥有独立的采购和销售系 统。</w:t>
      </w:r>
    </w:p>
    <w:p>
      <w:pPr>
        <w:pStyle w:val="BodyText"/>
        <w:spacing w:line="240" w:lineRule="auto" w:before="24"/>
        <w:ind w:right="1133"/>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pStyle w:val="BodyText"/>
        <w:spacing w:line="300" w:lineRule="auto" w:before="63"/>
        <w:ind w:right="1124"/>
        <w:jc w:val="left"/>
      </w:pPr>
      <w:r>
        <w:rPr>
          <w:rFonts w:ascii="Times New Roman" w:hAnsi="Times New Roman" w:cs="Times New Roman" w:eastAsia="Times New Roman" w:hint="default"/>
        </w:rPr>
        <w:t>5</w:t>
      </w:r>
      <w:r>
        <w:rPr/>
        <w:t>、财务：公司有独立的财务会计部门，建立了独立的会计核算体系和财务管理制度，独立进行财务决策。公司独立开设银 行账户，独立纳税。</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1007" w:right="0"/>
              <w:jc w:val="left"/>
              <w:rPr>
                <w:rFonts w:ascii="Times New Roman" w:hAnsi="Times New Roman" w:cs="Times New Roman" w:eastAsia="Times New Roman" w:hint="default"/>
                <w:sz w:val="18"/>
                <w:szCs w:val="18"/>
              </w:rPr>
            </w:pPr>
            <w:r>
              <w:rPr>
                <w:rFonts w:ascii="Times New Roman"/>
                <w:sz w:val="18"/>
              </w:rPr>
              <w:t>42.00%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2019-033</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第一次临时股东大</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38" w:lineRule="auto" w:before="8"/>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会决议公告》</w:t>
              <w:tab/>
              <w:t>巨 潮资讯网 </w:t>
            </w:r>
            <w:hyperlink r:id="rId13">
              <w:r>
                <w:rPr>
                  <w:rFonts w:ascii="Times New Roman" w:hAnsi="Times New Roman" w:cs="Times New Roman" w:eastAsia="Times New Roman" w:hint="default"/>
                  <w:sz w:val="18"/>
                  <w:szCs w:val="18"/>
                </w:rPr>
                <w:t>www.cninfo.com.cn</w:t>
              </w:r>
            </w:hyperlink>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312" w:lineRule="exact" w:before="9"/>
              <w:ind w:left="23" w:right="1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2019-056</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度股东大会决议公 告》</w:t>
              <w:tab/>
              <w:t>巨潮资讯网 </w:t>
            </w:r>
            <w:hyperlink r:id="rId13">
              <w:r>
                <w:rPr>
                  <w:rFonts w:ascii="Times New Roman" w:hAnsi="Times New Roman" w:cs="Times New Roman" w:eastAsia="Times New Roman" w:hint="default"/>
                  <w:sz w:val="18"/>
                  <w:szCs w:val="18"/>
                </w:rPr>
                <w:t>www.cninfo.com.cn</w:t>
              </w:r>
            </w:hyperlink>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09" w:lineRule="auto" w:before="49"/>
              <w:ind w:left="23" w:right="17"/>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2019-117</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第二次临时股东大 会决议公告》</w:t>
              <w:tab/>
              <w:t>巨 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2" w:lineRule="exact" w:before="9"/>
              <w:ind w:left="23" w:right="1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2019-120</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第三次临时股东大 会决议公告》</w:t>
              <w:tab/>
              <w:t>巨 潮资讯网 </w:t>
            </w:r>
            <w:hyperlink r:id="rId13">
              <w:r>
                <w:rPr>
                  <w:rFonts w:ascii="Times New Roman" w:hAnsi="Times New Roman" w:cs="Times New Roman" w:eastAsia="Times New Roman" w:hint="default"/>
                  <w:sz w:val="18"/>
                  <w:szCs w:val="18"/>
                </w:rPr>
                <w:t>www.cninfo.com.cn</w:t>
              </w:r>
            </w:hyperlink>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独立董事对公司有关事项是否提出异议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报告期内独立董事对公司有关事项未提出异议。</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034"/>
        <w:jc w:val="left"/>
      </w:pPr>
      <w:r>
        <w:rPr>
          <w:spacing w:val="-2"/>
        </w:rPr>
        <w:t>报告期内，公司独立董事勤勉尽责，严格按照中国证监会的相关规定及《公司章程》、《董事会议事规则》和《独立董事制</w:t>
      </w:r>
      <w:r>
        <w:rPr>
          <w:spacing w:val="-65"/>
        </w:rPr>
        <w:t> </w:t>
      </w:r>
      <w:r>
        <w:rPr>
          <w:spacing w:val="-65"/>
        </w:rPr>
      </w:r>
      <w:r>
        <w:rPr>
          <w:spacing w:val="-2"/>
        </w:rPr>
        <w:t>度》开展工作，认真履行了独立董事的职责，利用各自的专业优势，对公司内部控制建设、管理体系建设和重大决策等方面</w:t>
      </w:r>
      <w:r>
        <w:rPr>
          <w:spacing w:val="-67"/>
        </w:rPr>
        <w:t> </w:t>
      </w:r>
      <w:r>
        <w:rPr>
          <w:spacing w:val="-67"/>
        </w:rPr>
      </w:r>
      <w:r>
        <w:rPr/>
        <w:t>提出了很多宝贵的专业性建议，对公司财务及经营活动进行了有效监督，提高了公司决策的科学性，为完善公司监督机制， 维护公司和全体股东的合法权益发挥了积极的作用。 </w:t>
      </w:r>
      <w:r>
        <w:rPr>
          <w:spacing w:val="-2"/>
        </w:rPr>
        <w:t>独立董事对公司重大事项根据《深圳证券交易所创业板股票上市交易规则》、《深圳证券交易所创业板上市公司规范运作指</w:t>
      </w:r>
      <w:r>
        <w:rPr>
          <w:spacing w:val="-66"/>
        </w:rPr>
        <w:t> </w:t>
      </w:r>
      <w:r>
        <w:rPr>
          <w:spacing w:val="-66"/>
        </w:rPr>
      </w:r>
      <w:r>
        <w:rPr/>
        <w:t>引》等相关规定发表了事前认可或独立意见，对此意见，公司均予以采纳。</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spacing w:val="-2"/>
        </w:rPr>
        <w:t>公司董事会设立了战略与投资委员会、审计委员会和提名、薪酬和考核委员会，并制定了专门委员会工作细则。各专门委员</w:t>
      </w:r>
      <w:r>
        <w:rPr>
          <w:spacing w:val="-64"/>
        </w:rPr>
        <w:t> </w:t>
      </w:r>
      <w:r>
        <w:rPr>
          <w:spacing w:val="-64"/>
        </w:rPr>
      </w:r>
      <w:r>
        <w:rPr>
          <w:spacing w:val="-2"/>
        </w:rPr>
        <w:t>会的人员组成符合《上市公司治理准则》、《深圳证券交易所创业板上市公司规范运作指引》、《公司章程》以及各专门委</w:t>
      </w:r>
      <w:r>
        <w:rPr>
          <w:spacing w:val="-68"/>
        </w:rPr>
        <w:t> </w:t>
      </w:r>
      <w:r>
        <w:rPr>
          <w:spacing w:val="-68"/>
        </w:rPr>
      </w:r>
      <w:r>
        <w:rPr/>
        <w:t>员会工作细则的相关规定。 上述委员会严格依据公司董事会所制订的职权范围及各委员会的议事规则运作，并就专业事项进行研究并与公司进行讨论， </w:t>
      </w:r>
      <w:r>
        <w:rPr>
          <w:spacing w:val="-2"/>
        </w:rPr>
        <w:t>形成建议和意见，为董事会的决策提供了积极有效的支撑。各委员会自成立起一直按照相应的议事规则运作，在公司战略制</w:t>
      </w:r>
      <w:r>
        <w:rPr>
          <w:spacing w:val="-63"/>
        </w:rPr>
        <w:t> </w:t>
      </w:r>
      <w:r>
        <w:rPr>
          <w:spacing w:val="-63"/>
        </w:rPr>
      </w:r>
      <w:r>
        <w:rPr/>
        <w:t>定、内部审计、人才选拔及薪酬与考核等各个方面发挥着积极的作用。</w:t>
      </w:r>
    </w:p>
    <w:p>
      <w:pPr>
        <w:pStyle w:val="BodyText"/>
        <w:spacing w:line="309" w:lineRule="auto" w:before="19"/>
        <w:ind w:right="986"/>
        <w:jc w:val="left"/>
      </w:pPr>
      <w:r>
        <w:rPr>
          <w:rFonts w:ascii="Times New Roman" w:hAnsi="Times New Roman" w:cs="Times New Roman" w:eastAsia="Times New Roman" w:hint="default"/>
        </w:rPr>
        <w:t>1</w:t>
      </w:r>
      <w:r>
        <w:rPr/>
        <w:t>、战略与投资委员会履职情况 </w:t>
      </w:r>
      <w:r>
        <w:rPr>
          <w:spacing w:val="-2"/>
        </w:rPr>
        <w:t>在报告期内，战略与投资委员会为公司发展战略的实施提出了宝贵的建议，保证了公司发展规划和战略决策的科学性，为公</w:t>
      </w:r>
      <w:r>
        <w:rPr>
          <w:spacing w:val="-63"/>
        </w:rPr>
        <w:t> </w:t>
      </w:r>
      <w:r>
        <w:rPr>
          <w:spacing w:val="-63"/>
        </w:rPr>
      </w:r>
      <w:r>
        <w:rPr/>
        <w:t>司的持续、稳健发展提供了战略层面的支持。</w:t>
      </w:r>
    </w:p>
    <w:p>
      <w:pPr>
        <w:pStyle w:val="BodyText"/>
        <w:spacing w:line="309" w:lineRule="auto" w:before="24"/>
        <w:ind w:right="986"/>
        <w:jc w:val="left"/>
      </w:pPr>
      <w:r>
        <w:rPr>
          <w:rFonts w:ascii="Times New Roman" w:hAnsi="Times New Roman" w:cs="Times New Roman" w:eastAsia="Times New Roman" w:hint="default"/>
        </w:rPr>
        <w:t>2</w:t>
      </w:r>
      <w:r>
        <w:rPr/>
        <w:t>、审计委员会履职情况 </w:t>
      </w:r>
      <w:r>
        <w:rPr>
          <w:spacing w:val="-2"/>
        </w:rPr>
        <w:t>审计委员会根据《公司法》、《证券法》、《上市公司治理准则》、《审计委员会工作细则》及《内部审计制度》等有关规</w:t>
      </w:r>
      <w:r>
        <w:rPr>
          <w:spacing w:val="-73"/>
        </w:rPr>
        <w:t> </w:t>
      </w:r>
      <w:r>
        <w:rPr>
          <w:spacing w:val="-73"/>
        </w:rPr>
      </w:r>
      <w:r>
        <w:rPr>
          <w:spacing w:val="-2"/>
        </w:rPr>
        <w:t>定，积极履行职责。报告期内，审计委员会审查了公司内部控制制度及执行情况，审核了公司所有重要的会计政策，定期了</w:t>
      </w:r>
      <w:r>
        <w:rPr>
          <w:spacing w:val="-67"/>
        </w:rPr>
        <w:t> </w:t>
      </w:r>
      <w:r>
        <w:rPr>
          <w:spacing w:val="-67"/>
        </w:rPr>
      </w:r>
      <w:r>
        <w:rPr>
          <w:spacing w:val="-2"/>
        </w:rPr>
        <w:t>解公司财务状况和经营情况，督促和指导内审部门对公司财务管理运行情况进行定期和不定期的检查和评估，委员会认为公</w:t>
      </w:r>
      <w:r>
        <w:rPr>
          <w:spacing w:val="-64"/>
        </w:rPr>
        <w:t> </w:t>
      </w:r>
      <w:r>
        <w:rPr>
          <w:spacing w:val="-64"/>
        </w:rPr>
      </w:r>
      <w:r>
        <w:rPr>
          <w:spacing w:val="-4"/>
        </w:rPr>
        <w:t>司内控制度体系符合法律、法规及《公司章程》的要求，适应当前公司经营实际情况的需要，并能够得到有效的执行。同时，</w:t>
      </w:r>
      <w:r>
        <w:rPr>
          <w:spacing w:val="-44"/>
        </w:rPr>
        <w:t> </w:t>
      </w:r>
      <w:r>
        <w:rPr>
          <w:spacing w:val="-44"/>
        </w:rPr>
      </w:r>
      <w:r>
        <w:rPr>
          <w:spacing w:val="-2"/>
        </w:rPr>
        <w:t>审计委员会还就下列事项展开工作：（</w:t>
      </w:r>
      <w:r>
        <w:rPr>
          <w:rFonts w:ascii="Times New Roman" w:hAnsi="Times New Roman" w:cs="Times New Roman" w:eastAsia="Times New Roman" w:hint="default"/>
          <w:spacing w:val="-2"/>
        </w:rPr>
        <w:t>1</w:t>
      </w:r>
      <w:r>
        <w:rPr>
          <w:spacing w:val="-2"/>
        </w:rPr>
        <w:t>）与会计师事务所就年度审计报告编制进行沟通与交流；（</w:t>
      </w:r>
      <w:r>
        <w:rPr>
          <w:rFonts w:ascii="Times New Roman" w:hAnsi="Times New Roman" w:cs="Times New Roman" w:eastAsia="Times New Roman" w:hint="default"/>
          <w:spacing w:val="-2"/>
        </w:rPr>
        <w:t>2</w:t>
      </w:r>
      <w:r>
        <w:rPr>
          <w:spacing w:val="-2"/>
        </w:rPr>
        <w:t>）与公司审计部就公司</w:t>
      </w:r>
      <w:r>
        <w:rPr>
          <w:spacing w:val="-65"/>
        </w:rPr>
        <w:t> </w:t>
      </w:r>
      <w:r>
        <w:rPr>
          <w:spacing w:val="-65"/>
        </w:rPr>
      </w:r>
      <w:r>
        <w:rPr>
          <w:spacing w:val="-2"/>
        </w:rPr>
        <w:t>的内部控制制度的完善与执行保持沟通；（</w:t>
      </w:r>
      <w:r>
        <w:rPr>
          <w:rFonts w:ascii="Times New Roman" w:hAnsi="Times New Roman" w:cs="Times New Roman" w:eastAsia="Times New Roman" w:hint="default"/>
          <w:spacing w:val="-2"/>
        </w:rPr>
        <w:t>3</w:t>
      </w:r>
      <w:r>
        <w:rPr>
          <w:spacing w:val="-2"/>
        </w:rPr>
        <w:t>）审议公司内审部门提交的季度工作报告，年度工作计划；（</w:t>
      </w:r>
      <w:r>
        <w:rPr>
          <w:rFonts w:ascii="Times New Roman" w:hAnsi="Times New Roman" w:cs="Times New Roman" w:eastAsia="Times New Roman" w:hint="default"/>
          <w:spacing w:val="-2"/>
        </w:rPr>
        <w:t>4</w:t>
      </w:r>
      <w:r>
        <w:rPr>
          <w:spacing w:val="-2"/>
        </w:rPr>
        <w:t>）对会计师事务</w:t>
      </w:r>
      <w:r>
        <w:rPr>
          <w:spacing w:val="-64"/>
        </w:rPr>
        <w:t> </w:t>
      </w:r>
      <w:r>
        <w:rPr>
          <w:spacing w:val="-64"/>
        </w:rPr>
      </w:r>
      <w:r>
        <w:rPr/>
        <w:t>所的工作进行评价，并向董事会提出续聘建议。 报告期内，公司共召开了</w:t>
      </w:r>
      <w:r>
        <w:rPr>
          <w:rFonts w:ascii="Times New Roman" w:hAnsi="Times New Roman" w:cs="Times New Roman" w:eastAsia="Times New Roman" w:hint="default"/>
        </w:rPr>
        <w:t>4</w:t>
      </w:r>
      <w:r>
        <w:rPr/>
        <w:t>次董事会审计委员会，分别审议了年度财务报表、审计工作总结、募集资金存放使用情况、工作 计划、内部控制评价报告、聘任审计机构等事项，各委员均对各项议案提出合理建议及改进意见。 </w:t>
      </w:r>
      <w:r>
        <w:rPr>
          <w:rFonts w:ascii="Times New Roman" w:hAnsi="Times New Roman" w:cs="Times New Roman" w:eastAsia="Times New Roman" w:hint="default"/>
        </w:rPr>
        <w:t>3</w:t>
      </w:r>
      <w:r>
        <w:rPr/>
        <w:t>、提名、薪酬和考核委员会履职情况 </w:t>
      </w:r>
      <w:r>
        <w:rPr>
          <w:spacing w:val="-2"/>
        </w:rPr>
        <w:t>报告期内，提名、薪酬和考核委员会认真学习相关制度规定，根据公司的实际情况履行提名委员会的职责和义务。期间，委</w:t>
      </w:r>
      <w:r>
        <w:rPr>
          <w:spacing w:val="-67"/>
        </w:rPr>
        <w:t> </w:t>
      </w:r>
      <w:r>
        <w:rPr>
          <w:spacing w:val="-67"/>
        </w:rPr>
      </w:r>
      <w:r>
        <w:rPr/>
        <w:t>员会审核并同意了相关董事候选人、高级管理人员聘任及变更的议案。</w:t>
      </w:r>
    </w:p>
    <w:p>
      <w:pPr>
        <w:spacing w:line="240" w:lineRule="auto" w:before="3"/>
        <w:rPr>
          <w:rFonts w:ascii="宋体" w:hAnsi="宋体" w:cs="宋体" w:eastAsia="宋体" w:hint="default"/>
          <w:sz w:val="21"/>
          <w:szCs w:val="21"/>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监事会在报告期内的监督活动中发现公司是否存在风险</w:t>
      </w:r>
    </w:p>
    <w:p>
      <w:pPr>
        <w:pStyle w:val="BodyText"/>
        <w:spacing w:line="340" w:lineRule="auto" w:before="114"/>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r>
        <w:rPr/>
        <w:pict>
          <v:shape style="position:absolute;margin-left:295.72699pt;margin-top:693.575989pt;width:239.25pt;height:64.3500pt;mso-position-horizontal-relative:page;mso-position-vertical-relative:page;z-index:-112960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5"/>
                      <w:szCs w:val="15"/>
                    </w:rPr>
                  </w:pPr>
                </w:p>
                <w:p>
                  <w:pPr>
                    <w:pStyle w:val="BodyText"/>
                    <w:spacing w:line="240" w:lineRule="auto" w:before="0"/>
                    <w:ind w:left="0" w:right="0"/>
                    <w:jc w:val="left"/>
                  </w:pPr>
                  <w:r>
                    <w:rPr/>
                    <w:t>以营业收入指标衡量。</w:t>
                  </w:r>
                </w:p>
              </w:txbxContent>
            </v:textbox>
            <w10:wrap type="none"/>
          </v:shape>
        </w:pict>
      </w:r>
    </w:p>
    <w:p>
      <w:pPr>
        <w:pStyle w:val="Heading2"/>
        <w:spacing w:line="240" w:lineRule="auto" w:before="26"/>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jc w:val="both"/>
      </w:pPr>
      <w:r>
        <w:rPr>
          <w:spacing w:val="-2"/>
        </w:rPr>
        <w:t>报告期内，本公司高级管理人员能够严格按照《公司法》、《公司章程》等法律法规，认真履行职责。董事会提名、薪酬与</w:t>
      </w:r>
      <w:r>
        <w:rPr>
          <w:spacing w:val="-66"/>
        </w:rPr>
        <w:t> </w:t>
      </w:r>
      <w:r>
        <w:rPr>
          <w:spacing w:val="-66"/>
        </w:rPr>
      </w:r>
      <w:r>
        <w:rPr>
          <w:spacing w:val="-2"/>
        </w:rPr>
        <w:t>考核委员会根据公司主要经营指标完成情况，对高级管理人员的履职情况、工作能力、责任目标完成情况等进行考核，并结</w:t>
      </w:r>
      <w:r>
        <w:rPr>
          <w:spacing w:val="-64"/>
        </w:rPr>
        <w:t> </w:t>
      </w:r>
      <w:r>
        <w:rPr>
          <w:spacing w:val="-64"/>
        </w:rPr>
      </w:r>
      <w:r>
        <w:rPr/>
        <w:t>合考核办法的实际运行情况，不断完善高管人员的考核机制和激励机制。</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97.84%</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99.58%</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4" w:lineRule="auto" w:before="49"/>
              <w:ind w:left="29"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）财务报告重大缺陷的迹象包括：①控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制环境无效；②公司董事、监事和高级管 理人员的舞弊行为；③注册会计师发现的 却未被公司内部控制识别的当期财务报告 中的重大错报；④审计委员会和审计部门 对公司的对外财务报告和财务报告内部控 </w:t>
            </w:r>
            <w:r>
              <w:rPr>
                <w:rFonts w:ascii="宋体" w:hAnsi="宋体" w:cs="宋体" w:eastAsia="宋体" w:hint="default"/>
                <w:spacing w:val="-5"/>
                <w:sz w:val="18"/>
                <w:szCs w:val="18"/>
              </w:rPr>
              <w:t>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w:t>
            </w:r>
            <w:r>
              <w:rPr>
                <w:rFonts w:ascii="宋体" w:hAnsi="宋体" w:cs="宋体" w:eastAsia="宋体" w:hint="default"/>
                <w:spacing w:val="-86"/>
                <w:sz w:val="18"/>
                <w:szCs w:val="18"/>
              </w:rPr>
              <w:t> </w:t>
            </w:r>
            <w:r>
              <w:rPr>
                <w:rFonts w:ascii="宋体" w:hAnsi="宋体" w:cs="宋体" w:eastAsia="宋体" w:hint="default"/>
                <w:sz w:val="18"/>
                <w:szCs w:val="18"/>
              </w:rPr>
              <w:t>象包括：①未依照公认会计准则选择和应 用会计政策；②未建立反舞弊程序和控制 措施；③对于非常规或特殊交易的账务处 理没有建立相应的控制机制或没有实施且 没有相应的补偿性控制；④对于期末财务 报告过程的控制存在一项或多项缺陷且不 能合理保证编制的财务报表达到真实、完 </w:t>
            </w:r>
            <w:r>
              <w:rPr>
                <w:rFonts w:ascii="宋体" w:hAnsi="宋体" w:cs="宋体" w:eastAsia="宋体" w:hint="default"/>
                <w:spacing w:val="-5"/>
                <w:sz w:val="18"/>
                <w:szCs w:val="18"/>
              </w:rPr>
              <w:t>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）一般缺陷是指除上述重大</w:t>
            </w:r>
            <w:r>
              <w:rPr>
                <w:rFonts w:ascii="宋体" w:hAnsi="宋体" w:cs="宋体" w:eastAsia="宋体" w:hint="default"/>
                <w:spacing w:val="-86"/>
                <w:sz w:val="18"/>
                <w:szCs w:val="18"/>
              </w:rPr>
              <w:t> </w:t>
            </w:r>
            <w:r>
              <w:rPr>
                <w:rFonts w:ascii="宋体" w:hAnsi="宋体" w:cs="宋体" w:eastAsia="宋体" w:hint="default"/>
                <w:sz w:val="18"/>
                <w:szCs w:val="18"/>
              </w:rPr>
              <w:t>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性作判定。（</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）非财务报告重大缺陷的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迹象包括：违犯国家法律法规或规范性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文件、重大决策程序不科学、制度缺失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可能导致内部控制系统性失效、重大或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重要缺陷未得到整改、其他对公司负面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影响重大的情形。（</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缺陷的迹象包括：①重要业务制度或流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程存在的缺陷；②决策程序出现重大失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误；③关键岗位人员流失严重；④内部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控制内部监督发现的重要缺陷未及时 </w:t>
            </w:r>
            <w:r>
              <w:rPr>
                <w:rFonts w:ascii="宋体" w:hAnsi="宋体" w:cs="宋体" w:eastAsia="宋体" w:hint="default"/>
                <w:spacing w:val="-4"/>
                <w:sz w:val="18"/>
                <w:szCs w:val="18"/>
              </w:rPr>
              <w:t>整改；⑤其他对公司产生较大负面影响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）非财务报告一般缺陷是指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除上述重大缺陷、重要缺陷之外的其他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54" w:space="0" w:color="FFFFFF"/>
              <w:right w:val="single" w:sz="4" w:space="0" w:color="000000"/>
            </w:tcBorders>
          </w:tcPr>
          <w:p>
            <w:pPr/>
          </w:p>
        </w:tc>
      </w:tr>
      <w:tr>
        <w:trPr>
          <w:trHeight w:val="45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6" w:lineRule="auto" w:before="49"/>
              <w:ind w:left="29" w:right="46"/>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失与利润表相关的， 如果该缺陷单独或连同其他缺陷可能导致</w:t>
            </w:r>
          </w:p>
        </w:tc>
        <w:tc>
          <w:tcPr>
            <w:tcW w:w="3053" w:type="dxa"/>
            <w:vMerge w:val="restart"/>
            <w:tcBorders>
              <w:top w:val="single" w:sz="54" w:space="0" w:color="FFFFFF"/>
              <w:left w:val="single" w:sz="4" w:space="0" w:color="000000"/>
              <w:right w:val="single" w:sz="4" w:space="0" w:color="000000"/>
            </w:tcBorders>
          </w:tcPr>
          <w:p>
            <w:pPr>
              <w:pStyle w:val="TableParagraph"/>
              <w:spacing w:line="316" w:lineRule="auto" w:before="121"/>
              <w:ind w:left="26"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45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59" w:space="0" w:color="FFFFFF"/>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48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5"/>
              <w:jc w:val="left"/>
              <w:rPr>
                <w:rFonts w:ascii="宋体" w:hAnsi="宋体" w:cs="宋体" w:eastAsia="宋体" w:hint="default"/>
                <w:sz w:val="18"/>
                <w:szCs w:val="18"/>
              </w:rPr>
            </w:pPr>
            <w:r>
              <w:rPr>
                <w:rFonts w:ascii="宋体" w:hAnsi="宋体" w:cs="宋体" w:eastAsia="宋体" w:hint="default"/>
                <w:sz w:val="18"/>
                <w:szCs w:val="18"/>
              </w:rPr>
              <w:t>的财务报告错报金额小于营业收入的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则认定为一般缺陷；如果超过营业收入的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，则为重要缺陷；如果超 过营业收入的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 内部控制缺陷可能导致或导致的损失与资 产管理相关的，以资产总额指标衡量。如 果该缺陷单独或连同其他缺陷可能导致的 财务报告错报金额小于资产总额的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则认定为一般缺陷；如果超过资产总额的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pict>
          <v:group style="position:absolute;margin-left:382.869995pt;margin-top:-266.37439pt;width:152.1pt;height:173.7pt;mso-position-horizontal-relative:page;mso-position-vertical-relative:paragraph;z-index:-1129576" coordorigin="7657,-5327" coordsize="3042,3474">
            <v:shape style="position:absolute;left:7657;top:-5327;width:3042;height:3474" coordorigin="7657,-5327" coordsize="3042,3474" path="m7657,-1854l10699,-1854,10699,-5327,7657,-5327,7657,-1854xe" filled="true" fillcolor="#ffffff" stroked="false">
              <v:path arrowok="t"/>
              <v:fill type="solid"/>
            </v:shape>
            <w10:wrap type="none"/>
          </v:group>
        </w:pict>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9" w:id="10"/>
      <w:bookmarkEnd w:id="1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85"/>
        <w:jc w:val="center"/>
        <w:rPr>
          <w:b w:val="0"/>
          <w:bCs w:val="0"/>
        </w:rPr>
      </w:pPr>
      <w:bookmarkStart w:name="_bookmark10" w:id="11"/>
      <w:bookmarkEnd w:id="11"/>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4-00515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郭义喜、李赟莘</w:t>
            </w:r>
          </w:p>
        </w:tc>
      </w:tr>
    </w:tbl>
    <w:p>
      <w:pPr>
        <w:pStyle w:val="BodyText"/>
        <w:spacing w:line="240" w:lineRule="auto" w:before="49"/>
        <w:ind w:left="2601" w:right="3579"/>
        <w:jc w:val="center"/>
      </w:pPr>
      <w:r>
        <w:rPr/>
        <w:t>审计报告正文</w:t>
      </w:r>
    </w:p>
    <w:p>
      <w:pPr>
        <w:spacing w:before="128"/>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spacing w:line="240" w:lineRule="auto" w:before="9"/>
        <w:rPr>
          <w:rFonts w:ascii="宋体" w:hAnsi="宋体" w:cs="宋体" w:eastAsia="宋体" w:hint="default"/>
          <w:b/>
          <w:bCs/>
          <w:sz w:val="34"/>
          <w:szCs w:val="34"/>
        </w:rPr>
      </w:pPr>
    </w:p>
    <w:p>
      <w:pPr>
        <w:spacing w:line="357" w:lineRule="auto" w:before="0"/>
        <w:ind w:left="633" w:right="0" w:hanging="481"/>
        <w:jc w:val="left"/>
        <w:rPr>
          <w:rFonts w:ascii="宋体" w:hAnsi="宋体" w:cs="宋体" w:eastAsia="宋体" w:hint="default"/>
          <w:sz w:val="24"/>
          <w:szCs w:val="24"/>
        </w:rPr>
      </w:pPr>
      <w:r>
        <w:rPr>
          <w:rFonts w:ascii="宋体" w:hAnsi="宋体" w:cs="宋体" w:eastAsia="宋体" w:hint="default"/>
          <w:b/>
          <w:bCs/>
          <w:w w:val="95"/>
          <w:sz w:val="24"/>
          <w:szCs w:val="24"/>
        </w:rPr>
        <w:t>汉鼎宇佑互联网股份有限公司全体股东：</w:t>
      </w:r>
      <w:r>
        <w:rPr>
          <w:rFonts w:ascii="宋体" w:hAnsi="宋体" w:cs="宋体" w:eastAsia="宋体" w:hint="default"/>
          <w:b/>
          <w:bCs/>
          <w:spacing w:val="99"/>
          <w:w w:val="95"/>
          <w:sz w:val="24"/>
          <w:szCs w:val="24"/>
        </w:rPr>
        <w:t> </w:t>
      </w:r>
      <w:r>
        <w:rPr>
          <w:rFonts w:ascii="宋体" w:hAnsi="宋体" w:cs="宋体" w:eastAsia="宋体" w:hint="default"/>
          <w:b/>
          <w:bCs/>
          <w:spacing w:val="99"/>
          <w:w w:val="95"/>
          <w:sz w:val="24"/>
          <w:szCs w:val="24"/>
        </w:rPr>
      </w:r>
      <w:r>
        <w:rPr>
          <w:rFonts w:ascii="宋体" w:hAnsi="宋体" w:cs="宋体" w:eastAsia="宋体" w:hint="default"/>
          <w:sz w:val="24"/>
          <w:szCs w:val="24"/>
        </w:rPr>
        <w:t>一、审计意见</w:t>
      </w:r>
    </w:p>
    <w:p>
      <w:pPr>
        <w:pStyle w:val="Heading6"/>
        <w:spacing w:line="240" w:lineRule="auto" w:before="169"/>
        <w:ind w:right="0"/>
        <w:jc w:val="left"/>
      </w:pPr>
      <w:r>
        <w:rPr/>
        <w:br w:type="column"/>
      </w:r>
      <w:r>
        <w:rPr/>
        <w:t>大信审字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4-00515</w:t>
      </w:r>
      <w:r>
        <w:rPr/>
        <w:t>号</w:t>
      </w:r>
    </w:p>
    <w:p>
      <w:pPr>
        <w:spacing w:after="0" w:line="240" w:lineRule="auto"/>
        <w:jc w:val="left"/>
        <w:sectPr>
          <w:type w:val="continuous"/>
          <w:pgSz w:w="11910" w:h="16840"/>
          <w:pgMar w:top="1060" w:bottom="1160" w:left="980" w:right="0"/>
          <w:cols w:num="2" w:equalWidth="0">
            <w:col w:w="4488" w:space="2631"/>
            <w:col w:w="3811"/>
          </w:cols>
        </w:sectPr>
      </w:pPr>
    </w:p>
    <w:p>
      <w:pPr>
        <w:pStyle w:val="Heading4"/>
        <w:spacing w:line="244" w:lineRule="auto" w:before="55"/>
        <w:ind w:right="1127" w:firstLine="480"/>
        <w:jc w:val="both"/>
      </w:pPr>
      <w:r>
        <w:rPr>
          <w:spacing w:val="-3"/>
        </w:rPr>
        <w:t>我们审计了汉鼎宇佑互联网股份有限公司（以下简称</w:t>
      </w:r>
      <w:r>
        <w:rPr>
          <w:rFonts w:ascii="Times New Roman" w:hAnsi="Times New Roman" w:cs="Times New Roman" w:eastAsia="Times New Roman" w:hint="default"/>
          <w:spacing w:val="-3"/>
        </w:rPr>
        <w:t>“</w:t>
      </w:r>
      <w:r>
        <w:rPr>
          <w:spacing w:val="-3"/>
        </w:rPr>
        <w:t>贵公司</w:t>
      </w:r>
      <w:r>
        <w:rPr>
          <w:rFonts w:ascii="Times New Roman" w:hAnsi="Times New Roman" w:cs="Times New Roman" w:eastAsia="Times New Roman" w:hint="default"/>
          <w:spacing w:val="-3"/>
        </w:rPr>
        <w:t>”</w:t>
      </w:r>
      <w:r>
        <w:rPr>
          <w:spacing w:val="-3"/>
        </w:rPr>
        <w:t>）的财务报表，包括</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w w:val="100"/>
        </w:rPr>
        <w:t> </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w:t>
      </w:r>
      <w:r>
        <w:rPr>
          <w:spacing w:val="-62"/>
        </w:rPr>
        <w:t> </w:t>
      </w:r>
      <w:r>
        <w:rPr>
          <w:spacing w:val="-62"/>
        </w:rPr>
      </w:r>
      <w:r>
        <w:rPr/>
        <w:t>母公司股东权益变动表，以及财务报表附注。</w:t>
      </w:r>
    </w:p>
    <w:p>
      <w:pPr>
        <w:pStyle w:val="Heading4"/>
        <w:spacing w:line="240" w:lineRule="auto" w:before="176"/>
        <w:ind w:left="633" w:right="1133"/>
        <w:jc w:val="left"/>
      </w:pPr>
      <w:r>
        <w:rPr/>
        <w:t>我们认为，后附的财务报表在所有重大方面按照企业会计准则的规定编制，公允反映了贵公司</w:t>
      </w:r>
    </w:p>
    <w:p>
      <w:pPr>
        <w:pStyle w:val="Heading4"/>
        <w:spacing w:line="240" w:lineRule="auto" w:before="24"/>
        <w:ind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right="1133"/>
        <w:jc w:val="left"/>
      </w:pPr>
      <w:r>
        <w:rPr/>
        <w:t>二、形成审计意见的基础</w:t>
      </w:r>
    </w:p>
    <w:p>
      <w:pPr>
        <w:pStyle w:val="Heading4"/>
        <w:spacing w:line="244" w:lineRule="auto" w:before="172"/>
        <w:ind w:right="1172" w:firstLine="48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w:t>
      </w:r>
      <w:r>
        <w:rPr>
          <w:w w:val="100"/>
        </w:rPr>
        <w:t> </w:t>
      </w:r>
      <w:r>
        <w:rPr>
          <w:spacing w:val="-1"/>
        </w:rPr>
        <w:t>审计的责任</w:t>
      </w:r>
      <w:r>
        <w:rPr>
          <w:rFonts w:ascii="Times New Roman" w:hAnsi="Times New Roman" w:cs="Times New Roman" w:eastAsia="Times New Roman" w:hint="default"/>
          <w:spacing w:val="-1"/>
        </w:rPr>
        <w:t>”</w:t>
      </w:r>
      <w:r>
        <w:rPr>
          <w:spacing w:val="-1"/>
        </w:rPr>
        <w:t>部分进一步阐述了我们在这些准则下的责任。按照中国注册会计师职业道德守则，我们</w:t>
      </w:r>
      <w:r>
        <w:rPr>
          <w:spacing w:val="-77"/>
        </w:rPr>
        <w:t> </w:t>
      </w:r>
      <w:r>
        <w:rPr>
          <w:spacing w:val="-77"/>
        </w:rPr>
      </w:r>
      <w:r>
        <w:rPr/>
        <w:t>独立于贵公司，并履行了职业道德方面的其他责任。</w:t>
      </w:r>
    </w:p>
    <w:p>
      <w:pPr>
        <w:pStyle w:val="Heading4"/>
        <w:spacing w:line="240" w:lineRule="auto" w:before="175"/>
        <w:ind w:left="633" w:right="1133"/>
        <w:jc w:val="left"/>
      </w:pPr>
      <w:r>
        <w:rPr/>
        <w:t>我们相信，我们获取的审计证据是充分、适当的，为发表审计意见提供了基础。</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3"/>
        <w:spacing w:line="240" w:lineRule="auto"/>
        <w:ind w:right="1133"/>
        <w:jc w:val="left"/>
      </w:pPr>
      <w:r>
        <w:rPr/>
        <w:t>三、关键审计事项</w:t>
      </w:r>
    </w:p>
    <w:p>
      <w:pPr>
        <w:pStyle w:val="Heading4"/>
        <w:spacing w:line="259" w:lineRule="auto" w:before="172"/>
        <w:ind w:right="1131" w:firstLine="480"/>
        <w:jc w:val="both"/>
      </w:pPr>
      <w:r>
        <w:rPr>
          <w:spacing w:val="-3"/>
        </w:rPr>
        <w:t>关键审计事项是我们根据职业判断，认为对本期财务报表审计最为重要的事项。这些事项的应对</w:t>
      </w:r>
      <w:r>
        <w:rPr>
          <w:w w:val="100"/>
        </w:rPr>
        <w:t> </w:t>
      </w:r>
      <w:r>
        <w:rPr/>
        <w:t>以对财务报表整体进行审计并形成审计意见为背景，我们不对这些事项单独发表意见。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7"/>
          <w:szCs w:val="17"/>
        </w:rPr>
      </w:pPr>
    </w:p>
    <w:p>
      <w:pPr>
        <w:pStyle w:val="Heading4"/>
        <w:spacing w:line="240" w:lineRule="auto" w:before="0"/>
        <w:ind w:left="633" w:right="1133"/>
        <w:jc w:val="left"/>
      </w:pPr>
      <w:r>
        <w:rPr/>
        <w:t>（一）对</w:t>
      </w:r>
      <w:r>
        <w:rPr>
          <w:rFonts w:ascii="Times New Roman" w:hAnsi="Times New Roman" w:cs="Times New Roman" w:eastAsia="Times New Roman" w:hint="default"/>
        </w:rPr>
        <w:t>Weidai Ltd.(Cayman</w:t>
      </w:r>
      <w:r>
        <w:rPr>
          <w:rFonts w:ascii="Times New Roman" w:hAnsi="Times New Roman" w:cs="Times New Roman" w:eastAsia="Times New Roman" w:hint="default"/>
          <w:spacing w:val="-5"/>
        </w:rPr>
        <w:t> </w:t>
      </w:r>
      <w:r>
        <w:rPr>
          <w:rFonts w:ascii="Times New Roman" w:hAnsi="Times New Roman" w:cs="Times New Roman" w:eastAsia="Times New Roman" w:hint="default"/>
        </w:rPr>
        <w:t>Island)</w:t>
      </w:r>
      <w:r>
        <w:rPr/>
        <w:t>长期股权投资计提减值准备</w:t>
      </w:r>
    </w:p>
    <w:p>
      <w:pPr>
        <w:spacing w:after="0" w:line="240" w:lineRule="auto"/>
        <w:jc w:val="left"/>
        <w:sectPr>
          <w:type w:val="continuous"/>
          <w:pgSz w:w="11910" w:h="16840"/>
          <w:pgMar w:top="1060" w:bottom="1160" w:left="980" w:right="0"/>
        </w:sectPr>
      </w:pPr>
    </w:p>
    <w:p>
      <w:pPr>
        <w:spacing w:line="240" w:lineRule="auto" w:before="4"/>
        <w:rPr>
          <w:rFonts w:ascii="宋体" w:hAnsi="宋体" w:cs="宋体" w:eastAsia="宋体" w:hint="default"/>
          <w:sz w:val="24"/>
          <w:szCs w:val="24"/>
        </w:rPr>
      </w:pPr>
    </w:p>
    <w:p>
      <w:pPr>
        <w:pStyle w:val="Heading4"/>
        <w:spacing w:line="240" w:lineRule="auto" w:before="32"/>
        <w:ind w:left="633" w:right="1133"/>
        <w:jc w:val="left"/>
      </w:pPr>
      <w:r>
        <w:rPr>
          <w:rFonts w:ascii="Times New Roman" w:hAnsi="Times New Roman" w:cs="Times New Roman" w:eastAsia="Times New Roman" w:hint="default"/>
        </w:rPr>
        <w:t>1.</w:t>
      </w:r>
      <w:r>
        <w:rPr/>
        <w:t>事项描述</w:t>
      </w:r>
    </w:p>
    <w:p>
      <w:pPr>
        <w:pStyle w:val="Heading4"/>
        <w:spacing w:line="244" w:lineRule="auto" w:before="164"/>
        <w:ind w:right="986" w:firstLine="480"/>
        <w:jc w:val="left"/>
      </w:pPr>
      <w:r>
        <w:rPr>
          <w:spacing w:val="-11"/>
          <w:w w:val="100"/>
        </w:rPr>
        <w:t>如财务报表附注三、（十九）和附注五、（十一）所述，本公司</w:t>
      </w:r>
      <w:r>
        <w:rPr>
          <w:rFonts w:ascii="Times New Roman" w:hAnsi="Times New Roman" w:cs="Times New Roman" w:eastAsia="Times New Roman" w:hint="default"/>
          <w:spacing w:val="-11"/>
          <w:w w:val="100"/>
        </w:rPr>
        <w:t>2019</w:t>
      </w:r>
      <w:r>
        <w:rPr>
          <w:spacing w:val="-11"/>
          <w:w w:val="100"/>
        </w:rPr>
        <w:t>年对</w:t>
      </w:r>
      <w:r>
        <w:rPr>
          <w:rFonts w:ascii="Times New Roman" w:hAnsi="Times New Roman" w:cs="Times New Roman" w:eastAsia="Times New Roman" w:hint="default"/>
          <w:spacing w:val="-11"/>
          <w:w w:val="100"/>
        </w:rPr>
        <w:t>Weidai</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Ltd.(Cayman</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
          <w:w w:val="100"/>
        </w:rPr>
        <w:t>Island)</w:t>
      </w:r>
      <w:r>
        <w:rPr>
          <w:rFonts w:ascii="Times New Roman" w:hAnsi="Times New Roman" w:cs="Times New Roman" w:eastAsia="Times New Roman" w:hint="default"/>
          <w:w w:val="100"/>
        </w:rPr>
        <w:t> </w:t>
      </w:r>
      <w:r>
        <w:rPr>
          <w:spacing w:val="-4"/>
        </w:rPr>
        <w:t>的长期股权投资计提减值准备</w:t>
      </w:r>
      <w:r>
        <w:rPr>
          <w:rFonts w:ascii="Times New Roman" w:hAnsi="Times New Roman" w:cs="Times New Roman" w:eastAsia="Times New Roman" w:hint="default"/>
          <w:spacing w:val="-4"/>
        </w:rPr>
        <w:t>64,998.28</w:t>
      </w:r>
      <w:r>
        <w:rPr>
          <w:spacing w:val="-4"/>
        </w:rPr>
        <w:t>万元。在评估该项投资的可收回金额时，依赖于管理层的估计。</w:t>
      </w:r>
      <w:r>
        <w:rPr>
          <w:spacing w:val="-66"/>
        </w:rPr>
        <w:t> </w:t>
      </w:r>
      <w:r>
        <w:rPr>
          <w:spacing w:val="-66"/>
        </w:rPr>
      </w:r>
      <w:r>
        <w:rPr/>
        <w:t>该事项对</w:t>
      </w:r>
      <w:r>
        <w:rPr>
          <w:rFonts w:ascii="Times New Roman" w:hAnsi="Times New Roman" w:cs="Times New Roman" w:eastAsia="Times New Roman" w:hint="default"/>
        </w:rPr>
        <w:t>2019</w:t>
      </w:r>
      <w:r>
        <w:rPr/>
        <w:t>年度财务报表影响较大，我们将该事项确定为关键审计事项。</w:t>
      </w:r>
    </w:p>
    <w:p>
      <w:pPr>
        <w:pStyle w:val="Heading4"/>
        <w:spacing w:line="369" w:lineRule="auto" w:before="158"/>
        <w:ind w:left="633" w:right="4274"/>
        <w:jc w:val="left"/>
      </w:pPr>
      <w:r>
        <w:rPr>
          <w:rFonts w:ascii="Times New Roman" w:hAnsi="Times New Roman" w:cs="Times New Roman" w:eastAsia="Times New Roman" w:hint="default"/>
        </w:rPr>
        <w:t>2.</w:t>
      </w:r>
      <w:r>
        <w:rPr/>
        <w:t>审计应对</w:t>
      </w:r>
      <w:r>
        <w:rPr>
          <w:w w:val="100"/>
        </w:rPr>
        <w:t> </w:t>
      </w:r>
      <w:r>
        <w:rPr>
          <w:spacing w:val="-2"/>
        </w:rPr>
        <w:t>我们针对长期股权投资减值执行的审计程序主要包括：</w:t>
      </w:r>
    </w:p>
    <w:p>
      <w:pPr>
        <w:pStyle w:val="Heading4"/>
        <w:spacing w:line="244" w:lineRule="auto" w:before="61"/>
        <w:ind w:right="1133" w:firstLine="480"/>
        <w:jc w:val="left"/>
      </w:pPr>
      <w:r>
        <w:rPr>
          <w:spacing w:val="-1"/>
        </w:rPr>
        <w:t>（</w:t>
      </w:r>
      <w:r>
        <w:rPr>
          <w:rFonts w:ascii="Times New Roman" w:hAnsi="Times New Roman" w:cs="Times New Roman" w:eastAsia="Times New Roman" w:hint="default"/>
          <w:spacing w:val="-1"/>
        </w:rPr>
        <w:t>1</w:t>
      </w:r>
      <w:r>
        <w:rPr>
          <w:spacing w:val="-1"/>
        </w:rPr>
        <w:t>）综合该项资产的外部信息来源及内部信息来源，分析管理层对该项长期股权投资在资产负</w:t>
      </w:r>
      <w:r>
        <w:rPr>
          <w:w w:val="100"/>
        </w:rPr>
        <w:t> </w:t>
      </w:r>
      <w:r>
        <w:rPr/>
        <w:t>债表日减值迹象判断的合理性；</w:t>
      </w:r>
    </w:p>
    <w:p>
      <w:pPr>
        <w:pStyle w:val="Heading4"/>
        <w:spacing w:line="240" w:lineRule="auto" w:before="175"/>
        <w:ind w:left="633" w:right="1133"/>
        <w:jc w:val="left"/>
      </w:pPr>
      <w:r>
        <w:rPr/>
        <w:t>（</w:t>
      </w:r>
      <w:r>
        <w:rPr>
          <w:rFonts w:ascii="Times New Roman" w:hAnsi="Times New Roman" w:cs="Times New Roman" w:eastAsia="Times New Roman" w:hint="default"/>
        </w:rPr>
        <w:t>2</w:t>
      </w:r>
      <w:r>
        <w:rPr/>
        <w:t>）复核了该项投资减值测试的方法和在减值测试中使用的主要参数；</w:t>
      </w:r>
    </w:p>
    <w:p>
      <w:pPr>
        <w:pStyle w:val="Heading4"/>
        <w:spacing w:line="240" w:lineRule="auto" w:before="163"/>
        <w:ind w:left="633" w:right="1133"/>
        <w:jc w:val="left"/>
      </w:pPr>
      <w:r>
        <w:rPr/>
        <w:t>（</w:t>
      </w:r>
      <w:r>
        <w:rPr>
          <w:rFonts w:ascii="Times New Roman" w:hAnsi="Times New Roman" w:cs="Times New Roman" w:eastAsia="Times New Roman" w:hint="default"/>
        </w:rPr>
        <w:t>3</w:t>
      </w:r>
      <w:r>
        <w:rPr/>
        <w:t>）评估外部估值专家的客观性及专业胜任能力。</w:t>
      </w:r>
    </w:p>
    <w:p>
      <w:pPr>
        <w:pStyle w:val="Heading4"/>
        <w:spacing w:line="240" w:lineRule="auto" w:before="164"/>
        <w:ind w:left="633" w:right="1133"/>
        <w:jc w:val="left"/>
      </w:pPr>
      <w:r>
        <w:rPr/>
        <w:t>（二）对</w:t>
      </w:r>
      <w:r>
        <w:rPr>
          <w:rFonts w:ascii="Times New Roman" w:hAnsi="Times New Roman" w:cs="Times New Roman" w:eastAsia="Times New Roman" w:hint="default"/>
        </w:rPr>
        <w:t>MCAC</w:t>
      </w:r>
      <w:r>
        <w:rPr/>
        <w:t>投资的公允价值变动收益</w:t>
      </w:r>
    </w:p>
    <w:p>
      <w:pPr>
        <w:pStyle w:val="Heading4"/>
        <w:spacing w:line="240" w:lineRule="auto" w:before="163"/>
        <w:ind w:left="633" w:right="1133"/>
        <w:jc w:val="left"/>
      </w:pPr>
      <w:r>
        <w:rPr>
          <w:rFonts w:ascii="Times New Roman" w:hAnsi="Times New Roman" w:cs="Times New Roman" w:eastAsia="Times New Roman" w:hint="default"/>
        </w:rPr>
        <w:t>1.</w:t>
      </w:r>
      <w:r>
        <w:rPr/>
        <w:t>事项描述</w:t>
      </w:r>
    </w:p>
    <w:p>
      <w:pPr>
        <w:pStyle w:val="Heading4"/>
        <w:spacing w:line="240" w:lineRule="auto" w:before="163"/>
        <w:ind w:left="633" w:right="986"/>
        <w:jc w:val="left"/>
        <w:rPr>
          <w:rFonts w:ascii="Times New Roman" w:hAnsi="Times New Roman" w:cs="Times New Roman" w:eastAsia="Times New Roman" w:hint="default"/>
        </w:rPr>
      </w:pPr>
      <w:r>
        <w:rPr>
          <w:spacing w:val="-3"/>
        </w:rPr>
        <w:t>如财务报表附注三、（十）和附注五、（四十一）所述，公司对</w:t>
      </w:r>
      <w:r>
        <w:rPr>
          <w:rFonts w:ascii="Times New Roman" w:hAnsi="Times New Roman" w:cs="Times New Roman" w:eastAsia="Times New Roman" w:hint="default"/>
          <w:spacing w:val="-3"/>
        </w:rPr>
        <w:t>MacArthur </w:t>
      </w:r>
      <w:r>
        <w:rPr>
          <w:rFonts w:ascii="Times New Roman" w:hAnsi="Times New Roman" w:cs="Times New Roman" w:eastAsia="Times New Roman" w:hint="default"/>
        </w:rPr>
        <w:t>Court Acquisition</w:t>
      </w:r>
      <w:r>
        <w:rPr>
          <w:rFonts w:ascii="Times New Roman" w:hAnsi="Times New Roman" w:cs="Times New Roman" w:eastAsia="Times New Roman" w:hint="default"/>
          <w:spacing w:val="-11"/>
        </w:rPr>
        <w:t> </w:t>
      </w:r>
      <w:r>
        <w:rPr>
          <w:rFonts w:ascii="Times New Roman" w:hAnsi="Times New Roman" w:cs="Times New Roman" w:eastAsia="Times New Roman" w:hint="default"/>
        </w:rPr>
        <w:t>Corp</w:t>
      </w:r>
    </w:p>
    <w:p>
      <w:pPr>
        <w:pStyle w:val="Heading4"/>
        <w:spacing w:line="244" w:lineRule="auto" w:before="7"/>
        <w:ind w:right="1128"/>
        <w:jc w:val="both"/>
      </w:pPr>
      <w:r>
        <w:rPr>
          <w:spacing w:val="-1"/>
        </w:rPr>
        <w:t>（以下简称</w:t>
      </w:r>
      <w:r>
        <w:rPr>
          <w:rFonts w:ascii="Times New Roman" w:hAnsi="Times New Roman" w:cs="Times New Roman" w:eastAsia="Times New Roman" w:hint="default"/>
          <w:spacing w:val="-1"/>
        </w:rPr>
        <w:t>“MCAC”</w:t>
      </w:r>
      <w:r>
        <w:rPr>
          <w:spacing w:val="-1"/>
        </w:rPr>
        <w:t>）的投资以公允价值计量，其变动计入当期损益，本期对</w:t>
      </w:r>
      <w:r>
        <w:rPr>
          <w:rFonts w:ascii="Times New Roman" w:hAnsi="Times New Roman" w:cs="Times New Roman" w:eastAsia="Times New Roman" w:hint="default"/>
          <w:spacing w:val="-1"/>
        </w:rPr>
        <w:t>MCAC</w:t>
      </w:r>
      <w:r>
        <w:rPr>
          <w:spacing w:val="-1"/>
        </w:rPr>
        <w:t>的投资确认公允</w:t>
      </w:r>
      <w:r>
        <w:rPr>
          <w:spacing w:val="-72"/>
        </w:rPr>
        <w:t> </w:t>
      </w:r>
      <w:r>
        <w:rPr>
          <w:spacing w:val="-72"/>
        </w:rPr>
      </w:r>
      <w:r>
        <w:rPr>
          <w:spacing w:val="-2"/>
        </w:rPr>
        <w:t>价值变动收益</w:t>
      </w:r>
      <w:r>
        <w:rPr>
          <w:rFonts w:ascii="Times New Roman" w:hAnsi="Times New Roman" w:cs="Times New Roman" w:eastAsia="Times New Roman" w:hint="default"/>
          <w:spacing w:val="-2"/>
        </w:rPr>
        <w:t>20,706.23</w:t>
      </w:r>
      <w:r>
        <w:rPr>
          <w:spacing w:val="-2"/>
        </w:rPr>
        <w:t>万元。对于该项金融资产，估值技术使用存在主观性，且估值中应用了大量的</w:t>
      </w:r>
      <w:r>
        <w:rPr>
          <w:spacing w:val="-60"/>
        </w:rPr>
        <w:t> </w:t>
      </w:r>
      <w:r>
        <w:rPr>
          <w:spacing w:val="-60"/>
        </w:rPr>
      </w:r>
      <w:r>
        <w:rPr>
          <w:spacing w:val="-2"/>
        </w:rPr>
        <w:t>假设，选择不同的估值技术和假设可能对公允价值评估结果造成重大影响。该事项对</w:t>
      </w:r>
      <w:r>
        <w:rPr>
          <w:rFonts w:ascii="Times New Roman" w:hAnsi="Times New Roman" w:cs="Times New Roman" w:eastAsia="Times New Roman" w:hint="default"/>
          <w:spacing w:val="-2"/>
        </w:rPr>
        <w:t>2019</w:t>
      </w:r>
      <w:r>
        <w:rPr>
          <w:spacing w:val="-2"/>
        </w:rPr>
        <w:t>年度财务报</w:t>
      </w:r>
      <w:r>
        <w:rPr>
          <w:spacing w:val="-65"/>
        </w:rPr>
        <w:t> </w:t>
      </w:r>
      <w:r>
        <w:rPr>
          <w:spacing w:val="-65"/>
        </w:rPr>
      </w:r>
      <w:r>
        <w:rPr/>
        <w:t>表影响较大，我们将该事项确定为关键审计事项。</w:t>
      </w:r>
    </w:p>
    <w:p>
      <w:pPr>
        <w:pStyle w:val="Heading4"/>
        <w:spacing w:line="369" w:lineRule="auto" w:before="175"/>
        <w:ind w:left="633" w:right="3004"/>
        <w:jc w:val="left"/>
      </w:pPr>
      <w:r>
        <w:rPr>
          <w:rFonts w:ascii="Times New Roman" w:hAnsi="Times New Roman" w:cs="Times New Roman" w:eastAsia="Times New Roman" w:hint="default"/>
        </w:rPr>
        <w:t>2.</w:t>
      </w:r>
      <w:r>
        <w:rPr/>
        <w:t>审计应对</w:t>
      </w:r>
      <w:r>
        <w:rPr>
          <w:w w:val="100"/>
        </w:rPr>
        <w:t> </w:t>
      </w:r>
      <w:r>
        <w:rPr>
          <w:spacing w:val="-1"/>
        </w:rPr>
        <w:t>我们针对该项投资的公允价值变动收益执行的审计程序主要包括：</w:t>
      </w:r>
    </w:p>
    <w:p>
      <w:pPr>
        <w:pStyle w:val="Heading4"/>
        <w:spacing w:line="244" w:lineRule="auto" w:before="61"/>
        <w:ind w:right="1133" w:firstLine="480"/>
        <w:jc w:val="left"/>
      </w:pPr>
      <w:r>
        <w:rPr>
          <w:spacing w:val="-1"/>
        </w:rPr>
        <w:t>（</w:t>
      </w:r>
      <w:r>
        <w:rPr>
          <w:rFonts w:ascii="Times New Roman" w:hAnsi="Times New Roman" w:cs="Times New Roman" w:eastAsia="Times New Roman" w:hint="default"/>
          <w:spacing w:val="-1"/>
        </w:rPr>
        <w:t>1</w:t>
      </w:r>
      <w:r>
        <w:rPr>
          <w:spacing w:val="-1"/>
        </w:rPr>
        <w:t>）了解管理层对金融资产进行管理的业务目标，评估管理层管理金融资产的业务模式以及合</w:t>
      </w:r>
      <w:r>
        <w:rPr>
          <w:w w:val="100"/>
        </w:rPr>
        <w:t> </w:t>
      </w:r>
      <w:r>
        <w:rPr/>
        <w:t>同现金流量特征，确定其分类是否恰当；</w:t>
      </w:r>
    </w:p>
    <w:p>
      <w:pPr>
        <w:pStyle w:val="Heading4"/>
        <w:spacing w:line="244" w:lineRule="auto" w:before="175"/>
        <w:ind w:right="1133" w:firstLine="480"/>
        <w:jc w:val="left"/>
      </w:pPr>
      <w:r>
        <w:rPr>
          <w:spacing w:val="-1"/>
        </w:rPr>
        <w:t>（</w:t>
      </w:r>
      <w:r>
        <w:rPr>
          <w:rFonts w:ascii="Times New Roman" w:hAnsi="Times New Roman" w:cs="Times New Roman" w:eastAsia="Times New Roman" w:hint="default"/>
          <w:spacing w:val="-1"/>
        </w:rPr>
        <w:t>2</w:t>
      </w:r>
      <w:r>
        <w:rPr>
          <w:spacing w:val="-1"/>
        </w:rPr>
        <w:t>）对</w:t>
      </w:r>
      <w:r>
        <w:rPr>
          <w:rFonts w:ascii="Times New Roman" w:hAnsi="Times New Roman" w:cs="Times New Roman" w:eastAsia="Times New Roman" w:hint="default"/>
          <w:spacing w:val="-1"/>
        </w:rPr>
        <w:t>MCAC</w:t>
      </w:r>
      <w:r>
        <w:rPr>
          <w:spacing w:val="-1"/>
        </w:rPr>
        <w:t>的创始人进行访谈，获取并分析</w:t>
      </w:r>
      <w:r>
        <w:rPr>
          <w:rFonts w:ascii="Times New Roman" w:hAnsi="Times New Roman" w:cs="Times New Roman" w:eastAsia="Times New Roman" w:hint="default"/>
          <w:spacing w:val="-1"/>
        </w:rPr>
        <w:t>MCAC</w:t>
      </w:r>
      <w:r>
        <w:rPr>
          <w:spacing w:val="-1"/>
        </w:rPr>
        <w:t>最近两年的财务报表，了解其经营状况，</w:t>
      </w:r>
      <w:r>
        <w:rPr>
          <w:w w:val="100"/>
        </w:rPr>
        <w:t> </w:t>
      </w:r>
      <w:r>
        <w:rPr/>
        <w:t>分析其公允价值变动的合理性；</w:t>
      </w:r>
    </w:p>
    <w:p>
      <w:pPr>
        <w:pStyle w:val="Heading4"/>
        <w:spacing w:line="240" w:lineRule="auto" w:before="175"/>
        <w:ind w:left="633" w:right="1133"/>
        <w:jc w:val="left"/>
      </w:pPr>
      <w:r>
        <w:rPr/>
        <w:t>（</w:t>
      </w:r>
      <w:r>
        <w:rPr>
          <w:rFonts w:ascii="Times New Roman" w:hAnsi="Times New Roman" w:cs="Times New Roman" w:eastAsia="Times New Roman" w:hint="default"/>
        </w:rPr>
        <w:t>3</w:t>
      </w:r>
      <w:r>
        <w:rPr/>
        <w:t>）复核了管理层所采用的估值方法，评估所使用估值技术恰当性、输入值的合理性；</w:t>
      </w:r>
    </w:p>
    <w:p>
      <w:pPr>
        <w:pStyle w:val="Heading4"/>
        <w:spacing w:line="240" w:lineRule="auto" w:before="163"/>
        <w:ind w:left="633" w:right="1133"/>
        <w:jc w:val="left"/>
      </w:pPr>
      <w:r>
        <w:rPr/>
        <w:t>（</w:t>
      </w:r>
      <w:r>
        <w:rPr>
          <w:rFonts w:ascii="Times New Roman" w:hAnsi="Times New Roman" w:cs="Times New Roman" w:eastAsia="Times New Roman" w:hint="default"/>
        </w:rPr>
        <w:t>4</w:t>
      </w:r>
      <w:r>
        <w:rPr/>
        <w:t>）评价管理层委聘的外部估值专家的胜任能力、专业素质和客观性。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right="1133"/>
        <w:jc w:val="left"/>
      </w:pPr>
      <w:r>
        <w:rPr/>
        <w:t>四、其他信息</w:t>
      </w:r>
    </w:p>
    <w:p>
      <w:pPr>
        <w:pStyle w:val="Heading4"/>
        <w:spacing w:line="247" w:lineRule="auto" w:before="172"/>
        <w:ind w:right="1133" w:firstLine="480"/>
        <w:jc w:val="left"/>
      </w:pPr>
      <w:r>
        <w:rPr>
          <w:spacing w:val="-3"/>
        </w:rPr>
        <w:t>贵公司管理层（以下简称管理层）对其他信息负责。其他信息包括贵公司</w:t>
      </w:r>
      <w:r>
        <w:rPr>
          <w:rFonts w:ascii="Times New Roman" w:hAnsi="Times New Roman" w:cs="Times New Roman" w:eastAsia="Times New Roman" w:hint="default"/>
          <w:spacing w:val="-3"/>
        </w:rPr>
        <w:t>2019</w:t>
      </w:r>
      <w:r>
        <w:rPr>
          <w:spacing w:val="-3"/>
        </w:rPr>
        <w:t>年年度报告中涵盖</w:t>
      </w:r>
      <w:r>
        <w:rPr>
          <w:w w:val="100"/>
        </w:rPr>
        <w:t> </w:t>
      </w:r>
      <w:r>
        <w:rPr/>
        <w:t>的信息，但不包括财务报表和我们的审计报告。</w:t>
      </w:r>
    </w:p>
    <w:p>
      <w:pPr>
        <w:spacing w:line="240" w:lineRule="auto" w:before="10"/>
        <w:rPr>
          <w:rFonts w:ascii="宋体" w:hAnsi="宋体" w:cs="宋体" w:eastAsia="宋体" w:hint="default"/>
          <w:sz w:val="10"/>
          <w:szCs w:val="10"/>
        </w:rPr>
      </w:pPr>
    </w:p>
    <w:p>
      <w:pPr>
        <w:pStyle w:val="Heading4"/>
        <w:spacing w:line="240" w:lineRule="auto" w:before="32"/>
        <w:ind w:left="633" w:right="1133"/>
        <w:jc w:val="left"/>
      </w:pPr>
      <w:r>
        <w:rPr>
          <w:spacing w:val="-3"/>
        </w:rPr>
        <w:t>我们对财务报表发表的审计意见并不涵盖其他信息，我们也不对其他信息发表任何形式的鉴证结</w:t>
      </w:r>
    </w:p>
    <w:p>
      <w:pPr>
        <w:pStyle w:val="Heading4"/>
        <w:spacing w:line="240" w:lineRule="auto" w:before="24"/>
        <w:ind w:right="1133"/>
        <w:jc w:val="left"/>
      </w:pPr>
      <w:r>
        <w:rPr/>
        <w:t>论。</w:t>
      </w:r>
    </w:p>
    <w:p>
      <w:pPr>
        <w:spacing w:line="240" w:lineRule="auto" w:before="3"/>
        <w:rPr>
          <w:rFonts w:ascii="宋体" w:hAnsi="宋体" w:cs="宋体" w:eastAsia="宋体" w:hint="default"/>
          <w:sz w:val="11"/>
          <w:szCs w:val="11"/>
        </w:rPr>
      </w:pPr>
    </w:p>
    <w:p>
      <w:pPr>
        <w:pStyle w:val="Heading4"/>
        <w:spacing w:line="259" w:lineRule="auto" w:before="32"/>
        <w:ind w:right="1133" w:firstLine="480"/>
        <w:jc w:val="left"/>
      </w:pPr>
      <w:r>
        <w:rPr>
          <w:spacing w:val="-3"/>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pStyle w:val="Heading4"/>
        <w:spacing w:line="240" w:lineRule="auto"/>
        <w:ind w:left="633" w:right="986"/>
        <w:jc w:val="left"/>
      </w:pPr>
      <w:r>
        <w:rPr>
          <w:spacing w:val="-6"/>
        </w:rPr>
        <w:t>基于我们已执行的工作，如果我们确定其他信息存在重大错报，我们应当报告该事实。在这方面，</w:t>
      </w:r>
    </w:p>
    <w:p>
      <w:pPr>
        <w:spacing w:after="0" w:line="240"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Heading4"/>
        <w:spacing w:line="240" w:lineRule="auto" w:before="32"/>
        <w:ind w:right="1133"/>
        <w:jc w:val="left"/>
      </w:pPr>
      <w:r>
        <w:rPr/>
        <w:t>我们无任何事项需要报告。</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3"/>
        <w:spacing w:line="240" w:lineRule="auto"/>
        <w:ind w:right="1133"/>
        <w:jc w:val="left"/>
      </w:pPr>
      <w:r>
        <w:rPr/>
        <w:t>五、管理层和治理层对财务报表的责任</w:t>
      </w:r>
    </w:p>
    <w:p>
      <w:pPr>
        <w:pStyle w:val="Heading4"/>
        <w:spacing w:line="259" w:lineRule="auto" w:before="172"/>
        <w:ind w:right="1130" w:firstLine="480"/>
        <w:jc w:val="both"/>
      </w:pPr>
      <w:r>
        <w:rPr>
          <w:spacing w:val="-3"/>
        </w:rPr>
        <w:t>管理层负责按照企业会计准则的规定编制财务报表，使其实现公允反映，并设计、执行和维护必</w:t>
      </w:r>
      <w:r>
        <w:rPr>
          <w:w w:val="100"/>
        </w:rPr>
        <w:t> </w:t>
      </w:r>
      <w:r>
        <w:rPr/>
        <w:t>要的内部控制，以使财务报表不存在由于舞弊或错误导致的重大错报。</w:t>
      </w:r>
    </w:p>
    <w:p>
      <w:pPr>
        <w:pStyle w:val="Heading4"/>
        <w:spacing w:line="259" w:lineRule="auto"/>
        <w:ind w:right="1130" w:firstLine="480"/>
        <w:jc w:val="both"/>
      </w:pPr>
      <w:r>
        <w:rPr>
          <w:spacing w:val="-3"/>
        </w:rPr>
        <w:t>在编制财务报表时，管理层负责评估贵公司的持续经营能力，披露与持续经营相关的事项（如适</w:t>
      </w:r>
      <w:r>
        <w:rPr>
          <w:w w:val="100"/>
        </w:rPr>
        <w:t> </w:t>
      </w:r>
      <w:r>
        <w:rPr/>
        <w:t>用），并运用持续经营假设，除非管理层计划清算贵公司、终止运营或别无其他现实的选择。</w:t>
      </w:r>
    </w:p>
    <w:p>
      <w:pPr>
        <w:pStyle w:val="Heading4"/>
        <w:spacing w:line="240" w:lineRule="auto"/>
        <w:ind w:left="633" w:right="1133"/>
        <w:jc w:val="left"/>
      </w:pPr>
      <w:r>
        <w:rPr/>
        <w:t>治理层负责监督贵公司的财务报告过程。</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3"/>
        <w:spacing w:line="240" w:lineRule="auto"/>
        <w:ind w:right="1133"/>
        <w:jc w:val="left"/>
      </w:pPr>
      <w:r>
        <w:rPr/>
        <w:t>六、注册会计师对财务报表审计的责任</w:t>
      </w:r>
    </w:p>
    <w:p>
      <w:pPr>
        <w:pStyle w:val="Heading4"/>
        <w:spacing w:line="259" w:lineRule="auto" w:before="172"/>
        <w:ind w:right="1131" w:firstLine="480"/>
        <w:jc w:val="both"/>
      </w:pPr>
      <w:r>
        <w:rPr>
          <w:spacing w:val="-3"/>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pStyle w:val="Heading4"/>
        <w:spacing w:line="259" w:lineRule="auto"/>
        <w:ind w:right="1129" w:firstLine="480"/>
        <w:jc w:val="both"/>
      </w:pPr>
      <w:r>
        <w:rPr>
          <w:spacing w:val="-3"/>
        </w:rPr>
        <w:t>在按照审计准则执行审计工作的过程中，我们运用职业判断，并保持职业怀疑。同时，我们也执</w:t>
      </w:r>
      <w:r>
        <w:rPr>
          <w:w w:val="100"/>
        </w:rPr>
        <w:t> </w:t>
      </w:r>
      <w:r>
        <w:rPr/>
        <w:t>行以下工作：</w:t>
      </w:r>
    </w:p>
    <w:p>
      <w:pPr>
        <w:pStyle w:val="Heading4"/>
        <w:spacing w:line="259" w:lineRule="auto"/>
        <w:ind w:right="1090" w:firstLine="480"/>
        <w:jc w:val="both"/>
      </w:pPr>
      <w:r>
        <w:rPr>
          <w:spacing w:val="-3"/>
        </w:rPr>
        <w:t>（一）识别和评估由于舞弊或错误导致的财务报表重大错报风险，设计和实施审计程序以应对这</w:t>
      </w:r>
      <w:r>
        <w:rPr>
          <w:w w:val="100"/>
        </w:rPr>
        <w:t> </w:t>
      </w:r>
      <w:r>
        <w:rPr>
          <w:spacing w:val="-1"/>
        </w:rPr>
        <w:t>些风险，并获取充分、适当的审计证据，作为发表审计意见的基础。由于舞弊可能涉及串通、伪造、</w:t>
      </w:r>
      <w:r>
        <w:rPr>
          <w:spacing w:val="-73"/>
        </w:rPr>
        <w:t> </w:t>
      </w:r>
      <w:r>
        <w:rPr>
          <w:spacing w:val="-73"/>
        </w:rPr>
      </w:r>
      <w:r>
        <w:rPr>
          <w:spacing w:val="-2"/>
        </w:rPr>
        <w:t>故意遗漏、虚假陈述或凌驾于内部控制之上，未能发现由于舞弊导致的重大错报的风险高于未能发现</w:t>
      </w:r>
      <w:r>
        <w:rPr>
          <w:spacing w:val="-70"/>
        </w:rPr>
        <w:t> </w:t>
      </w:r>
      <w:r>
        <w:rPr>
          <w:spacing w:val="-70"/>
        </w:rPr>
      </w:r>
      <w:r>
        <w:rPr/>
        <w:t>由于错误导致的重大错报的风险。</w:t>
      </w:r>
    </w:p>
    <w:p>
      <w:pPr>
        <w:pStyle w:val="Heading4"/>
        <w:spacing w:line="259" w:lineRule="auto" w:before="163"/>
        <w:ind w:right="1130" w:firstLine="480"/>
        <w:jc w:val="both"/>
      </w:pPr>
      <w:r>
        <w:rPr>
          <w:spacing w:val="-3"/>
        </w:rPr>
        <w:t>（二）了解与审计相关的内部控制，以设计恰当的审计程序，但目的并非对内部控制的有效性发</w:t>
      </w:r>
      <w:r>
        <w:rPr>
          <w:w w:val="100"/>
        </w:rPr>
        <w:t> </w:t>
      </w:r>
      <w:r>
        <w:rPr/>
        <w:t>表意见。</w:t>
      </w:r>
    </w:p>
    <w:p>
      <w:pPr>
        <w:pStyle w:val="Heading4"/>
        <w:spacing w:line="240" w:lineRule="auto"/>
        <w:ind w:left="633" w:right="1133"/>
        <w:jc w:val="left"/>
      </w:pPr>
      <w:r>
        <w:rPr/>
        <w:t>（三）评价管理层选用会计政策的恰当性和作出会计估计及相关披露的合理性。</w:t>
      </w:r>
    </w:p>
    <w:p>
      <w:pPr>
        <w:pStyle w:val="Heading4"/>
        <w:spacing w:line="259" w:lineRule="auto" w:before="180"/>
        <w:ind w:right="1090" w:firstLine="480"/>
        <w:jc w:val="both"/>
      </w:pPr>
      <w:r>
        <w:rPr>
          <w:spacing w:val="-3"/>
        </w:rPr>
        <w:t>（四）对管理层使用持续经营假设的恰当性得出结论。同时，根据获取的审计证据，就可能导致</w:t>
      </w:r>
      <w:r>
        <w:rPr>
          <w:w w:val="100"/>
        </w:rPr>
        <w:t> </w:t>
      </w:r>
      <w:r>
        <w:rPr>
          <w:spacing w:val="-2"/>
        </w:rPr>
        <w:t>对贵公司持续经营能力产生重大疑虑的事项或情况是否存在重大不确定性得出结论。如果我们得出结</w:t>
      </w:r>
      <w:r>
        <w:rPr>
          <w:spacing w:val="-73"/>
        </w:rPr>
        <w:t> </w:t>
      </w:r>
      <w:r>
        <w:rPr>
          <w:spacing w:val="-73"/>
        </w:rPr>
      </w:r>
      <w:r>
        <w:rPr>
          <w:spacing w:val="-2"/>
        </w:rPr>
        <w:t>论认为存在重大不确定性，审计准则要求我们在审计报告中提请报表使用者注意财务报表中的相关披</w:t>
      </w:r>
      <w:r>
        <w:rPr>
          <w:spacing w:val="-73"/>
        </w:rPr>
        <w:t> </w:t>
      </w:r>
      <w:r>
        <w:rPr>
          <w:spacing w:val="-73"/>
        </w:rPr>
      </w:r>
      <w:r>
        <w:rPr>
          <w:spacing w:val="-1"/>
        </w:rPr>
        <w:t>露；如果披露不充分，我们应当发表非无保留意见。我们的结论基于截至审计报告日可获得的信息。</w:t>
      </w:r>
      <w:r>
        <w:rPr>
          <w:spacing w:val="-73"/>
        </w:rPr>
        <w:t> </w:t>
      </w:r>
      <w:r>
        <w:rPr>
          <w:spacing w:val="-73"/>
        </w:rPr>
      </w:r>
      <w:r>
        <w:rPr/>
        <w:t>然而，未来的事项或情况可能导致贵公司不能持续经营。</w:t>
      </w:r>
    </w:p>
    <w:p>
      <w:pPr>
        <w:pStyle w:val="Heading4"/>
        <w:spacing w:line="240" w:lineRule="auto"/>
        <w:ind w:left="633" w:right="986"/>
        <w:jc w:val="left"/>
      </w:pPr>
      <w:r>
        <w:rPr/>
        <w:t>（五）评价财务报表的总体列报、结构和内容，并评价财务报表是否公允反映相关交易和事项。</w:t>
      </w:r>
    </w:p>
    <w:p>
      <w:pPr>
        <w:pStyle w:val="Heading4"/>
        <w:spacing w:line="261" w:lineRule="auto" w:before="180"/>
        <w:ind w:right="1129" w:firstLine="480"/>
        <w:jc w:val="both"/>
      </w:pPr>
      <w:r>
        <w:rPr>
          <w:spacing w:val="-3"/>
        </w:rPr>
        <w:t>（六）就贵公司中实体或业务活动的财务信息获取充分、恰当的审计证据，以对财务报表发表审</w:t>
      </w:r>
      <w:r>
        <w:rPr>
          <w:w w:val="100"/>
        </w:rPr>
        <w:t> </w:t>
      </w:r>
      <w:r>
        <w:rPr/>
        <w:t>计意见。我们负责指导、监督和执行集团审计，并对审计意见承担全部责任。</w:t>
      </w:r>
    </w:p>
    <w:p>
      <w:pPr>
        <w:pStyle w:val="Heading4"/>
        <w:spacing w:line="259" w:lineRule="auto" w:before="160"/>
        <w:ind w:right="1133" w:firstLine="480"/>
        <w:jc w:val="both"/>
      </w:pPr>
      <w:r>
        <w:rPr>
          <w:spacing w:val="-3"/>
        </w:rPr>
        <w:t>我们与治理层就计划的审计范围、时间安排和重大审计发现等事项进行沟通，包括沟通我们在审</w:t>
      </w:r>
      <w:r>
        <w:rPr>
          <w:w w:val="100"/>
        </w:rPr>
        <w:t> </w:t>
      </w:r>
      <w:r>
        <w:rPr/>
        <w:t>计中识别出的值得关注的内部控制缺陷。</w:t>
      </w:r>
    </w:p>
    <w:p>
      <w:pPr>
        <w:pStyle w:val="Heading4"/>
        <w:spacing w:line="276" w:lineRule="auto"/>
        <w:ind w:right="1133" w:firstLine="480"/>
        <w:jc w:val="left"/>
      </w:pPr>
      <w:r>
        <w:rPr>
          <w:spacing w:val="-3"/>
        </w:rPr>
        <w:t>我们还就遵守与独立性相关的职业道德要求向治理层提供声明，并与治理层沟通可能被合理认为</w:t>
      </w:r>
      <w:r>
        <w:rPr>
          <w:w w:val="100"/>
        </w:rPr>
        <w:t> </w:t>
      </w:r>
      <w:r>
        <w:rPr/>
        <w:t>影响我们独立性的所有关系和其他事项，以及相关的防范措施（如适用）。</w:t>
      </w:r>
      <w:r>
        <w:rPr>
          <w:w w:val="100"/>
        </w:rPr>
        <w:t> </w:t>
      </w:r>
      <w:r>
        <w:rPr>
          <w:spacing w:val="-2"/>
        </w:rPr>
        <w:t>从与治理层沟通过的事项中，我们确定哪些事项对本期财务报表审计最为重要，因而构成关键审计事</w:t>
      </w:r>
    </w:p>
    <w:p>
      <w:pPr>
        <w:spacing w:after="0" w:line="276"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Heading4"/>
        <w:spacing w:line="259" w:lineRule="auto" w:before="32"/>
        <w:ind w:right="1129"/>
        <w:jc w:val="both"/>
      </w:pPr>
      <w:r>
        <w:rPr>
          <w:spacing w:val="-2"/>
        </w:rPr>
        <w:t>项。我们在审计报告中描述这些事项，除非法律法规禁止公开披露这些事项，或在极少数情形下，如</w:t>
      </w:r>
      <w:r>
        <w:rPr>
          <w:spacing w:val="-70"/>
        </w:rPr>
        <w:t> </w:t>
      </w:r>
      <w:r>
        <w:rPr>
          <w:spacing w:val="-70"/>
        </w:rPr>
      </w:r>
      <w:r>
        <w:rPr>
          <w:spacing w:val="-2"/>
        </w:rPr>
        <w:t>果合理预期在审计报告中沟通某事项造成的负面后果超过在公众利益方面产生的益处，我们确定不应</w:t>
      </w:r>
      <w:r>
        <w:rPr>
          <w:spacing w:val="-73"/>
        </w:rPr>
        <w:t> </w:t>
      </w:r>
      <w:r>
        <w:rPr>
          <w:spacing w:val="-73"/>
        </w:rPr>
      </w:r>
      <w:r>
        <w:rPr/>
        <w:t>在审计报告中沟通该事项。</w:t>
      </w:r>
    </w:p>
    <w:p>
      <w:pPr>
        <w:spacing w:line="240" w:lineRule="auto" w:before="0"/>
        <w:rPr>
          <w:rFonts w:ascii="宋体" w:hAnsi="宋体" w:cs="宋体" w:eastAsia="宋体" w:hint="default"/>
          <w:sz w:val="22"/>
          <w:szCs w:val="22"/>
        </w:rPr>
      </w:pPr>
    </w:p>
    <w:p>
      <w:pPr>
        <w:pStyle w:val="Heading6"/>
        <w:tabs>
          <w:tab w:pos="7054" w:val="left" w:leader="none"/>
        </w:tabs>
        <w:spacing w:line="240" w:lineRule="auto" w:before="196"/>
        <w:ind w:left="578" w:right="1133"/>
        <w:jc w:val="left"/>
      </w:pPr>
      <w:r>
        <w:rPr>
          <w:spacing w:val="-2"/>
        </w:rPr>
        <w:t>大信会计师事务所（特殊普通合伙）</w:t>
        <w:tab/>
      </w:r>
      <w:r>
        <w:rPr>
          <w:spacing w:val="-1"/>
        </w:rPr>
        <w:t>中国注册会计师：</w:t>
      </w:r>
    </w:p>
    <w:p>
      <w:pPr>
        <w:pStyle w:val="Heading6"/>
        <w:spacing w:line="240" w:lineRule="auto" w:before="37"/>
        <w:ind w:left="6211" w:right="1133"/>
        <w:jc w:val="left"/>
      </w:pPr>
      <w:r>
        <w:rPr/>
        <w:t>（项目合伙人）</w:t>
      </w:r>
    </w:p>
    <w:p>
      <w:pPr>
        <w:spacing w:line="240" w:lineRule="auto" w:before="9"/>
        <w:rPr>
          <w:rFonts w:ascii="宋体" w:hAnsi="宋体" w:cs="宋体" w:eastAsia="宋体" w:hint="default"/>
          <w:sz w:val="26"/>
          <w:szCs w:val="26"/>
        </w:rPr>
      </w:pPr>
    </w:p>
    <w:p>
      <w:pPr>
        <w:pStyle w:val="Heading6"/>
        <w:tabs>
          <w:tab w:pos="6617" w:val="left" w:leader="none"/>
        </w:tabs>
        <w:spacing w:line="240" w:lineRule="auto" w:before="0"/>
        <w:ind w:left="1413" w:right="1133"/>
        <w:jc w:val="left"/>
      </w:pPr>
      <w:r>
        <w:rPr/>
        <w:t>中 国  </w:t>
      </w:r>
      <w:r>
        <w:rPr>
          <w:rFonts w:ascii="Times New Roman" w:hAnsi="Times New Roman" w:cs="Times New Roman" w:eastAsia="Times New Roman" w:hint="default"/>
        </w:rPr>
        <w:t>·   </w:t>
      </w:r>
      <w:r>
        <w:rPr/>
        <w:t>北</w:t>
      </w:r>
      <w:r>
        <w:rPr>
          <w:spacing w:val="-70"/>
        </w:rPr>
        <w:t> </w:t>
      </w:r>
      <w:r>
        <w:rPr/>
        <w:t>京</w:t>
        <w:tab/>
        <w:t>中国注册会计师：</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240" w:lineRule="auto" w:before="8"/>
        <w:rPr>
          <w:rFonts w:ascii="宋体" w:hAnsi="宋体" w:cs="宋体" w:eastAsia="宋体" w:hint="default"/>
          <w:sz w:val="26"/>
          <w:szCs w:val="26"/>
        </w:rPr>
      </w:pPr>
    </w:p>
    <w:p>
      <w:pPr>
        <w:pStyle w:val="Heading6"/>
        <w:spacing w:line="240" w:lineRule="auto" w:before="0"/>
        <w:ind w:right="-20"/>
        <w:jc w:val="left"/>
      </w:pPr>
      <w:r>
        <w:rPr/>
        <w:t>四月二十九日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spacing w:line="240" w:lineRule="auto"/>
        <w:ind w:right="-2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20"/>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18"/>
        <w:ind w:right="-20"/>
        <w:jc w:val="left"/>
        <w:rPr>
          <w:b w:val="0"/>
          <w:bCs w:val="0"/>
        </w:rPr>
      </w:pPr>
      <w:r>
        <w:rPr>
          <w:rFonts w:ascii="Times New Roman" w:hAnsi="Times New Roman" w:cs="Times New Roman" w:eastAsia="Times New Roman" w:hint="default"/>
        </w:rPr>
        <w:t>1</w:t>
      </w:r>
      <w:r>
        <w:rPr/>
        <w:t>、合并资产负债表</w:t>
      </w:r>
      <w:r>
        <w:rPr>
          <w:b w:val="0"/>
          <w:bCs w:val="0"/>
        </w:rPr>
      </w:r>
    </w:p>
    <w:p>
      <w:pPr>
        <w:pStyle w:val="Heading6"/>
        <w:spacing w:line="240" w:lineRule="auto" w:before="36"/>
        <w:ind w:right="0"/>
        <w:jc w:val="left"/>
      </w:pPr>
      <w:r>
        <w:rPr>
          <w:spacing w:val="15"/>
        </w:rPr>
        <w:br w:type="column"/>
      </w:r>
      <w:r>
        <w:rPr>
          <w:spacing w:val="15"/>
        </w:rPr>
        <w:t>二</w:t>
      </w:r>
      <w:r>
        <w:rPr>
          <w:rFonts w:ascii="Times New Roman" w:hAnsi="Times New Roman" w:cs="Times New Roman" w:eastAsia="Times New Roman" w:hint="default"/>
          <w:spacing w:val="15"/>
        </w:rPr>
        <w:t>○</w:t>
      </w:r>
      <w:r>
        <w:rPr>
          <w:spacing w:val="15"/>
        </w:rPr>
        <w:t>二</w:t>
      </w:r>
      <w:r>
        <w:rPr>
          <w:rFonts w:ascii="Times New Roman" w:hAnsi="Times New Roman" w:cs="Times New Roman" w:eastAsia="Times New Roman" w:hint="default"/>
          <w:spacing w:val="15"/>
        </w:rPr>
        <w:t>○</w:t>
      </w:r>
      <w:r>
        <w:rPr>
          <w:spacing w:val="15"/>
        </w:rPr>
        <w:t>年</w:t>
      </w:r>
    </w:p>
    <w:p>
      <w:pPr>
        <w:spacing w:after="0" w:line="240" w:lineRule="auto"/>
        <w:jc w:val="left"/>
        <w:sectPr>
          <w:type w:val="continuous"/>
          <w:pgSz w:w="11910" w:h="16840"/>
          <w:pgMar w:top="1060" w:bottom="1160" w:left="980" w:right="0"/>
          <w:cols w:num="2" w:equalWidth="0">
            <w:col w:w="2493" w:space="6175"/>
            <w:col w:w="2262"/>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ind w:right="-20"/>
        <w:jc w:val="left"/>
      </w:pPr>
      <w:r>
        <w:rPr/>
        <w:t>编制单位：汉鼎宇佑互联网股份有限公司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393" w:space="683"/>
            <w:col w:w="1641" w:space="3203"/>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187,620,365.92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287,630,414.26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161,818,448.98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186,647,716.72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24,945,492.15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22,898,795.09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67,115,104.83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116,207,355.33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407,971,267.93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516,160,663.11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127,485,134.14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197,059,883.61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21,196,643.66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22,080,986.46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1,090,428,723.66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1,349,700,814.58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524,535,553.68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61,198,111.66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182,964,187.95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275,649,541.50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837,568,183.37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521,891,975.94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181,951,821.88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135,507,291.24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180,050,688.32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249,313,578.79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1,075,660.98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1,030,534.32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7,905,931.52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72,107,968.31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58,943,843.44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61,061,779.17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78,558,026.96</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33,033,653.57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1,368,825,602.20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2,099,321,730.40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2,459,254,325.86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3,449,022,544.98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490,802,530.19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531,015,000.00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28,724,490.12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3,908,911.77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323,094,592.71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302,582,439.26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35,335,901.83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53,577,308.95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10,314,021.20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10,933,680.33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6,146,051.94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9,264,305.67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75,278,334.50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133,217,282.93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1,447,002.85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127,034.76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140,212.88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77,561,354.99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969,695,922.49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1,122,060,283.90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178,881.66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178,881.66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969,874,804.15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1,122,060,283.90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679,945,828.00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683,931,466.00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1,070,543,657.65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1,093,705,164.49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72,306,229.27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90,840,853.68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16,788,640.43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123,831,456.26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36,852,135.07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39,373,444.43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-207,871,951.91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498,035,293.55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1,523,952,079.97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2,348,035,971.05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-34,572,558.26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-21,073,709.97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1,489,379,521.71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2,326,962,261.08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2,459,254,325.86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3,449,022,544.98</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ind w:left="0" w:right="1225"/>
        <w:jc w:val="right"/>
      </w:pPr>
      <w:r>
        <w:rPr/>
        <w:t>法定代表人：曹阳</w:t>
        <w:tab/>
      </w:r>
      <w:r>
        <w:rPr>
          <w:spacing w:val="-1"/>
        </w:rPr>
        <w:t>主管会计工作负责人：曾志勇</w:t>
        <w:tab/>
      </w:r>
      <w:r>
        <w:rPr/>
        <w:t>会计机构负责人：劳琼璐</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81,117,775.36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73,800,242.01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12,217,824.38</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130,114,476.55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176,913,377.53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16,013,971.27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10,106,531.04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630,554,354.47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830,241,677.27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388,927,980.47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512,099,942.63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5,312,448.65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4,623,175.69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1,265,228,831.15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1,608,799,946.17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67,607,272.73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1,358,942,824.94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1,321,190,405.46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56,581,992.73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55,352,872.93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59,277,900.64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55,084,017.22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60,287,012.59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742,777.59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539,555.85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1,669,423.82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313,004.72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62,711,404.37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24,126,621.93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1,591,085,313.60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1,533,341,773.92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2,856,314,144.75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3,142,141,720.09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490,802,530.19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529,970,000.00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28,724,490.12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3,908,911.77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283,736,468.27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303,250,591.89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15,615,395.19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38,103,762.86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5,966,834.06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6,351,902.79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2,071,978.97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1,732,752.79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290,377,035.49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289,819,366.64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1,117,294,732.29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1,173,137,288.74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178,881.66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178,881.66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1,117,473,613.95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1,173,137,288.74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679,945,828.00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683,931,466.00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1,072,047,401.21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1,100,088,199.32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72,306,229.27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90,840,853.68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-1,119,447.00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36,852,135.07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39,373,444.43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23,420,842.79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236,452,175.28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1,738,840,530.80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1,969,004,431.35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2,856,314,144.75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3,142,141,720.09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451,533,912.02</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527,647,214.59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451,533,912.02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527,647,214.59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564,911,804.78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596,214,248.01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399,558,266.63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449,380,041.88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39.555969pt;width:193.15pt;height:19.6pt;mso-position-horizontal-relative:page;mso-position-vertical-relative:page;z-index:-112955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380.689972pt;width:160pt;height:19.6pt;mso-position-horizontal-relative:page;mso-position-vertical-relative:page;z-index:-1129528" coordorigin="4220,7614" coordsize="3200,392">
            <v:group style="position:absolute;left:7398;top:7614;width:22;height:392" coordorigin="7398,7614" coordsize="22,392">
              <v:shape style="position:absolute;left:7398;top:7614;width:22;height:392" coordorigin="7398,7614" coordsize="22,392" path="m7398,8005l7420,8005,7420,7614,7398,7614,7398,8005xe" filled="true" fillcolor="#ffffff" stroked="false">
                <v:path arrowok="t"/>
                <v:fill type="solid"/>
              </v:shape>
            </v:group>
            <v:group style="position:absolute;left:4220;top:7614;width:22;height:392" coordorigin="4220,7614" coordsize="22,392">
              <v:shape style="position:absolute;left:4220;top:7614;width:22;height:392" coordorigin="4220,7614" coordsize="22,392" path="m4220,8005l4242,8005,4242,7614,4220,7614,4220,8005xe" filled="true" fillcolor="#ffffff" stroked="false">
                <v:path arrowok="t"/>
                <v:fill type="solid"/>
              </v:shape>
            </v:group>
            <v:group style="position:absolute;left:4242;top:7614;width:3157;height:392" coordorigin="4242,7614" coordsize="3157,392">
              <v:shape style="position:absolute;left:4242;top:7614;width:3157;height:392" coordorigin="4242,7614" coordsize="3157,392" path="m4242,8005l7398,8005,7398,7614,4242,7614,4242,80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031"/>
        <w:gridCol w:w="2181"/>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4,694,276.40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6,607,456.37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50,848,246.92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27,980,727.04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58,343,465.00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59,178,912.14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23,101,501.93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32,028,557.16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28,366,047.90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21,038,553.42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28,931,650.82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24,931,117.21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910,778.24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3,890,263.88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6,327,981.21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11,438,476.80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68,815,630.48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200,414,449.17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71,284,163.00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115,488,323.64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44" w:right="0"/>
              <w:jc w:val="left"/>
              <w:rPr>
                <w:rFonts w:ascii="Times New Roman" w:hAnsi="Times New Roman" w:cs="Times New Roman" w:eastAsia="Times New Roman" w:hint="default"/>
                <w:sz w:val="18"/>
                <w:szCs w:val="18"/>
              </w:rPr>
            </w:pPr>
            <w:r>
              <w:rPr>
                <w:rFonts w:ascii="Times New Roman"/>
                <w:sz w:val="18"/>
              </w:rPr>
              <w:t>100,356,501.33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-103,639,511.78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-795,365,310.82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-24,438,978.18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8,111.66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2" w:right="0"/>
              <w:jc w:val="left"/>
              <w:rPr>
                <w:rFonts w:ascii="Times New Roman" w:hAnsi="Times New Roman" w:cs="Times New Roman" w:eastAsia="Times New Roman" w:hint="default"/>
                <w:sz w:val="18"/>
                <w:szCs w:val="18"/>
              </w:rPr>
            </w:pPr>
            <w:r>
              <w:rPr>
                <w:rFonts w:ascii="Times New Roman"/>
                <w:sz w:val="18"/>
              </w:rPr>
              <w:t>-836,882,602.34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118,855,026.03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3,089,381.80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9,238,840.62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10,706,221.90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851,957.07</w:t>
            </w:r>
          </w:p>
        </w:tc>
      </w:tr>
      <w:tr>
        <w:trPr>
          <w:trHeight w:val="401"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31" w:type="dxa"/>
            <w:tcBorders>
              <w:top w:val="single" w:sz="4" w:space="0" w:color="000000"/>
              <w:left w:val="single" w:sz="13" w:space="0" w:color="FFFFFF"/>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-844,499,442.44</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127,241,909.58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3" w:right="0"/>
              <w:jc w:val="left"/>
              <w:rPr>
                <w:rFonts w:ascii="Times New Roman" w:hAnsi="Times New Roman" w:cs="Times New Roman" w:eastAsia="Times New Roman" w:hint="default"/>
                <w:sz w:val="18"/>
                <w:szCs w:val="18"/>
              </w:rPr>
            </w:pPr>
            <w:r>
              <w:rPr>
                <w:rFonts w:ascii="Times New Roman"/>
                <w:sz w:val="18"/>
              </w:rPr>
              <w:t>-35,883,764.57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12,085,902.68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-808,615,677.87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115,156,006.90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-808,615,677.87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115,156,006.90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-793,295,024.47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124,307,511.26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-15,320,653.40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-9,151,504.36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9,480,218.35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123,342,460.33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9,480,218.35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122,411,677.96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9,480,218.35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122,411,677.96</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-1,119,447.00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-1,066,500.00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116,523,034.18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10,599,665.35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6,955,143.78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930,782.37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-799,135,459.52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238,498,467.23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-783,814,806.12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246,719,189.22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-15,320,653.40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-8,220,721.99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pStyle w:val="BodyText"/>
        <w:tabs>
          <w:tab w:pos="3487" w:val="left" w:leader="none"/>
          <w:tab w:pos="7718" w:val="left" w:leader="none"/>
        </w:tabs>
        <w:spacing w:line="595" w:lineRule="auto" w:before="49"/>
        <w:ind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法定代表人：曹阳</w:t>
        <w:tab/>
      </w:r>
      <w:r>
        <w:rPr>
          <w:spacing w:val="-1"/>
        </w:rPr>
        <w:t>主管会计工作负责人：曾志勇</w:t>
        <w:tab/>
      </w:r>
      <w:r>
        <w:rPr/>
        <w:t>会计机构负责人：劳琼璐</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300,469,649.05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416,557,423.16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290,014,013.70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347,391,260.70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2,032,730.26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2,696,216.19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10,733,864.53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8,270,759.81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26,598,264.93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25,957,113.45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12,721,014.61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19,350,347.68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27,141,149.27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24,065,990.76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28,349,623.77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24,931,117.21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396,446.60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608,857.20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992,251.00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6,866,273.26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6,521,454.63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33,682,484.71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11,509,919.87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10,700,384.44</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1,192,544.38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-67,141,451.98</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-75,548,454.37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-15,837,093.43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33,059.51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-202,755,044.59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13,570,458.62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106,855.46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281,865.32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5,662,059.03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88,111.80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-208,310,248.16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13,764,212.14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-31,382,518.37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2,696,550.97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-176,927,729.79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11,067,661.17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-176,927,729.79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11,067,661.17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-1,119,447.00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-1,119,447.00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3" w:right="0"/>
              <w:jc w:val="left"/>
              <w:rPr>
                <w:rFonts w:ascii="Times New Roman" w:hAnsi="Times New Roman" w:cs="Times New Roman" w:eastAsia="Times New Roman" w:hint="default"/>
                <w:sz w:val="18"/>
                <w:szCs w:val="18"/>
              </w:rPr>
            </w:pPr>
            <w:r>
              <w:rPr>
                <w:rFonts w:ascii="Times New Roman"/>
                <w:sz w:val="18"/>
              </w:rPr>
              <w:t>-178,047,176.79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11,067,661.17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505,737,182.09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644,744,809.25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2,215,202.91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1,749,730.96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44,043,883.67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115,554,515.65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551,996,268.67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762,049,055.86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368,596,903.44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451,982,830.66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62,463,134.39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46,694,905.40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23,204,716.91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57,943,024.83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149,715,914.66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176,973,206.32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603,980,669.40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733,593,967.21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-51,984,400.73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28,455,088.65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32,898,400.00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147,780,000.00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423,360.00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508,130.00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19,024,954.41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152,919,395.58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166,271,926.32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186,452,795.58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334,008,370.73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15,899,676.94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46,919,308.00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16,289,878.48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108,204,654.60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29,634,466.24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1,327,976.49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135,053,138.13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33,517,531.91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319,811,566.97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152,935,263.67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14,196,803.76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7,022,680.20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67,735,001.00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611,440,333.35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606,992,680.20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679,175,334.35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652,161,529.69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599,425,333.35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42,830,820.00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34,207,712.87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124,964,019.90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223,588,647.65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819,956,369.59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857,221,693.87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-212,963,689.39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-178,046,359.52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-268,756.90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372,693.67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-112,281,583.35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-135,021,773.44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272,279,753.39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407,301,526.83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159,998,170.04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272,279,753.39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333,031,623.87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487,515,189.85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349,885,286.88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487,443,988.07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682,916,910.75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974,959,177.92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279,653,326.75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350,026,350.46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23,234,226.18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18,592,667.70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6,962,767.54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15,082,572.46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229,159,235.61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464,410,825.64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539,009,556.08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848,112,416.26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143,907,354.67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126,846,761.66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423,360.00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501,630.00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48,777,100.27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49,702,090.27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2,154,730.77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18,917,621.69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65,688,880.00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32,654,730.77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84,606,501.69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-32,654,730.77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-34,904,411.42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7,022,680.20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67,735,001.00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610,395,333.35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606,992,680.20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678,130,334.35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599,425,333.35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41,851,180.29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33,477,539.26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47,402,664.91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729,223,845.20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735,902,872.61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-122,231,165.00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-57,772,538.26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405,146.31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-10,994,053.82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34,574,958.29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64,489,633.30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29,914,675.01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53,495,579.48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64,489,633.30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9"/>
        <w:gridCol w:w="583"/>
        <w:gridCol w:w="586"/>
        <w:gridCol w:w="583"/>
        <w:gridCol w:w="584"/>
        <w:gridCol w:w="583"/>
        <w:gridCol w:w="583"/>
        <w:gridCol w:w="586"/>
        <w:gridCol w:w="583"/>
        <w:gridCol w:w="584"/>
        <w:gridCol w:w="586"/>
        <w:gridCol w:w="578"/>
      </w:tblGrid>
      <w:tr>
        <w:trPr>
          <w:trHeight w:val="402"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623"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6"/>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9"/>
        <w:gridCol w:w="583"/>
        <w:gridCol w:w="586"/>
        <w:gridCol w:w="583"/>
        <w:gridCol w:w="584"/>
        <w:gridCol w:w="583"/>
        <w:gridCol w:w="583"/>
        <w:gridCol w:w="586"/>
        <w:gridCol w:w="583"/>
        <w:gridCol w:w="584"/>
        <w:gridCol w:w="586"/>
        <w:gridCol w:w="578"/>
      </w:tblGrid>
      <w:tr>
        <w:trPr>
          <w:trHeight w:val="36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683,9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705,16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123,83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498,37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7,135.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2,348,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377,81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2,328,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678,60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5.15</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23,034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-2,521,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309.36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9,597.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4,746.</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-164,6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-18,40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9,410.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77</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-341,8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42.03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-341,8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42.03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502.04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-1,716,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344.07</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683,9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705,16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7,308,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422.08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598,83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2,329,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791,22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8,374.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2,308,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552,85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0.31</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-3,98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5,638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1,506.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4,624.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218.35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-806,7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06,842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.87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-805,8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39,144</w:t>
            </w:r>
          </w:p>
          <w:p>
            <w:pPr>
              <w:pStyle w:val="TableParagraph"/>
              <w:spacing w:line="240" w:lineRule="auto" w:before="105"/>
              <w:ind w:left="327" w:right="0"/>
              <w:jc w:val="left"/>
              <w:rPr>
                <w:rFonts w:ascii="Times New Roman" w:hAnsi="Times New Roman" w:cs="Times New Roman" w:eastAsia="Times New Roman" w:hint="default"/>
                <w:sz w:val="18"/>
                <w:szCs w:val="18"/>
              </w:rPr>
            </w:pPr>
            <w:r>
              <w:rPr>
                <w:rFonts w:ascii="Times New Roman"/>
                <w:sz w:val="18"/>
              </w:rPr>
              <w:t>.95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4,183.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-819,1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73,328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218.35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-793,2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95,024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-783,8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14,806</w:t>
            </w:r>
          </w:p>
          <w:p>
            <w:pPr>
              <w:pStyle w:val="TableParagraph"/>
              <w:spacing w:line="240" w:lineRule="auto" w:before="105"/>
              <w:ind w:left="327" w:right="0"/>
              <w:jc w:val="left"/>
              <w:rPr>
                <w:rFonts w:ascii="Times New Roman" w:hAnsi="Times New Roman" w:cs="Times New Roman" w:eastAsia="Times New Roman" w:hint="default"/>
                <w:sz w:val="18"/>
                <w:szCs w:val="18"/>
              </w:rPr>
            </w:pPr>
            <w:r>
              <w:rPr>
                <w:rFonts w:ascii="Times New Roman"/>
                <w:sz w:val="18"/>
              </w:rPr>
              <w:t>.12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0,653.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-799,1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35,459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.52</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842.05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842.05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1,986,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469.75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3,494,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311.80</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842.05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842.05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1,507,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842.05</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1,986,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469.75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159.75</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9"/>
        <w:gridCol w:w="583"/>
        <w:gridCol w:w="586"/>
        <w:gridCol w:w="583"/>
        <w:gridCol w:w="584"/>
        <w:gridCol w:w="583"/>
        <w:gridCol w:w="583"/>
        <w:gridCol w:w="586"/>
        <w:gridCol w:w="583"/>
        <w:gridCol w:w="584"/>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1,818.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-3,98</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5,638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8,474.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-25,38</w:t>
            </w:r>
          </w:p>
          <w:p>
            <w:pPr>
              <w:pStyle w:val="TableParagraph"/>
              <w:spacing w:line="240" w:lineRule="auto" w:before="102"/>
              <w:ind w:left="107" w:right="0"/>
              <w:jc w:val="left"/>
              <w:rPr>
                <w:rFonts w:ascii="Times New Roman" w:hAnsi="Times New Roman" w:cs="Times New Roman" w:eastAsia="Times New Roman" w:hint="default"/>
                <w:sz w:val="18"/>
                <w:szCs w:val="18"/>
              </w:rPr>
            </w:pPr>
            <w:r>
              <w:rPr>
                <w:rFonts w:ascii="Times New Roman"/>
                <w:sz w:val="18"/>
              </w:rPr>
              <w:t>4,112.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-3,98</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5,638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8,474.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-25,38</w:t>
            </w:r>
          </w:p>
          <w:p>
            <w:pPr>
              <w:pStyle w:val="TableParagraph"/>
              <w:spacing w:line="240" w:lineRule="auto" w:before="102"/>
              <w:ind w:left="107" w:right="0"/>
              <w:jc w:val="left"/>
              <w:rPr>
                <w:rFonts w:ascii="Times New Roman" w:hAnsi="Times New Roman" w:cs="Times New Roman" w:eastAsia="Times New Roman" w:hint="default"/>
                <w:sz w:val="18"/>
                <w:szCs w:val="18"/>
              </w:rPr>
            </w:pPr>
            <w:r>
              <w:rPr>
                <w:rFonts w:ascii="Times New Roman"/>
                <w:sz w:val="18"/>
              </w:rPr>
              <w:t>4,112.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-3,270,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874.41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6,849,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488.07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0,362.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0,362.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679,9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45,82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1,070,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543,65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71,951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1,523,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952,07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2,558.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1,489,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379,52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1.71</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7065"/>
        <w:gridCol w:w="641"/>
        <w:gridCol w:w="653"/>
      </w:tblGrid>
      <w:tr>
        <w:trPr>
          <w:trHeight w:val="401"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7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8"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6"/>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left="48"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3" w:type="dxa"/>
            <w:vMerge w:val="restart"/>
            <w:tcBorders>
              <w:top w:val="single" w:sz="4" w:space="0" w:color="000000"/>
              <w:left w:val="single" w:sz="4" w:space="0" w:color="000000"/>
              <w:right w:val="single" w:sz="4" w:space="0" w:color="000000"/>
            </w:tcBorders>
          </w:tcPr>
          <w:p>
            <w:pPr>
              <w:pStyle w:val="TableParagraph"/>
              <w:spacing w:line="319" w:lineRule="auto" w:before="8"/>
              <w:ind w:left="232" w:right="48"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714"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93,71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1,371,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099,82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109,97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8,709.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1,419,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778.30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383,82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4,286.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2,144,</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025,57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775,992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01,566.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93,71</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1,371,</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099,82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109,97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8,709.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1,419,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778.30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383,82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4,286.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2,144,</w:t>
            </w:r>
          </w:p>
          <w:p>
            <w:pPr>
              <w:pStyle w:val="TableParagraph"/>
              <w:spacing w:line="240" w:lineRule="auto" w:before="102"/>
              <w:ind w:left="16" w:right="0"/>
              <w:jc w:val="center"/>
              <w:rPr>
                <w:rFonts w:ascii="Times New Roman" w:hAnsi="Times New Roman" w:cs="Times New Roman" w:eastAsia="Times New Roman" w:hint="default"/>
                <w:sz w:val="18"/>
                <w:szCs w:val="18"/>
              </w:rPr>
            </w:pPr>
            <w:r>
              <w:rPr>
                <w:rFonts w:ascii="Times New Roman"/>
                <w:sz w:val="18"/>
              </w:rPr>
              <w:t>025,57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775,992</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01,566.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224,5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37,75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-277,3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94,658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7,855.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122,41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1,677.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766.12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114,21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1,006.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204,01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0,397.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-21,849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,702.96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182,160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,694.77</w:t>
            </w: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122,41</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1,677.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124,30</w:t>
            </w:r>
          </w:p>
          <w:p>
            <w:pPr>
              <w:pStyle w:val="TableParagraph"/>
              <w:spacing w:line="240" w:lineRule="auto" w:before="103"/>
              <w:ind w:left="112" w:right="0"/>
              <w:jc w:val="left"/>
              <w:rPr>
                <w:rFonts w:ascii="Times New Roman" w:hAnsi="Times New Roman" w:cs="Times New Roman" w:eastAsia="Times New Roman" w:hint="default"/>
                <w:sz w:val="18"/>
                <w:szCs w:val="18"/>
              </w:rPr>
            </w:pPr>
            <w:r>
              <w:rPr>
                <w:rFonts w:ascii="Times New Roman"/>
                <w:sz w:val="18"/>
              </w:rPr>
              <w:t>7,511.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246,71</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9,189.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-8,220,</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721.99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238,498</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,467.23</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5,491,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851.21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5,491,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851.21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-13,628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,980.97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-8,137,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129.76</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6,049,</w:t>
            </w:r>
          </w:p>
          <w:p>
            <w:pPr>
              <w:pStyle w:val="TableParagraph"/>
              <w:spacing w:line="240" w:lineRule="auto" w:before="103"/>
              <w:ind w:left="50" w:right="0"/>
              <w:jc w:val="left"/>
              <w:rPr>
                <w:rFonts w:ascii="Times New Roman" w:hAnsi="Times New Roman" w:cs="Times New Roman" w:eastAsia="Times New Roman" w:hint="default"/>
                <w:sz w:val="18"/>
                <w:szCs w:val="18"/>
              </w:rPr>
            </w:pPr>
            <w:r>
              <w:rPr>
                <w:rFonts w:ascii="Times New Roman"/>
                <w:sz w:val="18"/>
              </w:rPr>
              <w:t>095.57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6,049,</w:t>
            </w:r>
          </w:p>
          <w:p>
            <w:pPr>
              <w:pStyle w:val="TableParagraph"/>
              <w:spacing w:line="240" w:lineRule="auto" w:before="103"/>
              <w:ind w:left="40" w:right="0"/>
              <w:jc w:val="left"/>
              <w:rPr>
                <w:rFonts w:ascii="Times New Roman" w:hAnsi="Times New Roman" w:cs="Times New Roman" w:eastAsia="Times New Roman" w:hint="default"/>
                <w:sz w:val="18"/>
                <w:szCs w:val="18"/>
              </w:rPr>
            </w:pPr>
            <w:r>
              <w:rPr>
                <w:rFonts w:ascii="Times New Roman"/>
                <w:sz w:val="18"/>
              </w:rPr>
              <w:t>095.57</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6,049,0</w:t>
            </w:r>
          </w:p>
          <w:p>
            <w:pPr>
              <w:pStyle w:val="TableParagraph"/>
              <w:spacing w:line="240" w:lineRule="auto" w:before="103"/>
              <w:ind w:left="195" w:right="0"/>
              <w:jc w:val="center"/>
              <w:rPr>
                <w:rFonts w:ascii="Times New Roman" w:hAnsi="Times New Roman" w:cs="Times New Roman" w:eastAsia="Times New Roman" w:hint="default"/>
                <w:sz w:val="18"/>
                <w:szCs w:val="18"/>
              </w:rPr>
            </w:pPr>
            <w:r>
              <w:rPr>
                <w:rFonts w:ascii="Times New Roman"/>
                <w:sz w:val="18"/>
              </w:rPr>
              <w:t>95.57</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-557,2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-557,2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44.36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-13,628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,980.97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-14,186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,225.33</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766.12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6,504.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738.43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738.43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766.12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766.12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738.43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738.43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738.43</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224,5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37,75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55,997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247.10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54,75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54,750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-8,001,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247.10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247.10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-49,83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0,512.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-10,61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9,608.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64</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-39,21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0,904.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27</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-39,210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,904.27</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683,9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705,16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4.49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90,840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123,83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39,373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498,03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5,293.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2,348,</w:t>
            </w:r>
          </w:p>
          <w:p>
            <w:pPr>
              <w:pStyle w:val="TableParagraph"/>
              <w:spacing w:line="240" w:lineRule="auto" w:before="102"/>
              <w:ind w:left="16" w:right="0"/>
              <w:jc w:val="center"/>
              <w:rPr>
                <w:rFonts w:ascii="Times New Roman" w:hAnsi="Times New Roman" w:cs="Times New Roman" w:eastAsia="Times New Roman" w:hint="default"/>
                <w:sz w:val="18"/>
                <w:szCs w:val="18"/>
              </w:rPr>
            </w:pPr>
            <w:r>
              <w:rPr>
                <w:rFonts w:ascii="Times New Roman"/>
                <w:sz w:val="18"/>
              </w:rPr>
              <w:t>035,97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1.05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-21,073</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,709.97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7"/>
        <w:gridCol w:w="725"/>
        <w:gridCol w:w="727"/>
        <w:gridCol w:w="727"/>
        <w:gridCol w:w="614"/>
        <w:gridCol w:w="711"/>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1,466.0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1,100,08</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8,199.32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90,840,8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53.68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39,373,4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44.43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2,175.2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1,969,004,</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431.35</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-2,521,3</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09.36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-22,691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,784.30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-25,213,09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3.66</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1,466.0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1,100,08</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8,199.32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90,840,8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53.68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36,852,1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35.07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0,390.9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1,943,791,</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337.69</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-28,040,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798.11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-18,534,</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624.41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-1,119,4</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47.00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9,548.1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-204,950,8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06.89</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-1,119,4</w:t>
            </w:r>
          </w:p>
          <w:p>
            <w:pPr>
              <w:pStyle w:val="TableParagraph"/>
              <w:spacing w:line="240" w:lineRule="auto" w:before="103"/>
              <w:ind w:left="267" w:right="0"/>
              <w:jc w:val="center"/>
              <w:rPr>
                <w:rFonts w:ascii="Times New Roman" w:hAnsi="Times New Roman" w:cs="Times New Roman" w:eastAsia="Times New Roman" w:hint="default"/>
                <w:sz w:val="18"/>
                <w:szCs w:val="18"/>
              </w:rPr>
            </w:pPr>
            <w:r>
              <w:rPr>
                <w:rFonts w:ascii="Times New Roman"/>
                <w:sz w:val="18"/>
              </w:rPr>
              <w:t>47.00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-176,92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7,729.7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-178,047,1</w:t>
            </w:r>
          </w:p>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76.79</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1,726,09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1,726,097.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1,726,09</w:t>
            </w:r>
          </w:p>
          <w:p>
            <w:pPr>
              <w:pStyle w:val="TableParagraph"/>
              <w:spacing w:line="240" w:lineRule="auto" w:before="103"/>
              <w:ind w:left="379" w:right="0"/>
              <w:jc w:val="left"/>
              <w:rPr>
                <w:rFonts w:ascii="Times New Roman" w:hAnsi="Times New Roman" w:cs="Times New Roman" w:eastAsia="Times New Roman" w:hint="default"/>
                <w:sz w:val="18"/>
                <w:szCs w:val="18"/>
              </w:rPr>
            </w:pPr>
            <w:r>
              <w:rPr>
                <w:rFonts w:ascii="Times New Roman"/>
                <w:sz w:val="18"/>
              </w:rPr>
              <w:t>7.67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1,726,097.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67</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-13,411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,818.40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-13,411,81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8.40</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4"/>
        <w:gridCol w:w="711"/>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-13,411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,818.40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-13,411,81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-21,398,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474.48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-25,384,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112.48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-21,398,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474.48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-25,384,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112.48</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-8,368,4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21.30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6,849,48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8.07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-15,217,90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9.37</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679,94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5,828.0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1,072,04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7,401.21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72,306,2</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29.27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-1,119,4</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47.00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36,852,1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35.07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23,420,</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842.79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1,738,840,</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530.80</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3"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74,397.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109,978,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709.42</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38,266,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678.31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235,481,0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18.66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1,996,137,1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00.99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74,397.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109,978,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709.42</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38,266,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678.31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235,481,0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18.66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1,996,137,1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00.99</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224,53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7,750.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6,198.1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-19,137,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855.74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1,106,7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-27,132,669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11,067,66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1.17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11,067,661.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17</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3,928,5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15.57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3,928,515.5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3,928,5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15.57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3,928,515.5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1,106,7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-10,096,5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04.55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-8,989,738.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1,106,7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-1,106,76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-8,989,73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-8,989,738.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224,53</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7,750.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5,997.1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-8,518,2</w:t>
            </w:r>
          </w:p>
          <w:p>
            <w:pPr>
              <w:pStyle w:val="TableParagraph"/>
              <w:spacing w:line="240" w:lineRule="auto" w:before="103"/>
              <w:ind w:left="228" w:right="0"/>
              <w:jc w:val="center"/>
              <w:rPr>
                <w:rFonts w:ascii="Times New Roman" w:hAnsi="Times New Roman" w:cs="Times New Roman" w:eastAsia="Times New Roman" w:hint="default"/>
                <w:sz w:val="18"/>
                <w:szCs w:val="18"/>
              </w:rPr>
            </w:pPr>
            <w:r>
              <w:rPr>
                <w:rFonts w:ascii="Times New Roman"/>
                <w:sz w:val="18"/>
              </w:rPr>
              <w:t>47.10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-517,0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-8,001,2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47.10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-8,518,2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47.10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-43,758,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716.59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-10,619,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608.64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-33,139,107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683,93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88,199.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90,840,8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53.68</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39,373,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444.43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236,452,1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1,969,004,4</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31.35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6"/>
        <w:spacing w:line="256" w:lineRule="auto" w:before="0"/>
        <w:ind w:right="1023"/>
        <w:jc w:val="both"/>
      </w:pPr>
      <w:r>
        <w:rPr>
          <w:spacing w:val="-3"/>
        </w:rPr>
        <w:t>汉鼎宇佑互联网股份有限公司（以下简称</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）系</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日在原浙江汉鼎建设有限公司</w:t>
      </w:r>
      <w:r>
        <w:rPr>
          <w:spacing w:val="-38"/>
        </w:rPr>
        <w:t> </w:t>
      </w:r>
      <w:r>
        <w:rPr>
          <w:spacing w:val="-38"/>
        </w:rPr>
      </w:r>
      <w:r>
        <w:rPr>
          <w:spacing w:val="-2"/>
        </w:rPr>
        <w:t>基础上整体变更设立的股份有限公司。公司统一社会信用代码为</w:t>
      </w:r>
      <w:r>
        <w:rPr>
          <w:rFonts w:ascii="Times New Roman" w:hAnsi="Times New Roman" w:cs="Times New Roman" w:eastAsia="Times New Roman" w:hint="default"/>
          <w:spacing w:val="-2"/>
        </w:rPr>
        <w:t>913300007441437848</w:t>
      </w:r>
      <w:r>
        <w:rPr>
          <w:spacing w:val="-2"/>
        </w:rPr>
        <w:t>，注册及总部地址为</w:t>
      </w:r>
      <w:r>
        <w:rPr>
          <w:spacing w:val="-30"/>
        </w:rPr>
        <w:t> </w:t>
      </w:r>
      <w:r>
        <w:rPr>
          <w:spacing w:val="-30"/>
        </w:rPr>
      </w:r>
      <w:r>
        <w:rPr>
          <w:spacing w:val="13"/>
        </w:rPr>
        <w:t>浙江省杭州市下城区永福桥路</w:t>
      </w:r>
      <w:r>
        <w:rPr>
          <w:spacing w:val="-71"/>
        </w:rPr>
        <w:t> </w:t>
      </w:r>
      <w:r>
        <w:rPr>
          <w:rFonts w:ascii="Times New Roman" w:hAnsi="Times New Roman" w:cs="Times New Roman" w:eastAsia="Times New Roman" w:hint="default"/>
          <w:spacing w:val="12"/>
        </w:rPr>
        <w:t>5</w:t>
      </w:r>
      <w:r>
        <w:rPr>
          <w:spacing w:val="12"/>
        </w:rPr>
        <w:t>号汉鼎国际大厦南楼</w:t>
      </w:r>
      <w:r>
        <w:rPr>
          <w:rFonts w:ascii="Times New Roman" w:hAnsi="Times New Roman" w:cs="Times New Roman" w:eastAsia="Times New Roman" w:hint="default"/>
          <w:spacing w:val="12"/>
        </w:rPr>
        <w:t>1101</w:t>
      </w:r>
      <w:r>
        <w:rPr>
          <w:spacing w:val="12"/>
        </w:rPr>
        <w:t>室，法人代表为曹阳，注册资本为人民币</w:t>
      </w:r>
      <w:r>
        <w:rPr>
          <w:spacing w:val="2"/>
        </w:rPr>
        <w:t> </w:t>
      </w:r>
      <w:r>
        <w:rPr>
          <w:spacing w:val="2"/>
        </w:rPr>
      </w:r>
      <w:r>
        <w:rPr>
          <w:rFonts w:ascii="Times New Roman" w:hAnsi="Times New Roman" w:cs="Times New Roman" w:eastAsia="Times New Roman" w:hint="default"/>
          <w:spacing w:val="-3"/>
        </w:rPr>
        <w:t>679,945,828.00</w:t>
      </w:r>
      <w:r>
        <w:rPr>
          <w:spacing w:val="-3"/>
        </w:rPr>
        <w:t>元。公司于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日在深圳证券交易所创业板上市，股票简称：汉鼎宇佑，股票代码：</w:t>
      </w:r>
    </w:p>
    <w:p>
      <w:pPr>
        <w:pStyle w:val="Heading6"/>
        <w:spacing w:line="240" w:lineRule="auto" w:before="5"/>
        <w:ind w:right="0"/>
        <w:jc w:val="both"/>
      </w:pPr>
      <w:r>
        <w:rPr>
          <w:rFonts w:ascii="Times New Roman" w:hAnsi="Times New Roman" w:cs="Times New Roman" w:eastAsia="Times New Roman" w:hint="default"/>
        </w:rPr>
        <w:t>300300</w:t>
      </w:r>
      <w:r>
        <w:rPr/>
        <w:t>。</w:t>
      </w:r>
    </w:p>
    <w:p>
      <w:pPr>
        <w:pStyle w:val="Heading6"/>
        <w:spacing w:line="273" w:lineRule="auto" w:before="21"/>
        <w:ind w:right="1126"/>
        <w:jc w:val="both"/>
      </w:pPr>
      <w:r>
        <w:rPr>
          <w:spacing w:val="-2"/>
        </w:rPr>
        <w:t>公司所属行业为软件和信息技术服务业，主要经营业务包括对外承包工程业务、互联网信息服务、电影放</w:t>
      </w:r>
      <w:r>
        <w:rPr>
          <w:spacing w:val="-43"/>
        </w:rPr>
        <w:t> </w:t>
      </w:r>
      <w:r>
        <w:rPr>
          <w:spacing w:val="-43"/>
        </w:rPr>
      </w:r>
      <w:r>
        <w:rPr/>
        <w:t>映等业务、远程医疗服务。</w:t>
      </w:r>
    </w:p>
    <w:p>
      <w:pPr>
        <w:pStyle w:val="Heading6"/>
        <w:spacing w:line="240" w:lineRule="auto"/>
        <w:ind w:right="0"/>
        <w:jc w:val="both"/>
      </w:pPr>
      <w:r>
        <w:rPr/>
        <w:t>本财务报表经公司董事会于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日批准报出。</w:t>
      </w:r>
    </w:p>
    <w:p>
      <w:pPr>
        <w:spacing w:line="240" w:lineRule="auto" w:before="6"/>
        <w:rPr>
          <w:rFonts w:ascii="宋体" w:hAnsi="宋体" w:cs="宋体" w:eastAsia="宋体" w:hint="default"/>
          <w:sz w:val="25"/>
          <w:szCs w:val="25"/>
        </w:rPr>
      </w:pPr>
    </w:p>
    <w:p>
      <w:pPr>
        <w:pStyle w:val="Heading6"/>
        <w:spacing w:line="271" w:lineRule="auto" w:before="0"/>
        <w:ind w:right="1105"/>
        <w:jc w:val="both"/>
      </w:pPr>
      <w:r>
        <w:rPr>
          <w:spacing w:val="-2"/>
        </w:rPr>
        <w:t>本公司报告期内合并范围包括母公司汉鼎宇佑互联网股份有限公司，子公司汉鼎宇佑信息产业有限公司、</w:t>
      </w:r>
      <w:r>
        <w:rPr>
          <w:spacing w:val="-21"/>
        </w:rPr>
        <w:t> </w:t>
      </w:r>
      <w:r>
        <w:rPr>
          <w:spacing w:val="-21"/>
        </w:rPr>
      </w:r>
      <w:r>
        <w:rPr>
          <w:spacing w:val="-2"/>
        </w:rPr>
        <w:t>上海汉鼎信息技术有限公司、浙江汉鼎宇佑金融服务有限公司及其子公司、浙江汉鼎宇佑资本管理有限公</w:t>
      </w:r>
      <w:r>
        <w:rPr>
          <w:spacing w:val="-43"/>
        </w:rPr>
        <w:t> </w:t>
      </w:r>
      <w:r>
        <w:rPr>
          <w:spacing w:val="-43"/>
        </w:rPr>
      </w:r>
      <w:r>
        <w:rPr>
          <w:spacing w:val="-2"/>
        </w:rPr>
        <w:t>司、杭州汉鼎宇佑互动娱乐管理有限公司及其子公司、杭州汉鼎宇佑商业发展有限公司、杭州汉鼎宇佑金</w:t>
      </w:r>
      <w:r>
        <w:rPr>
          <w:spacing w:val="-42"/>
        </w:rPr>
        <w:t> </w:t>
      </w:r>
      <w:r>
        <w:rPr>
          <w:spacing w:val="-42"/>
        </w:rPr>
      </w:r>
      <w:r>
        <w:rPr>
          <w:spacing w:val="-2"/>
        </w:rPr>
        <w:t>控投资有限公司及其子公司、汉鼎国际发展有限公司、汉鼎宇佑有限公司、成都宇佑信息科技有限公司、</w:t>
      </w:r>
      <w:r>
        <w:rPr>
          <w:spacing w:val="-21"/>
        </w:rPr>
        <w:t> </w:t>
      </w:r>
      <w:r>
        <w:rPr>
          <w:spacing w:val="-21"/>
        </w:rPr>
      </w:r>
      <w:r>
        <w:rPr>
          <w:spacing w:val="-2"/>
        </w:rPr>
        <w:t>霍尔果斯吉良先道信息科技有限公司、浙江汉鼎宇佑智慧医疗服务有限公司、杭州汉鼎宇佑互联网技术有</w:t>
      </w:r>
      <w:r>
        <w:rPr>
          <w:spacing w:val="-44"/>
        </w:rPr>
        <w:t> </w:t>
      </w:r>
      <w:r>
        <w:rPr>
          <w:spacing w:val="-44"/>
        </w:rPr>
      </w:r>
      <w:r>
        <w:rPr>
          <w:spacing w:val="-4"/>
        </w:rPr>
        <w:t>限公司及其子公司、好医友医疗科技集团有限公司及其子公司。详见</w:t>
      </w:r>
      <w:r>
        <w:rPr>
          <w:rFonts w:ascii="Times New Roman" w:hAnsi="Times New Roman" w:cs="Times New Roman" w:eastAsia="Times New Roman" w:hint="default"/>
          <w:spacing w:val="-4"/>
        </w:rPr>
        <w:t>“</w:t>
      </w:r>
      <w:r>
        <w:rPr>
          <w:spacing w:val="-4"/>
        </w:rPr>
        <w:t>本附注八、合并范围的变更</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本附</w:t>
      </w:r>
      <w:r>
        <w:rPr>
          <w:spacing w:val="-15"/>
        </w:rPr>
        <w:t> </w:t>
      </w:r>
      <w:r>
        <w:rPr/>
        <w:t>注九、在其他主体中的权益</w:t>
      </w:r>
      <w:r>
        <w:rPr>
          <w:rFonts w:ascii="Times New Roman" w:hAnsi="Times New Roman" w:cs="Times New Roman" w:eastAsia="Times New Roman" w:hint="default"/>
        </w:rPr>
        <w:t>”</w:t>
      </w:r>
      <w:r>
        <w:rPr/>
        <w:t>。</w:t>
      </w:r>
    </w:p>
    <w:p>
      <w:pPr>
        <w:spacing w:after="0" w:line="271"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126"/>
        <w:jc w:val="both"/>
      </w:pPr>
      <w:r>
        <w:rPr>
          <w:spacing w:val="-4"/>
        </w:rPr>
        <w:t>本公司财务报表以持续经营为基础，根据实际发生的交易和事项，按照财政部颁布的《企业会计准则</w:t>
      </w:r>
      <w:r>
        <w:rPr>
          <w:rFonts w:ascii="Times New Roman" w:hAnsi="Times New Roman" w:cs="Times New Roman" w:eastAsia="Times New Roman" w:hint="default"/>
          <w:spacing w:val="-4"/>
        </w:rPr>
        <w:t>-</w:t>
      </w:r>
      <w:r>
        <w:rPr>
          <w:spacing w:val="-4"/>
        </w:rPr>
        <w:t>基本</w:t>
      </w:r>
      <w:r>
        <w:rPr>
          <w:spacing w:val="-17"/>
        </w:rPr>
        <w:t> </w:t>
      </w:r>
      <w:r>
        <w:rPr>
          <w:spacing w:val="-2"/>
        </w:rPr>
        <w:t>准则》和具体会计准则等规定（以下合称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），并基于以下所述重要会计政策、会计估计进</w:t>
      </w:r>
      <w:r>
        <w:rPr>
          <w:spacing w:val="-23"/>
        </w:rPr>
        <w:t> </w:t>
      </w:r>
      <w:r>
        <w:rPr>
          <w:spacing w:val="-23"/>
        </w:rPr>
      </w:r>
      <w:r>
        <w:rPr/>
        <w:t>行编制。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2"/>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133"/>
        <w:jc w:val="left"/>
      </w:pPr>
      <w:r>
        <w:rPr>
          <w:spacing w:val="-2"/>
        </w:rPr>
        <w:t>本公司自报告期末起</w:t>
      </w:r>
      <w:r>
        <w:rPr>
          <w:rFonts w:ascii="Times New Roman" w:hAnsi="Times New Roman" w:cs="Times New Roman" w:eastAsia="Times New Roman" w:hint="default"/>
          <w:spacing w:val="-2"/>
        </w:rPr>
        <w:t>12</w:t>
      </w:r>
      <w:r>
        <w:rPr>
          <w:spacing w:val="-2"/>
        </w:rPr>
        <w:t>个月不存在影响持续经营能力的重大不利事项，本财务报告以持续经营为基础编</w:t>
      </w:r>
      <w:r>
        <w:rPr>
          <w:spacing w:val="-19"/>
        </w:rPr>
        <w:t> </w:t>
      </w:r>
      <w:r>
        <w:rPr>
          <w:spacing w:val="-19"/>
        </w:rPr>
      </w:r>
      <w:r>
        <w:rPr/>
        <w:t>制。</w:t>
      </w:r>
    </w:p>
    <w:p>
      <w:pPr>
        <w:spacing w:line="240" w:lineRule="auto" w:before="10"/>
        <w:rPr>
          <w:rFonts w:ascii="宋体" w:hAnsi="宋体" w:cs="宋体" w:eastAsia="宋体" w:hint="default"/>
          <w:sz w:val="22"/>
          <w:szCs w:val="22"/>
        </w:rPr>
      </w:pPr>
    </w:p>
    <w:p>
      <w:pPr>
        <w:pStyle w:val="Heading2"/>
        <w:spacing w:line="240" w:lineRule="auto"/>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986"/>
        <w:jc w:val="left"/>
      </w:pPr>
      <w:r>
        <w:rPr/>
        <w:t>具体会计政策和会计估计提示： </w:t>
      </w:r>
      <w:r>
        <w:rPr>
          <w:spacing w:val="-2"/>
        </w:rPr>
        <w:t>本公司及各子公司根据实际生产经营特点针对金融工具减值、收入确认、建造合同完工百分比确定等交易或事项制定了若干</w:t>
      </w:r>
      <w:r>
        <w:rPr>
          <w:spacing w:val="-64"/>
        </w:rPr>
        <w:t> </w:t>
      </w:r>
      <w:r>
        <w:rPr>
          <w:spacing w:val="-64"/>
        </w:rPr>
      </w:r>
      <w:r>
        <w:rPr/>
        <w:t>项具体会计政策和会计估计，详见本附注五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等各项描述。</w:t>
      </w:r>
    </w:p>
    <w:p>
      <w:pPr>
        <w:spacing w:line="614" w:lineRule="exact" w:before="14"/>
        <w:ind w:left="573" w:right="113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本公司编制的财务报表符合《企业会计准则》的要求，真实、完整地反映了本公司</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w:t>
      </w:r>
    </w:p>
    <w:p>
      <w:pPr>
        <w:pStyle w:val="Heading6"/>
        <w:spacing w:line="235" w:lineRule="exact" w:before="0"/>
        <w:ind w:right="1133"/>
        <w:jc w:val="left"/>
      </w:pPr>
      <w:r>
        <w:rPr/>
        <w:t>财务状况、</w:t>
      </w:r>
      <w:r>
        <w:rPr>
          <w:rFonts w:ascii="Times New Roman" w:hAnsi="Times New Roman" w:cs="Times New Roman" w:eastAsia="Times New Roman" w:hint="default"/>
        </w:rPr>
        <w:t>2019</w:t>
      </w:r>
      <w:r>
        <w:rPr/>
        <w:t>年度的经营成果和现金流量等相关信息。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left="573" w:right="1133"/>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6"/>
        <w:spacing w:line="506" w:lineRule="auto" w:before="0"/>
        <w:ind w:left="489" w:right="1394" w:hanging="337"/>
        <w:jc w:val="left"/>
      </w:pPr>
      <w:r>
        <w:rPr>
          <w:rFonts w:ascii="Times New Roman" w:hAnsi="Times New Roman" w:cs="Times New Roman" w:eastAsia="Times New Roman" w:hint="default"/>
          <w:b/>
          <w:bCs/>
        </w:rPr>
        <w:t>3</w:t>
      </w:r>
      <w:r>
        <w:rPr>
          <w:rFonts w:ascii="宋体" w:hAnsi="宋体" w:cs="宋体" w:eastAsia="宋体" w:hint="default"/>
          <w:b/>
          <w:bCs/>
        </w:rPr>
        <w:t>、营业周期</w:t>
      </w:r>
      <w:r>
        <w:rPr>
          <w:rFonts w:ascii="宋体" w:hAnsi="宋体" w:cs="宋体" w:eastAsia="宋体" w:hint="default"/>
          <w:b/>
          <w:bCs/>
          <w:spacing w:val="-104"/>
        </w:rPr>
        <w:t> </w:t>
      </w:r>
      <w:r>
        <w:rPr>
          <w:spacing w:val="-2"/>
        </w:rPr>
        <w:t>本公司以一年</w:t>
      </w:r>
      <w:r>
        <w:rPr>
          <w:rFonts w:ascii="Times New Roman" w:hAnsi="Times New Roman" w:cs="Times New Roman" w:eastAsia="Times New Roman" w:hint="default"/>
          <w:spacing w:val="-2"/>
        </w:rPr>
        <w:t>12</w:t>
      </w:r>
      <w:r>
        <w:rPr>
          <w:spacing w:val="-2"/>
        </w:rPr>
        <w:t>个月作为正常营业周期，并以营业周期作为资产和负债的流动性划分标准。</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0"/>
          <w:szCs w:val="30"/>
        </w:rPr>
      </w:pPr>
    </w:p>
    <w:p>
      <w:pPr>
        <w:spacing w:line="508" w:lineRule="auto" w:before="0"/>
        <w:ind w:left="489" w:right="6794"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本公司以人民币为记账本位币。</w:t>
      </w:r>
    </w:p>
    <w:p>
      <w:pPr>
        <w:spacing w:line="240" w:lineRule="auto" w:before="0"/>
        <w:rPr>
          <w:rFonts w:ascii="宋体" w:hAnsi="宋体" w:cs="宋体" w:eastAsia="宋体" w:hint="default"/>
          <w:sz w:val="20"/>
          <w:szCs w:val="20"/>
        </w:rPr>
      </w:pPr>
    </w:p>
    <w:p>
      <w:pPr>
        <w:pStyle w:val="Heading5"/>
        <w:spacing w:line="240" w:lineRule="auto" w:before="152"/>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同一控制下的企业合并</w:t>
      </w:r>
      <w:r>
        <w:rPr>
          <w:w w:val="100"/>
        </w:rPr>
        <w:t> </w:t>
      </w:r>
      <w:r>
        <w:rPr>
          <w:spacing w:val="-2"/>
        </w:rPr>
        <w:t>同一控制下企业合并形成的长期股权投资合并方以支付现金、转让非现金资产或承担债务方式作为合</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jc w:val="both"/>
      </w:pPr>
      <w:r>
        <w:rPr>
          <w:spacing w:val="-2"/>
        </w:rPr>
        <w:t>并对价的，本公司在合并日按照被合并方所有者权益在最终控制方合并财务报表中的账面价值的份额作为</w:t>
      </w:r>
      <w:r>
        <w:rPr>
          <w:spacing w:val="-43"/>
        </w:rPr>
        <w:t> </w:t>
      </w:r>
      <w:r>
        <w:rPr>
          <w:spacing w:val="-43"/>
        </w:rPr>
      </w:r>
      <w:r>
        <w:rPr>
          <w:spacing w:val="-2"/>
        </w:rPr>
        <w:t>长期股权投资的初始投资成本。合并方以发行权益性工具作为合并对价的，按发行股份的面值总额作为股</w:t>
      </w:r>
      <w:r>
        <w:rPr>
          <w:spacing w:val="-42"/>
        </w:rPr>
        <w:t> </w:t>
      </w:r>
      <w:r>
        <w:rPr>
          <w:spacing w:val="-42"/>
        </w:rPr>
      </w:r>
      <w:r>
        <w:rPr>
          <w:spacing w:val="-2"/>
        </w:rPr>
        <w:t>本。长期股权投资的初始投资成本与合并对价账面价值（或发行股份面值总额）的差额，应当调整资本公</w:t>
      </w:r>
      <w:r>
        <w:rPr>
          <w:spacing w:val="-47"/>
        </w:rPr>
        <w:t> </w:t>
      </w:r>
      <w:r>
        <w:rPr>
          <w:spacing w:val="-47"/>
        </w:rPr>
      </w:r>
      <w:r>
        <w:rPr/>
        <w:t>积；资本公积不足冲减的，调整留存收益。</w:t>
      </w:r>
    </w:p>
    <w:p>
      <w:pPr>
        <w:pStyle w:val="Heading6"/>
        <w:spacing w:line="256" w:lineRule="auto"/>
        <w:ind w:left="573" w:right="1133"/>
        <w:jc w:val="left"/>
      </w:pPr>
      <w:r>
        <w:rPr>
          <w:rFonts w:ascii="Times New Roman" w:hAnsi="Times New Roman" w:cs="Times New Roman" w:eastAsia="Times New Roman" w:hint="default"/>
        </w:rPr>
        <w:t>2.</w:t>
      </w:r>
      <w:r>
        <w:rPr/>
        <w:t>非同一控制下的企业合并</w:t>
      </w:r>
      <w:r>
        <w:rPr>
          <w:w w:val="100"/>
        </w:rPr>
        <w:t> </w:t>
      </w:r>
      <w:r>
        <w:rPr>
          <w:spacing w:val="2"/>
        </w:rPr>
        <w:t>对于非同一控制下的企业合并，合并成本为购买方在购买日为取得对被购买方的控制权而付出的资</w:t>
      </w:r>
    </w:p>
    <w:p>
      <w:pPr>
        <w:pStyle w:val="Heading6"/>
        <w:spacing w:line="273" w:lineRule="auto" w:before="22"/>
        <w:ind w:right="1126"/>
        <w:jc w:val="both"/>
      </w:pPr>
      <w:r>
        <w:rPr>
          <w:spacing w:val="-2"/>
        </w:rPr>
        <w:t>产、发生或承担的负债以及发行的权益性证券的公允价值之和。非同一控制下企业合并中所取得的被购买</w:t>
      </w:r>
      <w:r>
        <w:rPr>
          <w:spacing w:val="-44"/>
        </w:rPr>
        <w:t> </w:t>
      </w:r>
      <w:r>
        <w:rPr>
          <w:spacing w:val="-44"/>
        </w:rPr>
      </w:r>
      <w:r>
        <w:rPr>
          <w:spacing w:val="-2"/>
        </w:rPr>
        <w:t>方符合确认条件的可辨认资产、负债及或有负债，在购买日以公允价值计量。购买方对合并成本大于合并</w:t>
      </w:r>
      <w:r>
        <w:rPr>
          <w:spacing w:val="-44"/>
        </w:rPr>
        <w:t> </w:t>
      </w:r>
      <w:r>
        <w:rPr>
          <w:spacing w:val="-44"/>
        </w:rPr>
      </w:r>
      <w:r>
        <w:rPr>
          <w:spacing w:val="-2"/>
        </w:rPr>
        <w:t>中取得的被购买方可辨认净资产公允价值份额的差额，体现为商誉价值。购买方对合并成本小于合并中取</w:t>
      </w:r>
      <w:r>
        <w:rPr>
          <w:spacing w:val="-43"/>
        </w:rPr>
        <w:t> </w:t>
      </w:r>
      <w:r>
        <w:rPr>
          <w:spacing w:val="-43"/>
        </w:rPr>
      </w:r>
      <w:r>
        <w:rPr>
          <w:spacing w:val="-2"/>
        </w:rPr>
        <w:t>得的被购买方可辨认净资产公允价值份额的，经复核后合并成本仍小于合并中取得的被购买方可辨认净资</w:t>
      </w:r>
      <w:r>
        <w:rPr>
          <w:spacing w:val="-43"/>
        </w:rPr>
        <w:t> </w:t>
      </w:r>
      <w:r>
        <w:rPr>
          <w:spacing w:val="-43"/>
        </w:rPr>
      </w:r>
      <w:r>
        <w:rPr/>
        <w:t>产公允价值份额的差额，计入当期营业外收入。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678" w:right="1133" w:hanging="106"/>
        <w:jc w:val="left"/>
      </w:pPr>
      <w:r>
        <w:rPr>
          <w:rFonts w:ascii="Times New Roman" w:hAnsi="Times New Roman" w:cs="Times New Roman" w:eastAsia="Times New Roman" w:hint="default"/>
        </w:rPr>
        <w:t>1.</w:t>
      </w:r>
      <w:r>
        <w:rPr/>
        <w:t>合并财务报表范围</w:t>
      </w:r>
      <w:r>
        <w:rPr>
          <w:w w:val="100"/>
        </w:rPr>
        <w:t> </w:t>
      </w:r>
      <w:r>
        <w:rPr/>
        <w:t>本公司将全部子公司（包括本公司所控制的单独主体）纳入合并财务报表范围，包括被本公司控制</w:t>
      </w:r>
    </w:p>
    <w:p>
      <w:pPr>
        <w:pStyle w:val="Heading6"/>
        <w:spacing w:line="264" w:lineRule="auto" w:before="22"/>
        <w:ind w:left="573" w:right="1133" w:hanging="421"/>
        <w:jc w:val="left"/>
      </w:pPr>
      <w:r>
        <w:rPr/>
        <w:t>的企业、被投资单位中可分割的部分以及结构化主体。</w:t>
      </w:r>
      <w:r>
        <w:rPr>
          <w:w w:val="100"/>
        </w:rPr>
        <w:t> </w:t>
      </w:r>
      <w:r>
        <w:rPr>
          <w:rFonts w:ascii="Times New Roman" w:hAnsi="Times New Roman" w:cs="Times New Roman" w:eastAsia="Times New Roman" w:hint="default"/>
        </w:rPr>
        <w:t>2.</w:t>
      </w:r>
      <w:r>
        <w:rPr/>
        <w:t>统一母子公司的会计政策、统一母子公司的资产负债表日及会计期间</w:t>
      </w:r>
      <w:r>
        <w:rPr>
          <w:w w:val="100"/>
        </w:rPr>
        <w:t> </w:t>
      </w:r>
      <w:r>
        <w:rPr>
          <w:spacing w:val="-2"/>
        </w:rPr>
        <w:t>子公司与本公司采用的会计政策或会计期间不一致的，在编制合并财务报表时，按照本公司的会计政</w:t>
      </w:r>
    </w:p>
    <w:p>
      <w:pPr>
        <w:pStyle w:val="Heading6"/>
        <w:spacing w:line="240" w:lineRule="auto" w:before="16"/>
        <w:ind w:right="0"/>
        <w:jc w:val="both"/>
      </w:pPr>
      <w:r>
        <w:rPr/>
        <w:t>策或会计期间对子公司财务报表进行必要的调整。</w:t>
      </w:r>
    </w:p>
    <w:p>
      <w:pPr>
        <w:pStyle w:val="Heading6"/>
        <w:spacing w:line="256" w:lineRule="auto" w:before="37"/>
        <w:ind w:left="573" w:right="1133"/>
        <w:jc w:val="left"/>
      </w:pPr>
      <w:r>
        <w:rPr>
          <w:rFonts w:ascii="Times New Roman" w:hAnsi="Times New Roman" w:cs="Times New Roman" w:eastAsia="Times New Roman" w:hint="default"/>
        </w:rPr>
        <w:t>3.</w:t>
      </w:r>
      <w:r>
        <w:rPr/>
        <w:t>合并财务报表抵销事项</w:t>
      </w:r>
      <w:r>
        <w:rPr>
          <w:w w:val="100"/>
        </w:rPr>
        <w:t> </w:t>
      </w:r>
      <w:r>
        <w:rPr>
          <w:spacing w:val="-2"/>
        </w:rPr>
        <w:t>合并财务报表以本公司和子公司的财务报表为基础，已抵销了本公司与子公司、子公司相互之间发生</w:t>
      </w:r>
    </w:p>
    <w:p>
      <w:pPr>
        <w:pStyle w:val="Heading6"/>
        <w:spacing w:line="264" w:lineRule="auto" w:before="23"/>
        <w:ind w:right="1126"/>
        <w:jc w:val="both"/>
      </w:pPr>
      <w:r>
        <w:rPr>
          <w:spacing w:val="-2"/>
        </w:rPr>
        <w:t>的内部交易。子公司所有者权益中不属于本公司的份额，作为少数股东权益，在合并资产负债表中股东权</w:t>
      </w:r>
      <w:r>
        <w:rPr>
          <w:spacing w:val="-44"/>
        </w:rPr>
        <w:t> </w:t>
      </w:r>
      <w:r>
        <w:rPr>
          <w:spacing w:val="-44"/>
        </w:rPr>
      </w:r>
      <w:r>
        <w:rPr>
          <w:spacing w:val="-2"/>
        </w:rPr>
        <w:t>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项目列示。子公司持有本公司的长期股权投资，视为本公司的库存股，作为股</w:t>
      </w:r>
      <w:r>
        <w:rPr>
          <w:spacing w:val="-21"/>
        </w:rPr>
        <w:t> </w:t>
      </w:r>
      <w:r>
        <w:rPr>
          <w:spacing w:val="-21"/>
        </w:rPr>
      </w:r>
      <w:r>
        <w:rPr/>
        <w:t>东权益的减项，在合并资产负债表中股东权益项目下以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Heading6"/>
        <w:spacing w:line="256" w:lineRule="auto" w:before="0"/>
        <w:ind w:left="573" w:right="1133"/>
        <w:jc w:val="left"/>
      </w:pPr>
      <w:r>
        <w:rPr>
          <w:rFonts w:ascii="Times New Roman" w:hAnsi="Times New Roman" w:cs="Times New Roman" w:eastAsia="Times New Roman" w:hint="default"/>
        </w:rPr>
        <w:t>4.</w:t>
      </w:r>
      <w:r>
        <w:rPr/>
        <w:t>合并取得子公司会计处理</w:t>
      </w:r>
      <w:r>
        <w:rPr>
          <w:w w:val="100"/>
        </w:rPr>
        <w:t> </w:t>
      </w:r>
      <w:r>
        <w:rPr>
          <w:spacing w:val="-2"/>
        </w:rPr>
        <w:t>对于同一控制下企业合并取得的子公司，视同该企业合并于自最终控制方开始实施控制时已经发生，</w:t>
      </w:r>
    </w:p>
    <w:p>
      <w:pPr>
        <w:pStyle w:val="Heading6"/>
        <w:spacing w:line="273" w:lineRule="auto" w:before="22"/>
        <w:ind w:right="1126"/>
        <w:jc w:val="both"/>
      </w:pPr>
      <w:r>
        <w:rPr>
          <w:spacing w:val="-2"/>
        </w:rPr>
        <w:t>从合并当期的期初起将其资产、负债、经营成果和现金流量纳入合并财务报表；对于非同一控制下企业合</w:t>
      </w:r>
      <w:r>
        <w:rPr>
          <w:spacing w:val="-43"/>
        </w:rPr>
        <w:t> </w:t>
      </w:r>
      <w:r>
        <w:rPr>
          <w:spacing w:val="-43"/>
        </w:rPr>
      </w:r>
      <w:r>
        <w:rPr>
          <w:spacing w:val="-2"/>
        </w:rPr>
        <w:t>并取得的子公司，在编制合并财务报表时，以购买日可辨认净资产公允价值为基础对其个别财务报表进行</w:t>
      </w:r>
      <w:r>
        <w:rPr>
          <w:spacing w:val="-44"/>
        </w:rPr>
        <w:t> </w:t>
      </w:r>
      <w:r>
        <w:rPr>
          <w:spacing w:val="-44"/>
        </w:rPr>
      </w:r>
      <w:r>
        <w:rPr/>
        <w:t>调整。</w:t>
      </w:r>
    </w:p>
    <w:p>
      <w:pPr>
        <w:pStyle w:val="Heading6"/>
        <w:spacing w:line="256" w:lineRule="auto"/>
        <w:ind w:left="573" w:right="1133"/>
        <w:jc w:val="left"/>
      </w:pPr>
      <w:r>
        <w:rPr>
          <w:rFonts w:ascii="Times New Roman" w:hAnsi="Times New Roman" w:cs="Times New Roman" w:eastAsia="Times New Roman" w:hint="default"/>
        </w:rPr>
        <w:t>5.</w:t>
      </w:r>
      <w:r>
        <w:rPr/>
        <w:t>处置子公司的会计处理</w:t>
      </w:r>
      <w:r>
        <w:rPr>
          <w:w w:val="100"/>
        </w:rPr>
        <w:t> </w:t>
      </w:r>
      <w:r>
        <w:rPr>
          <w:spacing w:val="-2"/>
        </w:rPr>
        <w:t>在不丧失控制权的情况下部分处置对子公司的长期股权投资，在合并财务报表中，处置价款与处置长</w:t>
      </w:r>
    </w:p>
    <w:p>
      <w:pPr>
        <w:pStyle w:val="Heading6"/>
        <w:spacing w:line="240" w:lineRule="auto" w:before="22"/>
        <w:ind w:right="0"/>
        <w:jc w:val="both"/>
      </w:pPr>
      <w:r>
        <w:rPr/>
        <w:t>期股权投资相对应享有子公司自购买日或合并日开始持续计算的净资产份额之间的差额，调整资本公积</w:t>
      </w:r>
    </w:p>
    <w:p>
      <w:pPr>
        <w:pStyle w:val="Heading6"/>
        <w:spacing w:line="273" w:lineRule="auto" w:before="34"/>
        <w:ind w:right="1133"/>
        <w:jc w:val="left"/>
      </w:pPr>
      <w:r>
        <w:rPr/>
        <w:t>（资本溢价或股本溢价），资本公积不足冲减的，调整留存收益。</w:t>
      </w:r>
      <w:r>
        <w:rPr>
          <w:w w:val="100"/>
        </w:rPr>
        <w:t> </w:t>
      </w:r>
      <w:r>
        <w:rPr>
          <w:spacing w:val="-2"/>
        </w:rPr>
        <w:t>因处置部分股权投资等原因丧失了对被投资方的控制权的，在编制合并财务报表时，对于剩余股权，按照</w:t>
      </w:r>
      <w:r>
        <w:rPr>
          <w:spacing w:val="-42"/>
        </w:rPr>
        <w:t> </w:t>
      </w:r>
      <w:r>
        <w:rPr>
          <w:spacing w:val="-42"/>
        </w:rPr>
      </w:r>
      <w:r>
        <w:rPr>
          <w:spacing w:val="-2"/>
        </w:rPr>
        <w:t>其在丧失控制权日的公允价值进行重新计量。处置股权取得的对价与剩余股权公允价值之和，减去按原持</w:t>
      </w:r>
      <w:r>
        <w:rPr>
          <w:spacing w:val="-42"/>
        </w:rPr>
        <w:t> </w:t>
      </w:r>
      <w:r>
        <w:rPr>
          <w:spacing w:val="-42"/>
        </w:rPr>
      </w:r>
      <w:r>
        <w:rPr>
          <w:spacing w:val="-2"/>
        </w:rPr>
        <w:t>股比例计算应享有原有子公司自购买日或合并日开始持续计算的净资产的份额之间的差额，计入丧失控制</w:t>
      </w:r>
      <w:r>
        <w:rPr>
          <w:spacing w:val="-43"/>
        </w:rPr>
        <w:t> </w:t>
      </w:r>
      <w:r>
        <w:rPr>
          <w:spacing w:val="-43"/>
        </w:rPr>
      </w:r>
      <w:r>
        <w:rPr>
          <w:spacing w:val="-2"/>
        </w:rPr>
        <w:t>权当期的投资收益，同时冲减商誉。与原有子公司股权投资相关的其他综合收益等，在丧失控制权时转为</w:t>
      </w:r>
      <w:r>
        <w:rPr>
          <w:spacing w:val="-43"/>
        </w:rPr>
        <w:t> </w:t>
      </w:r>
      <w:r>
        <w:rPr>
          <w:spacing w:val="-43"/>
        </w:rPr>
      </w:r>
      <w:r>
        <w:rPr/>
        <w:t>当期投资收益。</w:t>
      </w:r>
    </w:p>
    <w:p>
      <w:pPr>
        <w:spacing w:after="0" w:line="273" w:lineRule="auto"/>
        <w:jc w:val="left"/>
        <w:sectPr>
          <w:footerReference w:type="default" r:id="rId18"/>
          <w:pgSz w:w="11910" w:h="16840"/>
          <w:pgMar w:footer="980" w:header="745" w:top="1060" w:bottom="1160" w:left="980" w:right="0"/>
          <w:pgNumType w:start="11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合营安排的分类</w:t>
      </w:r>
      <w:r>
        <w:rPr>
          <w:w w:val="100"/>
        </w:rPr>
        <w:t> </w:t>
      </w:r>
      <w:r>
        <w:rPr>
          <w:spacing w:val="-2"/>
        </w:rPr>
        <w:t>合营安排分为共同经营和合营企业。未通过单独主体达成的合营安排，划分为共同经营。单独主体，</w:t>
      </w:r>
    </w:p>
    <w:p>
      <w:pPr>
        <w:pStyle w:val="Heading6"/>
        <w:spacing w:line="273" w:lineRule="auto" w:before="22"/>
        <w:ind w:right="1105"/>
        <w:jc w:val="both"/>
      </w:pPr>
      <w:r>
        <w:rPr>
          <w:spacing w:val="-2"/>
        </w:rPr>
        <w:t>是指具有单独可辨认的财务架构的主体，包括单独的法人主体和不具备法人主体资格但法律认可的主体。</w:t>
      </w:r>
      <w:r>
        <w:rPr>
          <w:spacing w:val="-21"/>
        </w:rPr>
        <w:t> </w:t>
      </w:r>
      <w:r>
        <w:rPr>
          <w:spacing w:val="-21"/>
        </w:rPr>
      </w:r>
      <w:r>
        <w:rPr>
          <w:spacing w:val="-2"/>
        </w:rPr>
        <w:t>通过单独主体达成的合营安排，通常划分为合营企业。相关事实和情况变化导致合营方在合营安排中享有</w:t>
      </w:r>
      <w:r>
        <w:rPr>
          <w:spacing w:val="-43"/>
        </w:rPr>
        <w:t> </w:t>
      </w:r>
      <w:r>
        <w:rPr>
          <w:spacing w:val="-43"/>
        </w:rPr>
      </w:r>
      <w:r>
        <w:rPr/>
        <w:t>的权利和承担的义务发生变化的，合营方对合营安排的分类进行重新评估。</w:t>
      </w:r>
    </w:p>
    <w:p>
      <w:pPr>
        <w:pStyle w:val="Heading6"/>
        <w:spacing w:line="256" w:lineRule="auto"/>
        <w:ind w:left="633" w:right="1133" w:hanging="60"/>
        <w:jc w:val="left"/>
      </w:pPr>
      <w:r>
        <w:rPr>
          <w:rFonts w:ascii="Times New Roman" w:hAnsi="Times New Roman" w:cs="Times New Roman" w:eastAsia="Times New Roman" w:hint="default"/>
        </w:rPr>
        <w:t>2.</w:t>
      </w:r>
      <w:r>
        <w:rPr/>
        <w:t>共同经营的会计处理</w:t>
      </w:r>
      <w:r>
        <w:rPr>
          <w:w w:val="100"/>
        </w:rPr>
        <w:t> </w:t>
      </w:r>
      <w:r>
        <w:rPr>
          <w:spacing w:val="-4"/>
        </w:rPr>
        <w:t>本公司为共同经营参与方，确认与共同经营中利益份额相关的下列项目，并按照相关企业会计准则的</w:t>
      </w:r>
    </w:p>
    <w:p>
      <w:pPr>
        <w:pStyle w:val="Heading6"/>
        <w:spacing w:line="273" w:lineRule="auto" w:before="22"/>
        <w:ind w:right="1126"/>
        <w:jc w:val="both"/>
      </w:pPr>
      <w:r>
        <w:rPr>
          <w:spacing w:val="-2"/>
        </w:rPr>
        <w:t>规定进行会计处理：确认单独所持有的资产或负债，以及按份额确认共同持有的资产或负债；确认出售享</w:t>
      </w:r>
      <w:r>
        <w:rPr>
          <w:spacing w:val="-44"/>
        </w:rPr>
        <w:t> </w:t>
      </w:r>
      <w:r>
        <w:rPr>
          <w:spacing w:val="-44"/>
        </w:rPr>
      </w:r>
      <w:r>
        <w:rPr>
          <w:spacing w:val="-2"/>
        </w:rPr>
        <w:t>有的共同经营产出份额所产生的收入；按份额确认共同经营因出售产出所产生的收入；确认单独所发生的</w:t>
      </w:r>
      <w:r>
        <w:rPr>
          <w:spacing w:val="-43"/>
        </w:rPr>
        <w:t> </w:t>
      </w:r>
      <w:r>
        <w:rPr>
          <w:spacing w:val="-43"/>
        </w:rPr>
      </w:r>
      <w:r>
        <w:rPr/>
        <w:t>费用，以及按份额确认共同经营发生的费用。</w:t>
      </w:r>
    </w:p>
    <w:p>
      <w:pPr>
        <w:pStyle w:val="Heading6"/>
        <w:spacing w:line="273" w:lineRule="auto"/>
        <w:ind w:right="1133" w:firstLine="480"/>
        <w:jc w:val="left"/>
      </w:pPr>
      <w:r>
        <w:rPr>
          <w:spacing w:val="-4"/>
          <w:w w:val="100"/>
        </w:rPr>
        <w:t>本公司为对共同经营不享有共同控制的参与方，如果享有该共同经营相关资产且承担该共同经营相关</w:t>
      </w:r>
      <w:r>
        <w:rPr>
          <w:w w:val="100"/>
        </w:rPr>
        <w:t> </w:t>
      </w:r>
      <w:r>
        <w:rPr>
          <w:spacing w:val="-2"/>
        </w:rPr>
        <w:t>负债，则参照共同经营参与方的规定进行会计处理；否则，按照相关企业会计准则的规定进行会计处理。</w:t>
      </w:r>
    </w:p>
    <w:p>
      <w:pPr>
        <w:pStyle w:val="Heading6"/>
        <w:spacing w:line="256" w:lineRule="auto"/>
        <w:ind w:right="1133" w:firstLine="480"/>
        <w:jc w:val="left"/>
      </w:pPr>
      <w:r>
        <w:rPr>
          <w:rFonts w:ascii="Times New Roman" w:hAnsi="Times New Roman" w:cs="Times New Roman" w:eastAsia="Times New Roman" w:hint="default"/>
        </w:rPr>
        <w:t>3.</w:t>
      </w:r>
      <w:r>
        <w:rPr/>
        <w:t>合营企业的会计处理</w:t>
      </w:r>
      <w:r>
        <w:rPr>
          <w:w w:val="100"/>
        </w:rPr>
        <w:t> </w:t>
      </w:r>
      <w:r>
        <w:rPr/>
        <w:t>本公司为合营企业合营方，按照《企业会计准则第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w:t>
      </w:r>
      <w:r>
        <w:rPr>
          <w:spacing w:val="-25"/>
        </w:rPr>
        <w:t> </w:t>
      </w:r>
      <w:r>
        <w:rPr>
          <w:spacing w:val="-25"/>
        </w:rPr>
      </w:r>
      <w:r>
        <w:rPr/>
        <w:t>会计处理；本公司为非合营方，根据对该合营企业的影响程度进行会计处理。</w:t>
      </w:r>
    </w:p>
    <w:p>
      <w:pPr>
        <w:spacing w:line="590" w:lineRule="atLeast" w:before="23"/>
        <w:ind w:left="573" w:right="113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本公司在编制现金流量表时所确定的现金，是指本公司库存现金以及可以随时用于支付的存款。在编</w:t>
      </w:r>
    </w:p>
    <w:p>
      <w:pPr>
        <w:pStyle w:val="Heading6"/>
        <w:spacing w:line="273" w:lineRule="auto" w:before="37"/>
        <w:ind w:right="1128"/>
        <w:jc w:val="both"/>
      </w:pPr>
      <w:r>
        <w:rPr>
          <w:spacing w:val="-2"/>
        </w:rPr>
        <w:t>制现金流量表时所确定的现金等价物，是指持有的期限短、流动性强、易于转换为已知金额现金、价值变</w:t>
      </w:r>
      <w:r>
        <w:rPr>
          <w:spacing w:val="-47"/>
        </w:rPr>
        <w:t> </w:t>
      </w:r>
      <w:r>
        <w:rPr>
          <w:spacing w:val="-47"/>
        </w:rPr>
      </w:r>
      <w:r>
        <w:rPr/>
        <w:t>动风险很小的投资。</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外币业务折算</w:t>
      </w:r>
      <w:r>
        <w:rPr>
          <w:spacing w:val="-103"/>
        </w:rPr>
        <w:t> </w:t>
      </w:r>
      <w:r>
        <w:rPr>
          <w:spacing w:val="-103"/>
        </w:rPr>
      </w:r>
      <w:r>
        <w:rPr>
          <w:spacing w:val="-2"/>
        </w:rPr>
        <w:t>本公司对发生的外币交易，采用与交易发生日即期汇率折合本位币入账。资产负债表日外币货币性项</w:t>
      </w:r>
    </w:p>
    <w:p>
      <w:pPr>
        <w:pStyle w:val="Heading6"/>
        <w:spacing w:line="268" w:lineRule="auto" w:before="22"/>
        <w:ind w:right="1126"/>
        <w:jc w:val="both"/>
      </w:pPr>
      <w:r>
        <w:rPr>
          <w:spacing w:val="-2"/>
        </w:rPr>
        <w:t>目按资产负债表日即期汇率折算，因该日的即期汇率与初始确认时或者前一资产负债表日即期汇率不同而</w:t>
      </w:r>
      <w:r>
        <w:rPr>
          <w:spacing w:val="-43"/>
        </w:rPr>
        <w:t> </w:t>
      </w:r>
      <w:r>
        <w:rPr>
          <w:spacing w:val="-43"/>
        </w:rPr>
      </w:r>
      <w:r>
        <w:rPr>
          <w:spacing w:val="-2"/>
        </w:rPr>
        <w:t>产生的汇兑差额，除符合资本化条件的外币专门借款的汇兑差额在资本化期间予以资本化计入相关资产的</w:t>
      </w:r>
      <w:r>
        <w:rPr>
          <w:spacing w:val="-43"/>
        </w:rPr>
        <w:t> </w:t>
      </w:r>
      <w:r>
        <w:rPr>
          <w:spacing w:val="-43"/>
        </w:rPr>
      </w:r>
      <w:r>
        <w:rPr>
          <w:spacing w:val="-2"/>
        </w:rPr>
        <w:t>成本外，均计入当期损益。以历史成本计量的外币非货币性项目，仍采用交易发生日的即期汇率折算，不</w:t>
      </w:r>
      <w:r>
        <w:rPr>
          <w:spacing w:val="-47"/>
        </w:rPr>
        <w:t> </w:t>
      </w:r>
      <w:r>
        <w:rPr>
          <w:spacing w:val="-47"/>
        </w:rPr>
      </w:r>
      <w:r>
        <w:rPr>
          <w:spacing w:val="-2"/>
        </w:rPr>
        <w:t>改变其记账本位币金额。以公允价值计量的外币非货币性项目，采用公允价值确定日的即期汇率折算，折</w:t>
      </w:r>
      <w:r>
        <w:rPr>
          <w:spacing w:val="-41"/>
        </w:rPr>
        <w:t> </w:t>
      </w:r>
      <w:r>
        <w:rPr>
          <w:spacing w:val="-41"/>
        </w:rPr>
      </w:r>
      <w:r>
        <w:rPr/>
        <w:t>算后的记账本位币金额与原记账本位币金额的差额，作为公允价值变动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w:t>
      </w:r>
      <w:r>
        <w:rPr>
          <w:spacing w:val="-58"/>
        </w:rPr>
        <w:t> </w:t>
      </w:r>
      <w:r>
        <w:rPr/>
        <w:t>或确认为其他综合收益。</w:t>
      </w:r>
    </w:p>
    <w:p>
      <w:pPr>
        <w:pStyle w:val="Heading6"/>
        <w:spacing w:line="256" w:lineRule="auto" w:before="12"/>
        <w:ind w:left="573" w:right="1133"/>
        <w:jc w:val="left"/>
      </w:pPr>
      <w:r>
        <w:rPr>
          <w:rFonts w:ascii="Times New Roman" w:hAnsi="Times New Roman" w:cs="Times New Roman" w:eastAsia="Times New Roman" w:hint="default"/>
        </w:rPr>
        <w:t>2.</w:t>
      </w:r>
      <w:r>
        <w:rPr/>
        <w:t>外币财务报表折算</w:t>
      </w:r>
      <w:r>
        <w:rPr>
          <w:w w:val="100"/>
        </w:rPr>
        <w:t> </w:t>
      </w:r>
      <w:r>
        <w:rPr>
          <w:spacing w:val="-2"/>
        </w:rPr>
        <w:t>本公司的子公司、合营企业、联营企业等，若采用与本公司不同的记账本位币，需对其外币财务报表</w:t>
      </w:r>
    </w:p>
    <w:p>
      <w:pPr>
        <w:pStyle w:val="Heading6"/>
        <w:spacing w:line="268" w:lineRule="auto" w:before="22"/>
        <w:ind w:right="1126"/>
        <w:jc w:val="both"/>
      </w:pPr>
      <w:r>
        <w:rPr>
          <w:spacing w:val="-2"/>
        </w:rPr>
        <w:t>折算后，再进行会计核算及合并财务报表的编报。资产负债表中的资产和负债项目，采用资产负债表日的</w:t>
      </w:r>
      <w:r>
        <w:rPr>
          <w:spacing w:val="-42"/>
        </w:rPr>
        <w:t> </w:t>
      </w:r>
      <w:r>
        <w:rPr>
          <w:spacing w:val="-42"/>
        </w:rPr>
      </w:r>
      <w:r>
        <w:rPr>
          <w:spacing w:val="-2"/>
        </w:rPr>
        <w:t>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w:t>
      </w:r>
      <w:r>
        <w:rPr>
          <w:spacing w:val="-17"/>
        </w:rPr>
        <w:t> </w:t>
      </w:r>
      <w:r>
        <w:rPr>
          <w:spacing w:val="-17"/>
        </w:rPr>
      </w:r>
      <w:r>
        <w:rPr>
          <w:spacing w:val="-2"/>
        </w:rPr>
        <w:t>的收入和费用项目，采用交易发生日的即期汇率折算。折算产生的外币财务报表折算差额，在资产负债表</w:t>
      </w:r>
      <w:r>
        <w:rPr>
          <w:spacing w:val="-43"/>
        </w:rPr>
        <w:t> </w:t>
      </w:r>
      <w:r>
        <w:rPr>
          <w:spacing w:val="-43"/>
        </w:rPr>
      </w:r>
      <w:r>
        <w:rPr>
          <w:spacing w:val="-2"/>
        </w:rPr>
        <w:t>中所有者权益项目其他综合收益下列示。外币现金流量应当采用现金流量发生日的即期汇率。汇率变动对</w:t>
      </w:r>
      <w:r>
        <w:rPr>
          <w:spacing w:val="-43"/>
        </w:rPr>
        <w:t> </w:t>
      </w:r>
      <w:r>
        <w:rPr>
          <w:spacing w:val="-43"/>
        </w:rPr>
      </w:r>
      <w:r>
        <w:rPr>
          <w:spacing w:val="-2"/>
        </w:rPr>
        <w:t>现金的影响额，在现金流量表中单独列示。处置境外经营时，与该境外经营有关的外币报表折算差额，全</w:t>
      </w:r>
      <w:r>
        <w:rPr>
          <w:spacing w:val="-47"/>
        </w:rPr>
        <w:t> </w:t>
      </w:r>
      <w:r>
        <w:rPr>
          <w:spacing w:val="-47"/>
        </w:rPr>
      </w:r>
      <w:r>
        <w:rPr/>
        <w:t>部或按处置该境外经营的比例转入处置当期损益。</w:t>
      </w:r>
    </w:p>
    <w:p>
      <w:pPr>
        <w:spacing w:after="0" w:line="26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8" w:right="1133"/>
        <w:jc w:val="left"/>
      </w:pPr>
      <w:r>
        <w:rPr>
          <w:rFonts w:ascii="Times New Roman" w:hAnsi="Times New Roman" w:cs="Times New Roman" w:eastAsia="Times New Roman" w:hint="default"/>
        </w:rPr>
        <w:t>1.</w:t>
      </w:r>
      <w:r>
        <w:rPr/>
        <w:t>金融工具的分类及重分类</w:t>
      </w:r>
      <w:r>
        <w:rPr>
          <w:w w:val="100"/>
        </w:rPr>
        <w:t> </w:t>
      </w:r>
      <w:r>
        <w:rPr>
          <w:spacing w:val="-2"/>
        </w:rPr>
        <w:t>金融工具，是指形成一方的金融资产并形成其他方的金融负债或权益工具的合同。</w:t>
      </w:r>
    </w:p>
    <w:p>
      <w:pPr>
        <w:pStyle w:val="Heading6"/>
        <w:spacing w:line="256" w:lineRule="auto" w:before="22"/>
        <w:ind w:left="578" w:right="1133" w:firstLine="2"/>
        <w:jc w:val="left"/>
      </w:pPr>
      <w:r>
        <w:rPr/>
        <w:t>（</w:t>
      </w:r>
      <w:r>
        <w:rPr>
          <w:rFonts w:ascii="Times New Roman" w:hAnsi="Times New Roman" w:cs="Times New Roman" w:eastAsia="Times New Roman" w:hint="default"/>
        </w:rPr>
        <w:t>1</w:t>
      </w:r>
      <w:r>
        <w:rPr/>
        <w:t>）金融资产</w:t>
      </w:r>
      <w:r>
        <w:rPr>
          <w:w w:val="100"/>
        </w:rPr>
        <w:t> </w:t>
      </w:r>
      <w:r>
        <w:rPr>
          <w:spacing w:val="-2"/>
        </w:rPr>
        <w:t>本公司将同时符合下列条件的金融资产分类为以摊余成本计量的金融资产：①本公司管理金融资产的</w:t>
      </w:r>
    </w:p>
    <w:p>
      <w:pPr>
        <w:pStyle w:val="Heading6"/>
        <w:spacing w:line="273" w:lineRule="auto" w:before="22"/>
        <w:ind w:right="1126"/>
        <w:jc w:val="both"/>
      </w:pPr>
      <w:r>
        <w:rPr>
          <w:spacing w:val="-2"/>
        </w:rPr>
        <w:t>业务模式是以收取合同现金流量为目标；②该金融资产的合同条款规定，在特定日期产生的现金流量仅为</w:t>
      </w:r>
      <w:r>
        <w:rPr>
          <w:spacing w:val="-42"/>
        </w:rPr>
        <w:t> </w:t>
      </w:r>
      <w:r>
        <w:rPr>
          <w:spacing w:val="-42"/>
        </w:rPr>
      </w:r>
      <w:r>
        <w:rPr/>
        <w:t>对本金和以未偿付本金金额为基础的利息的支付。</w:t>
      </w:r>
    </w:p>
    <w:p>
      <w:pPr>
        <w:pStyle w:val="Heading6"/>
        <w:spacing w:line="273" w:lineRule="auto"/>
        <w:ind w:right="1126" w:firstLine="420"/>
        <w:jc w:val="both"/>
      </w:pPr>
      <w:r>
        <w:rPr>
          <w:spacing w:val="2"/>
        </w:rPr>
        <w:t>本公司将同时符合下列条件的金融资产分类为以公允价值计量且其变动计入其他综合收益的金融资</w:t>
      </w:r>
      <w:r>
        <w:rPr>
          <w:w w:val="100"/>
        </w:rPr>
        <w:t> </w:t>
      </w:r>
      <w:r>
        <w:rPr>
          <w:spacing w:val="-2"/>
        </w:rPr>
        <w:t>产：①本公司管理金融资产的业务模式既以收取合同现金流量又以出售该金融资产为目标；②该金融资产</w:t>
      </w:r>
      <w:r>
        <w:rPr>
          <w:spacing w:val="-43"/>
        </w:rPr>
        <w:t> </w:t>
      </w:r>
      <w:r>
        <w:rPr>
          <w:spacing w:val="-43"/>
        </w:rPr>
      </w:r>
      <w:r>
        <w:rPr/>
        <w:t>的合同条款规定，在特定日期产生的现金流量，仅为对本金和以未偿付本金金额为基础的利息的支付。</w:t>
      </w:r>
    </w:p>
    <w:p>
      <w:pPr>
        <w:pStyle w:val="Heading6"/>
        <w:spacing w:line="273" w:lineRule="auto"/>
        <w:ind w:right="1126" w:firstLine="420"/>
        <w:jc w:val="both"/>
      </w:pPr>
      <w:r>
        <w:rPr>
          <w:spacing w:val="-2"/>
        </w:rPr>
        <w:t>对于非交易性权益工具投资，本公司可在初始确认时将其不可撤销地指定为以公允价值计量且其变动</w:t>
      </w:r>
      <w:r>
        <w:rPr>
          <w:w w:val="100"/>
        </w:rPr>
        <w:t> </w:t>
      </w:r>
      <w:r>
        <w:rPr>
          <w:spacing w:val="-2"/>
        </w:rPr>
        <w:t>计入其他综合收益的金融资产。该指定在单项投资的基础上作出，且相关投资从发行者的角度符合权益工</w:t>
      </w:r>
      <w:r>
        <w:rPr>
          <w:spacing w:val="-42"/>
        </w:rPr>
        <w:t> </w:t>
      </w:r>
      <w:r>
        <w:rPr>
          <w:spacing w:val="-42"/>
        </w:rPr>
      </w:r>
      <w:r>
        <w:rPr/>
        <w:t>具的定义。</w:t>
      </w:r>
    </w:p>
    <w:p>
      <w:pPr>
        <w:pStyle w:val="Heading6"/>
        <w:spacing w:line="273" w:lineRule="auto"/>
        <w:ind w:right="1126" w:firstLine="420"/>
        <w:jc w:val="both"/>
      </w:pPr>
      <w:r>
        <w:rPr>
          <w:spacing w:val="2"/>
        </w:rPr>
        <w:t>除分类为以摊余成本计量的金融资产和以公允价值计量且其变动计入其他综合收益的金融资产之外</w:t>
      </w:r>
      <w:r>
        <w:rPr>
          <w:w w:val="100"/>
        </w:rPr>
        <w:t> </w:t>
      </w:r>
      <w:r>
        <w:rPr>
          <w:spacing w:val="-2"/>
        </w:rPr>
        <w:t>的金融资产，本公司将其分类为以公允价值计量且其变动计入当期损益的金融资产。在初始确认时，如果</w:t>
      </w:r>
      <w:r>
        <w:rPr>
          <w:spacing w:val="-42"/>
        </w:rPr>
        <w:t> </w:t>
      </w:r>
      <w:r>
        <w:rPr>
          <w:spacing w:val="-42"/>
        </w:rPr>
      </w:r>
      <w:r>
        <w:rPr>
          <w:spacing w:val="-2"/>
        </w:rPr>
        <w:t>能消除或减少会计错配，本公司可以将金融资产不可撤销地指定为以公允价值计量且其变动计入当期损益</w:t>
      </w:r>
      <w:r>
        <w:rPr>
          <w:spacing w:val="-43"/>
        </w:rPr>
        <w:t> </w:t>
      </w:r>
      <w:r>
        <w:rPr>
          <w:spacing w:val="-43"/>
        </w:rPr>
      </w:r>
      <w:r>
        <w:rPr/>
        <w:t>的金融资产。</w:t>
      </w:r>
    </w:p>
    <w:p>
      <w:pPr>
        <w:pStyle w:val="Heading6"/>
        <w:spacing w:line="273" w:lineRule="auto"/>
        <w:ind w:right="1126" w:firstLine="425"/>
        <w:jc w:val="both"/>
      </w:pPr>
      <w:r>
        <w:rPr>
          <w:spacing w:val="-2"/>
        </w:rPr>
        <w:t>本公司改变管理金融资产的业务模式时，将对所有受影响的相关金融资产在业务模式发生变更后的首</w:t>
      </w:r>
      <w:r>
        <w:rPr>
          <w:w w:val="100"/>
        </w:rPr>
        <w:t> </w:t>
      </w:r>
      <w:r>
        <w:rPr>
          <w:spacing w:val="-2"/>
        </w:rPr>
        <w:t>个报告期间的第一天进行重分类，且自重分类日起采用未来适用法进行相关会计处理，不对以前已经确认</w:t>
      </w:r>
      <w:r>
        <w:rPr>
          <w:spacing w:val="-42"/>
        </w:rPr>
        <w:t> </w:t>
      </w:r>
      <w:r>
        <w:rPr>
          <w:spacing w:val="-42"/>
        </w:rPr>
      </w:r>
      <w:r>
        <w:rPr/>
        <w:t>的利得、损失（包括减值损失或利得）或利息进行追溯调整。</w:t>
      </w:r>
    </w:p>
    <w:p>
      <w:pPr>
        <w:pStyle w:val="Heading6"/>
        <w:spacing w:line="256" w:lineRule="auto"/>
        <w:ind w:left="578" w:right="1133" w:firstLine="2"/>
        <w:jc w:val="left"/>
      </w:pPr>
      <w:r>
        <w:rPr/>
        <w:t>（</w:t>
      </w:r>
      <w:r>
        <w:rPr>
          <w:rFonts w:ascii="Times New Roman" w:hAnsi="Times New Roman" w:cs="Times New Roman" w:eastAsia="Times New Roman" w:hint="default"/>
        </w:rPr>
        <w:t>2</w:t>
      </w:r>
      <w:r>
        <w:rPr/>
        <w:t>）金融负债</w:t>
      </w:r>
      <w:r>
        <w:rPr>
          <w:w w:val="100"/>
        </w:rPr>
        <w:t> </w:t>
      </w:r>
      <w:r>
        <w:rPr>
          <w:spacing w:val="-2"/>
        </w:rPr>
        <w:t>金融负债于初始确认时分类为：以公允价值计量且其变动计入当期损益的金融负债；金融资产转移不</w:t>
      </w:r>
    </w:p>
    <w:p>
      <w:pPr>
        <w:pStyle w:val="Heading6"/>
        <w:spacing w:line="273" w:lineRule="auto" w:before="22"/>
        <w:ind w:right="1126"/>
        <w:jc w:val="both"/>
      </w:pPr>
      <w:r>
        <w:rPr>
          <w:spacing w:val="-2"/>
        </w:rPr>
        <w:t>符合终止确认条件或继续涉入被转移金融资产所形成的金融负债；以摊余成本计量的金融负债。所有的金</w:t>
      </w:r>
      <w:r>
        <w:rPr>
          <w:spacing w:val="-42"/>
        </w:rPr>
        <w:t> </w:t>
      </w:r>
      <w:r>
        <w:rPr>
          <w:spacing w:val="-42"/>
        </w:rPr>
      </w:r>
      <w:r>
        <w:rPr/>
        <w:t>融负债不进行重分类。</w:t>
      </w:r>
    </w:p>
    <w:p>
      <w:pPr>
        <w:pStyle w:val="Heading6"/>
        <w:spacing w:line="256" w:lineRule="auto" w:before="8"/>
        <w:ind w:left="573" w:right="1133"/>
        <w:jc w:val="left"/>
      </w:pPr>
      <w:r>
        <w:rPr>
          <w:rFonts w:ascii="Times New Roman" w:hAnsi="Times New Roman" w:cs="Times New Roman" w:eastAsia="Times New Roman" w:hint="default"/>
        </w:rPr>
        <w:t>2.</w:t>
      </w:r>
      <w:r>
        <w:rPr/>
        <w:t>金融工具的计量</w:t>
      </w:r>
      <w:r>
        <w:rPr>
          <w:w w:val="100"/>
        </w:rPr>
        <w:t> </w:t>
      </w:r>
      <w:r>
        <w:rPr>
          <w:spacing w:val="-2"/>
        </w:rPr>
        <w:t>本公司金融工具初始确认按照公允价值计量。对于以公允价值计量且其变动计入当期损益的金融资产</w:t>
      </w:r>
    </w:p>
    <w:p>
      <w:pPr>
        <w:pStyle w:val="Heading6"/>
        <w:spacing w:line="273" w:lineRule="auto" w:before="22"/>
        <w:ind w:right="1104"/>
        <w:jc w:val="both"/>
      </w:pPr>
      <w:r>
        <w:rPr>
          <w:spacing w:val="-2"/>
        </w:rPr>
        <w:t>和金融负债，相关交易费用直接计入当期损益；对于其他类别的金融资产或金融负债，相关交易费用计入</w:t>
      </w:r>
      <w:r>
        <w:rPr>
          <w:spacing w:val="-44"/>
        </w:rPr>
        <w:t> </w:t>
      </w:r>
      <w:r>
        <w:rPr>
          <w:spacing w:val="-44"/>
        </w:rPr>
      </w:r>
      <w:r>
        <w:rPr>
          <w:spacing w:val="-2"/>
        </w:rPr>
        <w:t>初始确认金额。因销售产品或提供劳务而产生的、未包含或不考虑重大融资成分的应收账款或应收票据，</w:t>
      </w:r>
      <w:r>
        <w:rPr>
          <w:spacing w:val="-21"/>
        </w:rPr>
        <w:t> </w:t>
      </w:r>
      <w:r>
        <w:rPr>
          <w:spacing w:val="-21"/>
        </w:rPr>
      </w:r>
      <w:r>
        <w:rPr/>
        <w:t>本公司按照预期有权收取的对价金额作为初始确认金额。金融工具的后续计量取决于其分类。</w:t>
      </w:r>
    </w:p>
    <w:p>
      <w:pPr>
        <w:pStyle w:val="Heading6"/>
        <w:spacing w:line="240" w:lineRule="auto"/>
        <w:ind w:left="578" w:right="1133"/>
        <w:jc w:val="left"/>
      </w:pPr>
      <w:r>
        <w:rPr/>
        <w:t>（</w:t>
      </w:r>
      <w:r>
        <w:rPr>
          <w:rFonts w:ascii="Times New Roman" w:hAnsi="Times New Roman" w:cs="Times New Roman" w:eastAsia="Times New Roman" w:hint="default"/>
        </w:rPr>
        <w:t>1</w:t>
      </w:r>
      <w:r>
        <w:rPr/>
        <w:t>）金融资产</w:t>
      </w:r>
    </w:p>
    <w:p>
      <w:pPr>
        <w:pStyle w:val="Heading6"/>
        <w:spacing w:line="273" w:lineRule="auto" w:before="21"/>
        <w:ind w:right="1126" w:firstLine="425"/>
        <w:jc w:val="both"/>
      </w:pPr>
      <w:r>
        <w:rPr>
          <w:spacing w:val="-2"/>
        </w:rPr>
        <w:t>①以摊余成本计量的金融资产。初始确认后，对于该类金融资产采用实际利率法以摊余成本计量。以</w:t>
      </w:r>
      <w:r>
        <w:rPr>
          <w:w w:val="100"/>
        </w:rPr>
        <w:t> </w:t>
      </w:r>
      <w:r>
        <w:rPr>
          <w:spacing w:val="-2"/>
        </w:rPr>
        <w:t>摊余成本计量且不属于任何套期关系的金融资产所产生的利得或损失，在终止确认、重分类、按照实际利</w:t>
      </w:r>
      <w:r>
        <w:rPr>
          <w:spacing w:val="-42"/>
        </w:rPr>
        <w:t> </w:t>
      </w:r>
      <w:r>
        <w:rPr>
          <w:spacing w:val="-42"/>
        </w:rPr>
      </w:r>
      <w:r>
        <w:rPr/>
        <w:t>率法摊销或确认减值时，计入当期损益。</w:t>
      </w:r>
    </w:p>
    <w:p>
      <w:pPr>
        <w:pStyle w:val="Heading6"/>
        <w:spacing w:line="271" w:lineRule="auto"/>
        <w:ind w:right="1126" w:firstLine="420"/>
        <w:jc w:val="both"/>
      </w:pPr>
      <w:r>
        <w:rPr>
          <w:spacing w:val="-2"/>
        </w:rPr>
        <w:t>②以公允价值计量且其变动计入当期损益的金融资产。初始确认后，对于该类金融资产（除属于套期</w:t>
      </w:r>
      <w:r>
        <w:rPr>
          <w:w w:val="100"/>
        </w:rPr>
        <w:t> </w:t>
      </w:r>
      <w:r>
        <w:rPr>
          <w:spacing w:val="-2"/>
        </w:rPr>
        <w:t>关系的一部分金融资产外），以公允价值进行后续计量，产生的利得或损失（包括利息和股利收入）计入</w:t>
      </w:r>
      <w:r>
        <w:rPr>
          <w:spacing w:val="-43"/>
        </w:rPr>
        <w:t> </w:t>
      </w:r>
      <w:r>
        <w:rPr>
          <w:spacing w:val="-43"/>
        </w:rPr>
      </w:r>
      <w:r>
        <w:rPr/>
        <w:t>当期损益。</w:t>
      </w:r>
    </w:p>
    <w:p>
      <w:pPr>
        <w:pStyle w:val="Heading6"/>
        <w:spacing w:line="273" w:lineRule="auto" w:before="10"/>
        <w:ind w:right="1126" w:firstLine="420"/>
        <w:jc w:val="both"/>
      </w:pPr>
      <w:r>
        <w:rPr>
          <w:spacing w:val="-2"/>
        </w:rPr>
        <w:t>③以公允价值计量且其变动计入其他综合收益的债务工具投资。初始确认后，对于该类金融资产以公</w:t>
      </w:r>
      <w:r>
        <w:rPr>
          <w:w w:val="100"/>
        </w:rPr>
        <w:t> </w:t>
      </w:r>
      <w:r>
        <w:rPr>
          <w:spacing w:val="-2"/>
        </w:rPr>
        <w:t>允价值进行后续计量。采用实际利率法计算的利息、减值损失或利得及汇兑损益计入当期损益，其他利得</w:t>
      </w:r>
      <w:r>
        <w:rPr>
          <w:spacing w:val="-44"/>
        </w:rPr>
        <w:t> </w:t>
      </w:r>
      <w:r>
        <w:rPr>
          <w:spacing w:val="-44"/>
        </w:rPr>
      </w:r>
      <w:r>
        <w:rPr>
          <w:spacing w:val="-2"/>
        </w:rPr>
        <w:t>或损失均计入其他综合收益。终止确认时，将之前计入其他综合收益的累计利得或损失从其他综合收益中</w:t>
      </w:r>
      <w:r>
        <w:rPr>
          <w:spacing w:val="-43"/>
        </w:rPr>
        <w:t> </w:t>
      </w:r>
      <w:r>
        <w:rPr>
          <w:spacing w:val="-43"/>
        </w:rPr>
      </w:r>
      <w:r>
        <w:rPr/>
        <w:t>转出，计入当期损益。</w:t>
      </w:r>
    </w:p>
    <w:p>
      <w:pPr>
        <w:pStyle w:val="Heading6"/>
        <w:spacing w:line="240" w:lineRule="auto"/>
        <w:ind w:left="578" w:right="1133"/>
        <w:jc w:val="left"/>
      </w:pPr>
      <w:r>
        <w:rPr/>
        <w:t>（</w:t>
      </w:r>
      <w:r>
        <w:rPr>
          <w:rFonts w:ascii="Times New Roman" w:hAnsi="Times New Roman" w:cs="Times New Roman" w:eastAsia="Times New Roman" w:hint="default"/>
        </w:rPr>
        <w:t>2</w:t>
      </w:r>
      <w:r>
        <w:rPr/>
        <w:t>）金融负债</w:t>
      </w:r>
    </w:p>
    <w:p>
      <w:pPr>
        <w:pStyle w:val="Heading6"/>
        <w:spacing w:line="256" w:lineRule="auto" w:before="21"/>
        <w:ind w:right="1128" w:firstLine="420"/>
        <w:jc w:val="both"/>
      </w:pPr>
      <w:r>
        <w:rPr/>
        <w:t>①以公允价值计量且其变动计入当期损益的金融负债。该类金融负债包括交易性金融负债</w:t>
      </w:r>
      <w:r>
        <w:rPr>
          <w:spacing w:val="8"/>
        </w:rPr>
        <w:t> </w:t>
      </w:r>
      <w:r>
        <w:rPr>
          <w:rFonts w:ascii="Times New Roman" w:hAnsi="Times New Roman" w:cs="Times New Roman" w:eastAsia="Times New Roman" w:hint="default"/>
        </w:rPr>
        <w:t>(</w:t>
      </w:r>
      <w:r>
        <w:rPr/>
        <w:t>含属于金</w:t>
      </w:r>
      <w:r>
        <w:rPr>
          <w:w w:val="100"/>
        </w:rPr>
        <w:t> </w:t>
      </w:r>
      <w:r>
        <w:rPr/>
        <w:t>融负债的衍生工具</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和指定为以公允价值计量且其变动计入当期损益的金融负债。初始确认后，对于该类</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jc w:val="both"/>
      </w:pPr>
      <w:r>
        <w:rPr>
          <w:spacing w:val="-2"/>
        </w:rPr>
        <w:t>金融负债以公允价值进行后续计量，除与套期会计有关外，交易性金融负债公允价值变动形成的利得或损</w:t>
      </w:r>
      <w:r>
        <w:rPr>
          <w:spacing w:val="-43"/>
        </w:rPr>
        <w:t> </w:t>
      </w:r>
      <w:r>
        <w:rPr>
          <w:spacing w:val="-43"/>
        </w:rPr>
      </w:r>
      <w:r>
        <w:rPr>
          <w:spacing w:val="-2"/>
        </w:rPr>
        <w:t>失（包括利息费用）计入当期损益。指定为以公允价值计量且其变动计入当期损益的金融负债的，由企业</w:t>
      </w:r>
      <w:r>
        <w:rPr>
          <w:spacing w:val="-47"/>
        </w:rPr>
        <w:t> </w:t>
      </w:r>
      <w:r>
        <w:rPr>
          <w:spacing w:val="-47"/>
        </w:rPr>
      </w:r>
      <w:r>
        <w:rPr>
          <w:spacing w:val="-2"/>
        </w:rPr>
        <w:t>自身信用风险变动引起的该金融负债公允价值的变动金额，计入其他综合收益，其他公允价值变动计入当</w:t>
      </w:r>
      <w:r>
        <w:rPr>
          <w:spacing w:val="-44"/>
        </w:rPr>
        <w:t> </w:t>
      </w:r>
      <w:r>
        <w:rPr>
          <w:spacing w:val="-44"/>
        </w:rPr>
      </w:r>
      <w:r>
        <w:rPr>
          <w:spacing w:val="-2"/>
        </w:rPr>
        <w:t>期损益。如果对该金融负债的自身信用风险变动的影响计入其他综合收益会造成或扩大损益中的会计错配</w:t>
      </w:r>
      <w:r>
        <w:rPr>
          <w:spacing w:val="-43"/>
        </w:rPr>
        <w:t> </w:t>
      </w:r>
      <w:r>
        <w:rPr>
          <w:spacing w:val="-43"/>
        </w:rPr>
      </w:r>
      <w:r>
        <w:rPr/>
        <w:t>的，本公司将该金融负债的全部利得或损失计入当期损益。</w:t>
      </w:r>
    </w:p>
    <w:p>
      <w:pPr>
        <w:pStyle w:val="Heading6"/>
        <w:spacing w:line="264" w:lineRule="auto"/>
        <w:ind w:left="573" w:right="1133"/>
        <w:jc w:val="left"/>
      </w:pPr>
      <w:r>
        <w:rPr/>
        <w:t>②以摊余成本计量的金融负债。初始确认后，对此类金融负债采用实际利率法以摊余成本计量。</w:t>
      </w:r>
      <w:r>
        <w:rPr>
          <w:w w:val="100"/>
        </w:rPr>
        <w:t> </w:t>
      </w:r>
      <w:r>
        <w:rPr>
          <w:rFonts w:ascii="Times New Roman" w:hAnsi="Times New Roman" w:cs="Times New Roman" w:eastAsia="Times New Roman" w:hint="default"/>
        </w:rPr>
        <w:t>3.</w:t>
      </w:r>
      <w:r>
        <w:rPr/>
        <w:t>本公司对金融工具的公允价值的确认方法</w:t>
      </w:r>
      <w:r>
        <w:rPr>
          <w:w w:val="100"/>
        </w:rPr>
        <w:t> </w:t>
      </w:r>
      <w:r>
        <w:rPr>
          <w:spacing w:val="-2"/>
        </w:rPr>
        <w:t>如存在活跃市场的金融工具，以活跃市场中的报价确定其公允价值；如不存在活跃市场的金融工具，</w:t>
      </w:r>
    </w:p>
    <w:p>
      <w:pPr>
        <w:pStyle w:val="Heading6"/>
        <w:spacing w:line="273" w:lineRule="auto" w:before="16"/>
        <w:ind w:right="1126"/>
        <w:jc w:val="both"/>
      </w:pPr>
      <w:r>
        <w:rPr>
          <w:spacing w:val="-2"/>
        </w:rPr>
        <w:t>采用估值技术确定其公允价值。估值技术主要包括市场法、收益法和成本法。在有限情况下，如果用以确</w:t>
      </w:r>
      <w:r>
        <w:rPr>
          <w:spacing w:val="-47"/>
        </w:rPr>
        <w:t> </w:t>
      </w:r>
      <w:r>
        <w:rPr>
          <w:spacing w:val="-47"/>
        </w:rPr>
      </w:r>
      <w:r>
        <w:rPr>
          <w:spacing w:val="-2"/>
        </w:rPr>
        <w:t>定公允价值的近期信息不足，或者公允价值的可能估计金额分布范围很广，而成本代表了该范围内对公允</w:t>
      </w:r>
      <w:r>
        <w:rPr>
          <w:spacing w:val="-43"/>
        </w:rPr>
        <w:t> </w:t>
      </w:r>
      <w:r>
        <w:rPr>
          <w:spacing w:val="-43"/>
        </w:rPr>
      </w:r>
      <w:r>
        <w:rPr>
          <w:spacing w:val="-2"/>
        </w:rPr>
        <w:t>价值的最佳估计的，该成本可代表其在该分布范围内对公允价值的恰当估计。本公司利用初始确认日后可</w:t>
      </w:r>
      <w:r>
        <w:rPr>
          <w:spacing w:val="-43"/>
        </w:rPr>
        <w:t> </w:t>
      </w:r>
      <w:r>
        <w:rPr>
          <w:spacing w:val="-43"/>
        </w:rPr>
      </w:r>
      <w:r>
        <w:rPr/>
        <w:t>获得的关于被投资方业绩和经营的所有信息，判断成本能否代表公允价值。</w:t>
      </w:r>
    </w:p>
    <w:p>
      <w:pPr>
        <w:pStyle w:val="Heading6"/>
        <w:spacing w:line="240" w:lineRule="auto"/>
        <w:ind w:left="573" w:right="1133"/>
        <w:jc w:val="left"/>
      </w:pPr>
      <w:r>
        <w:rPr>
          <w:rFonts w:ascii="Times New Roman" w:hAnsi="Times New Roman" w:cs="Times New Roman" w:eastAsia="Times New Roman" w:hint="default"/>
        </w:rPr>
        <w:t>4.</w:t>
      </w:r>
      <w:r>
        <w:rPr/>
        <w:t>金融资产和金融负债转移的确认依据和计量方法</w:t>
      </w:r>
    </w:p>
    <w:p>
      <w:pPr>
        <w:pStyle w:val="Heading6"/>
        <w:spacing w:line="256" w:lineRule="auto" w:before="22"/>
        <w:ind w:left="573" w:right="1133"/>
        <w:jc w:val="left"/>
      </w:pPr>
      <w:r>
        <w:rPr/>
        <w:t>（</w:t>
      </w:r>
      <w:r>
        <w:rPr>
          <w:rFonts w:ascii="Times New Roman" w:hAnsi="Times New Roman" w:cs="Times New Roman" w:eastAsia="Times New Roman" w:hint="default"/>
        </w:rPr>
        <w:t>1</w:t>
      </w:r>
      <w:r>
        <w:rPr/>
        <w:t>）金融资产</w:t>
      </w:r>
      <w:r>
        <w:rPr>
          <w:w w:val="100"/>
        </w:rPr>
        <w:t> </w:t>
      </w:r>
      <w:r>
        <w:rPr>
          <w:spacing w:val="-2"/>
        </w:rPr>
        <w:t>本公司金融资产满足下列条件之一的，予以终止确认：①收取该金融资产现金流量的合同权利终止；</w:t>
      </w:r>
    </w:p>
    <w:p>
      <w:pPr>
        <w:pStyle w:val="Heading6"/>
        <w:spacing w:line="273" w:lineRule="auto" w:before="22"/>
        <w:ind w:right="1105"/>
        <w:jc w:val="both"/>
      </w:pPr>
      <w:r>
        <w:rPr>
          <w:spacing w:val="-2"/>
        </w:rPr>
        <w:t>②该金融资产已转移，且本公司转移了金融资产所有权上几乎所有的风险和报酬；③该金融资产已转移，</w:t>
      </w:r>
      <w:r>
        <w:rPr>
          <w:spacing w:val="-21"/>
        </w:rPr>
        <w:t> </w:t>
      </w:r>
      <w:r>
        <w:rPr>
          <w:spacing w:val="-21"/>
        </w:rPr>
      </w:r>
      <w:r>
        <w:rPr/>
        <w:t>虽然本公司既没有转移也没有保留金融资产所有权上几乎所有报酬的，但未保留对该金融资产的控制。</w:t>
      </w:r>
    </w:p>
    <w:p>
      <w:pPr>
        <w:pStyle w:val="Heading6"/>
        <w:spacing w:line="273" w:lineRule="auto"/>
        <w:ind w:right="1126" w:firstLine="420"/>
        <w:jc w:val="both"/>
      </w:pPr>
      <w:r>
        <w:rPr>
          <w:spacing w:val="-2"/>
        </w:rPr>
        <w:t>本公司既没有转移也没有保留金融资产所有权上几乎所有报酬的，且保留了对该金融资产控制的，按</w:t>
      </w:r>
      <w:r>
        <w:rPr>
          <w:w w:val="100"/>
        </w:rPr>
        <w:t> </w:t>
      </w:r>
      <w:r>
        <w:rPr/>
        <w:t>照继续涉入被转移金融资产的程度确认有关金融资产，并相应确认相关负债。</w:t>
      </w:r>
    </w:p>
    <w:p>
      <w:pPr>
        <w:pStyle w:val="Heading6"/>
        <w:spacing w:line="273" w:lineRule="auto"/>
        <w:ind w:right="1126" w:firstLine="420"/>
        <w:jc w:val="both"/>
      </w:pPr>
      <w:r>
        <w:rPr>
          <w:spacing w:val="-2"/>
        </w:rPr>
        <w:t>金融资产转移整体满足终止确认条件的，将以下两项金额的差额计入当期损益：①被转移金融资产在</w:t>
      </w:r>
      <w:r>
        <w:rPr>
          <w:w w:val="100"/>
        </w:rPr>
        <w:t> </w:t>
      </w:r>
      <w:r>
        <w:rPr>
          <w:spacing w:val="-2"/>
        </w:rPr>
        <w:t>终止确认日的账面价值；②因转移金融资产而收到的对价，与原直接计入其他综合收益的公允价值变动累</w:t>
      </w:r>
      <w:r>
        <w:rPr>
          <w:spacing w:val="-43"/>
        </w:rPr>
        <w:t> </w:t>
      </w:r>
      <w:r>
        <w:rPr>
          <w:spacing w:val="-43"/>
        </w:rPr>
      </w:r>
      <w:r>
        <w:rPr>
          <w:spacing w:val="-2"/>
        </w:rPr>
        <w:t>计额中对应终止确认部分的金额（涉及转移的金融资产为分类为以公允价值计量且其变动计入其他综合收</w:t>
      </w:r>
      <w:r>
        <w:rPr>
          <w:spacing w:val="-43"/>
        </w:rPr>
        <w:t> </w:t>
      </w:r>
      <w:r>
        <w:rPr>
          <w:spacing w:val="-43"/>
        </w:rPr>
      </w:r>
      <w:r>
        <w:rPr/>
        <w:t>益的金融资产）之和。</w:t>
      </w:r>
    </w:p>
    <w:p>
      <w:pPr>
        <w:pStyle w:val="Heading6"/>
        <w:spacing w:line="273" w:lineRule="auto"/>
        <w:ind w:right="986" w:firstLine="420"/>
        <w:jc w:val="left"/>
      </w:pPr>
      <w:r>
        <w:rPr/>
        <w:t>金融资产部分转移满足终止确认条件的，将所转移金融资产整体的账面价值，在终止确认部分和未终</w:t>
      </w:r>
      <w:r>
        <w:rPr>
          <w:w w:val="100"/>
        </w:rPr>
        <w:t> </w:t>
      </w:r>
      <w:r>
        <w:rPr>
          <w:spacing w:val="-5"/>
        </w:rPr>
        <w:t>止确认部分之间，先按照转移日各自的相对公允价值进行分摊，然后将以下两项金额的差额计入当期损益：</w:t>
      </w:r>
    </w:p>
    <w:p>
      <w:pPr>
        <w:pStyle w:val="Heading6"/>
        <w:spacing w:line="273" w:lineRule="auto" w:before="8"/>
        <w:ind w:right="1126"/>
        <w:jc w:val="both"/>
      </w:pPr>
      <w:r>
        <w:rPr>
          <w:spacing w:val="-2"/>
        </w:rPr>
        <w:t>①终止确认部分在终止确认日的账面价值；②终止确认部分收到的对价，与原计入其他综合收益的公允价</w:t>
      </w:r>
      <w:r>
        <w:rPr>
          <w:spacing w:val="-43"/>
        </w:rPr>
        <w:t> </w:t>
      </w:r>
      <w:r>
        <w:rPr>
          <w:spacing w:val="-43"/>
        </w:rPr>
      </w:r>
      <w:r>
        <w:rPr>
          <w:spacing w:val="-2"/>
        </w:rPr>
        <w:t>值变动累计额中对应终止确认部分的金额（涉及转移的金融资产为分类为以公允价值计量且其变动计入其</w:t>
      </w:r>
      <w:r>
        <w:rPr>
          <w:spacing w:val="-43"/>
        </w:rPr>
        <w:t> </w:t>
      </w:r>
      <w:r>
        <w:rPr>
          <w:spacing w:val="-43"/>
        </w:rPr>
      </w:r>
      <w:r>
        <w:rPr/>
        <w:t>他综合收益的金融资产）之和。</w:t>
      </w:r>
    </w:p>
    <w:p>
      <w:pPr>
        <w:pStyle w:val="Heading6"/>
        <w:spacing w:line="264" w:lineRule="auto"/>
        <w:ind w:left="573" w:right="986" w:firstLine="4"/>
        <w:jc w:val="left"/>
      </w:pPr>
      <w:r>
        <w:rPr/>
        <w:t>（</w:t>
      </w:r>
      <w:r>
        <w:rPr>
          <w:rFonts w:ascii="Times New Roman" w:hAnsi="Times New Roman" w:cs="Times New Roman" w:eastAsia="Times New Roman" w:hint="default"/>
        </w:rPr>
        <w:t>2</w:t>
      </w:r>
      <w:r>
        <w:rPr/>
        <w:t>）金融负债</w:t>
      </w:r>
      <w:r>
        <w:rPr>
          <w:w w:val="100"/>
        </w:rPr>
        <w:t> </w:t>
      </w:r>
      <w:r>
        <w:rPr>
          <w:spacing w:val="-5"/>
        </w:rPr>
        <w:t>金融负债（或其一部分）的现时义务已经解除的，本公司终止确认该金融负债（或该部分金融负债）。</w:t>
      </w:r>
      <w:r>
        <w:rPr>
          <w:spacing w:val="-21"/>
        </w:rPr>
        <w:t> </w:t>
      </w:r>
      <w:r>
        <w:rPr>
          <w:spacing w:val="-21"/>
        </w:rPr>
      </w:r>
      <w:r>
        <w:rPr>
          <w:spacing w:val="-2"/>
        </w:rPr>
        <w:t>金融负债（或其一部分）终止确认的，本公司将其账面价值与支付的对价（包括转出的非现金资产或</w:t>
      </w:r>
    </w:p>
    <w:p>
      <w:pPr>
        <w:pStyle w:val="Heading6"/>
        <w:spacing w:line="240" w:lineRule="auto" w:before="16"/>
        <w:ind w:right="0"/>
        <w:jc w:val="both"/>
      </w:pPr>
      <w:r>
        <w:rPr/>
        <w:t>承担的负债）之间的差额，计入当期损益。</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71" w:lineRule="auto" w:before="0"/>
        <w:ind w:right="1126" w:firstLine="420"/>
        <w:jc w:val="both"/>
      </w:pPr>
      <w:r>
        <w:rPr>
          <w:spacing w:val="-2"/>
        </w:rPr>
        <w:t>本公司根据信用风险特征将应收票据划分为若干组合，在组合基础上计算预期信用损失，确定组合的</w:t>
      </w:r>
      <w:r>
        <w:rPr>
          <w:w w:val="100"/>
        </w:rPr>
        <w:t> </w:t>
      </w:r>
      <w:r>
        <w:rPr/>
        <w:t>依据如下：</w:t>
      </w:r>
    </w:p>
    <w:p>
      <w:pPr>
        <w:pStyle w:val="Heading6"/>
        <w:spacing w:line="256" w:lineRule="auto" w:before="51"/>
        <w:ind w:left="578" w:right="6794"/>
        <w:jc w:val="left"/>
      </w:pPr>
      <w:r>
        <w:rPr>
          <w:spacing w:val="-2"/>
        </w:rPr>
        <w:t>应收票据组合</w:t>
      </w:r>
      <w:r>
        <w:rPr>
          <w:rFonts w:ascii="Times New Roman" w:hAnsi="Times New Roman" w:cs="Times New Roman" w:eastAsia="Times New Roman" w:hint="default"/>
          <w:spacing w:val="-2"/>
        </w:rPr>
        <w:t>1</w:t>
      </w:r>
      <w:r>
        <w:rPr>
          <w:spacing w:val="-2"/>
        </w:rPr>
        <w:t>：银行承兑汇票</w:t>
      </w:r>
      <w:r>
        <w:rPr>
          <w:spacing w:val="-80"/>
        </w:rPr>
        <w:t> </w:t>
      </w:r>
      <w:r>
        <w:rPr>
          <w:spacing w:val="-80"/>
        </w:rPr>
      </w:r>
      <w:r>
        <w:rPr>
          <w:spacing w:val="-2"/>
        </w:rPr>
        <w:t>应收票据组合</w:t>
      </w:r>
      <w:r>
        <w:rPr>
          <w:rFonts w:ascii="Times New Roman" w:hAnsi="Times New Roman" w:cs="Times New Roman" w:eastAsia="Times New Roman" w:hint="default"/>
          <w:spacing w:val="-2"/>
        </w:rPr>
        <w:t>2</w:t>
      </w:r>
      <w:r>
        <w:rPr>
          <w:spacing w:val="-2"/>
        </w:rPr>
        <w:t>：商业承兑汇票</w:t>
      </w:r>
    </w:p>
    <w:p>
      <w:pPr>
        <w:pStyle w:val="Heading6"/>
        <w:spacing w:line="273" w:lineRule="auto" w:before="5"/>
        <w:ind w:right="1126" w:firstLine="425"/>
        <w:jc w:val="both"/>
      </w:pPr>
      <w:r>
        <w:rPr>
          <w:spacing w:val="-2"/>
        </w:rPr>
        <w:t>针对银行承兑汇票，管理层评价该类款项具有较低的信用风险；对于划分为组合的商业承兑汇票，本</w:t>
      </w:r>
      <w:r>
        <w:rPr>
          <w:w w:val="100"/>
        </w:rPr>
        <w:t> </w:t>
      </w:r>
      <w:r>
        <w:rPr>
          <w:spacing w:val="-2"/>
        </w:rPr>
        <w:t>公司参考历史信用损失经验，结合当前状况及对未来经济状况的预测，通过违约风险敞口和整个存续期预</w:t>
      </w:r>
      <w:r>
        <w:rPr>
          <w:spacing w:val="-43"/>
        </w:rPr>
        <w:t> </w:t>
      </w:r>
      <w:r>
        <w:rPr>
          <w:spacing w:val="-43"/>
        </w:rPr>
      </w:r>
      <w:r>
        <w:rPr/>
        <w:t>期信用损失率，计算预期信用损失。</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right="1126" w:firstLine="420"/>
        <w:jc w:val="both"/>
      </w:pPr>
      <w:r>
        <w:rPr>
          <w:spacing w:val="-2"/>
        </w:rPr>
        <w:t>本公司对于由《企业会计准则第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收入》规范的交易形成的应收款项（无论是否含重大融资成</w:t>
      </w:r>
      <w:r>
        <w:rPr>
          <w:w w:val="100"/>
        </w:rPr>
        <w:t> </w:t>
      </w:r>
      <w:r>
        <w:rPr>
          <w:spacing w:val="-2"/>
        </w:rPr>
        <w:t>分），以及由《企业会计准则第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租赁》规范的租赁应收款，始终按相当于整个存续期内预期信用</w:t>
      </w:r>
      <w:r>
        <w:rPr>
          <w:spacing w:val="-40"/>
        </w:rPr>
        <w:t> </w:t>
      </w:r>
      <w:r>
        <w:rPr>
          <w:spacing w:val="-40"/>
        </w:rPr>
      </w:r>
      <w:r>
        <w:rPr/>
        <w:t>损失的金额计量其损失准备。</w:t>
      </w:r>
    </w:p>
    <w:p>
      <w:pPr>
        <w:pStyle w:val="Heading6"/>
        <w:spacing w:line="273" w:lineRule="auto" w:before="61"/>
        <w:ind w:right="1126" w:firstLine="420"/>
        <w:jc w:val="both"/>
      </w:pPr>
      <w:r>
        <w:rPr>
          <w:spacing w:val="-2"/>
        </w:rPr>
        <w:t>根据金融工具的性质，本公司以单项金融资产或金融资产组合为基础评估信用风险是否显著增加。本</w:t>
      </w:r>
      <w:r>
        <w:rPr>
          <w:w w:val="100"/>
        </w:rPr>
        <w:t> </w:t>
      </w:r>
      <w:r>
        <w:rPr>
          <w:spacing w:val="-2"/>
        </w:rPr>
        <w:t>公司根据信用风险特征将应收账款、租赁应收款划分为若干组合，在组合基础上计算预期信用损失，确定</w:t>
      </w:r>
      <w:r>
        <w:rPr>
          <w:spacing w:val="-44"/>
        </w:rPr>
        <w:t> </w:t>
      </w:r>
      <w:r>
        <w:rPr>
          <w:spacing w:val="-44"/>
        </w:rPr>
      </w:r>
      <w:r>
        <w:rPr/>
        <w:t>组合的依据如下：</w:t>
      </w:r>
    </w:p>
    <w:p>
      <w:pPr>
        <w:pStyle w:val="Heading6"/>
        <w:spacing w:line="290" w:lineRule="auto" w:before="48"/>
        <w:ind w:left="573" w:right="6794"/>
        <w:jc w:val="left"/>
      </w:pPr>
      <w:r>
        <w:rPr>
          <w:spacing w:val="-2"/>
        </w:rPr>
        <w:t>应收账款组合</w:t>
      </w:r>
      <w:r>
        <w:rPr>
          <w:rFonts w:ascii="Times New Roman" w:hAnsi="Times New Roman" w:cs="Times New Roman" w:eastAsia="Times New Roman" w:hint="default"/>
          <w:spacing w:val="-2"/>
        </w:rPr>
        <w:t>1</w:t>
      </w:r>
      <w:r>
        <w:rPr>
          <w:spacing w:val="-2"/>
        </w:rPr>
        <w:t>：账龄组合</w:t>
      </w:r>
      <w:r>
        <w:rPr>
          <w:spacing w:val="-84"/>
        </w:rPr>
        <w:t> </w:t>
      </w:r>
      <w:r>
        <w:rPr>
          <w:spacing w:val="-84"/>
        </w:rPr>
      </w:r>
      <w:r>
        <w:rPr>
          <w:spacing w:val="-2"/>
        </w:rPr>
        <w:t>应收账款组合</w:t>
      </w:r>
      <w:r>
        <w:rPr>
          <w:rFonts w:ascii="Times New Roman" w:hAnsi="Times New Roman" w:cs="Times New Roman" w:eastAsia="Times New Roman" w:hint="default"/>
          <w:spacing w:val="-2"/>
        </w:rPr>
        <w:t>2</w:t>
      </w:r>
      <w:r>
        <w:rPr>
          <w:spacing w:val="-2"/>
        </w:rPr>
        <w:t>：其他组合</w:t>
      </w:r>
    </w:p>
    <w:p>
      <w:pPr>
        <w:pStyle w:val="Heading6"/>
        <w:spacing w:line="273" w:lineRule="auto" w:before="11"/>
        <w:ind w:right="986" w:firstLine="425"/>
        <w:jc w:val="left"/>
      </w:pPr>
      <w:r>
        <w:rPr>
          <w:spacing w:val="-5"/>
        </w:rPr>
        <w:t>对于划分为组合的应收账款，本公司参考历史信用损失经验，结合当前状况及对未来经济状况的预测，</w:t>
      </w:r>
      <w:r>
        <w:rPr>
          <w:w w:val="100"/>
        </w:rPr>
        <w:t> </w:t>
      </w:r>
      <w:r>
        <w:rPr/>
        <w:t>编制应收账款账龄与整个存续期预期信用损失率对照表，计算预期信用损失。</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spacing w:line="314" w:lineRule="auto" w:before="0"/>
        <w:ind w:left="573" w:right="1133" w:hanging="421"/>
        <w:jc w:val="left"/>
        <w:rPr>
          <w:rFonts w:ascii="宋体" w:hAnsi="宋体" w:cs="宋体" w:eastAsia="宋体" w:hint="default"/>
          <w:sz w:val="21"/>
          <w:szCs w:val="21"/>
        </w:rPr>
      </w:pPr>
      <w:r>
        <w:rPr>
          <w:rFonts w:ascii="宋体" w:hAnsi="宋体" w:cs="宋体" w:eastAsia="宋体" w:hint="default"/>
          <w:sz w:val="18"/>
          <w:szCs w:val="18"/>
        </w:rPr>
        <w:t>其他应收款的预期信用损失的确定方法及会计处理方法 </w:t>
      </w:r>
      <w:r>
        <w:rPr>
          <w:rFonts w:ascii="宋体" w:hAnsi="宋体" w:cs="宋体" w:eastAsia="宋体" w:hint="default"/>
          <w:sz w:val="21"/>
          <w:szCs w:val="21"/>
        </w:rPr>
        <w:t>本公司对于其他应收款按照一般方法，即</w:t>
      </w:r>
      <w:r>
        <w:rPr>
          <w:rFonts w:ascii="Times New Roman" w:hAnsi="Times New Roman" w:cs="Times New Roman" w:eastAsia="Times New Roman" w:hint="default"/>
          <w:sz w:val="21"/>
          <w:szCs w:val="21"/>
        </w:rPr>
        <w:t>“</w:t>
      </w:r>
      <w:r>
        <w:rPr>
          <w:rFonts w:ascii="宋体" w:hAnsi="宋体" w:cs="宋体" w:eastAsia="宋体" w:hint="default"/>
          <w:sz w:val="21"/>
          <w:szCs w:val="21"/>
        </w:rPr>
        <w:t>三阶段</w:t>
      </w:r>
      <w:r>
        <w:rPr>
          <w:rFonts w:ascii="Times New Roman" w:hAnsi="Times New Roman" w:cs="Times New Roman" w:eastAsia="Times New Roman" w:hint="default"/>
          <w:sz w:val="21"/>
          <w:szCs w:val="21"/>
        </w:rPr>
        <w:t>”</w:t>
      </w:r>
      <w:r>
        <w:rPr>
          <w:rFonts w:ascii="宋体" w:hAnsi="宋体" w:cs="宋体" w:eastAsia="宋体" w:hint="default"/>
          <w:sz w:val="21"/>
          <w:szCs w:val="21"/>
        </w:rPr>
        <w:t>模型计量损失准备。</w:t>
      </w:r>
      <w:r>
        <w:rPr>
          <w:rFonts w:ascii="宋体" w:hAnsi="宋体" w:cs="宋体" w:eastAsia="宋体" w:hint="default"/>
          <w:w w:val="100"/>
          <w:sz w:val="21"/>
          <w:szCs w:val="21"/>
        </w:rPr>
        <w:t> </w:t>
      </w:r>
      <w:r>
        <w:rPr>
          <w:rFonts w:ascii="宋体" w:hAnsi="宋体" w:cs="宋体" w:eastAsia="宋体" w:hint="default"/>
          <w:spacing w:val="-2"/>
          <w:sz w:val="21"/>
          <w:szCs w:val="21"/>
        </w:rPr>
        <w:t>本公司在计量金融工具发生信用减值时，评估信用风险是否显著增加考虑了以下因素：</w:t>
      </w:r>
    </w:p>
    <w:p>
      <w:pPr>
        <w:pStyle w:val="Heading6"/>
        <w:spacing w:line="273" w:lineRule="auto" w:before="10"/>
        <w:ind w:right="1140" w:firstLine="420"/>
        <w:jc w:val="both"/>
      </w:pPr>
      <w:r>
        <w:rPr>
          <w:spacing w:val="2"/>
        </w:rPr>
        <w:t>①同一金融工具或具有相同预计存续期的类似金融工具的信用风险的外部市场指标是否发生显著变</w:t>
      </w:r>
      <w:r>
        <w:rPr>
          <w:w w:val="100"/>
        </w:rPr>
        <w:t> </w:t>
      </w:r>
      <w:r>
        <w:rPr/>
        <w:t>化；</w:t>
      </w:r>
    </w:p>
    <w:p>
      <w:pPr>
        <w:pStyle w:val="Heading6"/>
        <w:spacing w:line="240" w:lineRule="auto" w:before="48"/>
        <w:ind w:left="573" w:right="1133"/>
        <w:jc w:val="left"/>
      </w:pPr>
      <w:r>
        <w:rPr/>
        <w:t>②金融工具外部信用评级实际或预期是否发生显著变化；</w:t>
      </w:r>
    </w:p>
    <w:p>
      <w:pPr>
        <w:pStyle w:val="Heading6"/>
        <w:spacing w:line="240" w:lineRule="auto" w:before="78"/>
        <w:ind w:left="573" w:right="1133"/>
        <w:jc w:val="left"/>
      </w:pPr>
      <w:r>
        <w:rPr/>
        <w:t>③对债务人实际或预期的内部信用评级是否下调；</w:t>
      </w:r>
    </w:p>
    <w:p>
      <w:pPr>
        <w:pStyle w:val="Heading6"/>
        <w:spacing w:line="273" w:lineRule="auto" w:before="76"/>
        <w:ind w:right="1126" w:firstLine="420"/>
        <w:jc w:val="both"/>
      </w:pPr>
      <w:r>
        <w:rPr>
          <w:spacing w:val="-2"/>
        </w:rPr>
        <w:t>④预期将导致债务人履行其偿债义务的能力发生显著变化的业务、财务或经济状况的是否出现不利变</w:t>
      </w:r>
      <w:r>
        <w:rPr>
          <w:w w:val="100"/>
        </w:rPr>
        <w:t> </w:t>
      </w:r>
      <w:r>
        <w:rPr>
          <w:spacing w:val="-2"/>
        </w:rPr>
        <w:t>化，如债务人市场份额明显下降、主要产品价格急剧持续下跌、主要原材料价格明显上涨、营运资金严重</w:t>
      </w:r>
      <w:r>
        <w:rPr>
          <w:spacing w:val="-49"/>
        </w:rPr>
        <w:t> </w:t>
      </w:r>
      <w:r>
        <w:rPr>
          <w:spacing w:val="-49"/>
        </w:rPr>
      </w:r>
      <w:r>
        <w:rPr/>
        <w:t>短缺、资产质量下降等；</w:t>
      </w:r>
    </w:p>
    <w:p>
      <w:pPr>
        <w:pStyle w:val="Heading6"/>
        <w:spacing w:line="273" w:lineRule="auto" w:before="48"/>
        <w:ind w:right="1126" w:firstLine="420"/>
        <w:jc w:val="both"/>
      </w:pPr>
      <w:r>
        <w:rPr>
          <w:spacing w:val="-2"/>
        </w:rPr>
        <w:t>⑤债务人经营成果实际或预期是否发生显著变化，如收入、利润等经营指标出现明显不利变化且预期</w:t>
      </w:r>
      <w:r>
        <w:rPr>
          <w:w w:val="100"/>
        </w:rPr>
        <w:t> </w:t>
      </w:r>
      <w:r>
        <w:rPr/>
        <w:t>短时间内难以好转；</w:t>
      </w:r>
    </w:p>
    <w:p>
      <w:pPr>
        <w:pStyle w:val="Heading6"/>
        <w:spacing w:line="273" w:lineRule="auto" w:before="48"/>
        <w:ind w:right="1126" w:firstLine="420"/>
        <w:jc w:val="both"/>
      </w:pPr>
      <w:r>
        <w:rPr>
          <w:spacing w:val="-2"/>
        </w:rPr>
        <w:t>⑥债务人所处的监管、经济或技术环境是否发生显著不利变化，如技术变革、国家或地方政府拟出台</w:t>
      </w:r>
      <w:r>
        <w:rPr>
          <w:w w:val="100"/>
        </w:rPr>
        <w:t> </w:t>
      </w:r>
      <w:r>
        <w:rPr/>
        <w:t>相关政策是否对债务人产生重大不利影响；</w:t>
      </w:r>
    </w:p>
    <w:p>
      <w:pPr>
        <w:pStyle w:val="Heading6"/>
        <w:spacing w:line="240" w:lineRule="auto" w:before="46"/>
        <w:ind w:left="573" w:right="1133"/>
        <w:jc w:val="left"/>
      </w:pPr>
      <w:r>
        <w:rPr/>
        <w:t>⑦作为债务抵押的担保物价值或第三方提供的担保或信用增级质量的是否发生显著变化；</w:t>
      </w:r>
    </w:p>
    <w:p>
      <w:pPr>
        <w:pStyle w:val="Heading6"/>
        <w:spacing w:line="273" w:lineRule="auto" w:before="78"/>
        <w:ind w:right="1126" w:firstLine="420"/>
        <w:jc w:val="both"/>
      </w:pPr>
      <w:r>
        <w:rPr>
          <w:spacing w:val="-2"/>
        </w:rPr>
        <w:t>⑧预期将降低债务人按合同约定期限还款的经济动机的是否发生显著变化，如母公司或其他关联公司</w:t>
      </w:r>
      <w:r>
        <w:rPr>
          <w:w w:val="100"/>
        </w:rPr>
        <w:t> </w:t>
      </w:r>
      <w:r>
        <w:rPr/>
        <w:t>能够提供的财务支持减少，或者信用增级质量的显著变化；</w:t>
      </w:r>
    </w:p>
    <w:p>
      <w:pPr>
        <w:pStyle w:val="Heading6"/>
        <w:spacing w:line="240" w:lineRule="auto" w:before="48"/>
        <w:ind w:left="573" w:right="1133"/>
        <w:jc w:val="left"/>
      </w:pPr>
      <w:r>
        <w:rPr/>
        <w:t>⑨债务人预期表现和还款行为是否发生显著变化；</w:t>
      </w:r>
    </w:p>
    <w:p>
      <w:pPr>
        <w:pStyle w:val="Heading6"/>
        <w:spacing w:line="307" w:lineRule="auto" w:before="76"/>
        <w:ind w:left="573" w:right="1133"/>
        <w:jc w:val="left"/>
      </w:pPr>
      <w:r>
        <w:rPr/>
        <w:t>⑩本公司对金融工具信用管理方法是否发生变化。</w:t>
      </w:r>
      <w:r>
        <w:rPr>
          <w:w w:val="100"/>
        </w:rPr>
        <w:t> </w:t>
      </w:r>
      <w:r>
        <w:rPr>
          <w:spacing w:val="-2"/>
        </w:rPr>
        <w:t>本公司根据款项性质将其他应收款划分为若干组合，在组合基础上计算预期信用损失，确定组合的依</w:t>
      </w:r>
    </w:p>
    <w:p>
      <w:pPr>
        <w:pStyle w:val="Heading6"/>
        <w:spacing w:line="253" w:lineRule="exact" w:before="0"/>
        <w:ind w:right="1133"/>
        <w:jc w:val="left"/>
      </w:pPr>
      <w:r>
        <w:rPr/>
        <w:t>据如下：</w:t>
      </w:r>
    </w:p>
    <w:p>
      <w:pPr>
        <w:pStyle w:val="Heading6"/>
        <w:spacing w:line="290" w:lineRule="auto" w:before="78"/>
        <w:ind w:left="573" w:right="6794"/>
        <w:jc w:val="left"/>
      </w:pPr>
      <w:r>
        <w:rPr>
          <w:spacing w:val="-2"/>
        </w:rPr>
        <w:t>其他应收款组合</w:t>
      </w:r>
      <w:r>
        <w:rPr>
          <w:rFonts w:ascii="Times New Roman" w:hAnsi="Times New Roman" w:cs="Times New Roman" w:eastAsia="Times New Roman" w:hint="default"/>
          <w:spacing w:val="-2"/>
        </w:rPr>
        <w:t>1</w:t>
      </w:r>
      <w:r>
        <w:rPr>
          <w:spacing w:val="-2"/>
        </w:rPr>
        <w:t>：保证金、押金</w:t>
      </w:r>
      <w:r>
        <w:rPr>
          <w:spacing w:val="-76"/>
        </w:rPr>
        <w:t> </w:t>
      </w:r>
      <w:r>
        <w:rPr>
          <w:spacing w:val="-76"/>
        </w:rPr>
      </w:r>
      <w:r>
        <w:rPr/>
        <w:t>其他应收款组合</w:t>
      </w:r>
      <w:r>
        <w:rPr>
          <w:rFonts w:ascii="Times New Roman" w:hAnsi="Times New Roman" w:cs="Times New Roman" w:eastAsia="Times New Roman" w:hint="default"/>
        </w:rPr>
        <w:t>2</w:t>
      </w:r>
      <w:r>
        <w:rPr/>
        <w:t>：往来款项</w:t>
      </w:r>
      <w:r>
        <w:rPr>
          <w:w w:val="100"/>
        </w:rPr>
        <w:t> </w:t>
      </w:r>
      <w:r>
        <w:rPr/>
        <w:t>其他应收款组合</w:t>
      </w:r>
      <w:r>
        <w:rPr>
          <w:rFonts w:ascii="Times New Roman" w:hAnsi="Times New Roman" w:cs="Times New Roman" w:eastAsia="Times New Roman" w:hint="default"/>
        </w:rPr>
        <w:t>3</w:t>
      </w:r>
      <w:r>
        <w:rPr/>
        <w:t>：其他款项</w:t>
      </w:r>
    </w:p>
    <w:p>
      <w:pPr>
        <w:pStyle w:val="Heading6"/>
        <w:spacing w:line="240" w:lineRule="auto" w:before="13"/>
        <w:ind w:left="573" w:right="986"/>
        <w:jc w:val="left"/>
      </w:pPr>
      <w:r>
        <w:rPr/>
        <w:t>预期信用损失的会计处理方法：为反映金融工具的信用风险自初始确认后的变化，本公司在每个资产</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33"/>
        <w:jc w:val="left"/>
      </w:pPr>
      <w:r>
        <w:rPr>
          <w:spacing w:val="-2"/>
        </w:rPr>
        <w:t>负债表日重新计量预期信用损失，由此形成的损失准备的增加或转回金额，应当作为减值损失或利得计入</w:t>
      </w:r>
      <w:r>
        <w:rPr>
          <w:spacing w:val="-43"/>
        </w:rPr>
        <w:t> </w:t>
      </w:r>
      <w:r>
        <w:rPr>
          <w:spacing w:val="-43"/>
        </w:rPr>
      </w:r>
      <w:r>
        <w:rPr/>
        <w:t>当期损益，并根据金融工具的种类，抵减该金融资产在资产负债表中列示的账面价值。</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存货的分类</w:t>
      </w:r>
      <w:r>
        <w:rPr>
          <w:w w:val="100"/>
        </w:rPr>
        <w:t> </w:t>
      </w:r>
      <w:r>
        <w:rPr>
          <w:spacing w:val="-2"/>
        </w:rPr>
        <w:t>存货是指本公司在日常活动中持有以备出售的产成品或商品、处在生产过程中的在产品、在生产过程</w:t>
      </w:r>
    </w:p>
    <w:p>
      <w:pPr>
        <w:pStyle w:val="Heading6"/>
        <w:spacing w:line="240" w:lineRule="auto" w:before="22"/>
        <w:ind w:right="1133"/>
        <w:jc w:val="left"/>
      </w:pPr>
      <w:r>
        <w:rPr/>
        <w:t>或提供劳务过程中耗用的材料和物料等。主要包括原材料、库存商品、工程施工等。</w:t>
      </w:r>
    </w:p>
    <w:p>
      <w:pPr>
        <w:pStyle w:val="Heading6"/>
        <w:spacing w:line="264" w:lineRule="auto" w:before="37"/>
        <w:ind w:left="573" w:right="4274"/>
        <w:jc w:val="left"/>
      </w:pPr>
      <w:r>
        <w:rPr>
          <w:rFonts w:ascii="Times New Roman" w:hAnsi="Times New Roman" w:cs="Times New Roman" w:eastAsia="Times New Roman" w:hint="default"/>
        </w:rPr>
        <w:t>2.</w:t>
      </w:r>
      <w:r>
        <w:rPr/>
        <w:t>发出存货的计价方法</w:t>
      </w:r>
      <w:r>
        <w:rPr>
          <w:w w:val="100"/>
        </w:rPr>
        <w:t> </w:t>
      </w:r>
      <w:r>
        <w:rPr>
          <w:spacing w:val="-2"/>
        </w:rPr>
        <w:t>存货发出时，采取个别计价法确定其发出的实际成本。</w:t>
      </w:r>
      <w:r>
        <w:rPr>
          <w:spacing w:val="-59"/>
        </w:rPr>
        <w:t> </w:t>
      </w:r>
      <w:r>
        <w:rPr>
          <w:spacing w:val="-59"/>
        </w:rPr>
      </w:r>
      <w:r>
        <w:rPr>
          <w:rFonts w:ascii="Times New Roman" w:hAnsi="Times New Roman" w:cs="Times New Roman" w:eastAsia="Times New Roman" w:hint="default"/>
        </w:rPr>
        <w:t>3.</w:t>
      </w:r>
      <w:r>
        <w:rPr/>
        <w:t>存货跌价准备的计提方法</w:t>
      </w:r>
    </w:p>
    <w:p>
      <w:pPr>
        <w:pStyle w:val="Heading6"/>
        <w:spacing w:line="273" w:lineRule="auto" w:before="0"/>
        <w:ind w:right="1126" w:firstLine="420"/>
        <w:jc w:val="both"/>
      </w:pPr>
      <w:r>
        <w:rPr>
          <w:spacing w:val="-2"/>
        </w:rPr>
        <w:t>资产负债表日，存货按照成本与可变现净值孰低计量，并按单个存货项目计提存货跌价准备，但对于</w:t>
      </w:r>
      <w:r>
        <w:rPr>
          <w:w w:val="100"/>
        </w:rPr>
        <w:t> </w:t>
      </w:r>
      <w:r>
        <w:rPr/>
        <w:t>数量繁多、单价较低的存货，按照存货类别计提存货跌价准备。</w:t>
      </w:r>
    </w:p>
    <w:p>
      <w:pPr>
        <w:pStyle w:val="Heading6"/>
        <w:spacing w:line="261" w:lineRule="auto" w:before="8"/>
        <w:ind w:left="489" w:right="6254" w:firstLine="84"/>
        <w:jc w:val="left"/>
      </w:pPr>
      <w:r>
        <w:rPr>
          <w:rFonts w:ascii="Times New Roman" w:hAnsi="Times New Roman" w:cs="Times New Roman" w:eastAsia="Times New Roman" w:hint="default"/>
        </w:rPr>
        <w:t>4.</w:t>
      </w:r>
      <w:r>
        <w:rPr/>
        <w:t>存货的盘存制度</w:t>
      </w:r>
      <w:r>
        <w:rPr>
          <w:w w:val="100"/>
        </w:rPr>
        <w:t> </w:t>
      </w:r>
      <w:r>
        <w:rPr/>
        <w:t>本公司的存货盘存制度为永续盘存制。</w:t>
      </w:r>
      <w:r>
        <w:rPr>
          <w:w w:val="100"/>
        </w:rPr>
        <w:t> </w:t>
      </w:r>
      <w:r>
        <w:rPr>
          <w:rFonts w:ascii="Times New Roman" w:hAnsi="Times New Roman" w:cs="Times New Roman" w:eastAsia="Times New Roman" w:hint="default"/>
        </w:rPr>
        <w:t>5.</w:t>
      </w:r>
      <w:r>
        <w:rPr/>
        <w:t>低值易耗品和包装物的摊销方法</w:t>
      </w:r>
      <w:r>
        <w:rPr>
          <w:w w:val="100"/>
        </w:rPr>
        <w:t> </w:t>
      </w:r>
      <w:r>
        <w:rPr>
          <w:spacing w:val="-2"/>
        </w:rPr>
        <w:t>低值易耗品和包装物采用一次转销法摊销</w:t>
      </w:r>
      <w:r>
        <w:rPr>
          <w:color w:val="000099"/>
          <w:spacing w:val="-2"/>
        </w:rPr>
        <w:t>。</w:t>
      </w:r>
      <w:r>
        <w:rPr>
          <w:spacing w:val="-2"/>
        </w:rPr>
      </w:r>
    </w:p>
    <w:p>
      <w:pPr>
        <w:spacing w:line="240" w:lineRule="auto" w:before="4"/>
        <w:rPr>
          <w:rFonts w:ascii="宋体" w:hAnsi="宋体" w:cs="宋体" w:eastAsia="宋体" w:hint="default"/>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right="1126" w:firstLine="466"/>
        <w:jc w:val="both"/>
      </w:pPr>
      <w:r>
        <w:rPr>
          <w:spacing w:val="-3"/>
        </w:rPr>
        <w:t>本公司对于由《企业会计准则第</w:t>
      </w:r>
      <w:r>
        <w:rPr>
          <w:rFonts w:ascii="Times New Roman" w:hAnsi="Times New Roman" w:cs="Times New Roman" w:eastAsia="Times New Roman" w:hint="default"/>
          <w:spacing w:val="-3"/>
        </w:rPr>
        <w:t>14</w:t>
      </w:r>
      <w:r>
        <w:rPr>
          <w:spacing w:val="-3"/>
        </w:rPr>
        <w:t>号</w:t>
      </w:r>
      <w:r>
        <w:rPr>
          <w:rFonts w:ascii="Times New Roman" w:hAnsi="Times New Roman" w:cs="Times New Roman" w:eastAsia="Times New Roman" w:hint="default"/>
          <w:spacing w:val="-3"/>
        </w:rPr>
        <w:t>——</w:t>
      </w:r>
      <w:r>
        <w:rPr>
          <w:spacing w:val="-3"/>
        </w:rPr>
        <w:t>收入》规范的交易形成的应收款项（无论是否含重大融资成</w:t>
      </w:r>
      <w:r>
        <w:rPr>
          <w:w w:val="100"/>
        </w:rPr>
        <w:t> </w:t>
      </w:r>
      <w:r>
        <w:rPr>
          <w:spacing w:val="-2"/>
        </w:rPr>
        <w:t>分），以及由《企业会计准则第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租赁》规范的租赁应收款，始终按相当于整个存续期内预期信用</w:t>
      </w:r>
      <w:r>
        <w:rPr>
          <w:spacing w:val="-40"/>
        </w:rPr>
        <w:t> </w:t>
      </w:r>
      <w:r>
        <w:rPr>
          <w:spacing w:val="-40"/>
        </w:rPr>
      </w:r>
      <w:r>
        <w:rPr/>
        <w:t>损失的金额计量其损失准备。</w:t>
      </w:r>
    </w:p>
    <w:p>
      <w:pPr>
        <w:pStyle w:val="Heading6"/>
        <w:spacing w:line="273" w:lineRule="auto" w:before="22"/>
        <w:ind w:right="1126" w:firstLine="466"/>
        <w:jc w:val="both"/>
      </w:pPr>
      <w:r>
        <w:rPr>
          <w:spacing w:val="-3"/>
        </w:rPr>
        <w:t>根据金融工具的性质，本公司以单项金融资产或金融资产组合为基础评估信用风险是否显著增加。本</w:t>
      </w:r>
      <w:r>
        <w:rPr>
          <w:w w:val="100"/>
        </w:rPr>
        <w:t> </w:t>
      </w:r>
      <w:r>
        <w:rPr>
          <w:spacing w:val="-2"/>
        </w:rPr>
        <w:t>公司根据信用风险特征将租赁应收款划分为若干组合，在组合基础上计算预期信用损失，确定组合的依据</w:t>
      </w:r>
      <w:r>
        <w:rPr>
          <w:spacing w:val="-43"/>
        </w:rPr>
        <w:t> </w:t>
      </w:r>
      <w:r>
        <w:rPr>
          <w:spacing w:val="-43"/>
        </w:rPr>
      </w:r>
      <w:r>
        <w:rPr/>
        <w:t>如下：</w:t>
      </w:r>
    </w:p>
    <w:p>
      <w:pPr>
        <w:pStyle w:val="Heading6"/>
        <w:spacing w:line="259" w:lineRule="auto"/>
        <w:ind w:left="578" w:right="6794"/>
        <w:jc w:val="left"/>
      </w:pPr>
      <w:r>
        <w:rPr>
          <w:spacing w:val="-2"/>
        </w:rPr>
        <w:t>租赁应收款组合</w:t>
      </w:r>
      <w:r>
        <w:rPr>
          <w:rFonts w:ascii="Times New Roman" w:hAnsi="Times New Roman" w:cs="Times New Roman" w:eastAsia="Times New Roman" w:hint="default"/>
          <w:spacing w:val="-2"/>
        </w:rPr>
        <w:t>1</w:t>
      </w:r>
      <w:r>
        <w:rPr>
          <w:spacing w:val="-2"/>
        </w:rPr>
        <w:t>：五级分类组合</w:t>
      </w:r>
      <w:r>
        <w:rPr>
          <w:spacing w:val="-76"/>
        </w:rPr>
        <w:t> </w:t>
      </w:r>
      <w:r>
        <w:rPr>
          <w:spacing w:val="-76"/>
        </w:rPr>
      </w:r>
      <w:r>
        <w:rPr/>
        <w:t>租赁应收款组合</w:t>
      </w:r>
      <w:r>
        <w:rPr>
          <w:rFonts w:ascii="Times New Roman" w:hAnsi="Times New Roman" w:cs="Times New Roman" w:eastAsia="Times New Roman" w:hint="default"/>
        </w:rPr>
        <w:t>2</w:t>
      </w:r>
      <w:r>
        <w:rPr/>
        <w:t>：其他组合</w:t>
      </w:r>
    </w:p>
    <w:p>
      <w:pPr>
        <w:pStyle w:val="Heading6"/>
        <w:spacing w:line="273" w:lineRule="auto" w:before="2"/>
        <w:ind w:right="1133"/>
        <w:jc w:val="left"/>
      </w:pPr>
      <w:r>
        <w:rPr>
          <w:spacing w:val="-2"/>
        </w:rPr>
        <w:t>对于租赁应收款，本公司参考历史信用损失经验，结合当前状况及对未来经济状况的预测，通过违约风险</w:t>
      </w:r>
      <w:r>
        <w:rPr>
          <w:spacing w:val="-44"/>
        </w:rPr>
        <w:t> </w:t>
      </w:r>
      <w:r>
        <w:rPr>
          <w:spacing w:val="-44"/>
        </w:rPr>
      </w:r>
      <w:r>
        <w:rPr/>
        <w:t>敞口和整个存续期预期信用损失率，计算预期信用损失。</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初始投资成本确定</w:t>
      </w:r>
      <w:r>
        <w:rPr>
          <w:w w:val="100"/>
        </w:rPr>
        <w:t> </w:t>
      </w:r>
      <w:r>
        <w:rPr>
          <w:spacing w:val="-2"/>
        </w:rPr>
        <w:t>对于企业合并取得的长期股权投资，如为同一控制下的企业合并，应当在合并日按照被合并方所有者</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jc w:val="both"/>
      </w:pPr>
      <w:r>
        <w:rPr>
          <w:spacing w:val="-2"/>
        </w:rPr>
        <w:t>权益在最终控制方合并财务报表中的账面价值的份额作为长期股权投资的初始投资成本；非同一控制下的</w:t>
      </w:r>
      <w:r>
        <w:rPr>
          <w:spacing w:val="-43"/>
        </w:rPr>
        <w:t> </w:t>
      </w:r>
      <w:r>
        <w:rPr>
          <w:spacing w:val="-43"/>
        </w:rPr>
      </w:r>
      <w:r>
        <w:rPr>
          <w:spacing w:val="-2"/>
        </w:rPr>
        <w:t>企业合并，按照购买日确定的合并成本作为长期股权投资的初始投资成本；以支付现金取得的长期股权投</w:t>
      </w:r>
      <w:r>
        <w:rPr>
          <w:spacing w:val="-42"/>
        </w:rPr>
        <w:t> </w:t>
      </w:r>
      <w:r>
        <w:rPr>
          <w:spacing w:val="-42"/>
        </w:rPr>
      </w:r>
      <w:r>
        <w:rPr>
          <w:spacing w:val="-2"/>
        </w:rPr>
        <w:t>资，初始投资成本为实际支付的购买价款；以发行权益性证券取得的长期股权投资，初始投资成本为发行</w:t>
      </w:r>
      <w:r>
        <w:rPr>
          <w:spacing w:val="-43"/>
        </w:rPr>
        <w:t> </w:t>
      </w:r>
      <w:r>
        <w:rPr>
          <w:spacing w:val="-43"/>
        </w:rPr>
      </w:r>
      <w:r>
        <w:rPr>
          <w:spacing w:val="-2"/>
        </w:rPr>
        <w:t>权益性证券的公允价值；通过债务重组取得的长期股权投资，其初始投资成本按照《企业会计准则第</w:t>
      </w:r>
      <w:r>
        <w:rPr>
          <w:rFonts w:ascii="Times New Roman" w:hAnsi="Times New Roman" w:cs="Times New Roman" w:eastAsia="Times New Roman" w:hint="default"/>
          <w:spacing w:val="-2"/>
        </w:rPr>
        <w:t>12</w:t>
      </w:r>
      <w:r>
        <w:rPr>
          <w:spacing w:val="-2"/>
        </w:rPr>
        <w:t>号</w:t>
      </w:r>
    </w:p>
    <w:p>
      <w:pPr>
        <w:pStyle w:val="Heading6"/>
        <w:spacing w:line="256" w:lineRule="auto" w:before="0"/>
        <w:ind w:right="1133"/>
        <w:jc w:val="left"/>
      </w:pPr>
      <w:r>
        <w:rPr>
          <w:rFonts w:ascii="Times New Roman" w:hAnsi="Times New Roman" w:cs="Times New Roman" w:eastAsia="Times New Roman" w:hint="default"/>
          <w:spacing w:val="-2"/>
        </w:rPr>
        <w:t>——</w:t>
      </w:r>
      <w:r>
        <w:rPr>
          <w:spacing w:val="-2"/>
        </w:rPr>
        <w:t>债务重组》的有关规定确定；非货币性资产交换取得的长期股权投资，初始投资成本按照《企业会计</w:t>
      </w:r>
      <w:r>
        <w:rPr>
          <w:spacing w:val="-50"/>
        </w:rPr>
        <w:t> </w:t>
      </w:r>
      <w:r>
        <w:rPr>
          <w:spacing w:val="-50"/>
        </w:rPr>
      </w:r>
      <w:r>
        <w:rPr/>
        <w:t>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非货币性资产交换》的有关规定确定。</w:t>
      </w:r>
    </w:p>
    <w:p>
      <w:pPr>
        <w:pStyle w:val="Heading6"/>
        <w:spacing w:line="256" w:lineRule="auto" w:before="5"/>
        <w:ind w:left="573" w:right="1133"/>
        <w:jc w:val="left"/>
      </w:pPr>
      <w:r>
        <w:rPr>
          <w:rFonts w:ascii="Times New Roman" w:hAnsi="Times New Roman" w:cs="Times New Roman" w:eastAsia="Times New Roman" w:hint="default"/>
        </w:rPr>
        <w:t>2.</w:t>
      </w:r>
      <w:r>
        <w:rPr/>
        <w:t>后续计量及损益确认方法</w:t>
      </w:r>
      <w:r>
        <w:rPr>
          <w:w w:val="100"/>
        </w:rPr>
        <w:t> </w:t>
      </w:r>
      <w:r>
        <w:rPr>
          <w:spacing w:val="-2"/>
        </w:rPr>
        <w:t>本公司能够对被投资单位实施控制的长期股权投资采用成本法核算，对联营企业和合营企业的长期股</w:t>
      </w:r>
    </w:p>
    <w:p>
      <w:pPr>
        <w:pStyle w:val="Heading6"/>
        <w:spacing w:line="266" w:lineRule="auto" w:before="22"/>
        <w:ind w:right="1126"/>
        <w:jc w:val="both"/>
      </w:pPr>
      <w:r>
        <w:rPr>
          <w:spacing w:val="-2"/>
        </w:rPr>
        <w:t>权投资采用权益法核算。本公司对联营企业的权益性投资，其中一部分通过风险投资机构、共同基金、信</w:t>
      </w:r>
      <w:r>
        <w:rPr>
          <w:spacing w:val="-47"/>
        </w:rPr>
        <w:t> </w:t>
      </w:r>
      <w:r>
        <w:rPr>
          <w:spacing w:val="-47"/>
        </w:rPr>
      </w:r>
      <w:r>
        <w:rPr>
          <w:spacing w:val="-2"/>
        </w:rPr>
        <w:t>托公司或包括投连险基金在内的类似主体间接持有的，无论以上主体是否对这部分投资具有重大影响，本</w:t>
      </w:r>
      <w:r>
        <w:rPr>
          <w:spacing w:val="-44"/>
        </w:rPr>
        <w:t> </w:t>
      </w:r>
      <w:r>
        <w:rPr>
          <w:spacing w:val="-44"/>
        </w:rPr>
      </w:r>
      <w:r>
        <w:rPr>
          <w:spacing w:val="-2"/>
        </w:rPr>
        <w:t>公司按照《企业会计准则第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金融工具确认和计量》的有关规定处理，并对其余部分采用权益法核</w:t>
      </w:r>
      <w:r>
        <w:rPr>
          <w:spacing w:val="-40"/>
        </w:rPr>
        <w:t> </w:t>
      </w:r>
      <w:r>
        <w:rPr>
          <w:spacing w:val="-40"/>
        </w:rPr>
      </w:r>
      <w:r>
        <w:rPr/>
        <w:t>算。</w:t>
      </w:r>
    </w:p>
    <w:p>
      <w:pPr>
        <w:pStyle w:val="Heading6"/>
        <w:spacing w:line="264" w:lineRule="auto" w:before="14"/>
        <w:ind w:right="986" w:firstLine="420"/>
        <w:jc w:val="left"/>
      </w:pPr>
      <w:r>
        <w:rPr>
          <w:rFonts w:ascii="Times New Roman" w:hAnsi="Times New Roman" w:cs="Times New Roman" w:eastAsia="Times New Roman" w:hint="default"/>
        </w:rPr>
        <w:t>3.</w:t>
      </w:r>
      <w:r>
        <w:rPr/>
        <w:t>确定对被投资单位具有共同控制、重大影响的依据</w:t>
      </w:r>
      <w:r>
        <w:rPr>
          <w:w w:val="100"/>
        </w:rPr>
        <w:t> </w:t>
      </w:r>
      <w:r>
        <w:rPr>
          <w:spacing w:val="-2"/>
        </w:rPr>
        <w:t>对被投资单位具有共同控制，是指对某项安排的回报产生重大影响的活动必须经过分享控制权的参与方一</w:t>
      </w:r>
      <w:r>
        <w:rPr>
          <w:spacing w:val="-43"/>
        </w:rPr>
        <w:t> </w:t>
      </w:r>
      <w:r>
        <w:rPr>
          <w:spacing w:val="-43"/>
        </w:rPr>
      </w:r>
      <w:r>
        <w:rPr>
          <w:spacing w:val="-2"/>
        </w:rPr>
        <w:t>致同意后才能决策，包括商品或劳务的销售和购买、金融资产的管理、资产的购买和处置、研究与开发活</w:t>
      </w:r>
      <w:r>
        <w:rPr>
          <w:spacing w:val="-47"/>
        </w:rPr>
        <w:t> </w:t>
      </w:r>
      <w:r>
        <w:rPr>
          <w:spacing w:val="-47"/>
        </w:rPr>
      </w:r>
      <w:r>
        <w:rPr>
          <w:spacing w:val="-3"/>
        </w:rPr>
        <w:t>动以及融资活动等；对被投资单位具有重大影响，是指当持有被投资单位</w:t>
      </w:r>
      <w:r>
        <w:rPr>
          <w:rFonts w:ascii="Times New Roman" w:hAnsi="Times New Roman" w:cs="Times New Roman" w:eastAsia="Times New Roman" w:hint="default"/>
          <w:spacing w:val="-3"/>
        </w:rPr>
        <w:t>20%</w:t>
      </w:r>
      <w:r>
        <w:rPr>
          <w:spacing w:val="-3"/>
        </w:rPr>
        <w:t>以上至</w:t>
      </w:r>
      <w:r>
        <w:rPr>
          <w:rFonts w:ascii="Times New Roman" w:hAnsi="Times New Roman" w:cs="Times New Roman" w:eastAsia="Times New Roman" w:hint="default"/>
          <w:spacing w:val="-3"/>
        </w:rPr>
        <w:t>50%</w:t>
      </w:r>
      <w:r>
        <w:rPr>
          <w:spacing w:val="-3"/>
        </w:rPr>
        <w:t>的表决权资本时，</w:t>
      </w:r>
      <w:r>
        <w:rPr>
          <w:spacing w:val="-23"/>
        </w:rPr>
        <w:t> </w:t>
      </w:r>
      <w:r>
        <w:rPr>
          <w:spacing w:val="-23"/>
        </w:rPr>
      </w:r>
      <w:r>
        <w:rPr/>
        <w:t>具有重大影响。或虽不足</w:t>
      </w:r>
      <w:r>
        <w:rPr>
          <w:rFonts w:ascii="Times New Roman" w:hAnsi="Times New Roman" w:cs="Times New Roman" w:eastAsia="Times New Roman" w:hint="default"/>
        </w:rPr>
        <w:t>20%</w:t>
      </w:r>
      <w:r>
        <w:rPr/>
        <w:t>，但符合下列条件之一时，具有重大影响：在被投资单位的董事会或类似的</w:t>
      </w:r>
      <w:r>
        <w:rPr>
          <w:spacing w:val="-99"/>
        </w:rPr>
        <w:t> </w:t>
      </w:r>
      <w:r>
        <w:rPr>
          <w:spacing w:val="-99"/>
        </w:rPr>
      </w:r>
      <w:r>
        <w:rPr>
          <w:spacing w:val="-2"/>
        </w:rPr>
        <w:t>权力机构中派有代表；参与被投资单位的政策制定过程；向被投资单位派出管理人员；被投资单位依赖投</w:t>
      </w:r>
      <w:r>
        <w:rPr>
          <w:spacing w:val="-45"/>
        </w:rPr>
        <w:t> </w:t>
      </w:r>
      <w:r>
        <w:rPr>
          <w:spacing w:val="-45"/>
        </w:rPr>
      </w:r>
      <w:r>
        <w:rPr/>
        <w:t>资公司的技术或技术资料；与被投资单位之间发生重要交易。</w:t>
      </w:r>
    </w:p>
    <w:p>
      <w:pPr>
        <w:spacing w:line="240" w:lineRule="auto" w:before="2"/>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投资性房地产计量模式 成本法计量 折旧或摊销方法</w:t>
      </w:r>
    </w:p>
    <w:p>
      <w:pPr>
        <w:pStyle w:val="Heading6"/>
        <w:spacing w:line="273" w:lineRule="auto" w:before="9"/>
        <w:ind w:right="1133" w:firstLine="420"/>
        <w:jc w:val="left"/>
      </w:pPr>
      <w:r>
        <w:rPr>
          <w:spacing w:val="-2"/>
        </w:rPr>
        <w:t>本公司投资性房地产的类别，包括出租的土地使用权、出租的建筑物。投资性房地产按照成本进行初</w:t>
      </w:r>
      <w:r>
        <w:rPr>
          <w:w w:val="100"/>
        </w:rPr>
        <w:t> </w:t>
      </w:r>
      <w:r>
        <w:rPr/>
        <w:t>始计量，采用成本模式进行后续计量。</w:t>
      </w:r>
      <w:r>
        <w:rPr>
          <w:w w:val="100"/>
        </w:rPr>
        <w:t> </w:t>
      </w:r>
      <w:r>
        <w:rPr>
          <w:spacing w:val="-2"/>
        </w:rPr>
        <w:t>本公司投资性房地产中出租的建筑物采用年限平均法计提折旧，具体核算政策与固定资产部分相同。投资</w:t>
      </w:r>
      <w:r>
        <w:rPr>
          <w:spacing w:val="-43"/>
        </w:rPr>
        <w:t> </w:t>
      </w:r>
      <w:r>
        <w:rPr>
          <w:spacing w:val="-43"/>
        </w:rPr>
      </w:r>
      <w:r>
        <w:rPr/>
        <w:t>性房地产中出租的土地使用权采用直线法摊销，具体核算政策与无形资产部分相同。</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固定资产指为生产商品、提供劳务、出租或经营管理而持有的，使用寿命超过一个会计年度的有形资产。同时满足以下条件</w:t>
      </w:r>
      <w:r>
        <w:rPr>
          <w:spacing w:val="-65"/>
        </w:rPr>
        <w:t> </w:t>
      </w:r>
      <w:r>
        <w:rPr>
          <w:spacing w:val="-65"/>
        </w:rPr>
      </w:r>
      <w:r>
        <w:rPr/>
        <w:t>时予以确认：与该固定资产有关的经济利益很可能流入企业；该固定资产的成本能够可靠地计量。</w:t>
      </w:r>
    </w:p>
    <w:p>
      <w:pPr>
        <w:spacing w:line="240" w:lineRule="auto" w:before="9"/>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918"/>
        <w:gridCol w:w="1913"/>
        <w:gridCol w:w="1916"/>
        <w:gridCol w:w="1913"/>
        <w:gridCol w:w="1916"/>
      </w:tblGrid>
      <w:tr>
        <w:trPr>
          <w:trHeight w:val="40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jc w:val="both"/>
      </w:pPr>
      <w:r>
        <w:rPr>
          <w:spacing w:val="-2"/>
        </w:rPr>
        <w:t>融资租入固定资产为实质上转移了与资产所有权有关的全部风险和报酬的租赁。融资租入固定资产初始计价为租赁期开始日</w:t>
      </w:r>
      <w:r>
        <w:rPr>
          <w:spacing w:val="-64"/>
        </w:rPr>
        <w:t> </w:t>
      </w:r>
      <w:r>
        <w:rPr>
          <w:spacing w:val="-64"/>
        </w:rPr>
      </w:r>
      <w:r>
        <w:rPr>
          <w:spacing w:val="-2"/>
        </w:rPr>
        <w:t>租赁资产公允价值与最低租赁付款额现值较低者作为入账价值；融资租入固定资产后续计价采用与自有固定资产相一致的折</w:t>
      </w:r>
      <w:r>
        <w:rPr>
          <w:spacing w:val="-64"/>
        </w:rPr>
        <w:t> </w:t>
      </w:r>
      <w:r>
        <w:rPr>
          <w:spacing w:val="-64"/>
        </w:rPr>
      </w:r>
      <w:r>
        <w:rPr/>
        <w:t>旧政策计提折旧及减值准备。</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before="0"/>
        <w:ind w:right="986" w:firstLine="420"/>
        <w:jc w:val="left"/>
      </w:pPr>
      <w:r>
        <w:rPr>
          <w:spacing w:val="2"/>
        </w:rPr>
        <w:t>本公司在建工程分为自营方式建造和出包方式建造两种。在建工程在工程完工达到预定可使用状态</w:t>
      </w:r>
      <w:r>
        <w:rPr>
          <w:w w:val="100"/>
        </w:rPr>
        <w:t> </w:t>
      </w:r>
      <w:r>
        <w:rPr>
          <w:spacing w:val="-5"/>
        </w:rPr>
        <w:t>时，结转固定资产。预定可使用状态的判断标准，应符合下列情况之一：固定资产的实体建造（包括安装）</w:t>
      </w:r>
      <w:r>
        <w:rPr>
          <w:spacing w:val="-8"/>
        </w:rPr>
        <w:t> </w:t>
      </w:r>
      <w:r>
        <w:rPr>
          <w:spacing w:val="-8"/>
        </w:rPr>
      </w:r>
      <w:r>
        <w:rPr>
          <w:spacing w:val="-2"/>
        </w:rPr>
        <w:t>工作已经全部完成或实质上已经全部完成；已经试生产或试运行，并且其结果表明资产能够正常运行或能</w:t>
      </w:r>
      <w:r>
        <w:rPr>
          <w:spacing w:val="-43"/>
        </w:rPr>
        <w:t> </w:t>
      </w:r>
      <w:r>
        <w:rPr>
          <w:spacing w:val="-43"/>
        </w:rPr>
      </w:r>
      <w:r>
        <w:rPr>
          <w:spacing w:val="-2"/>
        </w:rPr>
        <w:t>够稳定地生产出合格产品，或者试运行结果表明其能够正常运转或营业；该项建造的固定资产上的支出金</w:t>
      </w:r>
      <w:r>
        <w:rPr>
          <w:spacing w:val="-44"/>
        </w:rPr>
        <w:t> </w:t>
      </w:r>
      <w:r>
        <w:rPr>
          <w:spacing w:val="-44"/>
        </w:rPr>
      </w:r>
      <w:r>
        <w:rPr/>
        <w:t>额很少或者几乎不再发生；所购建的固定资产已经达到设计或合同要求，或与设计或合同要求基本相符。</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借款费用资本化的确认原则</w:t>
      </w:r>
      <w:r>
        <w:rPr>
          <w:w w:val="100"/>
        </w:rPr>
        <w:t> </w:t>
      </w:r>
      <w:r>
        <w:rPr>
          <w:spacing w:val="-2"/>
        </w:rPr>
        <w:t>本公司发生的借款费用，可直接归属于符合资本化条件的资产的购建或者生产的，予以资本化，计入</w:t>
      </w:r>
    </w:p>
    <w:p>
      <w:pPr>
        <w:pStyle w:val="Heading6"/>
        <w:spacing w:line="273" w:lineRule="auto" w:before="22"/>
        <w:ind w:right="1126"/>
        <w:jc w:val="both"/>
      </w:pPr>
      <w:r>
        <w:rPr>
          <w:spacing w:val="-2"/>
        </w:rPr>
        <w:t>相关资产成本；其他借款费用，在发生时根据其发生额确认为费用，计入当期损益。符合资本化条件的资</w:t>
      </w:r>
      <w:r>
        <w:rPr>
          <w:spacing w:val="-50"/>
        </w:rPr>
        <w:t> </w:t>
      </w:r>
      <w:r>
        <w:rPr>
          <w:spacing w:val="-50"/>
        </w:rPr>
      </w:r>
      <w:r>
        <w:rPr>
          <w:spacing w:val="-2"/>
        </w:rPr>
        <w:t>产，是指需要经过相当长时间的购建或者生产活动才能达到预定可使用或者可销售状态的固定资产、投资</w:t>
      </w:r>
      <w:r>
        <w:rPr>
          <w:spacing w:val="-43"/>
        </w:rPr>
        <w:t> </w:t>
      </w:r>
      <w:r>
        <w:rPr>
          <w:spacing w:val="-43"/>
        </w:rPr>
      </w:r>
      <w:r>
        <w:rPr/>
        <w:t>性房地产和存货等资产。</w:t>
      </w:r>
    </w:p>
    <w:p>
      <w:pPr>
        <w:pStyle w:val="Heading6"/>
        <w:spacing w:line="256" w:lineRule="auto" w:before="8"/>
        <w:ind w:left="573" w:right="1133"/>
        <w:jc w:val="left"/>
      </w:pPr>
      <w:r>
        <w:rPr>
          <w:rFonts w:ascii="Times New Roman" w:hAnsi="Times New Roman" w:cs="Times New Roman" w:eastAsia="Times New Roman" w:hint="default"/>
        </w:rPr>
        <w:t>2.</w:t>
      </w:r>
      <w:r>
        <w:rPr/>
        <w:t>资本化金额计算方法</w:t>
      </w:r>
      <w:r>
        <w:rPr>
          <w:w w:val="100"/>
        </w:rPr>
        <w:t> </w:t>
      </w:r>
      <w:r>
        <w:rPr>
          <w:spacing w:val="-2"/>
        </w:rPr>
        <w:t>资本化期间，是指从借款费用开始资本化时点到停止资本化时点的期间。借款费用暂停资本化的期间</w:t>
      </w:r>
    </w:p>
    <w:p>
      <w:pPr>
        <w:pStyle w:val="Heading6"/>
        <w:spacing w:line="256" w:lineRule="auto" w:before="22"/>
        <w:ind w:right="1129"/>
        <w:jc w:val="both"/>
      </w:pPr>
      <w:r>
        <w:rPr/>
        <w:t>不包括在内。在购建或生产过程中发生非正常中断、且中断时间连续超过</w:t>
      </w:r>
      <w:r>
        <w:rPr>
          <w:rFonts w:ascii="Times New Roman" w:hAnsi="Times New Roman" w:cs="Times New Roman" w:eastAsia="Times New Roman" w:hint="default"/>
        </w:rPr>
        <w:t>3</w:t>
      </w:r>
      <w:r>
        <w:rPr/>
        <w:t>个月的，应当暂停借款费用的</w:t>
      </w:r>
      <w:r>
        <w:rPr>
          <w:spacing w:val="-20"/>
        </w:rPr>
        <w:t> </w:t>
      </w:r>
      <w:r>
        <w:rPr>
          <w:spacing w:val="-20"/>
        </w:rPr>
      </w:r>
      <w:r>
        <w:rPr/>
        <w:t>资本化。</w:t>
      </w:r>
    </w:p>
    <w:p>
      <w:pPr>
        <w:pStyle w:val="Heading6"/>
        <w:spacing w:line="273" w:lineRule="auto" w:before="22"/>
        <w:ind w:right="1133" w:firstLine="420"/>
        <w:jc w:val="left"/>
      </w:pPr>
      <w:r>
        <w:rPr>
          <w:spacing w:val="-2"/>
        </w:rPr>
        <w:t>借入专门借款，按照专门借款当期实际发生的利息费用，减去将尚未动用的借款资金存入银行取得的</w:t>
      </w:r>
      <w:r>
        <w:rPr>
          <w:w w:val="100"/>
        </w:rPr>
        <w:t> </w:t>
      </w:r>
      <w:r>
        <w:rPr>
          <w:spacing w:val="-2"/>
        </w:rPr>
        <w:t>利息收入或进行暂时性投资取得的投资收益后的金额确定；占用一般借款按照累计资产支出超过专门借款</w:t>
      </w:r>
      <w:r>
        <w:rPr>
          <w:spacing w:val="-43"/>
        </w:rPr>
        <w:t> </w:t>
      </w:r>
      <w:r>
        <w:rPr>
          <w:spacing w:val="-43"/>
        </w:rPr>
      </w:r>
      <w:r>
        <w:rPr>
          <w:spacing w:val="-2"/>
        </w:rPr>
        <w:t>部分的资产支出加权平均数乘以所占用一般借款的资本化率计算确定，资本化率为一般借款的加权平均利</w:t>
      </w:r>
      <w:r>
        <w:rPr>
          <w:spacing w:val="-43"/>
        </w:rPr>
        <w:t> </w:t>
      </w:r>
      <w:r>
        <w:rPr>
          <w:spacing w:val="-43"/>
        </w:rPr>
      </w:r>
      <w:r>
        <w:rPr>
          <w:spacing w:val="-2"/>
        </w:rPr>
        <w:t>率；借款存在折价或溢价的，按照实际利率法确定每一会计期间应摊销的折价或溢价金额，调整每期利息</w:t>
      </w:r>
      <w:r>
        <w:rPr>
          <w:spacing w:val="-43"/>
        </w:rPr>
        <w:t> </w:t>
      </w:r>
      <w:r>
        <w:rPr>
          <w:spacing w:val="-43"/>
        </w:rPr>
      </w:r>
      <w:r>
        <w:rPr/>
        <w:t>金额。</w:t>
      </w:r>
      <w:r>
        <w:rPr>
          <w:spacing w:val="-102"/>
        </w:rPr>
        <w:t> </w:t>
      </w:r>
      <w:r>
        <w:rPr>
          <w:spacing w:val="-2"/>
        </w:rPr>
        <w:t>实际利率法是根据借款实际利率计算其摊余折价或溢价或利息费用的方法。其中实际利率是借款在预期存</w:t>
      </w:r>
      <w:r>
        <w:rPr>
          <w:spacing w:val="-43"/>
        </w:rPr>
        <w:t> </w:t>
      </w:r>
      <w:r>
        <w:rPr>
          <w:spacing w:val="-43"/>
        </w:rPr>
      </w:r>
      <w:r>
        <w:rPr/>
        <w:t>续期间的未来现金流量，折现为该借款当前账面价值所使用的利率。</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无形资产的计价方法</w:t>
      </w:r>
      <w:r>
        <w:rPr>
          <w:w w:val="100"/>
        </w:rPr>
        <w:t> </w:t>
      </w:r>
      <w:r>
        <w:rPr>
          <w:spacing w:val="-2"/>
        </w:rPr>
        <w:t>本公司无形资产按照成本进行初始计量。购入的无形资产，按实际支付的价款和相关支出作为实际成</w:t>
      </w:r>
    </w:p>
    <w:p>
      <w:pPr>
        <w:pStyle w:val="Heading6"/>
        <w:spacing w:line="273" w:lineRule="auto" w:before="22"/>
        <w:ind w:right="1133"/>
        <w:jc w:val="left"/>
      </w:pPr>
      <w:r>
        <w:rPr>
          <w:spacing w:val="-2"/>
        </w:rPr>
        <w:t>本。投资者投入的无形资产，按投资合同或协议约定的价值确定实际成本，但合同或协议约定价值不公允</w:t>
      </w:r>
      <w:r>
        <w:rPr>
          <w:spacing w:val="-42"/>
        </w:rPr>
        <w:t> </w:t>
      </w:r>
      <w:r>
        <w:rPr>
          <w:spacing w:val="-42"/>
        </w:rPr>
      </w:r>
      <w:r>
        <w:rPr/>
        <w:t>的，按公允价值确定实际成本。自行开发的无形资产，其成本为达到预定用途前所发生的支出总额。</w:t>
      </w:r>
    </w:p>
    <w:p>
      <w:pPr>
        <w:pStyle w:val="Heading6"/>
        <w:spacing w:line="273" w:lineRule="auto"/>
        <w:ind w:right="1126" w:firstLine="420"/>
        <w:jc w:val="both"/>
      </w:pPr>
      <w:r>
        <w:rPr>
          <w:spacing w:val="-2"/>
        </w:rPr>
        <w:t>本公司无形资产后续计量方法分别为：使用寿命有限无形资产采用直线法摊销，并在年度终了，对无</w:t>
      </w:r>
      <w:r>
        <w:rPr>
          <w:w w:val="100"/>
        </w:rPr>
        <w:t> </w:t>
      </w:r>
      <w:r>
        <w:rPr>
          <w:spacing w:val="-2"/>
        </w:rPr>
        <w:t>形资产的使用寿命和摊销方法进行复核，如与原先估计数存在差异的，进行相应的调整；使用寿命不确定</w:t>
      </w:r>
      <w:r>
        <w:rPr>
          <w:spacing w:val="-43"/>
        </w:rPr>
        <w:t> </w:t>
      </w:r>
      <w:r>
        <w:rPr>
          <w:spacing w:val="-43"/>
        </w:rPr>
      </w:r>
      <w:r>
        <w:rPr>
          <w:spacing w:val="-2"/>
        </w:rPr>
        <w:t>的无形资产不摊销，但在年度终了，对使用寿命进行复核，当有确凿证据表明其使用寿命是有限的，则估</w:t>
      </w:r>
      <w:r>
        <w:rPr>
          <w:spacing w:val="-50"/>
        </w:rPr>
        <w:t> </w:t>
      </w:r>
      <w:r>
        <w:rPr>
          <w:spacing w:val="-50"/>
        </w:rPr>
      </w:r>
      <w:r>
        <w:rPr/>
        <w:t>计其使用寿命，按直线法进行摊销。</w:t>
      </w:r>
    </w:p>
    <w:p>
      <w:pPr>
        <w:pStyle w:val="Heading6"/>
        <w:spacing w:line="256" w:lineRule="auto"/>
        <w:ind w:left="573" w:right="1133"/>
        <w:jc w:val="left"/>
      </w:pPr>
      <w:r>
        <w:rPr>
          <w:rFonts w:ascii="Times New Roman" w:hAnsi="Times New Roman" w:cs="Times New Roman" w:eastAsia="Times New Roman" w:hint="default"/>
        </w:rPr>
        <w:t>2.</w:t>
      </w:r>
      <w:r>
        <w:rPr/>
        <w:t>使用寿命不确定的判断依据</w:t>
      </w:r>
      <w:r>
        <w:rPr>
          <w:w w:val="100"/>
        </w:rPr>
        <w:t> </w:t>
      </w:r>
      <w:r>
        <w:rPr>
          <w:spacing w:val="-2"/>
        </w:rPr>
        <w:t>本公司将无法预见该资产为公司带来经济利益的期限，或使用期限不确定的无形资产确定为使用寿命</w:t>
      </w:r>
    </w:p>
    <w:p>
      <w:pPr>
        <w:pStyle w:val="Heading6"/>
        <w:spacing w:line="273" w:lineRule="auto" w:before="22"/>
        <w:ind w:right="1126"/>
        <w:jc w:val="both"/>
      </w:pPr>
      <w:r>
        <w:rPr>
          <w:spacing w:val="-2"/>
        </w:rPr>
        <w:t>不确定的无形资产。使用寿命不确定的判断依据为：来源于合同性权利或其他法定权利，但合同规定或法</w:t>
      </w:r>
      <w:r>
        <w:rPr>
          <w:spacing w:val="-43"/>
        </w:rPr>
        <w:t> </w:t>
      </w:r>
      <w:r>
        <w:rPr>
          <w:spacing w:val="-43"/>
        </w:rPr>
      </w:r>
      <w:r>
        <w:rPr>
          <w:spacing w:val="-2"/>
        </w:rPr>
        <w:t>律规定无明确使用年限；综合同行业情况或相关专家论证等，仍无法判断无形资产为公司带来经济利益的</w:t>
      </w:r>
      <w:r>
        <w:rPr>
          <w:spacing w:val="-42"/>
        </w:rPr>
        <w:t> </w:t>
      </w:r>
      <w:r>
        <w:rPr>
          <w:spacing w:val="-42"/>
        </w:rPr>
      </w:r>
      <w:r>
        <w:rPr/>
        <w:t>期限。</w:t>
      </w:r>
    </w:p>
    <w:p>
      <w:pPr>
        <w:pStyle w:val="Heading6"/>
        <w:spacing w:line="273" w:lineRule="auto"/>
        <w:ind w:right="1126" w:firstLine="420"/>
        <w:jc w:val="both"/>
      </w:pPr>
      <w:r>
        <w:rPr>
          <w:spacing w:val="-2"/>
        </w:rPr>
        <w:t>每年年末，对使用寿命不确定的无形资产的使用寿命进行复核，主要采取自下而上的方式，由无形资</w:t>
      </w:r>
      <w:r>
        <w:rPr>
          <w:w w:val="100"/>
        </w:rPr>
        <w:t> </w:t>
      </w:r>
      <w:r>
        <w:rPr/>
        <w:t>产使用相关部门进行基础复核，评价使用寿命不确定判断依据是否存在变化等。</w:t>
      </w:r>
    </w:p>
    <w:p>
      <w:pPr>
        <w:spacing w:line="590" w:lineRule="atLeast" w:before="9"/>
        <w:ind w:left="489" w:right="1133"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1"/>
          <w:szCs w:val="21"/>
        </w:rPr>
        <w:t>内部研究开发项目研究阶段的支出，于发生时计入当期损益；开发阶段的支出，满足确认为无形资产</w:t>
      </w:r>
    </w:p>
    <w:p>
      <w:pPr>
        <w:pStyle w:val="Heading6"/>
        <w:spacing w:line="307" w:lineRule="auto" w:before="37"/>
        <w:ind w:left="489" w:right="1133" w:hanging="337"/>
        <w:jc w:val="left"/>
      </w:pPr>
      <w:r>
        <w:rPr/>
        <w:t>条件的转入无形资产核算。</w:t>
      </w:r>
      <w:r>
        <w:rPr>
          <w:w w:val="100"/>
        </w:rPr>
        <w:t> </w:t>
      </w:r>
      <w:r>
        <w:rPr/>
        <w:t>划分内部研究开发项目的研究阶段和开发阶段的具体标准：研究阶段：为获取并理解新的科学或技术</w:t>
      </w:r>
    </w:p>
    <w:p>
      <w:pPr>
        <w:pStyle w:val="Heading6"/>
        <w:spacing w:line="253" w:lineRule="exact" w:before="0"/>
        <w:ind w:right="986"/>
        <w:jc w:val="left"/>
      </w:pPr>
      <w:r>
        <w:rPr/>
        <w:t>知识等而进行的独创性的有计划调查、研究活动的阶段。开发阶段：在进行商业性生产或使用前，将研究</w:t>
      </w:r>
    </w:p>
    <w:p>
      <w:pPr>
        <w:pStyle w:val="Heading6"/>
        <w:spacing w:line="273" w:lineRule="auto" w:before="37"/>
        <w:ind w:right="1133"/>
        <w:jc w:val="left"/>
      </w:pPr>
      <w:r>
        <w:rPr>
          <w:spacing w:val="-2"/>
        </w:rPr>
        <w:t>成果或其他知识应用于某项计划或设计，以生产出新的或具有实质性改进的材料、装置、产品等活动的阶</w:t>
      </w:r>
      <w:r>
        <w:rPr>
          <w:spacing w:val="-44"/>
        </w:rPr>
        <w:t> </w:t>
      </w:r>
      <w:r>
        <w:rPr>
          <w:spacing w:val="-44"/>
        </w:rPr>
      </w:r>
      <w:r>
        <w:rPr/>
        <w:t>段。</w:t>
      </w:r>
    </w:p>
    <w:p>
      <w:pPr>
        <w:pStyle w:val="Heading6"/>
        <w:spacing w:line="590" w:lineRule="atLeast" w:before="8"/>
        <w:ind w:left="573" w:right="1133" w:hanging="421"/>
        <w:jc w:val="left"/>
      </w:pP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长期股权投资、采用成本模式计量的投资性房地产、固定资产、在建工程、无形资产等长期资产于资</w:t>
      </w:r>
    </w:p>
    <w:p>
      <w:pPr>
        <w:pStyle w:val="Heading6"/>
        <w:spacing w:line="273" w:lineRule="auto" w:before="37"/>
        <w:ind w:right="1133"/>
        <w:jc w:val="left"/>
      </w:pPr>
      <w:r>
        <w:rPr>
          <w:spacing w:val="-2"/>
        </w:rPr>
        <w:t>产负债表日存在减值迹象的，进行减值测试。减值测试结果表明资产的可收回金额低于其账面价值的，按</w:t>
      </w:r>
      <w:r>
        <w:rPr>
          <w:spacing w:val="-44"/>
        </w:rPr>
        <w:t> </w:t>
      </w:r>
      <w:r>
        <w:rPr>
          <w:spacing w:val="-44"/>
        </w:rPr>
      </w:r>
      <w:r>
        <w:rPr/>
        <w:t>其差额计提减值准备并计入减值损失。</w:t>
      </w:r>
    </w:p>
    <w:p>
      <w:pPr>
        <w:pStyle w:val="Heading6"/>
        <w:spacing w:line="273" w:lineRule="auto"/>
        <w:ind w:right="1126" w:firstLine="420"/>
        <w:jc w:val="both"/>
      </w:pPr>
      <w:r>
        <w:rPr>
          <w:spacing w:val="2"/>
        </w:rPr>
        <w:t>可收回金额为资产的公允价值减去处置费用后的净额与资产预计未来现金流量的现值两者之间的较</w:t>
      </w:r>
      <w:r>
        <w:rPr>
          <w:w w:val="100"/>
        </w:rPr>
        <w:t> </w:t>
      </w:r>
      <w:r>
        <w:rPr>
          <w:spacing w:val="-2"/>
        </w:rPr>
        <w:t>高者。资产减值准备按单项资产为基础计算并确认，如果难以对单项资产的可收回金额进行估计的，以该</w:t>
      </w:r>
      <w:r>
        <w:rPr>
          <w:spacing w:val="-43"/>
        </w:rPr>
        <w:t> </w:t>
      </w:r>
      <w:r>
        <w:rPr>
          <w:spacing w:val="-43"/>
        </w:rPr>
      </w:r>
      <w:r>
        <w:rPr/>
        <w:t>资产所属的资产组确定资产组的可收回金额。资产组是能够独立产生现金流入的最小资产组合。</w:t>
      </w:r>
    </w:p>
    <w:p>
      <w:pPr>
        <w:pStyle w:val="Heading6"/>
        <w:spacing w:line="240" w:lineRule="auto"/>
        <w:ind w:left="573" w:right="986"/>
        <w:jc w:val="left"/>
      </w:pPr>
      <w:r>
        <w:rPr/>
        <w:t>在财务报表中单独列示的商誉，无论是否存在减值迹象，至少每年进行减值测试。减值测试时，商誉</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jc w:val="both"/>
      </w:pPr>
      <w:r>
        <w:rPr>
          <w:spacing w:val="-2"/>
        </w:rPr>
        <w:t>的账面价值分摊至预期从企业合并的协同效应中受益的资产组或资产组组合。测试结果表明包含分摊的商</w:t>
      </w:r>
      <w:r>
        <w:rPr>
          <w:spacing w:val="-43"/>
        </w:rPr>
        <w:t> </w:t>
      </w:r>
      <w:r>
        <w:rPr>
          <w:spacing w:val="-43"/>
        </w:rPr>
      </w:r>
      <w:r>
        <w:rPr>
          <w:spacing w:val="-2"/>
        </w:rPr>
        <w:t>誉的资产组或资产组组合的可收回金额低于其账面价值的，确认相应的减值损失。减值损失金额先抵减分</w:t>
      </w:r>
      <w:r>
        <w:rPr>
          <w:spacing w:val="-43"/>
        </w:rPr>
        <w:t> </w:t>
      </w:r>
      <w:r>
        <w:rPr>
          <w:spacing w:val="-43"/>
        </w:rPr>
      </w:r>
      <w:r>
        <w:rPr>
          <w:spacing w:val="-2"/>
        </w:rPr>
        <w:t>摊至该资产组或资产组组合的商誉的账面价值，再根据资产组或资产组组合中除商誉以外的其他各项资产</w:t>
      </w:r>
      <w:r>
        <w:rPr>
          <w:spacing w:val="-43"/>
        </w:rPr>
        <w:t> </w:t>
      </w:r>
      <w:r>
        <w:rPr>
          <w:spacing w:val="-43"/>
        </w:rPr>
      </w:r>
      <w:r>
        <w:rPr/>
        <w:t>的账面价值所占比重，按比例抵减其他各项资产的账面价值。</w:t>
      </w:r>
    </w:p>
    <w:p>
      <w:pPr>
        <w:pStyle w:val="Heading6"/>
        <w:spacing w:line="240" w:lineRule="auto"/>
        <w:ind w:left="573" w:right="1133"/>
        <w:jc w:val="left"/>
      </w:pPr>
      <w:r>
        <w:rPr/>
        <w:t>上述资产减值损失一经确认，以后期间不予转回价值得以恢复的部分。</w:t>
      </w:r>
    </w:p>
    <w:p>
      <w:pPr>
        <w:pStyle w:val="Heading6"/>
        <w:spacing w:line="600" w:lineRule="atLeast" w:before="28"/>
        <w:ind w:left="573" w:right="1133" w:hanging="421"/>
        <w:jc w:val="left"/>
      </w:pP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100"/>
        </w:rPr>
        <w:t> </w:t>
      </w:r>
      <w:r>
        <w:rPr>
          <w:spacing w:val="-2"/>
        </w:rPr>
        <w:t>本公司长期待摊费用是指已经支出，但受益期限在一年以上（不含一年）的各项费用。长期待摊费用</w:t>
      </w:r>
    </w:p>
    <w:p>
      <w:pPr>
        <w:pStyle w:val="Heading6"/>
        <w:spacing w:line="273" w:lineRule="auto" w:before="37"/>
        <w:ind w:right="1133"/>
        <w:jc w:val="left"/>
      </w:pPr>
      <w:r>
        <w:rPr>
          <w:spacing w:val="-2"/>
        </w:rPr>
        <w:t>按费用项目的受益期限分期摊销。若长期待摊的费用项目不能使以后会计期间受益，则将尚未摊销的该项</w:t>
      </w:r>
      <w:r>
        <w:rPr>
          <w:spacing w:val="-44"/>
        </w:rPr>
        <w:t> </w:t>
      </w:r>
      <w:r>
        <w:rPr>
          <w:spacing w:val="-44"/>
        </w:rPr>
      </w:r>
      <w:r>
        <w:rPr/>
        <w:t>目的摊余价值全部转入当期损益。</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34</w:t>
      </w:r>
      <w:r>
        <w:rPr/>
        <w:t>、职工薪酬</w:t>
      </w:r>
      <w:r>
        <w:rPr>
          <w:b w:val="0"/>
          <w:bCs w:val="0"/>
        </w:rPr>
      </w:r>
    </w:p>
    <w:p>
      <w:pPr>
        <w:spacing w:line="590" w:lineRule="atLeast" w:before="24"/>
        <w:ind w:left="489" w:right="1133"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z w:val="21"/>
          <w:szCs w:val="21"/>
        </w:rPr>
        <w:t>在职工为本公司提供服务的会计期间，将实际发生的短期薪酬确认为负债，并计入当期损益，企业会</w:t>
      </w:r>
    </w:p>
    <w:p>
      <w:pPr>
        <w:pStyle w:val="Heading6"/>
        <w:spacing w:line="273" w:lineRule="auto" w:before="37"/>
        <w:ind w:right="986"/>
        <w:jc w:val="left"/>
      </w:pPr>
      <w:r>
        <w:rPr>
          <w:spacing w:val="-2"/>
        </w:rPr>
        <w:t>计准则要求或允许计入资产成本的除外。本公司发生的职工福利费，在实际发生时根据实际发生额计入当</w:t>
      </w:r>
      <w:r>
        <w:rPr>
          <w:spacing w:val="-43"/>
        </w:rPr>
        <w:t> </w:t>
      </w:r>
      <w:r>
        <w:rPr>
          <w:spacing w:val="-43"/>
        </w:rPr>
      </w:r>
      <w:r>
        <w:rPr>
          <w:spacing w:val="-2"/>
        </w:rPr>
        <w:t>期损益或相关资产成本。职工福利费为非货币性福利的，按照公允价值计量。本公司为职工缴纳的医疗保</w:t>
      </w:r>
      <w:r>
        <w:rPr>
          <w:spacing w:val="-44"/>
        </w:rPr>
        <w:t> </w:t>
      </w:r>
      <w:r>
        <w:rPr>
          <w:spacing w:val="-44"/>
        </w:rPr>
      </w:r>
      <w:r>
        <w:rPr>
          <w:spacing w:val="-5"/>
        </w:rPr>
        <w:t>险费、工伤保险费、生育保险费等社会保险费和住房公积金，以及按规定提取的工会经费和职工教育经费， </w:t>
      </w:r>
      <w:r>
        <w:rPr>
          <w:spacing w:val="-5"/>
        </w:rPr>
      </w:r>
      <w:r>
        <w:rPr>
          <w:spacing w:val="-2"/>
        </w:rPr>
        <w:t>在职工提供服务的会计期间，根据规定的计提基础和计提比例计算确定相应的职工薪酬金额，并确认相应</w:t>
      </w:r>
      <w:r>
        <w:rPr>
          <w:spacing w:val="-44"/>
        </w:rPr>
        <w:t> </w:t>
      </w:r>
      <w:r>
        <w:rPr>
          <w:spacing w:val="-44"/>
        </w:rPr>
      </w:r>
      <w:r>
        <w:rPr/>
        <w:t>负债，计入当期损益或相关资产成本。</w:t>
      </w:r>
    </w:p>
    <w:p>
      <w:pPr>
        <w:spacing w:line="600" w:lineRule="atLeast" w:before="0"/>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本公司在职工提供服务的会计期间，根据设定提存计划计算的应缴存金额确认为负债，并计入当期损</w:t>
      </w:r>
    </w:p>
    <w:p>
      <w:pPr>
        <w:pStyle w:val="Heading6"/>
        <w:spacing w:line="273" w:lineRule="auto" w:before="37"/>
        <w:ind w:right="1133"/>
        <w:jc w:val="left"/>
      </w:pPr>
      <w:r>
        <w:rPr>
          <w:spacing w:val="-2"/>
        </w:rPr>
        <w:t>益或相关资产成本。根据预期累计福利单位法确定的公式将设定受益计划产生的福利义务归属于职工提供</w:t>
      </w:r>
      <w:r>
        <w:rPr>
          <w:spacing w:val="-43"/>
        </w:rPr>
        <w:t> </w:t>
      </w:r>
      <w:r>
        <w:rPr>
          <w:spacing w:val="-43"/>
        </w:rPr>
      </w:r>
      <w:r>
        <w:rPr/>
        <w:t>服务的期间，并计入当期损益或相关资产成本。</w:t>
      </w:r>
    </w:p>
    <w:p>
      <w:pPr>
        <w:spacing w:line="590" w:lineRule="atLeast" w:before="8"/>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本公司向职工提供辞退福利时，在下列两者孰早日确认辞退福利产生的职工薪酬负债，并计入当期损</w:t>
      </w:r>
    </w:p>
    <w:p>
      <w:pPr>
        <w:pStyle w:val="Heading6"/>
        <w:spacing w:line="273" w:lineRule="auto" w:before="37"/>
        <w:ind w:right="1133"/>
        <w:jc w:val="left"/>
      </w:pPr>
      <w:r>
        <w:rPr>
          <w:spacing w:val="-2"/>
        </w:rPr>
        <w:t>益：本公司不能单方面撤回因解除劳动关系计划或裁减建议所提供的辞退福利时；本公司确认与涉及支付</w:t>
      </w:r>
      <w:r>
        <w:rPr>
          <w:spacing w:val="-43"/>
        </w:rPr>
        <w:t> </w:t>
      </w:r>
      <w:r>
        <w:rPr>
          <w:spacing w:val="-43"/>
        </w:rPr>
      </w:r>
      <w:r>
        <w:rPr/>
        <w:t>辞退福利的重组相关的成本或费用时。</w:t>
      </w:r>
    </w:p>
    <w:p>
      <w:pPr>
        <w:spacing w:line="600" w:lineRule="atLeast" w:before="0"/>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本公司向职工提供的其他长期职工福利，符合设定提存计划条件的，应当按照有关设定提存计划的规</w:t>
      </w:r>
    </w:p>
    <w:p>
      <w:pPr>
        <w:pStyle w:val="Heading6"/>
        <w:spacing w:line="240" w:lineRule="auto" w:before="37"/>
        <w:ind w:right="1133"/>
        <w:jc w:val="left"/>
      </w:pPr>
      <w:r>
        <w:rPr/>
        <w:t>定进行处理；除此外，根据设定受益计划的有关规定，确认和计量其他长期职工福利净负债或净资产。</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before="0"/>
        <w:ind w:right="1126" w:firstLine="420"/>
        <w:jc w:val="both"/>
      </w:pPr>
      <w:r>
        <w:rPr>
          <w:spacing w:val="-2"/>
        </w:rPr>
        <w:t>本公司股份支付包括以权益结算的股份支付和以现金结算的股份支付。以权益结算的股份支付换取职</w:t>
      </w:r>
      <w:r>
        <w:rPr>
          <w:w w:val="100"/>
        </w:rPr>
        <w:t> </w:t>
      </w:r>
      <w:r>
        <w:rPr>
          <w:spacing w:val="-2"/>
        </w:rPr>
        <w:t>工提供服务的，以授予职工权益工具的公允价值计量。存在活跃市场的，按照活跃市场中的报价确定；不</w:t>
      </w:r>
      <w:r>
        <w:rPr>
          <w:spacing w:val="-44"/>
        </w:rPr>
        <w:t> </w:t>
      </w:r>
      <w:r>
        <w:rPr>
          <w:spacing w:val="-44"/>
        </w:rPr>
      </w:r>
      <w:r>
        <w:rPr>
          <w:spacing w:val="-2"/>
        </w:rPr>
        <w:t>存在活跃市场的，采用估值技术确定，包括参考熟悉情况并自愿交易的各方最近进行的市场交易中使用的</w:t>
      </w:r>
      <w:r>
        <w:rPr>
          <w:spacing w:val="-44"/>
        </w:rPr>
        <w:t> </w:t>
      </w:r>
      <w:r>
        <w:rPr>
          <w:spacing w:val="-44"/>
        </w:rPr>
      </w:r>
      <w:r>
        <w:rPr/>
        <w:t>价格、参照实质上相同的其他金融工具的当前公允价值、现金流量折现法和期权定价模型等。</w:t>
      </w:r>
    </w:p>
    <w:p>
      <w:pPr>
        <w:pStyle w:val="Heading6"/>
        <w:spacing w:line="273" w:lineRule="auto"/>
        <w:ind w:right="1126" w:firstLine="336"/>
        <w:jc w:val="both"/>
      </w:pPr>
      <w:r>
        <w:rPr/>
        <w:t>在各个资产负债表日，根据最新取得的可行权人数变动、业绩指标完成情况等后续信息，修正预计可</w:t>
      </w:r>
      <w:r>
        <w:rPr>
          <w:w w:val="100"/>
        </w:rPr>
        <w:t> </w:t>
      </w:r>
      <w:r>
        <w:rPr>
          <w:spacing w:val="-2"/>
        </w:rPr>
        <w:t>行权的股票期权数量，并以此为依据确认各期应分摊的费用。对于跨越多个会计期间的期权费用，一般可</w:t>
      </w:r>
      <w:r>
        <w:rPr>
          <w:spacing w:val="-45"/>
        </w:rPr>
        <w:t> </w:t>
      </w:r>
      <w:r>
        <w:rPr>
          <w:spacing w:val="-45"/>
        </w:rPr>
      </w:r>
      <w:r>
        <w:rPr/>
        <w:t>以按照该期权在某会计期间内等待期长度占整个等待期长度的比例进行分摊。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是否已执行新收入准则</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Heading6"/>
        <w:spacing w:line="240" w:lineRule="auto" w:before="83"/>
        <w:ind w:left="573" w:right="1133"/>
        <w:jc w:val="left"/>
      </w:pPr>
      <w:r>
        <w:rPr>
          <w:rFonts w:ascii="Times New Roman" w:hAnsi="Times New Roman" w:cs="Times New Roman" w:eastAsia="Times New Roman" w:hint="default"/>
        </w:rPr>
        <w:t>1</w:t>
      </w:r>
      <w:r>
        <w:rPr/>
        <w:t>、销售商品收入确认和计量原则</w:t>
      </w:r>
    </w:p>
    <w:p>
      <w:pPr>
        <w:pStyle w:val="Heading6"/>
        <w:spacing w:line="256" w:lineRule="auto" w:before="21"/>
        <w:ind w:left="573" w:right="1133"/>
        <w:jc w:val="left"/>
      </w:pPr>
      <w:r>
        <w:rPr/>
        <w:t>（</w:t>
      </w:r>
      <w:r>
        <w:rPr>
          <w:rFonts w:ascii="Times New Roman" w:hAnsi="Times New Roman" w:cs="Times New Roman" w:eastAsia="Times New Roman" w:hint="default"/>
        </w:rPr>
        <w:t>1</w:t>
      </w:r>
      <w:r>
        <w:rPr/>
        <w:t>）销售商品收入确认和计量的总体原则</w:t>
      </w:r>
      <w:r>
        <w:rPr>
          <w:w w:val="100"/>
        </w:rPr>
        <w:t> </w:t>
      </w:r>
      <w:r>
        <w:rPr>
          <w:spacing w:val="-2"/>
        </w:rPr>
        <w:t>公司已将商品所有权上的主要风险和报酬转移给购买方；公司既没有保留与所有权相联系的继续管理</w:t>
      </w:r>
    </w:p>
    <w:p>
      <w:pPr>
        <w:pStyle w:val="Heading6"/>
        <w:spacing w:line="273" w:lineRule="auto" w:before="22"/>
        <w:ind w:right="986"/>
        <w:jc w:val="left"/>
      </w:pPr>
      <w:r>
        <w:rPr>
          <w:spacing w:val="-5"/>
        </w:rPr>
        <w:t>权，也没有对已售出的商品实施有效控制；收入的金额能够可靠地计量；相关的经济利益很可能流入企业； </w:t>
      </w:r>
      <w:r>
        <w:rPr/>
        <w:t>相关的已发生或将发生的成本能够可靠地计量时，确认商品销售收入实现。</w:t>
      </w:r>
    </w:p>
    <w:p>
      <w:pPr>
        <w:pStyle w:val="Heading6"/>
        <w:spacing w:line="256" w:lineRule="auto" w:before="8"/>
        <w:ind w:left="573" w:right="1133"/>
        <w:jc w:val="left"/>
      </w:pPr>
      <w:r>
        <w:rPr/>
        <w:t>（</w:t>
      </w:r>
      <w:r>
        <w:rPr>
          <w:rFonts w:ascii="Times New Roman" w:hAnsi="Times New Roman" w:cs="Times New Roman" w:eastAsia="Times New Roman" w:hint="default"/>
        </w:rPr>
        <w:t>2</w:t>
      </w:r>
      <w:r>
        <w:rPr/>
        <w:t>）本公司销售商品收入确认的确认标准及收入确认时间的具体判断标准</w:t>
      </w:r>
      <w:r>
        <w:rPr>
          <w:w w:val="100"/>
        </w:rPr>
        <w:t> </w:t>
      </w:r>
      <w:r>
        <w:rPr>
          <w:spacing w:val="-2"/>
        </w:rPr>
        <w:t>系统集成销售收入确认原则：公司系统集成类产品的销售包括为客户提供方案设计、设备安装、调试</w:t>
      </w:r>
    </w:p>
    <w:p>
      <w:pPr>
        <w:pStyle w:val="Heading6"/>
        <w:spacing w:line="240" w:lineRule="auto" w:before="22"/>
        <w:ind w:right="0"/>
        <w:jc w:val="both"/>
      </w:pPr>
      <w:r>
        <w:rPr/>
        <w:t>及系统试运行等配套服务，经验收合格后确认销售收入。</w:t>
      </w:r>
    </w:p>
    <w:p>
      <w:pPr>
        <w:pStyle w:val="Heading6"/>
        <w:spacing w:line="256" w:lineRule="auto" w:before="37"/>
        <w:ind w:left="573" w:right="1133"/>
        <w:jc w:val="left"/>
      </w:pPr>
      <w:r>
        <w:rPr>
          <w:rFonts w:ascii="Times New Roman" w:hAnsi="Times New Roman" w:cs="Times New Roman" w:eastAsia="Times New Roman" w:hint="default"/>
        </w:rPr>
        <w:t>2</w:t>
      </w:r>
      <w:r>
        <w:rPr/>
        <w:t>、让渡资产使用权收入的确认和计量原则</w:t>
      </w:r>
      <w:r>
        <w:rPr>
          <w:w w:val="100"/>
        </w:rPr>
        <w:t> </w:t>
      </w:r>
      <w:r>
        <w:rPr>
          <w:spacing w:val="-2"/>
        </w:rPr>
        <w:t>与交易相关的经济利益很可能流入企业，收入的金额能够可靠地计量时。分别下列情况确定让渡资产</w:t>
      </w:r>
    </w:p>
    <w:p>
      <w:pPr>
        <w:pStyle w:val="Heading6"/>
        <w:spacing w:line="240" w:lineRule="auto" w:before="22"/>
        <w:ind w:right="0"/>
        <w:jc w:val="both"/>
      </w:pPr>
      <w:r>
        <w:rPr/>
        <w:t>使用权收入金额：</w:t>
      </w:r>
    </w:p>
    <w:p>
      <w:pPr>
        <w:pStyle w:val="Heading6"/>
        <w:spacing w:line="240" w:lineRule="auto" w:before="37"/>
        <w:ind w:left="57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6"/>
        <w:spacing w:line="256" w:lineRule="auto" w:before="21"/>
        <w:ind w:left="57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r>
        <w:rPr>
          <w:w w:val="100"/>
        </w:rPr>
        <w:t> </w:t>
      </w:r>
      <w:r>
        <w:rPr>
          <w:rFonts w:ascii="Times New Roman" w:hAnsi="Times New Roman" w:cs="Times New Roman" w:eastAsia="Times New Roman" w:hint="default"/>
        </w:rPr>
        <w:t>3</w:t>
      </w:r>
      <w:r>
        <w:rPr/>
        <w:t>、按完工百分比法确认提供劳务的收入和建造合同收入的确认和计量原则</w:t>
      </w:r>
      <w:r>
        <w:rPr>
          <w:w w:val="100"/>
        </w:rPr>
        <w:t> </w:t>
      </w:r>
      <w:r>
        <w:rPr>
          <w:spacing w:val="-2"/>
        </w:rPr>
        <w:t>在资产负债表日提供劳务交易的结果能够可靠估计的，采用完工百分比法确认提供劳务收入。提供劳</w:t>
      </w:r>
    </w:p>
    <w:p>
      <w:pPr>
        <w:pStyle w:val="Heading6"/>
        <w:spacing w:line="273" w:lineRule="auto" w:before="22"/>
        <w:ind w:left="573" w:right="1133" w:hanging="421"/>
        <w:jc w:val="left"/>
      </w:pPr>
      <w:r>
        <w:rPr/>
        <w:t>务交易的完工进度，依据已经发生的成本占估计总成本的比例确定。</w:t>
      </w:r>
      <w:r>
        <w:rPr>
          <w:w w:val="100"/>
        </w:rPr>
        <w:t> </w:t>
      </w:r>
      <w:r>
        <w:rPr>
          <w:spacing w:val="-2"/>
        </w:rPr>
        <w:t>按照已收或应收的合同或协议价款确定提供劳务收入总额，但已收或应收的合同或协议价款不公允的</w:t>
      </w:r>
    </w:p>
    <w:p>
      <w:pPr>
        <w:pStyle w:val="Heading6"/>
        <w:spacing w:line="273" w:lineRule="auto" w:before="8"/>
        <w:ind w:right="112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Heading6"/>
        <w:spacing w:line="240" w:lineRule="auto"/>
        <w:ind w:left="573" w:right="1133"/>
        <w:jc w:val="left"/>
      </w:pPr>
      <w:r>
        <w:rPr/>
        <w:t>在资产负债表日提供劳务交易结果不能够可靠估计的，分别下列情况处理：</w:t>
      </w:r>
    </w:p>
    <w:p>
      <w:pPr>
        <w:pStyle w:val="Heading6"/>
        <w:spacing w:line="273" w:lineRule="auto" w:before="37"/>
        <w:ind w:right="1126" w:firstLine="420"/>
        <w:jc w:val="both"/>
      </w:pPr>
      <w:r>
        <w:rPr>
          <w:spacing w:val="-2"/>
        </w:rPr>
        <w:t>①已经发生的劳务成本预计能够得到补偿的，按照已经发生的劳务成本金额确认提供劳务收入，并按</w:t>
      </w:r>
      <w:r>
        <w:rPr>
          <w:w w:val="100"/>
        </w:rPr>
        <w:t> </w:t>
      </w:r>
      <w:r>
        <w:rPr/>
        <w:t>相同金额结转劳务成本。</w:t>
      </w:r>
    </w:p>
    <w:p>
      <w:pPr>
        <w:pStyle w:val="Heading6"/>
        <w:spacing w:line="240" w:lineRule="auto"/>
        <w:ind w:left="573" w:right="986"/>
        <w:jc w:val="left"/>
      </w:pPr>
      <w:r>
        <w:rPr/>
        <w:t>②已经发生的劳务成本预计不能够得到补偿的，将已经发生的劳务成本计入当期损益，不确认提供劳</w:t>
      </w:r>
    </w:p>
    <w:p>
      <w:pPr>
        <w:spacing w:after="0" w:line="240" w:lineRule="auto"/>
        <w:jc w:val="left"/>
        <w:sectPr>
          <w:footerReference w:type="default" r:id="rId19"/>
          <w:pgSz w:w="11910" w:h="16840"/>
          <w:pgMar w:footer="980" w:header="745" w:top="1060" w:bottom="1160" w:left="980" w:right="0"/>
          <w:pgNumType w:start="12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pPr>
      <w:r>
        <w:rPr/>
        <w:t>务收入。</w:t>
      </w:r>
    </w:p>
    <w:p>
      <w:pPr>
        <w:pStyle w:val="Heading6"/>
        <w:spacing w:line="273" w:lineRule="auto" w:before="37"/>
        <w:ind w:right="1126" w:firstLine="420"/>
        <w:jc w:val="both"/>
      </w:pPr>
      <w:r>
        <w:rPr>
          <w:spacing w:val="-2"/>
        </w:rPr>
        <w:t>本公司的建造合同收入确认为完工百分比法，公司确认完工百分比的方法系采用累计实际发生的合同</w:t>
      </w:r>
      <w:r>
        <w:rPr>
          <w:w w:val="100"/>
        </w:rPr>
        <w:t> </w:t>
      </w:r>
      <w:r>
        <w:rPr/>
        <w:t>成本占合同预计总成本的比例确认合同完工进度。</w:t>
      </w:r>
    </w:p>
    <w:p>
      <w:pPr>
        <w:pStyle w:val="Heading6"/>
        <w:spacing w:line="256" w:lineRule="auto"/>
        <w:ind w:left="573" w:right="2898"/>
        <w:jc w:val="left"/>
      </w:pPr>
      <w:r>
        <w:rPr/>
        <w:t>建造合同的完工进度</w:t>
      </w:r>
      <w:r>
        <w:rPr>
          <w:rFonts w:ascii="Times New Roman" w:hAnsi="Times New Roman" w:cs="Times New Roman" w:eastAsia="Times New Roman" w:hint="default"/>
        </w:rPr>
        <w:t>=</w:t>
      </w:r>
      <w:r>
        <w:rPr/>
        <w:t>累计实际发生的合同成本</w:t>
      </w:r>
      <w:r>
        <w:rPr>
          <w:rFonts w:ascii="Times New Roman" w:hAnsi="Times New Roman" w:cs="Times New Roman" w:eastAsia="Times New Roman" w:hint="default"/>
        </w:rPr>
        <w:t>/</w:t>
      </w:r>
      <w:r>
        <w:rPr/>
        <w:t>合计预计总成本</w:t>
      </w:r>
      <w:r>
        <w:rPr>
          <w:rFonts w:ascii="Times New Roman" w:hAnsi="Times New Roman" w:cs="Times New Roman" w:eastAsia="Times New Roman" w:hint="default"/>
        </w:rPr>
        <w:t>×100%</w:t>
      </w:r>
      <w:r>
        <w:rPr/>
        <w:t>。</w:t>
      </w:r>
      <w:r>
        <w:rPr>
          <w:w w:val="100"/>
        </w:rPr>
        <w:t> </w:t>
      </w:r>
      <w:r>
        <w:rPr>
          <w:spacing w:val="-2"/>
        </w:rPr>
        <w:t>未完工建造合同的收入</w:t>
      </w:r>
      <w:r>
        <w:rPr>
          <w:rFonts w:ascii="Times New Roman" w:hAnsi="Times New Roman" w:cs="Times New Roman" w:eastAsia="Times New Roman" w:hint="default"/>
          <w:spacing w:val="-2"/>
        </w:rPr>
        <w:t>=</w:t>
      </w:r>
      <w:r>
        <w:rPr>
          <w:spacing w:val="-2"/>
        </w:rPr>
        <w:t>完工进度</w:t>
      </w:r>
      <w:r>
        <w:rPr>
          <w:rFonts w:ascii="Times New Roman" w:hAnsi="Times New Roman" w:cs="Times New Roman" w:eastAsia="Times New Roman" w:hint="default"/>
          <w:spacing w:val="-2"/>
        </w:rPr>
        <w:t>×</w:t>
      </w:r>
      <w:r>
        <w:rPr>
          <w:spacing w:val="-2"/>
        </w:rPr>
        <w:t>合同总收入</w:t>
      </w:r>
      <w:r>
        <w:rPr>
          <w:rFonts w:ascii="Times New Roman" w:hAnsi="Times New Roman" w:cs="Times New Roman" w:eastAsia="Times New Roman" w:hint="default"/>
          <w:spacing w:val="-2"/>
        </w:rPr>
        <w:t>-</w:t>
      </w:r>
      <w:r>
        <w:rPr>
          <w:spacing w:val="-2"/>
        </w:rPr>
        <w:t>以前年度累计已确认的合同收入。</w:t>
      </w:r>
      <w:r>
        <w:rPr>
          <w:spacing w:val="-37"/>
        </w:rPr>
        <w:t> </w:t>
      </w:r>
      <w:r>
        <w:rPr>
          <w:spacing w:val="-37"/>
        </w:rPr>
      </w:r>
      <w:r>
        <w:rPr/>
        <w:t>已完工未决算建造合同的收入</w:t>
      </w:r>
      <w:r>
        <w:rPr>
          <w:rFonts w:ascii="Times New Roman" w:hAnsi="Times New Roman" w:cs="Times New Roman" w:eastAsia="Times New Roman" w:hint="default"/>
        </w:rPr>
        <w:t>=</w:t>
      </w:r>
      <w:r>
        <w:rPr/>
        <w:t>合同总收入</w:t>
      </w:r>
      <w:r>
        <w:rPr>
          <w:rFonts w:ascii="Times New Roman" w:hAnsi="Times New Roman" w:cs="Times New Roman" w:eastAsia="Times New Roman" w:hint="default"/>
        </w:rPr>
        <w:t>-</w:t>
      </w:r>
      <w:r>
        <w:rPr/>
        <w:t>以前年度累计已确认的合同收入。</w:t>
      </w:r>
      <w:r>
        <w:rPr>
          <w:w w:val="100"/>
        </w:rPr>
        <w:t> </w:t>
      </w:r>
      <w:r>
        <w:rPr/>
        <w:t>已完工已决算建造合同的收入</w:t>
      </w:r>
      <w:r>
        <w:rPr>
          <w:rFonts w:ascii="Times New Roman" w:hAnsi="Times New Roman" w:cs="Times New Roman" w:eastAsia="Times New Roman" w:hint="default"/>
        </w:rPr>
        <w:t>=</w:t>
      </w:r>
      <w:r>
        <w:rPr/>
        <w:t>决算收入</w:t>
      </w:r>
      <w:r>
        <w:rPr>
          <w:rFonts w:ascii="Times New Roman" w:hAnsi="Times New Roman" w:cs="Times New Roman" w:eastAsia="Times New Roman" w:hint="default"/>
        </w:rPr>
        <w:t>-</w:t>
      </w:r>
      <w:r>
        <w:rPr/>
        <w:t>以前年度累计已确认的合同收入。</w:t>
      </w:r>
    </w:p>
    <w:p>
      <w:pPr>
        <w:spacing w:line="240" w:lineRule="auto" w:before="4"/>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133"/>
        <w:jc w:val="left"/>
      </w:pPr>
      <w:r>
        <w:rPr>
          <w:rFonts w:ascii="Times New Roman" w:hAnsi="Times New Roman" w:cs="Times New Roman" w:eastAsia="Times New Roman" w:hint="default"/>
        </w:rPr>
        <w:t>1.</w:t>
      </w:r>
      <w:r>
        <w:rPr/>
        <w:t>政府补助的类型及会计处理</w:t>
      </w:r>
      <w:r>
        <w:rPr>
          <w:w w:val="100"/>
        </w:rPr>
        <w:t> </w:t>
      </w:r>
      <w:r>
        <w:rPr>
          <w:spacing w:val="-2"/>
        </w:rPr>
        <w:t>政府补助是指本公司从政府无偿取得的货币性资产或非货币性资产（但不包括政府作为所有者投入的</w:t>
      </w:r>
    </w:p>
    <w:p>
      <w:pPr>
        <w:pStyle w:val="Heading6"/>
        <w:spacing w:line="273" w:lineRule="auto" w:before="22"/>
        <w:ind w:right="1133"/>
        <w:jc w:val="left"/>
      </w:pPr>
      <w:r>
        <w:rPr>
          <w:spacing w:val="-2"/>
        </w:rPr>
        <w:t>资本）。政府补助为货币性资产的，应当按照收到或应收的金额计量。政府补助为非货币性资产的，应当</w:t>
      </w:r>
      <w:r>
        <w:rPr>
          <w:spacing w:val="-43"/>
        </w:rPr>
        <w:t> </w:t>
      </w:r>
      <w:r>
        <w:rPr>
          <w:spacing w:val="-43"/>
        </w:rPr>
      </w:r>
      <w:r>
        <w:rPr/>
        <w:t>按照公允价值计量；公允价值不能可靠取得的，按照名义金额计量。</w:t>
      </w:r>
    </w:p>
    <w:p>
      <w:pPr>
        <w:pStyle w:val="Heading6"/>
        <w:spacing w:line="273" w:lineRule="auto"/>
        <w:ind w:right="1128" w:firstLine="420"/>
        <w:jc w:val="both"/>
      </w:pPr>
      <w:r>
        <w:rPr>
          <w:spacing w:val="-2"/>
        </w:rPr>
        <w:t>与日常活动相关的政府补助，按照经济业务实质，计入其他收益。与日常活动无关的政府补助，计入</w:t>
      </w:r>
      <w:r>
        <w:rPr>
          <w:w w:val="100"/>
        </w:rPr>
        <w:t> </w:t>
      </w:r>
      <w:r>
        <w:rPr/>
        <w:t>营业外收支。</w:t>
      </w:r>
    </w:p>
    <w:p>
      <w:pPr>
        <w:pStyle w:val="Heading6"/>
        <w:spacing w:line="273" w:lineRule="auto"/>
        <w:ind w:right="1104" w:firstLine="420"/>
        <w:jc w:val="both"/>
      </w:pPr>
      <w:r>
        <w:rPr>
          <w:spacing w:val="-2"/>
        </w:rPr>
        <w:t>政府文件明确规定用于购建或以其他方式形成长期资产的政府补助，确认为与资产相关的政府补助。</w:t>
      </w:r>
      <w:r>
        <w:rPr>
          <w:w w:val="100"/>
        </w:rPr>
        <w:t> </w:t>
      </w:r>
      <w:r>
        <w:rPr>
          <w:spacing w:val="-2"/>
        </w:rPr>
        <w:t>政府文件未明确规定补助对象的，能够形成长期资产的，与资产价值相对应的政府补助部分作为与资产相</w:t>
      </w:r>
      <w:r>
        <w:rPr>
          <w:spacing w:val="-43"/>
        </w:rPr>
        <w:t> </w:t>
      </w:r>
      <w:r>
        <w:rPr>
          <w:spacing w:val="-43"/>
        </w:rPr>
      </w:r>
      <w:r>
        <w:rPr>
          <w:spacing w:val="-2"/>
        </w:rPr>
        <w:t>关的政府补助，其余部分作为与收益相关的政府补助；难以区分的，将政府补助整体作为与收益相关的政</w:t>
      </w:r>
      <w:r>
        <w:rPr>
          <w:spacing w:val="-43"/>
        </w:rPr>
        <w:t> </w:t>
      </w:r>
      <w:r>
        <w:rPr>
          <w:spacing w:val="-43"/>
        </w:rPr>
      </w:r>
      <w:r>
        <w:rPr>
          <w:spacing w:val="-2"/>
        </w:rPr>
        <w:t>府补助。与资产相关的政府补助确认为递延收益。确认为递延收益的金额，在相关资产使用寿命内按照合</w:t>
      </w:r>
      <w:r>
        <w:rPr>
          <w:spacing w:val="-42"/>
        </w:rPr>
        <w:t> </w:t>
      </w:r>
      <w:r>
        <w:rPr>
          <w:spacing w:val="-42"/>
        </w:rPr>
      </w:r>
      <w:r>
        <w:rPr/>
        <w:t>理、系统的方法分期计入当期损益。</w:t>
      </w:r>
    </w:p>
    <w:p>
      <w:pPr>
        <w:pStyle w:val="Heading6"/>
        <w:spacing w:line="273" w:lineRule="auto"/>
        <w:ind w:right="1105" w:firstLine="420"/>
        <w:jc w:val="both"/>
      </w:pPr>
      <w:r>
        <w:rPr>
          <w:spacing w:val="-2"/>
        </w:rPr>
        <w:t>除与资产相关的政府补助之外的政府补助，确认为与收益相关的政府补助。与收益相关的政府补助用</w:t>
      </w:r>
      <w:r>
        <w:rPr>
          <w:w w:val="100"/>
        </w:rPr>
        <w:t> </w:t>
      </w:r>
      <w:r>
        <w:rPr>
          <w:spacing w:val="-2"/>
        </w:rPr>
        <w:t>于补偿企业以后期间的相关费用或损失的，确认为递延收益，并在确认相关费用的期间，计入当期损益；</w:t>
      </w:r>
      <w:r>
        <w:rPr>
          <w:spacing w:val="-21"/>
        </w:rPr>
        <w:t> </w:t>
      </w:r>
      <w:r>
        <w:rPr>
          <w:spacing w:val="-21"/>
        </w:rPr>
      </w:r>
      <w:r>
        <w:rPr/>
        <w:t>用于补偿企业已发生的相关费用或损失的，直接计入当期损益。</w:t>
      </w:r>
    </w:p>
    <w:p>
      <w:pPr>
        <w:pStyle w:val="Heading6"/>
        <w:spacing w:line="273" w:lineRule="auto"/>
        <w:ind w:right="1126" w:firstLine="420"/>
        <w:jc w:val="both"/>
      </w:pPr>
      <w:r>
        <w:rPr>
          <w:spacing w:val="-2"/>
        </w:rPr>
        <w:t>本公司取得政策性优惠贷款贴息，财政将贴息资金拨付给贷款银行，由贷款银行以政策性优惠利率向</w:t>
      </w:r>
      <w:r>
        <w:rPr>
          <w:w w:val="100"/>
        </w:rPr>
        <w:t> </w:t>
      </w:r>
      <w:r>
        <w:rPr>
          <w:spacing w:val="-2"/>
        </w:rPr>
        <w:t>本公司提供贷款的，以实际收到的借款金额作为借款的入账价值，按照借款本金和该政策性优惠利率计算</w:t>
      </w:r>
      <w:r>
        <w:rPr>
          <w:spacing w:val="-42"/>
        </w:rPr>
        <w:t> </w:t>
      </w:r>
      <w:r>
        <w:rPr>
          <w:spacing w:val="-42"/>
        </w:rPr>
      </w:r>
      <w:r>
        <w:rPr/>
        <w:t>相关借款费用；财政将贴息资金直接拨付给本公司的，本公司将对应的贴息冲减相关借款费用。</w:t>
      </w:r>
    </w:p>
    <w:p>
      <w:pPr>
        <w:pStyle w:val="Heading6"/>
        <w:spacing w:line="256" w:lineRule="auto"/>
        <w:ind w:left="573" w:right="1133"/>
        <w:jc w:val="left"/>
      </w:pPr>
      <w:r>
        <w:rPr>
          <w:rFonts w:ascii="Times New Roman" w:hAnsi="Times New Roman" w:cs="Times New Roman" w:eastAsia="Times New Roman" w:hint="default"/>
        </w:rPr>
        <w:t>2.</w:t>
      </w:r>
      <w:r>
        <w:rPr/>
        <w:t>政府补助确认时点</w:t>
      </w:r>
      <w:r>
        <w:rPr>
          <w:w w:val="100"/>
        </w:rPr>
        <w:t> </w:t>
      </w:r>
      <w:r>
        <w:rPr>
          <w:spacing w:val="-2"/>
        </w:rPr>
        <w:t>政府补助在满足政府补助所附条件并能够收到时确认。按照应收金额计量的政府补助，在期末有确凿</w:t>
      </w:r>
    </w:p>
    <w:p>
      <w:pPr>
        <w:pStyle w:val="Heading6"/>
        <w:spacing w:line="273" w:lineRule="auto" w:before="22"/>
        <w:ind w:right="1133"/>
        <w:jc w:val="left"/>
      </w:pPr>
      <w:r>
        <w:rPr>
          <w:spacing w:val="-2"/>
        </w:rPr>
        <w:t>证据表明能够符合财政扶持政策规定的相关条件且预计能够收到财政扶持资金时予以确认。除按照应收金</w:t>
      </w:r>
      <w:r>
        <w:rPr>
          <w:spacing w:val="-43"/>
        </w:rPr>
        <w:t> </w:t>
      </w:r>
      <w:r>
        <w:rPr>
          <w:spacing w:val="-43"/>
        </w:rPr>
      </w:r>
      <w:r>
        <w:rPr/>
        <w:t>额计量的政府补助外的其他政府补助，在实际收到补助款项时予以确认。</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64" w:lineRule="auto" w:before="0"/>
        <w:ind w:right="1126" w:firstLine="42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w:t>
      </w:r>
      <w:r>
        <w:rPr>
          <w:w w:val="100"/>
        </w:rPr>
        <w:t> </w:t>
      </w:r>
      <w:r>
        <w:rPr>
          <w:spacing w:val="-2"/>
        </w:rPr>
        <w:t>可以确定其计税基础的，确定该计税基础为其差额），按照预期收回该资产或清偿该负债期间的适用税率</w:t>
      </w:r>
      <w:r>
        <w:rPr>
          <w:spacing w:val="-43"/>
        </w:rPr>
        <w:t> </w:t>
      </w:r>
      <w:r>
        <w:rPr>
          <w:spacing w:val="-43"/>
        </w:rPr>
      </w:r>
      <w:r>
        <w:rPr/>
        <w:t>计算确认递延所得税资产或递延所得税负债。</w:t>
      </w:r>
    </w:p>
    <w:p>
      <w:pPr>
        <w:pStyle w:val="Heading6"/>
        <w:spacing w:line="266" w:lineRule="auto" w:before="16"/>
        <w:ind w:right="1126" w:firstLine="420"/>
        <w:jc w:val="both"/>
      </w:pPr>
      <w:r>
        <w:rPr>
          <w:rFonts w:ascii="Times New Roman" w:hAnsi="Times New Roman" w:cs="Times New Roman" w:eastAsia="Times New Roman" w:hint="default"/>
          <w:spacing w:val="-1"/>
        </w:rPr>
        <w:t>2.</w:t>
      </w:r>
      <w:r>
        <w:rPr>
          <w:spacing w:val="-1"/>
        </w:rPr>
        <w:t>递延所得税资产的确认以很可能取得用来抵扣可抵扣暂时性差异的应纳税所得额为限。资产负债表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4"/>
        </w:rPr>
        <w:t> </w:t>
      </w:r>
      <w:r>
        <w:rPr>
          <w:spacing w:val="-44"/>
        </w:rPr>
      </w:r>
      <w:r>
        <w:rPr>
          <w:spacing w:val="-2"/>
        </w:rPr>
        <w:t>计期间未确认的递延所得税资产。如未来期间很可能无法获得足够的应纳税所得额用以抵扣递延所得税资</w:t>
      </w:r>
      <w:r>
        <w:rPr>
          <w:spacing w:val="-43"/>
        </w:rPr>
        <w:t> </w:t>
      </w:r>
      <w:r>
        <w:rPr>
          <w:spacing w:val="-43"/>
        </w:rPr>
      </w:r>
      <w:r>
        <w:rPr/>
        <w:t>产的，则减记递延所得税资产的账面价值。</w:t>
      </w:r>
    </w:p>
    <w:p>
      <w:pPr>
        <w:pStyle w:val="Heading6"/>
        <w:spacing w:line="264" w:lineRule="auto" w:before="14"/>
        <w:ind w:right="1126" w:firstLine="420"/>
        <w:jc w:val="both"/>
      </w:pPr>
      <w:r>
        <w:rPr>
          <w:rFonts w:ascii="Times New Roman" w:hAnsi="Times New Roman" w:cs="Times New Roman" w:eastAsia="Times New Roman" w:hint="default"/>
          <w:spacing w:val="-1"/>
        </w:rPr>
        <w:t>3.</w:t>
      </w:r>
      <w:r>
        <w:rPr>
          <w:spacing w:val="-1"/>
        </w:rPr>
        <w:t>对与子公司及联营企业投资相关的应纳税暂时性差异，确认递延所得税负债，除非本公司能够控制</w:t>
      </w:r>
      <w:r>
        <w:rPr>
          <w:w w:val="100"/>
        </w:rPr>
        <w:t> </w:t>
      </w:r>
      <w:r>
        <w:rPr>
          <w:spacing w:val="-2"/>
        </w:rPr>
        <w:t>暂时性差异转回的时间且该暂时性差异在可预见的未来很可能不会转回。对与子公司及联营企业投资相关</w:t>
      </w:r>
      <w:r>
        <w:rPr>
          <w:spacing w:val="-43"/>
        </w:rPr>
        <w:t> </w:t>
      </w:r>
      <w:r>
        <w:rPr>
          <w:spacing w:val="-43"/>
        </w:rPr>
      </w:r>
      <w:r>
        <w:rPr>
          <w:spacing w:val="-2"/>
        </w:rPr>
        <w:t>的可抵扣暂时性差异，当该暂时性差异在可预见的未来很可能转回且未来很可能获得用来抵扣可抵扣暂时</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pPr>
      <w:r>
        <w:rPr/>
        <w:t>性差异的应纳税所得额时，确认递延所得税资产。</w:t>
      </w:r>
    </w:p>
    <w:p>
      <w:pPr>
        <w:spacing w:line="240" w:lineRule="auto" w:before="10"/>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spacing w:line="506" w:lineRule="auto" w:before="0"/>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经营租赁的租金支出在租赁期内按照直线法计入相关资产成本或当期损益。</w:t>
      </w:r>
    </w:p>
    <w:p>
      <w:pPr>
        <w:spacing w:line="600" w:lineRule="atLeast" w:before="145"/>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以租赁资产的公允价值与最低租赁付款额的现值两者中较低者作为租入资产的入账价值，租入资产的</w:t>
      </w:r>
    </w:p>
    <w:p>
      <w:pPr>
        <w:pStyle w:val="Heading6"/>
        <w:spacing w:line="273" w:lineRule="auto" w:before="37"/>
        <w:ind w:right="1133"/>
        <w:jc w:val="left"/>
      </w:pPr>
      <w:r>
        <w:rPr>
          <w:spacing w:val="-2"/>
        </w:rPr>
        <w:t>入账价值与最低租赁付款额之间的差额作为未确认融资费用，在租赁期内按实际利率法摊销。最低租赁付</w:t>
      </w:r>
      <w:r>
        <w:rPr>
          <w:spacing w:val="-43"/>
        </w:rPr>
        <w:t> </w:t>
      </w:r>
      <w:r>
        <w:rPr>
          <w:spacing w:val="-43"/>
        </w:rPr>
      </w:r>
      <w:r>
        <w:rPr/>
        <w:t>款额扣除未确认融资费用后的余额作为长期应付款列示。</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）财政部于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年发布了修订后的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确认和计量</w:t>
            </w:r>
            <w:r>
              <w:rPr>
                <w:rFonts w:ascii="宋体" w:hAnsi="宋体" w:cs="宋体" w:eastAsia="宋体" w:hint="default"/>
                <w:spacing w:val="-92"/>
                <w:sz w:val="18"/>
                <w:szCs w:val="18"/>
              </w:rPr>
              <w:t>》、</w:t>
            </w:r>
            <w:r>
              <w:rPr>
                <w:rFonts w:ascii="宋体" w:hAnsi="宋体" w:cs="宋体" w:eastAsia="宋体" w:hint="default"/>
                <w:sz w:val="18"/>
                <w:szCs w:val="18"/>
              </w:rPr>
              <w:t>《企业会计准</w:t>
            </w:r>
            <w:r>
              <w:rPr>
                <w:rFonts w:ascii="宋体" w:hAnsi="宋体" w:cs="宋体" w:eastAsia="宋体" w:hint="default"/>
                <w:spacing w:val="2"/>
                <w:sz w:val="18"/>
                <w:szCs w:val="18"/>
              </w:rPr>
              <w:t>则</w:t>
            </w:r>
            <w:r>
              <w:rPr>
                <w:rFonts w:ascii="宋体" w:hAnsi="宋体" w:cs="宋体" w:eastAsia="宋体" w:hint="default"/>
                <w:sz w:val="18"/>
                <w:szCs w:val="18"/>
              </w:rPr>
              <w:t>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宋体" w:hAnsi="宋体" w:cs="宋体" w:eastAsia="宋体" w:hint="default"/>
                <w:spacing w:val="-92"/>
                <w:sz w:val="18"/>
                <w:szCs w:val="18"/>
              </w:rPr>
              <w:t>》、</w:t>
            </w:r>
            <w:r>
              <w:rPr>
                <w:rFonts w:ascii="宋体" w:hAnsi="宋体" w:cs="宋体" w:eastAsia="宋体" w:hint="default"/>
                <w:sz w:val="18"/>
                <w:szCs w:val="18"/>
              </w:rPr>
              <w:t>《企业</w:t>
            </w:r>
            <w:r>
              <w:rPr>
                <w:rFonts w:ascii="宋体" w:hAnsi="宋体" w:cs="宋体" w:eastAsia="宋体" w:hint="default"/>
                <w:spacing w:val="2"/>
                <w:sz w:val="18"/>
                <w:szCs w:val="18"/>
              </w:rPr>
              <w:t>会</w:t>
            </w:r>
            <w:r>
              <w:rPr>
                <w:rFonts w:ascii="宋体" w:hAnsi="宋体" w:cs="宋体" w:eastAsia="宋体" w:hint="default"/>
                <w:sz w:val="18"/>
                <w:szCs w:val="18"/>
              </w:rPr>
              <w:t>计准则第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w:t>
            </w:r>
            <w:r>
              <w:rPr>
                <w:rFonts w:ascii="宋体" w:hAnsi="宋体" w:cs="宋体" w:eastAsia="宋体" w:hint="default"/>
                <w:spacing w:val="-3"/>
                <w:sz w:val="18"/>
                <w:szCs w:val="18"/>
              </w:rPr>
              <w:t>会</w:t>
            </w:r>
            <w:r>
              <w:rPr>
                <w:rFonts w:ascii="宋体" w:hAnsi="宋体" w:cs="宋体" w:eastAsia="宋体" w:hint="default"/>
                <w:sz w:val="18"/>
                <w:szCs w:val="18"/>
              </w:rPr>
              <w:t>计准则第</w:t>
            </w:r>
          </w:p>
          <w:p>
            <w:pPr>
              <w:pStyle w:val="TableParagraph"/>
              <w:spacing w:line="300" w:lineRule="auto" w:before="13"/>
              <w:ind w:left="24" w:right="9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上</w:t>
            </w:r>
            <w:r>
              <w:rPr>
                <w:rFonts w:ascii="宋体" w:hAnsi="宋体" w:cs="宋体" w:eastAsia="宋体" w:hint="default"/>
                <w:sz w:val="18"/>
                <w:szCs w:val="18"/>
              </w:rPr>
              <w:t>述四项准</w:t>
            </w:r>
            <w:r>
              <w:rPr>
                <w:rFonts w:ascii="宋体" w:hAnsi="宋体" w:cs="宋体" w:eastAsia="宋体" w:hint="default"/>
                <w:sz w:val="18"/>
                <w:szCs w:val="18"/>
              </w:rPr>
              <w:t> 则以下统称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）财政部于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月发布了《关</w:t>
            </w:r>
          </w:p>
          <w:p>
            <w:pPr>
              <w:pStyle w:val="TableParagraph"/>
              <w:spacing w:line="304" w:lineRule="auto" w:before="60"/>
              <w:ind w:left="24" w:right="22"/>
              <w:jc w:val="left"/>
              <w:rPr>
                <w:rFonts w:ascii="宋体" w:hAnsi="宋体" w:cs="宋体" w:eastAsia="宋体" w:hint="default"/>
                <w:sz w:val="18"/>
                <w:szCs w:val="18"/>
              </w:rPr>
            </w:pPr>
            <w:r>
              <w:rPr>
                <w:rFonts w:ascii="宋体" w:hAnsi="宋体" w:cs="宋体" w:eastAsia="宋体" w:hint="default"/>
                <w:sz w:val="18"/>
                <w:szCs w:val="18"/>
              </w:rPr>
              <w:t>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 </w:t>
            </w:r>
            <w:r>
              <w:rPr>
                <w:rFonts w:ascii="宋体" w:hAnsi="宋体" w:cs="宋体" w:eastAsia="宋体" w:hint="default"/>
                <w:spacing w:val="-6"/>
                <w:sz w:val="18"/>
                <w:szCs w:val="18"/>
              </w:rPr>
              <w:t>表格式的通知》（财会</w:t>
            </w:r>
            <w:r>
              <w:rPr>
                <w:rFonts w:ascii="Times New Roman" w:hAnsi="Times New Roman" w:cs="Times New Roman" w:eastAsia="Times New Roman" w:hint="default"/>
                <w:spacing w:val="-6"/>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19"/>
                <w:sz w:val="18"/>
                <w:szCs w:val="18"/>
              </w:rPr>
              <w:t>号）（以下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w w:val="100"/>
                <w:sz w:val="18"/>
                <w:szCs w:val="18"/>
              </w:rPr>
              <w:t>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财务报表格式</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），执行企业会计准</w:t>
            </w:r>
            <w:r>
              <w:rPr>
                <w:rFonts w:ascii="宋体" w:hAnsi="宋体" w:cs="宋体" w:eastAsia="宋体" w:hint="default"/>
                <w:sz w:val="18"/>
                <w:szCs w:val="18"/>
              </w:rPr>
              <w:t> 则的企业应按照企业会计准则和该通知 的要求编制财务报表。</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6"/>
        <w:spacing w:line="263" w:lineRule="exact" w:before="0"/>
        <w:ind w:left="573" w:right="1133"/>
        <w:jc w:val="left"/>
      </w:pPr>
      <w:r>
        <w:rPr/>
        <w:t>①执行新金融工具准则的影响</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65"/>
        <w:gridCol w:w="2074"/>
        <w:gridCol w:w="1940"/>
        <w:gridCol w:w="2045"/>
      </w:tblGrid>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626" w:right="0"/>
              <w:jc w:val="left"/>
              <w:rPr>
                <w:rFonts w:ascii="宋体" w:hAnsi="宋体" w:cs="宋体" w:eastAsia="宋体" w:hint="default"/>
                <w:sz w:val="20"/>
                <w:szCs w:val="20"/>
              </w:rPr>
            </w:pPr>
            <w:r>
              <w:rPr>
                <w:rFonts w:ascii="宋体" w:hAnsi="宋体" w:cs="宋体" w:eastAsia="宋体" w:hint="default"/>
                <w:sz w:val="20"/>
                <w:szCs w:val="20"/>
              </w:rPr>
              <w:t>合并报表项目</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61" w:right="0"/>
              <w:jc w:val="left"/>
              <w:rPr>
                <w:rFonts w:ascii="宋体" w:hAnsi="宋体" w:cs="宋体" w:eastAsia="宋体" w:hint="default"/>
                <w:sz w:val="20"/>
                <w:szCs w:val="20"/>
              </w:rPr>
            </w:pPr>
            <w:r>
              <w:rPr>
                <w:rFonts w:ascii="宋体" w:hAnsi="宋体" w:cs="宋体" w:eastAsia="宋体" w:hint="default"/>
                <w:sz w:val="20"/>
                <w:szCs w:val="20"/>
              </w:rPr>
              <w:t>影响金额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1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r>
      <w:tr>
        <w:trPr>
          <w:trHeight w:val="34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2074"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61"/>
              <w:jc w:val="right"/>
              <w:rPr>
                <w:rFonts w:ascii="Times New Roman" w:hAnsi="Times New Roman" w:cs="Times New Roman" w:eastAsia="Times New Roman" w:hint="default"/>
                <w:sz w:val="20"/>
                <w:szCs w:val="20"/>
              </w:rPr>
            </w:pPr>
            <w:r>
              <w:rPr>
                <w:rFonts w:ascii="Times New Roman"/>
                <w:w w:val="95"/>
                <w:sz w:val="20"/>
              </w:rPr>
              <w:t>185,155,171.44</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9"/>
              <w:jc w:val="right"/>
              <w:rPr>
                <w:rFonts w:ascii="Times New Roman" w:hAnsi="Times New Roman" w:cs="Times New Roman" w:eastAsia="Times New Roman" w:hint="default"/>
                <w:sz w:val="20"/>
                <w:szCs w:val="20"/>
              </w:rPr>
            </w:pPr>
            <w:r>
              <w:rPr>
                <w:rFonts w:ascii="Times New Roman"/>
                <w:w w:val="95"/>
                <w:sz w:val="20"/>
              </w:rPr>
              <w:t>185,155,171.44</w:t>
            </w:r>
            <w:r>
              <w:rPr>
                <w:rFonts w:ascii="Times New Roman"/>
                <w:sz w:val="20"/>
              </w:rPr>
            </w: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186,647,716.72</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1"/>
              <w:jc w:val="right"/>
              <w:rPr>
                <w:rFonts w:ascii="Times New Roman" w:hAnsi="Times New Roman" w:cs="Times New Roman" w:eastAsia="Times New Roman" w:hint="default"/>
                <w:sz w:val="20"/>
                <w:szCs w:val="20"/>
              </w:rPr>
            </w:pPr>
            <w:r>
              <w:rPr>
                <w:rFonts w:ascii="Times New Roman"/>
                <w:w w:val="95"/>
                <w:sz w:val="20"/>
              </w:rPr>
              <w:t>-18,332,078.99</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168,315,637.73</w:t>
            </w:r>
            <w:r>
              <w:rPr>
                <w:rFonts w:ascii="Times New Roman"/>
                <w:sz w:val="20"/>
              </w:rPr>
            </w:r>
          </w:p>
        </w:tc>
      </w:tr>
      <w:tr>
        <w:trPr>
          <w:trHeight w:val="34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116,207,355.33</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1"/>
              <w:jc w:val="right"/>
              <w:rPr>
                <w:rFonts w:ascii="Times New Roman" w:hAnsi="Times New Roman" w:cs="Times New Roman" w:eastAsia="Times New Roman" w:hint="default"/>
                <w:sz w:val="20"/>
                <w:szCs w:val="20"/>
              </w:rPr>
            </w:pPr>
            <w:r>
              <w:rPr>
                <w:rFonts w:ascii="Times New Roman"/>
                <w:w w:val="95"/>
                <w:sz w:val="20"/>
              </w:rPr>
              <w:t>-3,176,965.17</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113,030,390.16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65"/>
        <w:gridCol w:w="2074"/>
        <w:gridCol w:w="1940"/>
        <w:gridCol w:w="2045"/>
      </w:tblGrid>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524,535,553.68</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-524,535,553.68</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8"/>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r>
      <w:tr>
        <w:trPr>
          <w:trHeight w:val="34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1"/>
              <w:jc w:val="right"/>
              <w:rPr>
                <w:rFonts w:ascii="Times New Roman" w:hAnsi="Times New Roman" w:cs="Times New Roman" w:eastAsia="Times New Roman" w:hint="default"/>
                <w:sz w:val="20"/>
                <w:szCs w:val="20"/>
              </w:rPr>
            </w:pPr>
            <w:r>
              <w:rPr>
                <w:rFonts w:ascii="Times New Roman"/>
                <w:w w:val="95"/>
                <w:sz w:val="20"/>
              </w:rPr>
              <w:t>339,380,382.24</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339,380,382.24</w:t>
            </w:r>
            <w:r>
              <w:rPr>
                <w:rFonts w:ascii="Times New Roman"/>
                <w:sz w:val="20"/>
              </w:rPr>
            </w: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33,033,653.57</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61"/>
              <w:jc w:val="right"/>
              <w:rPr>
                <w:rFonts w:ascii="Times New Roman" w:hAnsi="Times New Roman" w:cs="Times New Roman" w:eastAsia="Times New Roman" w:hint="default"/>
                <w:sz w:val="20"/>
                <w:szCs w:val="20"/>
              </w:rPr>
            </w:pPr>
            <w:r>
              <w:rPr>
                <w:rFonts w:ascii="Times New Roman"/>
                <w:w w:val="95"/>
                <w:sz w:val="20"/>
              </w:rPr>
              <w:t>3,207,859.07</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9"/>
              <w:jc w:val="right"/>
              <w:rPr>
                <w:rFonts w:ascii="Times New Roman" w:hAnsi="Times New Roman" w:cs="Times New Roman" w:eastAsia="Times New Roman" w:hint="default"/>
                <w:sz w:val="20"/>
                <w:szCs w:val="20"/>
              </w:rPr>
            </w:pPr>
            <w:r>
              <w:rPr>
                <w:rFonts w:ascii="Times New Roman"/>
                <w:w w:val="95"/>
                <w:sz w:val="20"/>
              </w:rPr>
              <w:t>36,241,512.64</w:t>
            </w:r>
            <w:r>
              <w:rPr>
                <w:rFonts w:ascii="Times New Roman"/>
                <w:sz w:val="20"/>
              </w:rPr>
            </w:r>
          </w:p>
        </w:tc>
      </w:tr>
      <w:tr>
        <w:trPr>
          <w:trHeight w:val="34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2074"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531,015,000.00</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909,090.19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9"/>
              <w:jc w:val="right"/>
              <w:rPr>
                <w:rFonts w:ascii="Times New Roman" w:hAnsi="Times New Roman" w:cs="Times New Roman" w:eastAsia="Times New Roman" w:hint="default"/>
                <w:sz w:val="20"/>
                <w:szCs w:val="20"/>
              </w:rPr>
            </w:pPr>
            <w:r>
              <w:rPr>
                <w:rFonts w:ascii="Times New Roman"/>
                <w:w w:val="95"/>
                <w:sz w:val="20"/>
              </w:rPr>
              <w:t>531,924,090.19</w:t>
            </w:r>
            <w:r>
              <w:rPr>
                <w:rFonts w:ascii="Times New Roman"/>
                <w:sz w:val="20"/>
              </w:rPr>
            </w:r>
          </w:p>
        </w:tc>
      </w:tr>
      <w:tr>
        <w:trPr>
          <w:trHeight w:val="34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其他应付款（应付利息）</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133,217,282.93</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-909,090.19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132,308,192.74</w:t>
            </w:r>
            <w:r>
              <w:rPr>
                <w:rFonts w:ascii="Times New Roman"/>
                <w:sz w:val="20"/>
              </w:rPr>
            </w: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2074"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123,831,456.26</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1"/>
              <w:jc w:val="right"/>
              <w:rPr>
                <w:rFonts w:ascii="Times New Roman" w:hAnsi="Times New Roman" w:cs="Times New Roman" w:eastAsia="Times New Roman" w:hint="default"/>
                <w:sz w:val="20"/>
                <w:szCs w:val="20"/>
              </w:rPr>
            </w:pPr>
            <w:r>
              <w:rPr>
                <w:rFonts w:ascii="Times New Roman"/>
                <w:w w:val="95"/>
                <w:sz w:val="20"/>
              </w:rPr>
              <w:t>-116,523,034.18</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7,308,422.08</w:t>
            </w:r>
            <w:r>
              <w:rPr>
                <w:rFonts w:ascii="Times New Roman"/>
                <w:sz w:val="20"/>
              </w:rPr>
            </w:r>
          </w:p>
        </w:tc>
      </w:tr>
      <w:tr>
        <w:trPr>
          <w:trHeight w:val="34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39,373,444.43</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1"/>
              <w:jc w:val="right"/>
              <w:rPr>
                <w:rFonts w:ascii="Times New Roman" w:hAnsi="Times New Roman" w:cs="Times New Roman" w:eastAsia="Times New Roman" w:hint="default"/>
                <w:sz w:val="20"/>
                <w:szCs w:val="20"/>
              </w:rPr>
            </w:pPr>
            <w:r>
              <w:rPr>
                <w:rFonts w:ascii="Times New Roman"/>
                <w:w w:val="95"/>
                <w:sz w:val="20"/>
              </w:rPr>
              <w:t>-2,521,309.36</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36,852,135.07</w:t>
            </w:r>
            <w:r>
              <w:rPr>
                <w:rFonts w:ascii="Times New Roman"/>
                <w:sz w:val="20"/>
              </w:rPr>
            </w:r>
          </w:p>
        </w:tc>
      </w:tr>
      <w:tr>
        <w:trPr>
          <w:trHeight w:val="34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498,035,293.55</w:t>
            </w:r>
            <w:r>
              <w:rPr>
                <w:rFonts w:ascii="Times New Roman"/>
                <w:sz w:val="20"/>
              </w:rPr>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61"/>
              <w:jc w:val="right"/>
              <w:rPr>
                <w:rFonts w:ascii="Times New Roman" w:hAnsi="Times New Roman" w:cs="Times New Roman" w:eastAsia="Times New Roman" w:hint="default"/>
                <w:sz w:val="20"/>
                <w:szCs w:val="20"/>
              </w:rPr>
            </w:pPr>
            <w:r>
              <w:rPr>
                <w:rFonts w:ascii="Times New Roman"/>
                <w:w w:val="95"/>
                <w:sz w:val="20"/>
              </w:rPr>
              <w:t>100,799,597.14</w:t>
            </w:r>
            <w:r>
              <w:rPr>
                <w:rFonts w:ascii="Times New Roman"/>
                <w:sz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9"/>
              <w:jc w:val="right"/>
              <w:rPr>
                <w:rFonts w:ascii="Times New Roman" w:hAnsi="Times New Roman" w:cs="Times New Roman" w:eastAsia="Times New Roman" w:hint="default"/>
                <w:sz w:val="20"/>
                <w:szCs w:val="20"/>
              </w:rPr>
            </w:pPr>
            <w:r>
              <w:rPr>
                <w:rFonts w:ascii="Times New Roman"/>
                <w:w w:val="95"/>
                <w:sz w:val="20"/>
              </w:rPr>
              <w:t>598,834,890.96</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571"/>
        <w:gridCol w:w="2153"/>
        <w:gridCol w:w="1916"/>
        <w:gridCol w:w="1885"/>
      </w:tblGrid>
      <w:tr>
        <w:trPr>
          <w:trHeight w:val="349"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81" w:right="0"/>
              <w:jc w:val="left"/>
              <w:rPr>
                <w:rFonts w:ascii="宋体" w:hAnsi="宋体" w:cs="宋体" w:eastAsia="宋体" w:hint="default"/>
                <w:sz w:val="20"/>
                <w:szCs w:val="20"/>
              </w:rPr>
            </w:pPr>
            <w:r>
              <w:rPr>
                <w:rFonts w:ascii="宋体" w:hAnsi="宋体" w:cs="宋体" w:eastAsia="宋体" w:hint="default"/>
                <w:sz w:val="20"/>
                <w:szCs w:val="20"/>
              </w:rPr>
              <w:t>母公司报表项目</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49" w:right="0"/>
              <w:jc w:val="left"/>
              <w:rPr>
                <w:rFonts w:ascii="宋体" w:hAnsi="宋体" w:cs="宋体" w:eastAsia="宋体" w:hint="default"/>
                <w:sz w:val="20"/>
                <w:szCs w:val="20"/>
              </w:rPr>
            </w:pPr>
            <w:r>
              <w:rPr>
                <w:rFonts w:ascii="宋体" w:hAnsi="宋体" w:cs="宋体" w:eastAsia="宋体" w:hint="default"/>
                <w:sz w:val="20"/>
                <w:szCs w:val="20"/>
              </w:rPr>
              <w:t>影响金额</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r>
      <w:tr>
        <w:trPr>
          <w:trHeight w:val="346"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215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176,913,377.53</w:t>
            </w:r>
            <w:r>
              <w:rPr>
                <w:rFonts w:ascii="Times New Roman"/>
                <w:sz w:val="20"/>
              </w:rPr>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9"/>
              <w:jc w:val="right"/>
              <w:rPr>
                <w:rFonts w:ascii="Times New Roman" w:hAnsi="Times New Roman" w:cs="Times New Roman" w:eastAsia="Times New Roman" w:hint="default"/>
                <w:sz w:val="20"/>
                <w:szCs w:val="20"/>
              </w:rPr>
            </w:pPr>
            <w:r>
              <w:rPr>
                <w:rFonts w:ascii="Times New Roman"/>
                <w:w w:val="95"/>
                <w:sz w:val="20"/>
              </w:rPr>
              <w:t>-17,642,066.26</w:t>
            </w:r>
            <w:r>
              <w:rPr>
                <w:rFonts w:ascii="Times New Roman"/>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9"/>
              <w:jc w:val="right"/>
              <w:rPr>
                <w:rFonts w:ascii="Times New Roman" w:hAnsi="Times New Roman" w:cs="Times New Roman" w:eastAsia="Times New Roman" w:hint="default"/>
                <w:sz w:val="20"/>
                <w:szCs w:val="20"/>
              </w:rPr>
            </w:pPr>
            <w:r>
              <w:rPr>
                <w:rFonts w:ascii="Times New Roman"/>
                <w:w w:val="95"/>
                <w:sz w:val="20"/>
              </w:rPr>
              <w:t>159,271,311.27</w:t>
            </w:r>
            <w:r>
              <w:rPr>
                <w:rFonts w:ascii="Times New Roman"/>
                <w:sz w:val="20"/>
              </w:rPr>
            </w:r>
          </w:p>
        </w:tc>
      </w:tr>
      <w:tr>
        <w:trPr>
          <w:trHeight w:val="346"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830,241,677.27</w:t>
            </w:r>
            <w:r>
              <w:rPr>
                <w:rFonts w:ascii="Times New Roman"/>
                <w:sz w:val="20"/>
              </w:rPr>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-12,020,396.88</w:t>
            </w:r>
            <w:r>
              <w:rPr>
                <w:rFonts w:ascii="Times New Roman"/>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818,221,280.39</w:t>
            </w:r>
            <w:r>
              <w:rPr>
                <w:rFonts w:ascii="Times New Roman"/>
                <w:sz w:val="20"/>
              </w:rPr>
            </w:r>
          </w:p>
        </w:tc>
      </w:tr>
      <w:tr>
        <w:trPr>
          <w:trHeight w:val="34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215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39,373,444.43</w:t>
            </w:r>
            <w:r>
              <w:rPr>
                <w:rFonts w:ascii="Times New Roman"/>
                <w:sz w:val="20"/>
              </w:rPr>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8"/>
              <w:jc w:val="right"/>
              <w:rPr>
                <w:rFonts w:ascii="Times New Roman" w:hAnsi="Times New Roman" w:cs="Times New Roman" w:eastAsia="Times New Roman" w:hint="default"/>
                <w:sz w:val="20"/>
                <w:szCs w:val="20"/>
              </w:rPr>
            </w:pPr>
            <w:r>
              <w:rPr>
                <w:rFonts w:ascii="Times New Roman"/>
                <w:w w:val="95"/>
                <w:sz w:val="20"/>
              </w:rPr>
              <w:t>-2,521,309.36</w:t>
            </w:r>
            <w:r>
              <w:rPr>
                <w:rFonts w:ascii="Times New Roman"/>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36,852,135.07</w:t>
            </w:r>
            <w:r>
              <w:rPr>
                <w:rFonts w:ascii="Times New Roman"/>
                <w:sz w:val="20"/>
              </w:rPr>
            </w:r>
          </w:p>
        </w:tc>
      </w:tr>
      <w:tr>
        <w:trPr>
          <w:trHeight w:val="346" w:hRule="exact"/>
        </w:trPr>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236,452,175.28</w:t>
            </w:r>
            <w:r>
              <w:rPr>
                <w:rFonts w:ascii="Times New Roman"/>
                <w:sz w:val="20"/>
              </w:rPr>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-22,691,784.30</w:t>
            </w:r>
            <w:r>
              <w:rPr>
                <w:rFonts w:ascii="Times New Roman"/>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9"/>
              <w:jc w:val="right"/>
              <w:rPr>
                <w:rFonts w:ascii="Times New Roman" w:hAnsi="Times New Roman" w:cs="Times New Roman" w:eastAsia="Times New Roman" w:hint="default"/>
                <w:sz w:val="20"/>
                <w:szCs w:val="20"/>
              </w:rPr>
            </w:pPr>
            <w:r>
              <w:rPr>
                <w:rFonts w:ascii="Times New Roman"/>
                <w:w w:val="95"/>
                <w:sz w:val="20"/>
              </w:rPr>
              <w:t>213,760,390.98</w:t>
            </w:r>
            <w:r>
              <w:rPr>
                <w:rFonts w:ascii="Times New Roman"/>
                <w:sz w:val="20"/>
              </w:rPr>
            </w:r>
          </w:p>
        </w:tc>
      </w:tr>
    </w:tbl>
    <w:p>
      <w:pPr>
        <w:spacing w:line="240" w:lineRule="auto" w:before="4"/>
        <w:rPr>
          <w:rFonts w:ascii="宋体" w:hAnsi="宋体" w:cs="宋体" w:eastAsia="宋体" w:hint="default"/>
          <w:sz w:val="29"/>
          <w:szCs w:val="29"/>
        </w:rPr>
      </w:pPr>
    </w:p>
    <w:p>
      <w:pPr>
        <w:pStyle w:val="Heading6"/>
        <w:spacing w:line="264" w:lineRule="auto" w:before="36"/>
        <w:ind w:right="1128" w:firstLine="420"/>
        <w:jc w:val="both"/>
      </w:pPr>
      <w:r>
        <w:rPr>
          <w:spacing w:val="-2"/>
        </w:rPr>
        <w:t>本公司根据新金融工具准则的规定，对金融工具的分类和计量（含减值）进行追溯调整，将金融工具</w:t>
      </w:r>
      <w:r>
        <w:rPr>
          <w:w w:val="100"/>
        </w:rPr>
        <w:t> </w:t>
      </w:r>
      <w:r>
        <w:rPr>
          <w:spacing w:val="-2"/>
        </w:rPr>
        <w:t>原账面价值和在新金融工具准则施行日（即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日）的新账面价值之间的差额计入</w:t>
      </w:r>
      <w:r>
        <w:rPr>
          <w:rFonts w:ascii="Times New Roman" w:hAnsi="Times New Roman" w:cs="Times New Roman" w:eastAsia="Times New Roman" w:hint="default"/>
          <w:spacing w:val="-2"/>
        </w:rPr>
        <w:t>2019</w:t>
      </w:r>
      <w:r>
        <w:rPr>
          <w:spacing w:val="-2"/>
        </w:rPr>
        <w:t>年年初留存</w:t>
      </w:r>
      <w:r>
        <w:rPr>
          <w:spacing w:val="-37"/>
        </w:rPr>
        <w:t> </w:t>
      </w:r>
      <w:r>
        <w:rPr>
          <w:spacing w:val="-37"/>
        </w:rPr>
      </w:r>
      <w:r>
        <w:rPr/>
        <w:t>收益或其他综合收益。</w:t>
      </w:r>
    </w:p>
    <w:p>
      <w:pPr>
        <w:pStyle w:val="Heading6"/>
        <w:spacing w:line="256" w:lineRule="auto" w:before="136"/>
        <w:ind w:right="1129" w:firstLine="360"/>
        <w:jc w:val="both"/>
      </w:pPr>
      <w:r>
        <w:rPr/>
        <w:t>本公司将原分类为</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的权益工具投资按新金融工具准则分类为以公允价值计量且其</w:t>
      </w:r>
      <w:r>
        <w:rPr>
          <w:w w:val="100"/>
        </w:rPr>
        <w:t> </w:t>
      </w:r>
      <w:r>
        <w:rPr>
          <w:spacing w:val="-2"/>
        </w:rPr>
        <w:t>变动计入当期损益的金融资产，列报为</w:t>
      </w:r>
      <w:r>
        <w:rPr>
          <w:rFonts w:ascii="Times New Roman" w:hAnsi="Times New Roman" w:cs="Times New Roman" w:eastAsia="Times New Roman" w:hint="default"/>
          <w:spacing w:val="-2"/>
        </w:rPr>
        <w:t>“</w:t>
      </w:r>
      <w:r>
        <w:rPr>
          <w:spacing w:val="-2"/>
        </w:rPr>
        <w:t>交易性金融资产</w:t>
      </w:r>
      <w:r>
        <w:rPr>
          <w:rFonts w:ascii="Times New Roman" w:hAnsi="Times New Roman" w:cs="Times New Roman" w:eastAsia="Times New Roman" w:hint="default"/>
          <w:spacing w:val="-2"/>
        </w:rPr>
        <w:t>”</w:t>
      </w:r>
      <w:r>
        <w:rPr>
          <w:spacing w:val="-2"/>
        </w:rPr>
        <w:t>，在资产负债表日预期持有超过一年的以公允价</w:t>
      </w:r>
      <w:r>
        <w:rPr>
          <w:spacing w:val="-21"/>
        </w:rPr>
        <w:t> </w:t>
      </w:r>
      <w:r>
        <w:rPr>
          <w:spacing w:val="-21"/>
        </w:rPr>
      </w:r>
      <w:r>
        <w:rPr/>
        <w:t>值计量且其变动计入当期损益的非流动金融资产，列报为</w:t>
      </w:r>
      <w:r>
        <w:rPr>
          <w:rFonts w:ascii="Times New Roman" w:hAnsi="Times New Roman" w:cs="Times New Roman" w:eastAsia="Times New Roman" w:hint="default"/>
        </w:rPr>
        <w:t>“</w:t>
      </w:r>
      <w:r>
        <w:rPr/>
        <w:t>其他非流动金融资产</w:t>
      </w:r>
      <w:r>
        <w:rPr>
          <w:rFonts w:ascii="Times New Roman" w:hAnsi="Times New Roman" w:cs="Times New Roman" w:eastAsia="Times New Roman" w:hint="default"/>
        </w:rPr>
        <w:t>”</w:t>
      </w:r>
      <w:r>
        <w:rPr/>
        <w:t>。</w:t>
      </w:r>
    </w:p>
    <w:p>
      <w:pPr>
        <w:pStyle w:val="Heading6"/>
        <w:spacing w:line="273" w:lineRule="auto" w:before="5"/>
        <w:ind w:right="1127" w:firstLine="360"/>
        <w:jc w:val="both"/>
      </w:pPr>
      <w:r>
        <w:rPr>
          <w:spacing w:val="-1"/>
        </w:rPr>
        <w:t>应收账款和其他应收款的影响金额为按预期信用损失法计提的坏账准备与原坏账准备的差额，调整期</w:t>
      </w:r>
      <w:r>
        <w:rPr>
          <w:w w:val="100"/>
        </w:rPr>
        <w:t> </w:t>
      </w:r>
      <w:r>
        <w:rPr/>
        <w:t>初应收账款和其他应收款账面价值以及留存收益。</w:t>
      </w:r>
    </w:p>
    <w:p>
      <w:pPr>
        <w:pStyle w:val="Heading6"/>
        <w:spacing w:line="440" w:lineRule="atLeast" w:before="154"/>
        <w:ind w:left="573" w:right="1132"/>
        <w:jc w:val="left"/>
      </w:pPr>
      <w:r>
        <w:rPr/>
        <w:t>②执行修订后财务报表格式的影响</w:t>
      </w:r>
      <w:r>
        <w:rPr>
          <w:w w:val="100"/>
        </w:rPr>
        <w:t> </w:t>
      </w:r>
      <w:r>
        <w:rPr>
          <w:spacing w:val="-2"/>
        </w:rPr>
        <w:t>根据财务报表格式的要求，除执行上述新金融工具准则产生的列报变化以外，本公司将</w:t>
      </w:r>
      <w:r>
        <w:rPr>
          <w:spacing w:val="61"/>
        </w:rPr>
        <w:t> </w:t>
      </w:r>
      <w:r>
        <w:rPr>
          <w:rFonts w:ascii="Times New Roman" w:hAnsi="Times New Roman" w:cs="Times New Roman" w:eastAsia="Times New Roman" w:hint="default"/>
          <w:spacing w:val="-2"/>
        </w:rPr>
        <w:t>“</w:t>
      </w:r>
      <w:r>
        <w:rPr>
          <w:spacing w:val="-2"/>
        </w:rPr>
        <w:t>应收票据及</w:t>
      </w:r>
    </w:p>
    <w:p>
      <w:pPr>
        <w:pStyle w:val="Heading6"/>
        <w:spacing w:line="256" w:lineRule="auto" w:before="21"/>
        <w:ind w:right="1128"/>
        <w:jc w:val="both"/>
      </w:pPr>
      <w:r>
        <w:rPr/>
        <w:t>应收账款</w:t>
      </w:r>
      <w:r>
        <w:rPr>
          <w:rFonts w:ascii="Times New Roman" w:hAnsi="Times New Roman" w:cs="Times New Roman" w:eastAsia="Times New Roman" w:hint="default"/>
        </w:rPr>
        <w:t>”</w:t>
      </w:r>
      <w:r>
        <w:rPr/>
        <w:t>拆分列示为 </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两个项目，将 </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拆分列示为</w:t>
      </w:r>
      <w:r>
        <w:rPr>
          <w:rFonts w:ascii="Times New Roman" w:hAnsi="Times New Roman" w:cs="Times New Roman" w:eastAsia="Times New Roman" w:hint="default"/>
        </w:rPr>
        <w:t>“</w:t>
      </w:r>
      <w:r>
        <w:rPr/>
        <w:t>应付票</w:t>
      </w:r>
      <w:r>
        <w:rPr>
          <w:w w:val="100"/>
        </w:rPr>
        <w:t> </w:t>
      </w:r>
      <w:r>
        <w:rPr>
          <w:spacing w:val="-4"/>
        </w:rPr>
        <w:t>据</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应付账款</w:t>
      </w:r>
      <w:r>
        <w:rPr>
          <w:rFonts w:ascii="Times New Roman" w:hAnsi="Times New Roman" w:cs="Times New Roman" w:eastAsia="Times New Roman" w:hint="default"/>
          <w:spacing w:val="-4"/>
        </w:rPr>
        <w:t>”</w:t>
      </w:r>
      <w:r>
        <w:rPr>
          <w:spacing w:val="-4"/>
        </w:rPr>
        <w:t>两个项目。本公司相应追溯调整了比较期间报表，该会计政策变更对合并及公司净利润和</w:t>
      </w:r>
      <w:r>
        <w:rPr>
          <w:spacing w:val="-18"/>
        </w:rPr>
        <w:t> </w:t>
      </w:r>
      <w:r>
        <w:rPr>
          <w:spacing w:val="-18"/>
        </w:rPr>
      </w:r>
      <w:r>
        <w:rPr/>
        <w:t>股东权益无影响。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0"/>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287,630,414.26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287,630,414.26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185,155,171.44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185,155,171.44</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186,647,716.72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168,315,637.73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-18,332,078.99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22,898,795.09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22,898,795.09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116,207,355.33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113,030,390.16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-3,176,965.17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516,160,663.11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2"/>
                <w:sz w:val="18"/>
              </w:rPr>
              <w:t>516,160,663.11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197,059,883.61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197,059,883.61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22,080,986.46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22,080,986.46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1,349,700,814.58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1,513,346,941.86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163,646,127.28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524,535,553.68</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-524,535,553.68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182,964,187.95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182,964,187.95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837,568,183.37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837,568,183.37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339,380,382.24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339,380,382.24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135,507,291.24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135,507,291.24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249,313,578.79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249,313,578.79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599,000.00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1,030,534.32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1,030,534.32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72,107,968.31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72,107,968.31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61,061,779.17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61,061,779.17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33,033,653.57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36,241,512.64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3,207,859.07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2,099,321,730.40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1,917,374,418.03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-181,947,312.37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3,449,022,544.98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3,430,721,359.89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-18,301,185.09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531,015,000.00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531,924,090.19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3,908,911.77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3,908,911.77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302,582,439.26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302,582,439.26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53,577,308.95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53,577,308.95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10,933,680.33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10,933,680.33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9,264,305.67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9,264,305.67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133,217,282.93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132,308,192.74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1,447,002.85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537,912.66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140,212.88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140,212.88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77,561,354.99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77,561,354.99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1,122,060,283.90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1,122,060,283.90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1,122,060,283.90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1,122,060,283.90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683,931,466.00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683,931,466.00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1,093,705,164.49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1,093,705,164.49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90,840,853.68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90,840,853.68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123,831,456.26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7,308,422.08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-116,523,034.18</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39,373,444.43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36,852,135.07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-2,521,309.36</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498,035,293.55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598,834,890.96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100,799,597.41</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2,348,035,971.05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2,329,791,224.92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-18,244,746.13</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-21,073,709.97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-21,130,148.93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-56,438.96</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2,326,962,261.08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2,308,661,075.99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-18,301,185.09</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3,449,022,544.98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3,430,721,359.89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-18,301,185.09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73,800,242.01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73,800,242.01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176,913,377.53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159,271,311.27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-17,642,066.26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10,106,531.04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10,106,531.04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830,241,677.27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818,221,280.39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-12,020,396.88</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512,099,942.63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512,099,942.63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6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4,623,175.69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4,623,175.69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1,608,799,946.17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1,579,137,483.03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-29,662,463.14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67,607,272.73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-67,607,272.73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1,321,190,405.46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1,321,190,405.46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67,607,272.73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67,607,272.73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59,277,900.64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59,277,900.64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60,287,012.59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60,287,012.59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539,555.85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539,555.85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313,004.72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24,126,621.93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28,575,991.41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4,449,369.48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1,533,341,773.92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1,537,791,143.40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4,449,369.48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3,142,141,720.09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3,116,928,626.43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-25,213,093.66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530,879,090.19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3,908,911.77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3,908,911.77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303,250,591.89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303,250,591.89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38,103,762.86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38,103,762.86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6,351,902.79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6,351,902.79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1,732,752.79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1,732,752.79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289,819,366.64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288,910,276.45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909,090.19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909,090.19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-909,090.19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140,212.88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1,173,137,288.74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1,173,137,288.74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1,173,137,288.74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1,173,137,288.74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683,931,466.00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683,931,466.00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1,100,088,199.32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1,100,088,199.32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90,840,853.68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90,840,853.68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39,373,444.43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36,852,135.07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-2,521,309.36</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236,452,175.28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213,760,390.98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-22,691,784.30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1,969,004,431.35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1,943,791,337.69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-25,213,093.66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3,142,141,720.09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3,116,928,626.43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-25,213,093.66</w:t>
            </w: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3" w:right="1133"/>
        <w:jc w:val="left"/>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月通过高新技术企业复审，企业所得税优惠期为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6"/>
        <w:spacing w:line="240" w:lineRule="auto" w:before="21"/>
        <w:ind w:right="1133"/>
        <w:jc w:val="left"/>
      </w:pPr>
      <w:r>
        <w:rPr>
          <w:rFonts w:ascii="Times New Roman" w:hAnsi="Times New Roman" w:cs="Times New Roman" w:eastAsia="Times New Roman" w:hint="default"/>
        </w:rPr>
        <w:t>2019</w:t>
      </w:r>
      <w:r>
        <w:rPr/>
        <w:t>年度通过复审，本期企业所得税减按</w:t>
      </w:r>
      <w:r>
        <w:rPr>
          <w:rFonts w:ascii="Times New Roman" w:hAnsi="Times New Roman" w:cs="Times New Roman" w:eastAsia="Times New Roman" w:hint="default"/>
        </w:rPr>
        <w:t>15%</w:t>
      </w:r>
      <w:r>
        <w:rPr/>
        <w:t>的税率征收。</w:t>
      </w:r>
    </w:p>
    <w:p>
      <w:pPr>
        <w:spacing w:line="240" w:lineRule="auto" w:before="8"/>
        <w:rPr>
          <w:rFonts w:ascii="宋体" w:hAnsi="宋体" w:cs="宋体" w:eastAsia="宋体" w:hint="default"/>
          <w:sz w:val="24"/>
          <w:szCs w:val="24"/>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footerReference w:type="default" r:id="rId20"/>
          <w:pgSz w:w="11910" w:h="16840"/>
          <w:pgMar w:footer="1556" w:header="745" w:top="1060" w:bottom="1740" w:left="980" w:right="0"/>
          <w:pgNumType w:start="13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20,925.93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146,716.23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175,748,790.71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270,860,617.95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11,850,649.28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16,623,080.08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187,620,365.92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287,630,414.26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7,278,815.24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3,406,641.02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17,076,214.75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185,155,171.44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185,155,171.44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185,155,171.44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556" w:top="1060" w:bottom="17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1"/>
        <w:gridCol w:w="797"/>
        <w:gridCol w:w="79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745" w:top="1060" w:bottom="1160" w:left="980" w:right="0"/>
          <w:pgNumType w:start="132"/>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应收票据核销说明：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799"/>
        <w:gridCol w:w="790"/>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7,793,14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2.08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5,677,42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2,115,718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826,807.5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734,059.5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92,748.00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269,135,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398.13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109,432,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668.01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159,702,7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30.12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261,192,4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92,969,53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168,222,88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269,135,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398.13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109,432,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668.01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159,702,7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30.12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261,192,4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92,969,53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168,222,88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9.73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276,928,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540.21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2" w:right="0"/>
              <w:jc w:val="center"/>
              <w:rPr>
                <w:rFonts w:ascii="Times New Roman" w:hAnsi="Times New Roman" w:cs="Times New Roman" w:eastAsia="Times New Roman" w:hint="default"/>
                <w:sz w:val="18"/>
                <w:szCs w:val="18"/>
              </w:rPr>
            </w:pPr>
            <w:r>
              <w:rPr>
                <w:rFonts w:ascii="Times New Roman"/>
                <w:sz w:val="18"/>
              </w:rPr>
              <w:t>115,110,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091.23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161,818,4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48.98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262,019,2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93,703,59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168,315,63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7.73</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4,943,363.68</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五洋建设集团股份有限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客户已破产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浙江易健生物制品有限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3,494,281.14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客户经营困难</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舟山</w:t>
            </w:r>
            <w:r>
              <w:rPr>
                <w:rFonts w:ascii="Times New Roman" w:hAnsi="Times New Roman" w:cs="Times New Roman" w:eastAsia="Times New Roman" w:hint="default"/>
                <w:sz w:val="18"/>
                <w:szCs w:val="18"/>
              </w:rPr>
              <w:t>)</w:t>
            </w:r>
            <w:r>
              <w:rPr>
                <w:rFonts w:ascii="宋体" w:hAnsi="宋体" w:cs="宋体" w:eastAsia="宋体" w:hint="default"/>
                <w:sz w:val="18"/>
                <w:szCs w:val="18"/>
              </w:rPr>
              <w:t>大宗商品交 易中心管理委员会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1,574,630.44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1,574,630.44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299,351.64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299,351.64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7,793,142.08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5,677,423.22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16,463,134.34</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108,275,175.42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7,006,812.46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29,656,519.34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5,053,786.29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24,619,485.06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7,167,277.50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14,244,883.78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7,211,570.00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46,567,577.35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37,221,464.58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45,771,757.18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45,771,757.18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269,135,398.13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109,432,668.01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108,275,175.42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29,958,366.07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26,191,620.41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112,503,378.31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14,244,883.78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52,486,737.35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45,771,757.18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276,928,540.21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734,059.54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4,943,363.68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5,677,423.22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92,969,533.67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16,463,134.34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109,432,668.01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93,703,593.21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21,406,498.02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115,110,091.23</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9" w:right="0"/>
              <w:jc w:val="left"/>
              <w:rPr>
                <w:rFonts w:ascii="Times New Roman" w:hAnsi="Times New Roman" w:cs="Times New Roman" w:eastAsia="Times New Roman" w:hint="default"/>
                <w:sz w:val="18"/>
                <w:szCs w:val="18"/>
              </w:rPr>
            </w:pPr>
            <w:r>
              <w:rPr>
                <w:rFonts w:ascii="Times New Roman"/>
                <w:sz w:val="18"/>
              </w:rPr>
              <w:t>66,698,211.70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60,181,884.56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18,842,336.00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942,116.80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14,720,996.34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5,654,189.22</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8,843,200.00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630,520.16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8,174,312.73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6,533,728.17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117,279,056.77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42.34%</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19,755,750.09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20,154,615.81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3,244,540.27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1,857,248.85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1,554,526.71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631,595.39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390,675.08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255,335.04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24,945,492.15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22,898,795.09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085"/>
        <w:gridCol w:w="2979"/>
        <w:gridCol w:w="2657"/>
      </w:tblGrid>
      <w:tr>
        <w:trPr>
          <w:trHeight w:val="34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085"/>
        <w:gridCol w:w="2979"/>
        <w:gridCol w:w="2657"/>
      </w:tblGrid>
      <w:tr>
        <w:trPr>
          <w:trHeight w:val="660"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Times New Roman" w:hAnsi="Times New Roman" w:cs="Times New Roman" w:eastAsia="Times New Roman" w:hint="default"/>
                <w:sz w:val="18"/>
                <w:szCs w:val="18"/>
              </w:rPr>
            </w:pPr>
            <w:r>
              <w:rPr>
                <w:rFonts w:ascii="Times New Roman"/>
                <w:sz w:val="18"/>
              </w:rPr>
              <w:t>8,073,895.45</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Times New Roman" w:hAnsi="Times New Roman" w:cs="Times New Roman" w:eastAsia="Times New Roman" w:hint="default"/>
                <w:sz w:val="18"/>
                <w:szCs w:val="18"/>
              </w:rPr>
            </w:pPr>
            <w:r>
              <w:rPr>
                <w:rFonts w:ascii="Times New Roman"/>
                <w:sz w:val="18"/>
              </w:rPr>
              <w:t>32.37</w:t>
            </w:r>
          </w:p>
        </w:tc>
      </w:tr>
      <w:tr>
        <w:trPr>
          <w:trHeight w:val="65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sz w:val="18"/>
              </w:rPr>
              <w:t>1,150,486.95</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sz w:val="18"/>
              </w:rPr>
              <w:t>4.61</w:t>
            </w:r>
          </w:p>
        </w:tc>
      </w:tr>
      <w:tr>
        <w:trPr>
          <w:trHeight w:val="660"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4" w:right="0"/>
              <w:jc w:val="left"/>
              <w:rPr>
                <w:rFonts w:ascii="Times New Roman" w:hAnsi="Times New Roman" w:cs="Times New Roman" w:eastAsia="Times New Roman" w:hint="default"/>
                <w:sz w:val="18"/>
                <w:szCs w:val="18"/>
              </w:rPr>
            </w:pPr>
            <w:r>
              <w:rPr>
                <w:rFonts w:ascii="Times New Roman"/>
                <w:sz w:val="18"/>
              </w:rPr>
              <w:t>780,000.00</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4" w:right="0"/>
              <w:jc w:val="left"/>
              <w:rPr>
                <w:rFonts w:ascii="Times New Roman" w:hAnsi="Times New Roman" w:cs="Times New Roman" w:eastAsia="Times New Roman" w:hint="default"/>
                <w:sz w:val="18"/>
                <w:szCs w:val="18"/>
              </w:rPr>
            </w:pPr>
            <w:r>
              <w:rPr>
                <w:rFonts w:ascii="Times New Roman"/>
                <w:sz w:val="18"/>
              </w:rPr>
              <w:t>3.13</w:t>
            </w:r>
          </w:p>
        </w:tc>
      </w:tr>
      <w:tr>
        <w:trPr>
          <w:trHeight w:val="65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sz w:val="18"/>
              </w:rPr>
              <w:t>754,450.00</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sz w:val="18"/>
              </w:rPr>
              <w:t>3.02</w:t>
            </w:r>
          </w:p>
        </w:tc>
      </w:tr>
      <w:tr>
        <w:trPr>
          <w:trHeight w:val="660"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5</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4" w:right="0"/>
              <w:jc w:val="left"/>
              <w:rPr>
                <w:rFonts w:ascii="Times New Roman" w:hAnsi="Times New Roman" w:cs="Times New Roman" w:eastAsia="Times New Roman" w:hint="default"/>
                <w:sz w:val="18"/>
                <w:szCs w:val="18"/>
              </w:rPr>
            </w:pPr>
            <w:r>
              <w:rPr>
                <w:rFonts w:ascii="Times New Roman"/>
                <w:sz w:val="18"/>
              </w:rPr>
              <w:t>753,916.62</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4" w:right="0"/>
              <w:jc w:val="left"/>
              <w:rPr>
                <w:rFonts w:ascii="Times New Roman" w:hAnsi="Times New Roman" w:cs="Times New Roman" w:eastAsia="Times New Roman" w:hint="default"/>
                <w:sz w:val="18"/>
                <w:szCs w:val="18"/>
              </w:rPr>
            </w:pPr>
            <w:r>
              <w:rPr>
                <w:rFonts w:ascii="Times New Roman"/>
                <w:sz w:val="18"/>
              </w:rPr>
              <w:t>3.02</w:t>
            </w:r>
          </w:p>
        </w:tc>
      </w:tr>
      <w:tr>
        <w:trPr>
          <w:trHeight w:val="660"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sz w:val="18"/>
              </w:rPr>
              <w:t>11,512,749.02</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sz w:val="18"/>
              </w:rPr>
              <w:t>46.15</w:t>
            </w:r>
          </w:p>
        </w:tc>
      </w:tr>
    </w:tbl>
    <w:p>
      <w:pPr>
        <w:spacing w:line="240" w:lineRule="auto" w:before="3"/>
        <w:rPr>
          <w:rFonts w:ascii="宋体" w:hAnsi="宋体" w:cs="宋体" w:eastAsia="宋体" w:hint="default"/>
          <w:b/>
          <w:bCs/>
          <w:sz w:val="24"/>
          <w:szCs w:val="24"/>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67,115,104.83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113,030,390.16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67,115,104.83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113,030,390.16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120,273,166.44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118,137,114.31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5,198,147.83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16,684,348.18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16,743,600.00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983,881.18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2,854,116.13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P2P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26,226,354.11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4,497,751.52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7,776,928.14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171,172,901.08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162,196,106.76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0"/>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23,443,978.60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4" w:right="0"/>
              <w:jc w:val="left"/>
              <w:rPr>
                <w:rFonts w:ascii="Times New Roman" w:hAnsi="Times New Roman" w:cs="Times New Roman" w:eastAsia="Times New Roman" w:hint="default"/>
                <w:sz w:val="18"/>
                <w:szCs w:val="18"/>
              </w:rPr>
            </w:pPr>
            <w:r>
              <w:rPr>
                <w:rFonts w:ascii="Times New Roman"/>
                <w:sz w:val="18"/>
              </w:rPr>
              <w:t>25,721,738.00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7" w:right="0"/>
              <w:jc w:val="left"/>
              <w:rPr>
                <w:rFonts w:ascii="Times New Roman" w:hAnsi="Times New Roman" w:cs="Times New Roman" w:eastAsia="Times New Roman" w:hint="default"/>
                <w:sz w:val="18"/>
                <w:szCs w:val="18"/>
              </w:rPr>
            </w:pPr>
            <w:r>
              <w:rPr>
                <w:rFonts w:ascii="Times New Roman"/>
                <w:sz w:val="18"/>
              </w:rPr>
              <w:t>49,165,716.60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0"/>
        <w:gridCol w:w="1805"/>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62,688,345.81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62,688,345.81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7,270,074.98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7,270,074.98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-526,191.18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-526,191.18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15,647,712.44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88,410,083.81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104,057,796.25</w:t>
            </w:r>
          </w:p>
        </w:tc>
      </w:tr>
    </w:tbl>
    <w:p>
      <w:pPr>
        <w:pStyle w:val="BodyText"/>
        <w:spacing w:line="240" w:lineRule="auto" w:before="49"/>
        <w:ind w:right="1133"/>
        <w:jc w:val="left"/>
      </w:pPr>
      <w:r>
        <w:rPr/>
        <w:t>损失准备本期变动金额重大的账面余额变动情况</w:t>
      </w:r>
    </w:p>
    <w:p>
      <w:pPr>
        <w:pStyle w:val="BodyText"/>
        <w:spacing w:line="328" w:lineRule="auto" w:before="115"/>
        <w:ind w:right="1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本期发生损失准备变动的其他应收款账面余额显著变动，主要由于评估为第三阶段的其他应收款计提坏账准备。 评估为第三阶段的其他应收款款项信息如下：</w:t>
      </w:r>
    </w:p>
    <w:tbl>
      <w:tblPr>
        <w:tblW w:w="0" w:type="auto"/>
        <w:jc w:val="left"/>
        <w:tblInd w:w="145" w:type="dxa"/>
        <w:tblLayout w:type="fixed"/>
        <w:tblCellMar>
          <w:top w:w="0" w:type="dxa"/>
          <w:left w:w="0" w:type="dxa"/>
          <w:bottom w:w="0" w:type="dxa"/>
          <w:right w:w="0" w:type="dxa"/>
        </w:tblCellMar>
        <w:tblLook w:val="01E0"/>
      </w:tblPr>
      <w:tblGrid>
        <w:gridCol w:w="2475"/>
        <w:gridCol w:w="1321"/>
        <w:gridCol w:w="1277"/>
        <w:gridCol w:w="992"/>
        <w:gridCol w:w="1133"/>
        <w:gridCol w:w="1702"/>
      </w:tblGrid>
      <w:tr>
        <w:trPr>
          <w:trHeight w:val="667" w:hRule="exact"/>
        </w:trPr>
        <w:tc>
          <w:tcPr>
            <w:tcW w:w="24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82"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335" w:right="14"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 率</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划分理由</w:t>
            </w:r>
          </w:p>
        </w:tc>
      </w:tr>
      <w:tr>
        <w:trPr>
          <w:trHeight w:val="351"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五洋建设集团股份有限公司</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36,745,340.00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36,745,340.00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353"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浙江霖优航生物制药有限公司</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18,685,995.39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62.29</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353"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浙江易健生物制品有限公司</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6,228,665.13</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62.29</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350"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P2P</w:t>
            </w:r>
            <w:r>
              <w:rPr>
                <w:rFonts w:ascii="宋体" w:hAnsi="宋体" w:cs="宋体" w:eastAsia="宋体" w:hint="default"/>
                <w:sz w:val="18"/>
                <w:szCs w:val="18"/>
              </w:rPr>
              <w:t>平台代垫款</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26,226,354.11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20,981,083.29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665"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0"/>
              <w:jc w:val="left"/>
              <w:rPr>
                <w:rFonts w:ascii="宋体" w:hAnsi="宋体" w:cs="宋体" w:eastAsia="宋体" w:hint="default"/>
                <w:sz w:val="18"/>
                <w:szCs w:val="18"/>
              </w:rPr>
            </w:pPr>
            <w:r>
              <w:rPr>
                <w:rFonts w:ascii="宋体" w:hAnsi="宋体" w:cs="宋体" w:eastAsia="宋体" w:hint="default"/>
                <w:spacing w:val="9"/>
                <w:sz w:val="18"/>
                <w:szCs w:val="18"/>
              </w:rPr>
              <w:t>深圳市云影易投资管理有限责 </w:t>
            </w:r>
            <w:r>
              <w:rPr>
                <w:rFonts w:ascii="宋体" w:hAnsi="宋体" w:cs="宋体" w:eastAsia="宋体" w:hint="default"/>
                <w:sz w:val="18"/>
                <w:szCs w:val="18"/>
              </w:rPr>
              <w:t>任公司</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2,619,000.00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2,619,000.00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353"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全民歌星</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1,800,000.00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1,800,000.00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350"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广州市天影电影院有限公司</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1,350,000.00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1,350,000.00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已发生信用减值</w:t>
            </w:r>
          </w:p>
        </w:tc>
      </w:tr>
      <w:tr>
        <w:trPr>
          <w:trHeight w:val="353" w:hRule="exact"/>
        </w:trPr>
        <w:tc>
          <w:tcPr>
            <w:tcW w:w="2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108,740,694.11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88,410,083.81</w:t>
            </w:r>
          </w:p>
        </w:tc>
        <w:tc>
          <w:tcPr>
            <w:tcW w:w="992" w:type="dxa"/>
            <w:tcBorders>
              <w:top w:val="single" w:sz="12" w:space="0" w:color="000000"/>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ind w:right="1133"/>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55,822,486.80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8,321,315.39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58,762,650.83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48,266,448.06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5,427,914.14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28,180,824.50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14,657,709.42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171,172,901.08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340"/>
        <w:gridCol w:w="1332"/>
        <w:gridCol w:w="1332"/>
        <w:gridCol w:w="1325"/>
        <w:gridCol w:w="1726"/>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7"/>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36,745,340.00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36,745,340.00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18,685,995.39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26,226,354.11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20,981,083.29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6,228,665.13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1,600,242.00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109,503,294.11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84,241,325.81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133,097,294.03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133,097,294.03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146,812,622.19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146,812,622.19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6,385,496.30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6,385,496.30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1,004,453.38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1,004,453.38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564,734.32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564,734.32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347,127,797.65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79,204,054.37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267,923,743.28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368,343,587.54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368,343,587.54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487,175,322.30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79,204,054.37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407,971,267.93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516,160,663.11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516,160,663.11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79,204,054.37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79,204,054.37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79,204,054.37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79,204,054.37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2,013,749,067.62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448,817,708.15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79,204,054.37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2,115,438,978.12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267,923,743.28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合同资产的账面价值在本期内发生的重大变动金额和原因：</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1133"/>
        <w:jc w:val="left"/>
      </w:pPr>
      <w:r>
        <w:rPr/>
        <w:t>如是按照预期信用损失一般模型计提合同资产坏账准备，请参照其他应收款的披露方式披露坏账准备的相关信息：</w:t>
      </w:r>
    </w:p>
    <w:p>
      <w:pPr>
        <w:pStyle w:val="BodyText"/>
        <w:spacing w:line="340" w:lineRule="auto" w:before="11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一年内到期的长期应收款账面余额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143,968,427.17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199,050,387.47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减：一年内到期的长期应收款坏账准备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-16,483,293.03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-1,990,503.86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127,485,134.14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197,059,883.61</w:t>
            </w:r>
          </w:p>
        </w:tc>
      </w:tr>
    </w:tbl>
    <w:p>
      <w:pPr>
        <w:pStyle w:val="BodyText"/>
        <w:spacing w:line="240" w:lineRule="auto" w:before="49"/>
        <w:ind w:right="11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20,268,921.76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19,517,339.22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927,721.90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2,563,647.24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21,196,643.66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22,080,986.46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重要的债权投资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4"/>
        <w:gridCol w:w="1035"/>
        <w:gridCol w:w="1032"/>
        <w:gridCol w:w="1035"/>
        <w:gridCol w:w="1037"/>
      </w:tblGrid>
      <w:tr>
        <w:trPr>
          <w:trHeight w:val="1337"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33"/>
        <w:jc w:val="left"/>
      </w:pPr>
      <w:r>
        <w:rPr/>
        <w:t>重要的其他债权投资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3829"/>
        <w:gridCol w:w="3828"/>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3"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75,368,188.53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14,170,076.87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61,198,111.66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184,812,311.0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1,848,123.11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182,964,187.9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4.99-7.20</w:t>
            </w: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6,769,918.48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6,769,918.48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9,015,519.03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9,015,519.03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75,368,188.53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14,170,076.87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61,198,111.66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184,812,311.0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1,848,123.11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182,964,187.9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蜂助手股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67,113,57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13,136,60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2,787,131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82,080,12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广东汉鼎 蜂助手网 络技术有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-1,472,16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8,527,830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5"/>
              <w:jc w:val="left"/>
              <w:rPr>
                <w:rFonts w:ascii="Times New Roman" w:hAnsi="Times New Roman" w:cs="Times New Roman" w:eastAsia="Times New Roman" w:hint="default"/>
                <w:sz w:val="18"/>
                <w:szCs w:val="18"/>
              </w:rPr>
            </w:pPr>
            <w:r>
              <w:rPr>
                <w:rFonts w:ascii="Times New Roman"/>
                <w:spacing w:val="-3"/>
                <w:sz w:val="18"/>
              </w:rPr>
              <w:t>Weidai</w:t>
            </w:r>
            <w:r>
              <w:rPr>
                <w:rFonts w:ascii="Times New Roman"/>
                <w:sz w:val="18"/>
              </w:rPr>
              <w:t> Ltd.(Cay man Island)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760,702,1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59,774,24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5,097,546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649,982,8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175,591,1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649,982,8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51.37</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四川通普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9,752,421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9,450,464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837,568,1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71,284,16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5,259,803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649,982,8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2,639,690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275,649,5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649,982,8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51.37</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837,568,1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71,284,16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5,259,803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649,982,8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2,639,690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275,649,5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649,982,8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51.37</w:t>
            </w:r>
          </w:p>
        </w:tc>
      </w:tr>
    </w:tbl>
    <w:p>
      <w:pPr>
        <w:pStyle w:val="BodyText"/>
        <w:spacing w:line="240" w:lineRule="auto" w:before="49"/>
        <w:ind w:right="1133"/>
        <w:jc w:val="left"/>
      </w:pPr>
      <w:r>
        <w:rPr/>
        <w:t>其他说明</w:t>
      </w:r>
    </w:p>
    <w:p>
      <w:pPr>
        <w:pStyle w:val="BodyText"/>
        <w:spacing w:line="300" w:lineRule="auto" w:before="118"/>
        <w:ind w:right="1138"/>
        <w:jc w:val="left"/>
      </w:pPr>
      <w:r>
        <w:rPr/>
        <w:t>本公司投资的</w:t>
      </w:r>
      <w:r>
        <w:rPr>
          <w:rFonts w:ascii="Times New Roman" w:hAnsi="Times New Roman" w:cs="Times New Roman" w:eastAsia="Times New Roman" w:hint="default"/>
        </w:rPr>
        <w:t>Weidai Ltd.(Cayman</w:t>
      </w:r>
      <w:r>
        <w:rPr>
          <w:rFonts w:ascii="Times New Roman" w:hAnsi="Times New Roman" w:cs="Times New Roman" w:eastAsia="Times New Roman" w:hint="default"/>
          <w:spacing w:val="-8"/>
        </w:rPr>
        <w:t> </w:t>
      </w:r>
      <w:r>
        <w:rPr>
          <w:rFonts w:ascii="Times New Roman" w:hAnsi="Times New Roman" w:cs="Times New Roman" w:eastAsia="Times New Roman" w:hint="default"/>
        </w:rPr>
        <w:t>Island)</w:t>
      </w:r>
      <w:r>
        <w:rPr/>
        <w:t>，受监管政策影响，在</w:t>
      </w:r>
      <w:r>
        <w:rPr>
          <w:rFonts w:ascii="Times New Roman" w:hAnsi="Times New Roman" w:cs="Times New Roman" w:eastAsia="Times New Roman" w:hint="default"/>
        </w:rPr>
        <w:t>2019</w:t>
      </w:r>
      <w:r>
        <w:rPr/>
        <w:t>年其股价持续下跌，公司综合判断认为该项投资存在减 值迹象，经评估其可收回金额为</w:t>
      </w:r>
      <w:r>
        <w:rPr>
          <w:rFonts w:ascii="Times New Roman" w:hAnsi="Times New Roman" w:cs="Times New Roman" w:eastAsia="Times New Roman" w:hint="default"/>
        </w:rPr>
        <w:t>175,591,124.78</w:t>
      </w:r>
      <w:r>
        <w:rPr/>
        <w:t>元，本期计提减值准备</w:t>
      </w:r>
      <w:r>
        <w:rPr>
          <w:rFonts w:ascii="Times New Roman" w:hAnsi="Times New Roman" w:cs="Times New Roman" w:eastAsia="Times New Roman" w:hint="default"/>
        </w:rPr>
        <w:t>649,982,851.37</w:t>
      </w:r>
      <w:r>
        <w:rPr/>
        <w:t>元。</w:t>
      </w:r>
    </w:p>
    <w:p>
      <w:pPr>
        <w:spacing w:line="240" w:lineRule="auto" w:before="4"/>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北京数想科技有限公司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深圳南洋码头网络科技有限公司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11,525,460.00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11,525,460.00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上海保险交易所股份有限公司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浙江大数据交易中心有限公司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浙江炬链科技股份有限公司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海润影视制作有限公司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103,394,800.00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103,394,800.00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杭州火剧科技有限公司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宿迁汉鼎锦绣投资管理合伙企业（有限 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深圳市云影易投资管理有限责任公司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FACE</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49,045,967.53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48,251,524.38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Creative X</w:t>
            </w:r>
            <w:r>
              <w:rPr>
                <w:rFonts w:ascii="Times New Roman"/>
                <w:spacing w:val="-5"/>
                <w:sz w:val="18"/>
              </w:rPr>
              <w:t> </w:t>
            </w:r>
            <w:r>
              <w:rPr>
                <w:rFonts w:ascii="Times New Roman"/>
                <w:sz w:val="18"/>
              </w:rPr>
              <w:t>Co.,Ltd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6,785,383.70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6,675,474.53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CareConnectors.lnc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MacArthur Court Acquisition</w:t>
            </w:r>
            <w:r>
              <w:rPr>
                <w:rFonts w:ascii="Times New Roman"/>
                <w:spacing w:val="-19"/>
                <w:sz w:val="18"/>
              </w:rPr>
              <w:t> </w:t>
            </w:r>
            <w:r>
              <w:rPr>
                <w:rFonts w:ascii="Times New Roman"/>
                <w:sz w:val="18"/>
              </w:rPr>
              <w:t>Corp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266,317,331.98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57,491,310.60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浙江中城智慧城市规划咨询有限公司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2,056,532.73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2,056,532.73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上海鹍远生物技术有限公司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浙江慧居智能家居有限公司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苏州恒动生物制药有限公司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上海朵洲教育科技有限公司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Xynomic Pharmaceuticals</w:t>
            </w:r>
            <w:r>
              <w:rPr>
                <w:rFonts w:ascii="Times New Roman"/>
                <w:spacing w:val="-12"/>
                <w:sz w:val="18"/>
              </w:rPr>
              <w:t> </w:t>
            </w:r>
            <w:r>
              <w:rPr>
                <w:rFonts w:ascii="Times New Roman"/>
                <w:sz w:val="18"/>
              </w:rPr>
              <w:t>Holdings,Inc.</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11,025,280.00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521,891,975.94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339,380,382.24</w:t>
            </w:r>
          </w:p>
        </w:tc>
      </w:tr>
    </w:tbl>
    <w:p>
      <w:pPr>
        <w:pStyle w:val="BodyText"/>
        <w:spacing w:line="240" w:lineRule="auto" w:before="49"/>
        <w:ind w:right="1133"/>
        <w:jc w:val="left"/>
      </w:pPr>
      <w:r>
        <w:rPr/>
        <w:t>其他说明：</w:t>
      </w:r>
    </w:p>
    <w:p>
      <w:pPr>
        <w:pStyle w:val="BodyText"/>
        <w:spacing w:line="240" w:lineRule="auto" w:before="115"/>
        <w:ind w:right="11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Xynomic Pharmaceuticals</w:t>
      </w:r>
      <w:r>
        <w:rPr>
          <w:rFonts w:ascii="Times New Roman" w:hAnsi="Times New Roman" w:cs="Times New Roman" w:eastAsia="Times New Roman" w:hint="default"/>
          <w:spacing w:val="-15"/>
        </w:rPr>
        <w:t> </w:t>
      </w:r>
      <w:r>
        <w:rPr>
          <w:rFonts w:ascii="Times New Roman" w:hAnsi="Times New Roman" w:cs="Times New Roman" w:eastAsia="Times New Roman" w:hint="default"/>
        </w:rPr>
        <w:t>Holdings,Inc.</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日正式在纳斯达克交易所上市交易，公司将其从其他非流动金融资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产重分类至交易性金融资产。</w:t>
      </w:r>
    </w:p>
    <w:p>
      <w:pPr>
        <w:pStyle w:val="BodyText"/>
        <w:spacing w:line="300" w:lineRule="auto" w:before="77"/>
        <w:ind w:right="102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日起，公司将持有的</w:t>
      </w:r>
      <w:r>
        <w:rPr>
          <w:rFonts w:ascii="Times New Roman" w:hAnsi="Times New Roman" w:cs="Times New Roman" w:eastAsia="Times New Roman" w:hint="default"/>
        </w:rPr>
        <w:t>MacArthur Court Acquisition</w:t>
      </w:r>
      <w:r>
        <w:rPr>
          <w:rFonts w:ascii="Times New Roman" w:hAnsi="Times New Roman" w:cs="Times New Roman" w:eastAsia="Times New Roman" w:hint="default"/>
          <w:spacing w:val="-4"/>
        </w:rPr>
        <w:t> </w:t>
      </w:r>
      <w:r>
        <w:rPr>
          <w:rFonts w:ascii="Times New Roman" w:hAnsi="Times New Roman" w:cs="Times New Roman" w:eastAsia="Times New Roman" w:hint="default"/>
        </w:rPr>
        <w:t>Corp</w:t>
      </w:r>
      <w:r>
        <w:rPr/>
        <w:t>股权投资重分类为</w:t>
      </w:r>
      <w:r>
        <w:rPr>
          <w:rFonts w:ascii="Times New Roman" w:hAnsi="Times New Roman" w:cs="Times New Roman" w:eastAsia="Times New Roman" w:hint="default"/>
        </w:rPr>
        <w:t>“</w:t>
      </w:r>
      <w:r>
        <w:rPr/>
        <w:t>以公允价值计量且其变动计入当期 损益的金融资产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MCAC</w:t>
      </w:r>
      <w:r>
        <w:rPr/>
        <w:t>采取第三层次的估值技术</w:t>
      </w:r>
      <w:r>
        <w:rPr>
          <w:rFonts w:ascii="Times New Roman" w:hAnsi="Times New Roman" w:cs="Times New Roman" w:eastAsia="Times New Roman" w:hint="default"/>
        </w:rPr>
        <w:t>—</w:t>
      </w:r>
      <w:r>
        <w:rPr/>
        <w:t>最近融资价格法。</w:t>
      </w:r>
      <w:r>
        <w:rPr>
          <w:rFonts w:ascii="Times New Roman" w:hAnsi="Times New Roman" w:cs="Times New Roman" w:eastAsia="Times New Roman" w:hint="default"/>
        </w:rPr>
        <w:t>2019</w:t>
      </w:r>
      <w:r>
        <w:rPr/>
        <w:t>年一季度，</w:t>
      </w:r>
      <w:r>
        <w:rPr>
          <w:rFonts w:ascii="Times New Roman" w:hAnsi="Times New Roman" w:cs="Times New Roman" w:eastAsia="Times New Roman" w:hint="default"/>
        </w:rPr>
        <w:t>CHINESE COMMUNITY</w:t>
      </w:r>
      <w:r>
        <w:rPr>
          <w:rFonts w:ascii="Times New Roman" w:hAnsi="Times New Roman" w:cs="Times New Roman" w:eastAsia="Times New Roman" w:hint="default"/>
          <w:spacing w:val="-4"/>
        </w:rPr>
        <w:t> </w:t>
      </w:r>
      <w:r>
        <w:rPr>
          <w:rFonts w:ascii="Times New Roman" w:hAnsi="Times New Roman" w:cs="Times New Roman" w:eastAsia="Times New Roman" w:hint="default"/>
        </w:rPr>
        <w:t>HEALTH</w:t>
      </w:r>
      <w:r>
        <w:rPr>
          <w:rFonts w:ascii="Times New Roman" w:hAnsi="Times New Roman" w:cs="Times New Roman" w:eastAsia="Times New Roman" w:hint="default"/>
          <w:w w:val="99"/>
        </w:rPr>
        <w:t> </w:t>
      </w:r>
      <w:r>
        <w:rPr>
          <w:rFonts w:ascii="Times New Roman" w:hAnsi="Times New Roman" w:cs="Times New Roman" w:eastAsia="Times New Roman" w:hint="default"/>
        </w:rPr>
        <w:t>CARE ASSOCIATION</w:t>
      </w:r>
      <w:r>
        <w:rPr/>
        <w:t>（一家位于加利福利亚的非营利性互益法人）以</w:t>
      </w:r>
      <w:r>
        <w:rPr>
          <w:rFonts w:ascii="Times New Roman" w:hAnsi="Times New Roman" w:cs="Times New Roman" w:eastAsia="Times New Roman" w:hint="default"/>
        </w:rPr>
        <w:t>5</w:t>
      </w:r>
      <w:r>
        <w:rPr/>
        <w:t>美元</w:t>
      </w:r>
      <w:r>
        <w:rPr>
          <w:rFonts w:ascii="Times New Roman" w:hAnsi="Times New Roman" w:cs="Times New Roman" w:eastAsia="Times New Roman" w:hint="default"/>
        </w:rPr>
        <w:t>/</w:t>
      </w:r>
      <w:r>
        <w:rPr/>
        <w:t>股价格购买</w:t>
      </w:r>
      <w:r>
        <w:rPr>
          <w:rFonts w:ascii="Times New Roman" w:hAnsi="Times New Roman" w:cs="Times New Roman" w:eastAsia="Times New Roman" w:hint="default"/>
        </w:rPr>
        <w:t>MCAC</w:t>
      </w:r>
      <w:r>
        <w:rPr/>
        <w:t>发行的</w:t>
      </w:r>
      <w:r>
        <w:rPr>
          <w:rFonts w:ascii="Times New Roman" w:hAnsi="Times New Roman" w:cs="Times New Roman" w:eastAsia="Times New Roman" w:hint="default"/>
        </w:rPr>
        <w:t>B</w:t>
      </w:r>
      <w:r>
        <w:rPr/>
        <w:t>类普通股</w:t>
      </w:r>
      <w:r>
        <w:rPr>
          <w:rFonts w:ascii="Times New Roman" w:hAnsi="Times New Roman" w:cs="Times New Roman" w:eastAsia="Times New Roman" w:hint="default"/>
        </w:rPr>
        <w:t>100</w:t>
      </w:r>
      <w:r>
        <w:rPr/>
        <w:t>万股， 一定程度上可以代表</w:t>
      </w:r>
      <w:r>
        <w:rPr>
          <w:rFonts w:ascii="Times New Roman" w:hAnsi="Times New Roman" w:cs="Times New Roman" w:eastAsia="Times New Roman" w:hint="default"/>
        </w:rPr>
        <w:t>MCAC</w:t>
      </w:r>
      <w:r>
        <w:rPr/>
        <w:t>的市场估值。公司在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季报中，按照</w:t>
      </w:r>
      <w:r>
        <w:rPr>
          <w:rFonts w:ascii="Times New Roman" w:hAnsi="Times New Roman" w:cs="Times New Roman" w:eastAsia="Times New Roman" w:hint="default"/>
        </w:rPr>
        <w:t>MCAC</w:t>
      </w:r>
      <w:r>
        <w:rPr/>
        <w:t>融资估值的</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3.75</w:t>
      </w:r>
      <w:r>
        <w:rPr/>
        <w:t>美元</w:t>
      </w:r>
      <w:r>
        <w:rPr>
          <w:rFonts w:ascii="Times New Roman" w:hAnsi="Times New Roman" w:cs="Times New Roman" w:eastAsia="Times New Roman" w:hint="default"/>
        </w:rPr>
        <w:t>/</w:t>
      </w:r>
      <w:r>
        <w:rPr/>
        <w:t>股重估公司持有的 </w:t>
      </w:r>
      <w:r>
        <w:rPr>
          <w:rFonts w:ascii="Times New Roman" w:hAnsi="Times New Roman" w:cs="Times New Roman" w:eastAsia="Times New Roman" w:hint="default"/>
        </w:rPr>
        <w:t>MCAC</w:t>
      </w:r>
      <w:r>
        <w:rPr/>
        <w:t>股权价值。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Afilliated</w:t>
      </w:r>
      <w:r>
        <w:rPr>
          <w:rFonts w:ascii="Times New Roman" w:hAnsi="Times New Roman" w:cs="Times New Roman" w:eastAsia="Times New Roman" w:hint="default"/>
          <w:spacing w:val="-27"/>
        </w:rPr>
        <w:t> </w:t>
      </w:r>
      <w:r>
        <w:rPr>
          <w:rFonts w:ascii="Times New Roman" w:hAnsi="Times New Roman" w:cs="Times New Roman" w:eastAsia="Times New Roman" w:hint="default"/>
        </w:rPr>
        <w:t>IPA</w:t>
      </w:r>
      <w:r>
        <w:rPr>
          <w:rFonts w:ascii="Times New Roman" w:hAnsi="Times New Roman" w:cs="Times New Roman" w:eastAsia="Times New Roman" w:hint="default"/>
          <w:spacing w:val="-28"/>
        </w:rPr>
        <w:t> </w:t>
      </w:r>
      <w:r>
        <w:rPr>
          <w:rFonts w:ascii="Times New Roman" w:hAnsi="Times New Roman" w:cs="Times New Roman" w:eastAsia="Times New Roman" w:hint="default"/>
        </w:rPr>
        <w:t>INC</w:t>
      </w:r>
      <w:r>
        <w:rPr/>
        <w:t>（一家营利性的医生组织）以</w:t>
      </w:r>
      <w:r>
        <w:rPr>
          <w:rFonts w:ascii="Times New Roman" w:hAnsi="Times New Roman" w:cs="Times New Roman" w:eastAsia="Times New Roman" w:hint="default"/>
        </w:rPr>
        <w:t>5</w:t>
      </w:r>
      <w:r>
        <w:rPr/>
        <w:t>美元</w:t>
      </w:r>
      <w:r>
        <w:rPr>
          <w:rFonts w:ascii="Times New Roman" w:hAnsi="Times New Roman" w:cs="Times New Roman" w:eastAsia="Times New Roman" w:hint="default"/>
        </w:rPr>
        <w:t>/</w:t>
      </w:r>
      <w:r>
        <w:rPr/>
        <w:t>股的价格对</w:t>
      </w:r>
      <w:r>
        <w:rPr>
          <w:rFonts w:ascii="Times New Roman" w:hAnsi="Times New Roman" w:cs="Times New Roman" w:eastAsia="Times New Roman" w:hint="default"/>
        </w:rPr>
        <w:t>MCAC</w:t>
      </w:r>
      <w:r>
        <w:rPr/>
        <w:t>增资</w:t>
      </w:r>
      <w:r>
        <w:rPr>
          <w:rFonts w:ascii="Times New Roman" w:hAnsi="Times New Roman" w:cs="Times New Roman" w:eastAsia="Times New Roman" w:hint="default"/>
        </w:rPr>
        <w:t>300</w:t>
      </w:r>
      <w:r>
        <w:rPr/>
        <w:t>万美元。 公司</w:t>
      </w:r>
      <w:r>
        <w:rPr>
          <w:rFonts w:ascii="Times New Roman" w:hAnsi="Times New Roman" w:cs="Times New Roman" w:eastAsia="Times New Roman" w:hint="default"/>
        </w:rPr>
        <w:t>2019</w:t>
      </w:r>
      <w:r>
        <w:rPr/>
        <w:t>年度半年报中，认为</w:t>
      </w:r>
      <w:r>
        <w:rPr>
          <w:rFonts w:ascii="Times New Roman" w:hAnsi="Times New Roman" w:cs="Times New Roman" w:eastAsia="Times New Roman" w:hint="default"/>
        </w:rPr>
        <w:t>5</w:t>
      </w:r>
      <w:r>
        <w:rPr/>
        <w:t>美元</w:t>
      </w:r>
      <w:r>
        <w:rPr>
          <w:rFonts w:ascii="Times New Roman" w:hAnsi="Times New Roman" w:cs="Times New Roman" w:eastAsia="Times New Roman" w:hint="default"/>
        </w:rPr>
        <w:t>/</w:t>
      </w:r>
      <w:r>
        <w:rPr/>
        <w:t>股的价格一定程度上可以代表</w:t>
      </w:r>
      <w:r>
        <w:rPr>
          <w:rFonts w:ascii="Times New Roman" w:hAnsi="Times New Roman" w:cs="Times New Roman" w:eastAsia="Times New Roman" w:hint="default"/>
        </w:rPr>
        <w:t>MCAC</w:t>
      </w:r>
      <w:r>
        <w:rPr/>
        <w:t>的市场估值，按照</w:t>
      </w:r>
      <w:r>
        <w:rPr>
          <w:rFonts w:ascii="Times New Roman" w:hAnsi="Times New Roman" w:cs="Times New Roman" w:eastAsia="Times New Roman" w:hint="default"/>
        </w:rPr>
        <w:t>5</w:t>
      </w:r>
      <w:r>
        <w:rPr/>
        <w:t>美元</w:t>
      </w:r>
      <w:r>
        <w:rPr>
          <w:rFonts w:ascii="Times New Roman" w:hAnsi="Times New Roman" w:cs="Times New Roman" w:eastAsia="Times New Roman" w:hint="default"/>
        </w:rPr>
        <w:t>/</w:t>
      </w:r>
      <w:r>
        <w:rPr/>
        <w:t>股重估公司持有的</w:t>
      </w:r>
      <w:r>
        <w:rPr>
          <w:rFonts w:ascii="Times New Roman" w:hAnsi="Times New Roman" w:cs="Times New Roman" w:eastAsia="Times New Roman" w:hint="default"/>
        </w:rPr>
        <w:t>MCAC </w:t>
      </w:r>
      <w:r>
        <w:rPr>
          <w:spacing w:val="-2"/>
        </w:rPr>
        <w:t>股权价值。公司</w:t>
      </w:r>
      <w:r>
        <w:rPr>
          <w:rFonts w:ascii="Times New Roman" w:hAnsi="Times New Roman" w:cs="Times New Roman" w:eastAsia="Times New Roman" w:hint="default"/>
          <w:spacing w:val="-2"/>
        </w:rPr>
        <w:t>2019</w:t>
      </w:r>
      <w:r>
        <w:rPr>
          <w:spacing w:val="-2"/>
        </w:rPr>
        <w:t>年度报告中，根据坤元资产评估有限公司出具的《汉鼎宇佑互联网股份有限公司拟了解企业价值涉及的</w:t>
      </w:r>
      <w:r>
        <w:rPr>
          <w:spacing w:val="-61"/>
        </w:rPr>
        <w:t> </w:t>
      </w:r>
      <w:r>
        <w:rPr>
          <w:spacing w:val="-61"/>
        </w:rPr>
      </w:r>
      <w:r>
        <w:rPr>
          <w:rFonts w:ascii="Times New Roman" w:hAnsi="Times New Roman" w:cs="Times New Roman" w:eastAsia="Times New Roman" w:hint="default"/>
        </w:rPr>
        <w:t>Mac Arthur Court Acquisition</w:t>
      </w:r>
      <w:r>
        <w:rPr>
          <w:rFonts w:ascii="Times New Roman" w:hAnsi="Times New Roman" w:cs="Times New Roman" w:eastAsia="Times New Roman" w:hint="default"/>
          <w:spacing w:val="-4"/>
        </w:rPr>
        <w:t> </w:t>
      </w:r>
      <w:r>
        <w:rPr>
          <w:rFonts w:ascii="Times New Roman" w:hAnsi="Times New Roman" w:cs="Times New Roman" w:eastAsia="Times New Roman" w:hint="default"/>
        </w:rPr>
        <w:t>Corp</w:t>
      </w:r>
      <w:r>
        <w:rPr/>
        <w:t>股东全部权益价值咨询项目价值分析报告》（坤元评咨</w:t>
      </w:r>
      <w:r>
        <w:rPr>
          <w:rFonts w:ascii="Times New Roman" w:hAnsi="Times New Roman" w:cs="Times New Roman" w:eastAsia="Times New Roman" w:hint="default"/>
        </w:rPr>
        <w:t>[2020]18</w:t>
      </w:r>
      <w:r>
        <w:rPr/>
        <w:t>号）中的价值分析结论， 认定</w:t>
      </w:r>
      <w:r>
        <w:rPr>
          <w:rFonts w:ascii="Times New Roman" w:hAnsi="Times New Roman" w:cs="Times New Roman" w:eastAsia="Times New Roman" w:hint="default"/>
        </w:rPr>
        <w:t>MCAC</w:t>
      </w:r>
      <w:r>
        <w:rPr/>
        <w:t>的市场估值为</w:t>
      </w:r>
      <w:r>
        <w:rPr>
          <w:rFonts w:ascii="Times New Roman" w:hAnsi="Times New Roman" w:cs="Times New Roman" w:eastAsia="Times New Roman" w:hint="default"/>
        </w:rPr>
        <w:t>4.67</w:t>
      </w:r>
      <w:r>
        <w:rPr/>
        <w:t>美元</w:t>
      </w:r>
      <w:r>
        <w:rPr>
          <w:rFonts w:ascii="Times New Roman" w:hAnsi="Times New Roman" w:cs="Times New Roman" w:eastAsia="Times New Roman" w:hint="default"/>
        </w:rPr>
        <w:t>/</w:t>
      </w:r>
      <w:r>
        <w:rPr/>
        <w:t>股，并以此重估公司持有的</w:t>
      </w:r>
      <w:r>
        <w:rPr>
          <w:rFonts w:ascii="Times New Roman" w:hAnsi="Times New Roman" w:cs="Times New Roman" w:eastAsia="Times New Roman" w:hint="default"/>
        </w:rPr>
        <w:t>MCAC</w:t>
      </w:r>
      <w:r>
        <w:rPr/>
        <w:t>股权价值。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169,011,807.99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169,011,807.99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62,337,207.97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62,337,207.97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62,337,207.97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62,337,207.97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231,349,015.96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231,349,015.96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33,504,516.75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33,504,516.75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15,892,677.33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15,892,677.33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9,542,126.73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9,542,126.73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6,350,550.60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6,350,550.60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49,397,194.08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49,397,194.08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181,951,821.88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181,951,821.88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135,507,291.24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135,507,291.24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180,050,688.32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249,313,578.79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180,050,688.32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249,313,578.79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218,324,774.32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37,893,632.85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13,481,183.72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37,229,903.48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306,929,494.37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2,611,491.26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6,011,970.33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1,213,325.95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9,956,787.54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5,103,725.33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1,213,325.95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6,437,051.28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2,611,491.26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908,245.00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3,519,736.26</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62,337,207.97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4,451,454.95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4,017,571.88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70,806,234.80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4,451,454.95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4,017,571.88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8,469,026.83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firstLine="634"/>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）转入投</w:t>
            </w:r>
            <w:r>
              <w:rPr>
                <w:rFonts w:ascii="宋体" w:hAnsi="宋体" w:cs="宋体" w:eastAsia="宋体" w:hint="default"/>
                <w:sz w:val="18"/>
                <w:szCs w:val="18"/>
              </w:rPr>
              <w:t>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62,337,207.97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62,337,207.97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158,599,057.61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39,454,148.23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13,601,183.72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34,425,657.55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246,080,047.11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18,528,859.15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7,720,590.58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10,102,315.82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21,264,150.03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57,615,915.58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9,938,227.75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5,884,055.26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825,614.76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4,121,888.85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20,769,786.62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9,938,227.75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5,884,055.26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825,614.76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4,121,888.85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20,769,786.62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6,350,550.60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2,602,663.91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3,957,706.53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12,910,921.04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2,602,663.91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3,957,706.53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6,560,370.44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firstLine="634"/>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）转入投</w:t>
            </w:r>
            <w:r>
              <w:rPr>
                <w:rFonts w:ascii="宋体" w:hAnsi="宋体" w:cs="宋体" w:eastAsia="宋体" w:hint="default"/>
                <w:sz w:val="18"/>
                <w:szCs w:val="18"/>
              </w:rPr>
              <w:t>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6,350,550.60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6,350,550.60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22,116,536.30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11,001,981.93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10,927,930.58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21,428,332.35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65,474,781.16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554,577.63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554,577.63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554,577.63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554,577.63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554,577.63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554,577.63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136,482,521.31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27,897,588.67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2,673,253.14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12,997,325.20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180,050,688.32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199,795,915.17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30,173,042.27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3,378,867.90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15,965,753.45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249,313,578.79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子公司浙江汉鼎宇佑金融服务有限公司 位于北京绿地中心的房产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92,909,500.00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5"/>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4"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4,961,165.80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5,117,265.80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356,094.51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356,094.51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2,983,000.00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4"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）失 效且终止确认的部 分</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2,427,260.31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2,490,360.31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3,930,631.48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4,086,731.48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310,967.85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310,967.85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310,967.85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310,967.85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）失 效且终止确认的部 分</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1,414,699.33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1,075,660.98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1,075,660.98</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1,030,534.32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1,030,534.32</w:t>
            </w:r>
          </w:p>
        </w:tc>
      </w:tr>
    </w:tbl>
    <w:p>
      <w:pPr>
        <w:pStyle w:val="BodyText"/>
        <w:spacing w:line="240" w:lineRule="auto" w:before="49"/>
        <w:ind w:right="113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8"/>
        <w:gridCol w:w="1063"/>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3"/>
        <w:gridCol w:w="1064"/>
        <w:gridCol w:w="1061"/>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8"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50"/>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杭州星影电影院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14,631,308.14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14,631,308.14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乐清时代电影放 映有限公司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13,117,198.28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13,117,198.28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深圳星海太平洋 影业投资有限公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32,712,462.09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32,712,462.09</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山西镁乐文化传 媒有限公司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7,658,780.48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8,128,780.48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杭州超象娱乐管 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5,738,294.94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5,738,294.94</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陆川县汉鼎宇佑 影城有限责任公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4,493,952.21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4,493,952.21</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上林县汉鼎宇佑 影城有限责任公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6,531,831.10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6,531,831.10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长沙祖安文化传 播有限公司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江油市辉煌影业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1,382,723.05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307,878.48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1,690,601.53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好医友医疗科技 集团有限公司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6,435,598.77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6,435,598.77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93,890,149.06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777,878.48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94,668,027.54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杭州星影电影院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14,631,308.14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14,631,308.14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乐清时代电影放 映有限公司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7,150,872.61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5,966,325.67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13,117,198.28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深圳星海太平洋 影业投资有限公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30,659,786.06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30,659,786.06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山西镁乐文化传 媒有限公司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8,128,780.48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8,128,780.48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杭州超象娱乐管 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5,738,294.94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5,738,294.94</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陆川县汉鼎宇佑 影城有限责任公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4,493,952.21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4,493,952.21</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上林县汉鼎宇佑 影城有限责任公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4,567,858.97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4,567,858.97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长沙祖安文化传 播有限公司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江油市辉煌影业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643,870.72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643,870.72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好医友医疗科技 集团有限公司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3,593,046.22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3,593,046.22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21,782,180.75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64,979,915.27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86,762,096.02</w:t>
            </w:r>
          </w:p>
        </w:tc>
      </w:tr>
    </w:tbl>
    <w:p>
      <w:pPr>
        <w:pStyle w:val="BodyText"/>
        <w:spacing w:line="338" w:lineRule="auto" w:before="49"/>
        <w:ind w:right="986"/>
        <w:jc w:val="left"/>
      </w:pPr>
      <w:r>
        <w:rPr/>
        <w:t>商誉所在资产组或资产组组合的相关信息 </w:t>
      </w:r>
      <w:r>
        <w:rPr>
          <w:spacing w:val="-2"/>
        </w:rPr>
        <w:t>各资产组与购买日及以前年度商誉减值测试时所确定的资产组一致，范围包括组成资产组的固定资产、无形资产等长期资产</w:t>
      </w:r>
      <w:r>
        <w:rPr>
          <w:spacing w:val="-62"/>
        </w:rPr>
        <w:t> </w:t>
      </w:r>
      <w:r>
        <w:rPr>
          <w:spacing w:val="-62"/>
        </w:rPr>
      </w:r>
      <w:r>
        <w:rPr/>
        <w:t>及其他相关经营性资产。</w:t>
      </w:r>
    </w:p>
    <w:p>
      <w:pPr>
        <w:pStyle w:val="BodyText"/>
        <w:spacing w:line="316" w:lineRule="auto" w:before="3"/>
        <w:ind w:right="986"/>
        <w:jc w:val="left"/>
      </w:pPr>
      <w:r>
        <w:rPr>
          <w:spacing w:val="-2"/>
        </w:rPr>
        <w:t>上述深圳星海太平洋影业投资有限公司、好医友医疗科技集团有限公司预计未来现金流量现值（可收回金额）利用了外部评</w:t>
      </w:r>
      <w:r>
        <w:rPr>
          <w:spacing w:val="-66"/>
        </w:rPr>
        <w:t> </w:t>
      </w:r>
      <w:r>
        <w:rPr>
          <w:spacing w:val="-66"/>
        </w:rPr>
      </w:r>
      <w:r>
        <w:rPr/>
        <w:t>估机构评估报告的评估结果。</w:t>
      </w:r>
    </w:p>
    <w:p>
      <w:pPr>
        <w:pStyle w:val="BodyText"/>
        <w:spacing w:line="314" w:lineRule="auto" w:before="59"/>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spacing w:before="41"/>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21"/>
          <w:szCs w:val="21"/>
        </w:rPr>
        <w:t>商誉减值情况</w:t>
      </w:r>
    </w:p>
    <w:p>
      <w:pPr>
        <w:spacing w:line="240" w:lineRule="auto" w:before="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50"/>
        <w:gridCol w:w="938"/>
        <w:gridCol w:w="941"/>
        <w:gridCol w:w="941"/>
        <w:gridCol w:w="938"/>
        <w:gridCol w:w="941"/>
        <w:gridCol w:w="941"/>
        <w:gridCol w:w="938"/>
        <w:gridCol w:w="939"/>
      </w:tblGrid>
      <w:tr>
        <w:trPr>
          <w:trHeight w:val="66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4" w:right="9"/>
              <w:jc w:val="left"/>
              <w:rPr>
                <w:rFonts w:ascii="宋体" w:hAnsi="宋体" w:cs="宋体" w:eastAsia="宋体" w:hint="default"/>
                <w:sz w:val="13"/>
                <w:szCs w:val="13"/>
              </w:rPr>
            </w:pPr>
            <w:r>
              <w:rPr>
                <w:rFonts w:ascii="宋体" w:hAnsi="宋体" w:cs="宋体" w:eastAsia="宋体" w:hint="default"/>
                <w:sz w:val="13"/>
                <w:szCs w:val="13"/>
              </w:rPr>
              <w:t>深圳星海太平洋</w:t>
            </w:r>
            <w:r>
              <w:rPr>
                <w:rFonts w:ascii="宋体" w:hAnsi="宋体" w:cs="宋体" w:eastAsia="宋体" w:hint="default"/>
                <w:w w:val="99"/>
                <w:sz w:val="13"/>
                <w:szCs w:val="13"/>
              </w:rPr>
              <w:t> </w:t>
            </w:r>
            <w:r>
              <w:rPr>
                <w:rFonts w:ascii="宋体" w:hAnsi="宋体" w:cs="宋体" w:eastAsia="宋体" w:hint="default"/>
                <w:sz w:val="13"/>
                <w:szCs w:val="13"/>
              </w:rPr>
              <w:t>影业投资有限公</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136" w:right="11" w:hanging="130"/>
              <w:jc w:val="left"/>
              <w:rPr>
                <w:rFonts w:ascii="宋体" w:hAnsi="宋体" w:cs="宋体" w:eastAsia="宋体" w:hint="default"/>
                <w:sz w:val="13"/>
                <w:szCs w:val="13"/>
              </w:rPr>
            </w:pPr>
            <w:r>
              <w:rPr>
                <w:rFonts w:ascii="宋体" w:hAnsi="宋体" w:cs="宋体" w:eastAsia="宋体" w:hint="default"/>
                <w:sz w:val="13"/>
                <w:szCs w:val="13"/>
              </w:rPr>
              <w:t>山西镁乐文化传</w:t>
            </w:r>
            <w:r>
              <w:rPr>
                <w:rFonts w:ascii="宋体" w:hAnsi="宋体" w:cs="宋体" w:eastAsia="宋体" w:hint="default"/>
                <w:w w:val="99"/>
                <w:sz w:val="13"/>
                <w:szCs w:val="13"/>
              </w:rPr>
              <w:t> </w:t>
            </w:r>
            <w:r>
              <w:rPr>
                <w:rFonts w:ascii="宋体" w:hAnsi="宋体" w:cs="宋体" w:eastAsia="宋体" w:hint="default"/>
                <w:sz w:val="13"/>
                <w:szCs w:val="13"/>
              </w:rPr>
              <w:t>媒有限公司</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137" w:right="10" w:hanging="131"/>
              <w:jc w:val="left"/>
              <w:rPr>
                <w:rFonts w:ascii="宋体" w:hAnsi="宋体" w:cs="宋体" w:eastAsia="宋体" w:hint="default"/>
                <w:sz w:val="13"/>
                <w:szCs w:val="13"/>
              </w:rPr>
            </w:pPr>
            <w:r>
              <w:rPr>
                <w:rFonts w:ascii="宋体" w:hAnsi="宋体" w:cs="宋体" w:eastAsia="宋体" w:hint="default"/>
                <w:sz w:val="13"/>
                <w:szCs w:val="13"/>
              </w:rPr>
              <w:t>杭州超象娱乐管</w:t>
            </w:r>
            <w:r>
              <w:rPr>
                <w:rFonts w:ascii="宋体" w:hAnsi="宋体" w:cs="宋体" w:eastAsia="宋体" w:hint="default"/>
                <w:w w:val="99"/>
                <w:sz w:val="13"/>
                <w:szCs w:val="13"/>
              </w:rPr>
              <w:t> </w:t>
            </w:r>
            <w:r>
              <w:rPr>
                <w:rFonts w:ascii="宋体" w:hAnsi="宋体" w:cs="宋体" w:eastAsia="宋体" w:hint="default"/>
                <w:sz w:val="13"/>
                <w:szCs w:val="13"/>
              </w:rPr>
              <w:t>理有限公司</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7" w:right="7"/>
              <w:jc w:val="left"/>
              <w:rPr>
                <w:rFonts w:ascii="宋体" w:hAnsi="宋体" w:cs="宋体" w:eastAsia="宋体" w:hint="default"/>
                <w:sz w:val="13"/>
                <w:szCs w:val="13"/>
              </w:rPr>
            </w:pPr>
            <w:r>
              <w:rPr>
                <w:rFonts w:ascii="宋体" w:hAnsi="宋体" w:cs="宋体" w:eastAsia="宋体" w:hint="default"/>
                <w:sz w:val="13"/>
                <w:szCs w:val="13"/>
              </w:rPr>
              <w:t>陆川县汉鼎宇佑</w:t>
            </w:r>
            <w:r>
              <w:rPr>
                <w:rFonts w:ascii="宋体" w:hAnsi="宋体" w:cs="宋体" w:eastAsia="宋体" w:hint="default"/>
                <w:w w:val="99"/>
                <w:sz w:val="13"/>
                <w:szCs w:val="13"/>
              </w:rPr>
              <w:t> </w:t>
            </w:r>
            <w:r>
              <w:rPr>
                <w:rFonts w:ascii="宋体" w:hAnsi="宋体" w:cs="宋体" w:eastAsia="宋体" w:hint="default"/>
                <w:sz w:val="13"/>
                <w:szCs w:val="13"/>
              </w:rPr>
              <w:t>影城有限责任公</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9" w:right="9"/>
              <w:jc w:val="left"/>
              <w:rPr>
                <w:rFonts w:ascii="宋体" w:hAnsi="宋体" w:cs="宋体" w:eastAsia="宋体" w:hint="default"/>
                <w:sz w:val="13"/>
                <w:szCs w:val="13"/>
              </w:rPr>
            </w:pPr>
            <w:r>
              <w:rPr>
                <w:rFonts w:ascii="宋体" w:hAnsi="宋体" w:cs="宋体" w:eastAsia="宋体" w:hint="default"/>
                <w:sz w:val="13"/>
                <w:szCs w:val="13"/>
              </w:rPr>
              <w:t>上林县汉鼎宇佑</w:t>
            </w:r>
            <w:r>
              <w:rPr>
                <w:rFonts w:ascii="宋体" w:hAnsi="宋体" w:cs="宋体" w:eastAsia="宋体" w:hint="default"/>
                <w:w w:val="99"/>
                <w:sz w:val="13"/>
                <w:szCs w:val="13"/>
              </w:rPr>
              <w:t> </w:t>
            </w:r>
            <w:r>
              <w:rPr>
                <w:rFonts w:ascii="宋体" w:hAnsi="宋体" w:cs="宋体" w:eastAsia="宋体" w:hint="default"/>
                <w:sz w:val="13"/>
                <w:szCs w:val="13"/>
              </w:rPr>
              <w:t>影城有限责任公</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139" w:right="7" w:hanging="130"/>
              <w:jc w:val="left"/>
              <w:rPr>
                <w:rFonts w:ascii="宋体" w:hAnsi="宋体" w:cs="宋体" w:eastAsia="宋体" w:hint="default"/>
                <w:sz w:val="13"/>
                <w:szCs w:val="13"/>
              </w:rPr>
            </w:pPr>
            <w:r>
              <w:rPr>
                <w:rFonts w:ascii="宋体" w:hAnsi="宋体" w:cs="宋体" w:eastAsia="宋体" w:hint="default"/>
                <w:sz w:val="13"/>
                <w:szCs w:val="13"/>
              </w:rPr>
              <w:t>长沙祖安文化传</w:t>
            </w:r>
            <w:r>
              <w:rPr>
                <w:rFonts w:ascii="宋体" w:hAnsi="宋体" w:cs="宋体" w:eastAsia="宋体" w:hint="default"/>
                <w:w w:val="99"/>
                <w:sz w:val="13"/>
                <w:szCs w:val="13"/>
              </w:rPr>
              <w:t> </w:t>
            </w:r>
            <w:r>
              <w:rPr>
                <w:rFonts w:ascii="宋体" w:hAnsi="宋体" w:cs="宋体" w:eastAsia="宋体" w:hint="default"/>
                <w:sz w:val="13"/>
                <w:szCs w:val="13"/>
              </w:rPr>
              <w:t>播有限公司</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201" w:right="7" w:hanging="195"/>
              <w:jc w:val="left"/>
              <w:rPr>
                <w:rFonts w:ascii="宋体" w:hAnsi="宋体" w:cs="宋体" w:eastAsia="宋体" w:hint="default"/>
                <w:sz w:val="13"/>
                <w:szCs w:val="13"/>
              </w:rPr>
            </w:pPr>
            <w:r>
              <w:rPr>
                <w:rFonts w:ascii="宋体" w:hAnsi="宋体" w:cs="宋体" w:eastAsia="宋体" w:hint="default"/>
                <w:sz w:val="13"/>
                <w:szCs w:val="13"/>
              </w:rPr>
              <w:t>江油市辉煌影业</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71" w:right="8" w:hanging="65"/>
              <w:jc w:val="left"/>
              <w:rPr>
                <w:rFonts w:ascii="宋体" w:hAnsi="宋体" w:cs="宋体" w:eastAsia="宋体" w:hint="default"/>
                <w:sz w:val="13"/>
                <w:szCs w:val="13"/>
              </w:rPr>
            </w:pPr>
            <w:r>
              <w:rPr>
                <w:rFonts w:ascii="宋体" w:hAnsi="宋体" w:cs="宋体" w:eastAsia="宋体" w:hint="default"/>
                <w:sz w:val="13"/>
                <w:szCs w:val="13"/>
              </w:rPr>
              <w:t>好医友医疗科技</w:t>
            </w:r>
            <w:r>
              <w:rPr>
                <w:rFonts w:ascii="宋体" w:hAnsi="宋体" w:cs="宋体" w:eastAsia="宋体" w:hint="default"/>
                <w:w w:val="99"/>
                <w:sz w:val="13"/>
                <w:szCs w:val="13"/>
              </w:rPr>
              <w:t> </w:t>
            </w:r>
            <w:r>
              <w:rPr>
                <w:rFonts w:ascii="宋体" w:hAnsi="宋体" w:cs="宋体" w:eastAsia="宋体" w:hint="default"/>
                <w:sz w:val="13"/>
                <w:szCs w:val="13"/>
              </w:rPr>
              <w:t>集团有限公司</w:t>
            </w:r>
          </w:p>
        </w:tc>
      </w:tr>
    </w:tbl>
    <w:p>
      <w:pPr>
        <w:spacing w:after="0" w:line="439" w:lineRule="auto"/>
        <w:jc w:val="left"/>
        <w:rPr>
          <w:rFonts w:ascii="宋体" w:hAnsi="宋体" w:cs="宋体" w:eastAsia="宋体" w:hint="default"/>
          <w:sz w:val="13"/>
          <w:szCs w:val="13"/>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850"/>
        <w:gridCol w:w="938"/>
        <w:gridCol w:w="941"/>
        <w:gridCol w:w="941"/>
        <w:gridCol w:w="938"/>
        <w:gridCol w:w="941"/>
        <w:gridCol w:w="941"/>
        <w:gridCol w:w="938"/>
        <w:gridCol w:w="939"/>
      </w:tblGrid>
      <w:tr>
        <w:trPr>
          <w:trHeight w:val="348" w:hRule="exact"/>
        </w:trPr>
        <w:tc>
          <w:tcPr>
            <w:tcW w:w="850"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941"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941"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 w:right="0"/>
              <w:jc w:val="left"/>
              <w:rPr>
                <w:rFonts w:ascii="宋体" w:hAnsi="宋体" w:cs="宋体" w:eastAsia="宋体" w:hint="default"/>
                <w:sz w:val="13"/>
                <w:szCs w:val="13"/>
              </w:rPr>
            </w:pPr>
            <w:r>
              <w:rPr>
                <w:rFonts w:ascii="宋体" w:hAnsi="宋体" w:cs="宋体" w:eastAsia="宋体" w:hint="default"/>
                <w:sz w:val="13"/>
                <w:szCs w:val="13"/>
              </w:rPr>
              <w:t>商誉账面余额</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4" w:right="0"/>
              <w:jc w:val="left"/>
              <w:rPr>
                <w:rFonts w:ascii="宋体" w:hAnsi="宋体" w:cs="宋体" w:eastAsia="宋体" w:hint="default"/>
                <w:sz w:val="13"/>
                <w:szCs w:val="13"/>
              </w:rPr>
            </w:pPr>
            <w:r>
              <w:rPr>
                <w:rFonts w:ascii="宋体" w:hAnsi="宋体" w:cs="宋体" w:eastAsia="宋体" w:hint="default"/>
                <w:w w:val="99"/>
                <w:sz w:val="13"/>
                <w:szCs w:val="13"/>
              </w:rPr>
              <w:t>①</w:t>
            </w:r>
            <w:r>
              <w:rPr>
                <w:rFonts w:ascii="宋体" w:hAnsi="宋体" w:cs="宋体" w:eastAsia="宋体" w:hint="default"/>
                <w:sz w:val="13"/>
                <w:szCs w:val="13"/>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3"/>
                <w:szCs w:val="13"/>
              </w:rPr>
            </w:pPr>
            <w:r>
              <w:rPr>
                <w:rFonts w:ascii="Times New Roman"/>
                <w:sz w:val="13"/>
              </w:rPr>
              <w:t>32,712,462.09</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8,128,780.48</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5,738,294.94</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4,493,952.21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6,531,831.10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1,188,000.00</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1,690,601.53</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6,435,598.77</w:t>
            </w:r>
          </w:p>
        </w:tc>
      </w:tr>
      <w:tr>
        <w:trPr>
          <w:trHeight w:val="66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9"/>
              <w:ind w:left="4" w:right="51"/>
              <w:jc w:val="left"/>
              <w:rPr>
                <w:rFonts w:ascii="宋体" w:hAnsi="宋体" w:cs="宋体" w:eastAsia="宋体" w:hint="default"/>
                <w:sz w:val="13"/>
                <w:szCs w:val="13"/>
              </w:rPr>
            </w:pPr>
            <w:r>
              <w:rPr>
                <w:rFonts w:ascii="宋体" w:hAnsi="宋体" w:cs="宋体" w:eastAsia="宋体" w:hint="default"/>
                <w:sz w:val="13"/>
                <w:szCs w:val="13"/>
              </w:rPr>
              <w:t>商誉减值准备</w:t>
            </w:r>
            <w:r>
              <w:rPr>
                <w:rFonts w:ascii="宋体" w:hAnsi="宋体" w:cs="宋体" w:eastAsia="宋体" w:hint="default"/>
                <w:w w:val="99"/>
                <w:sz w:val="13"/>
                <w:szCs w:val="13"/>
              </w:rPr>
              <w:t> </w:t>
            </w:r>
            <w:r>
              <w:rPr>
                <w:rFonts w:ascii="宋体" w:hAnsi="宋体" w:cs="宋体" w:eastAsia="宋体" w:hint="default"/>
                <w:sz w:val="13"/>
                <w:szCs w:val="13"/>
              </w:rPr>
              <w:t>余额②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65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4" w:right="51"/>
              <w:jc w:val="left"/>
              <w:rPr>
                <w:rFonts w:ascii="宋体" w:hAnsi="宋体" w:cs="宋体" w:eastAsia="宋体" w:hint="default"/>
                <w:sz w:val="13"/>
                <w:szCs w:val="13"/>
              </w:rPr>
            </w:pPr>
            <w:r>
              <w:rPr>
                <w:rFonts w:ascii="宋体" w:hAnsi="宋体" w:cs="宋体" w:eastAsia="宋体" w:hint="default"/>
                <w:sz w:val="13"/>
                <w:szCs w:val="13"/>
              </w:rPr>
              <w:t>商誉的账面价</w:t>
            </w:r>
            <w:r>
              <w:rPr>
                <w:rFonts w:ascii="宋体" w:hAnsi="宋体" w:cs="宋体" w:eastAsia="宋体" w:hint="default"/>
                <w:w w:val="99"/>
                <w:sz w:val="13"/>
                <w:szCs w:val="13"/>
              </w:rPr>
              <w:t> </w:t>
            </w:r>
            <w:r>
              <w:rPr>
                <w:rFonts w:ascii="宋体" w:hAnsi="宋体" w:cs="宋体" w:eastAsia="宋体" w:hint="default"/>
                <w:sz w:val="13"/>
                <w:szCs w:val="13"/>
              </w:rPr>
              <w:t>值③＝①</w:t>
            </w:r>
            <w:r>
              <w:rPr>
                <w:rFonts w:ascii="Times New Roman" w:hAnsi="Times New Roman" w:cs="Times New Roman" w:eastAsia="Times New Roman" w:hint="default"/>
                <w:sz w:val="13"/>
                <w:szCs w:val="13"/>
              </w:rPr>
              <w:t>-</w:t>
            </w:r>
            <w:r>
              <w:rPr>
                <w:rFonts w:ascii="宋体" w:hAnsi="宋体" w:cs="宋体" w:eastAsia="宋体" w:hint="default"/>
                <w:sz w:val="13"/>
                <w:szCs w:val="13"/>
              </w:rPr>
              <w:t>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3"/>
                <w:szCs w:val="13"/>
              </w:rPr>
            </w:pPr>
            <w:r>
              <w:rPr>
                <w:rFonts w:ascii="Times New Roman"/>
                <w:sz w:val="13"/>
              </w:rPr>
              <w:t>32,712,462.09</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8,128,780.48</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5,738,294.94</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4,493,952.21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6,531,831.10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1,188,000.00</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1,690,601.53</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6,435,598.77</w:t>
            </w:r>
          </w:p>
        </w:tc>
      </w:tr>
      <w:tr>
        <w:trPr>
          <w:trHeight w:val="97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9"/>
              <w:ind w:left="4" w:right="-5"/>
              <w:jc w:val="both"/>
              <w:rPr>
                <w:rFonts w:ascii="宋体" w:hAnsi="宋体" w:cs="宋体" w:eastAsia="宋体" w:hint="default"/>
                <w:sz w:val="13"/>
                <w:szCs w:val="13"/>
              </w:rPr>
            </w:pPr>
            <w:r>
              <w:rPr>
                <w:rFonts w:ascii="宋体" w:hAnsi="宋体" w:cs="宋体" w:eastAsia="宋体" w:hint="default"/>
                <w:spacing w:val="9"/>
                <w:sz w:val="13"/>
                <w:szCs w:val="13"/>
              </w:rPr>
              <w:t>未确认归属于</w:t>
            </w:r>
            <w:r>
              <w:rPr>
                <w:rFonts w:ascii="宋体" w:hAnsi="宋体" w:cs="宋体" w:eastAsia="宋体" w:hint="default"/>
                <w:spacing w:val="9"/>
                <w:w w:val="99"/>
                <w:sz w:val="13"/>
                <w:szCs w:val="13"/>
              </w:rPr>
              <w:t> </w:t>
            </w:r>
            <w:r>
              <w:rPr>
                <w:rFonts w:ascii="宋体" w:hAnsi="宋体" w:cs="宋体" w:eastAsia="宋体" w:hint="default"/>
                <w:spacing w:val="9"/>
                <w:sz w:val="13"/>
                <w:szCs w:val="13"/>
              </w:rPr>
              <w:t>少数股东权益</w:t>
            </w:r>
            <w:r>
              <w:rPr>
                <w:rFonts w:ascii="宋体" w:hAnsi="宋体" w:cs="宋体" w:eastAsia="宋体" w:hint="default"/>
                <w:spacing w:val="9"/>
                <w:w w:val="99"/>
                <w:sz w:val="13"/>
                <w:szCs w:val="13"/>
              </w:rPr>
              <w:t> </w:t>
            </w:r>
            <w:r>
              <w:rPr>
                <w:rFonts w:ascii="宋体" w:hAnsi="宋体" w:cs="宋体" w:eastAsia="宋体" w:hint="default"/>
                <w:sz w:val="13"/>
                <w:szCs w:val="13"/>
              </w:rPr>
              <w:t>的商誉价值④</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13"/>
                <w:szCs w:val="13"/>
              </w:rPr>
            </w:pPr>
            <w:r>
              <w:rPr>
                <w:rFonts w:ascii="Times New Roman"/>
                <w:sz w:val="13"/>
              </w:rPr>
              <w:t>9,653,398.16</w:t>
            </w:r>
          </w:p>
        </w:tc>
      </w:tr>
      <w:tr>
        <w:trPr>
          <w:trHeight w:val="97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4" w:right="-5"/>
              <w:jc w:val="left"/>
              <w:rPr>
                <w:rFonts w:ascii="宋体" w:hAnsi="宋体" w:cs="宋体" w:eastAsia="宋体" w:hint="default"/>
                <w:sz w:val="13"/>
                <w:szCs w:val="13"/>
              </w:rPr>
            </w:pPr>
            <w:r>
              <w:rPr>
                <w:rFonts w:ascii="宋体" w:hAnsi="宋体" w:cs="宋体" w:eastAsia="宋体" w:hint="default"/>
                <w:spacing w:val="9"/>
                <w:sz w:val="13"/>
                <w:szCs w:val="13"/>
              </w:rPr>
              <w:t>调整后整体商</w:t>
            </w:r>
            <w:r>
              <w:rPr>
                <w:rFonts w:ascii="宋体" w:hAnsi="宋体" w:cs="宋体" w:eastAsia="宋体" w:hint="default"/>
                <w:spacing w:val="9"/>
                <w:w w:val="99"/>
                <w:sz w:val="13"/>
                <w:szCs w:val="13"/>
              </w:rPr>
              <w:t> </w:t>
            </w:r>
            <w:r>
              <w:rPr>
                <w:rFonts w:ascii="宋体" w:hAnsi="宋体" w:cs="宋体" w:eastAsia="宋体" w:hint="default"/>
                <w:spacing w:val="9"/>
                <w:sz w:val="13"/>
                <w:szCs w:val="13"/>
              </w:rPr>
              <w:t>誉的账面价值</w:t>
            </w:r>
            <w:r>
              <w:rPr>
                <w:rFonts w:ascii="宋体" w:hAnsi="宋体" w:cs="宋体" w:eastAsia="宋体" w:hint="default"/>
                <w:sz w:val="13"/>
                <w:szCs w:val="13"/>
              </w:rPr>
            </w:r>
          </w:p>
          <w:p>
            <w:pPr>
              <w:pStyle w:val="TableParagraph"/>
              <w:spacing w:line="240" w:lineRule="auto" w:before="34"/>
              <w:ind w:left="4" w:right="0"/>
              <w:jc w:val="left"/>
              <w:rPr>
                <w:rFonts w:ascii="宋体" w:hAnsi="宋体" w:cs="宋体" w:eastAsia="宋体" w:hint="default"/>
                <w:sz w:val="13"/>
                <w:szCs w:val="13"/>
              </w:rPr>
            </w:pPr>
            <w:r>
              <w:rPr>
                <w:rFonts w:ascii="宋体" w:hAnsi="宋体" w:cs="宋体" w:eastAsia="宋体" w:hint="default"/>
                <w:sz w:val="13"/>
                <w:szCs w:val="13"/>
              </w:rPr>
              <w:t>⑤</w:t>
            </w:r>
            <w:r>
              <w:rPr>
                <w:rFonts w:ascii="Times New Roman" w:hAnsi="Times New Roman" w:cs="Times New Roman" w:eastAsia="Times New Roman" w:hint="default"/>
                <w:sz w:val="13"/>
                <w:szCs w:val="13"/>
              </w:rPr>
              <w:t>=</w:t>
            </w:r>
            <w:r>
              <w:rPr>
                <w:rFonts w:ascii="宋体" w:hAnsi="宋体" w:cs="宋体" w:eastAsia="宋体" w:hint="default"/>
                <w:sz w:val="13"/>
                <w:szCs w:val="13"/>
              </w:rPr>
              <w:t>④</w:t>
            </w:r>
            <w:r>
              <w:rPr>
                <w:rFonts w:ascii="Times New Roman" w:hAnsi="Times New Roman" w:cs="Times New Roman" w:eastAsia="Times New Roman" w:hint="default"/>
                <w:sz w:val="13"/>
                <w:szCs w:val="13"/>
              </w:rPr>
              <w:t>+</w:t>
            </w:r>
            <w:r>
              <w:rPr>
                <w:rFonts w:ascii="宋体" w:hAnsi="宋体" w:cs="宋体" w:eastAsia="宋体" w:hint="default"/>
                <w:sz w:val="13"/>
                <w:szCs w:val="13"/>
              </w:rPr>
              <w:t>③</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3"/>
                <w:szCs w:val="13"/>
              </w:rPr>
            </w:pPr>
            <w:r>
              <w:rPr>
                <w:rFonts w:ascii="Times New Roman"/>
                <w:sz w:val="13"/>
              </w:rPr>
              <w:t>32,712,462.09</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8,128,780.48</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5,738,294.94</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4,493,952.21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6,531,831.10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1,188,000.00</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1,690,601.53</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16,088,996.93</w:t>
            </w:r>
          </w:p>
        </w:tc>
      </w:tr>
      <w:tr>
        <w:trPr>
          <w:trHeight w:val="66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9"/>
              <w:ind w:left="4" w:right="-5"/>
              <w:jc w:val="left"/>
              <w:rPr>
                <w:rFonts w:ascii="宋体" w:hAnsi="宋体" w:cs="宋体" w:eastAsia="宋体" w:hint="default"/>
                <w:sz w:val="13"/>
                <w:szCs w:val="13"/>
              </w:rPr>
            </w:pPr>
            <w:r>
              <w:rPr>
                <w:rFonts w:ascii="宋体" w:hAnsi="宋体" w:cs="宋体" w:eastAsia="宋体" w:hint="default"/>
                <w:spacing w:val="9"/>
                <w:sz w:val="13"/>
                <w:szCs w:val="13"/>
              </w:rPr>
              <w:t>资产组的账面</w:t>
            </w:r>
            <w:r>
              <w:rPr>
                <w:rFonts w:ascii="宋体" w:hAnsi="宋体" w:cs="宋体" w:eastAsia="宋体" w:hint="default"/>
                <w:spacing w:val="9"/>
                <w:w w:val="99"/>
                <w:sz w:val="13"/>
                <w:szCs w:val="13"/>
              </w:rPr>
              <w:t> </w:t>
            </w:r>
            <w:r>
              <w:rPr>
                <w:rFonts w:ascii="宋体" w:hAnsi="宋体" w:cs="宋体" w:eastAsia="宋体" w:hint="default"/>
                <w:sz w:val="13"/>
                <w:szCs w:val="13"/>
              </w:rPr>
              <w:t>价值⑥</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4,184,623.97</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2,776,884.93</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4,981,498.75</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291,745.24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13"/>
                <w:szCs w:val="13"/>
              </w:rPr>
            </w:pPr>
            <w:r>
              <w:rPr>
                <w:rFonts w:ascii="Times New Roman"/>
                <w:sz w:val="13"/>
              </w:rPr>
              <w:t>686,938.87</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4,146,099.33</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5,240,931.19</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13"/>
                <w:szCs w:val="13"/>
              </w:rPr>
            </w:pPr>
            <w:r>
              <w:rPr>
                <w:rFonts w:ascii="Times New Roman"/>
                <w:sz w:val="13"/>
              </w:rPr>
              <w:t>1,658,318.63</w:t>
            </w:r>
          </w:p>
        </w:tc>
      </w:tr>
      <w:tr>
        <w:trPr>
          <w:trHeight w:val="1284"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4" w:right="-5"/>
              <w:jc w:val="both"/>
              <w:rPr>
                <w:rFonts w:ascii="Times New Roman" w:hAnsi="Times New Roman" w:cs="Times New Roman" w:eastAsia="Times New Roman" w:hint="default"/>
                <w:sz w:val="13"/>
                <w:szCs w:val="13"/>
              </w:rPr>
            </w:pPr>
            <w:r>
              <w:rPr>
                <w:rFonts w:ascii="宋体" w:hAnsi="宋体" w:cs="宋体" w:eastAsia="宋体" w:hint="default"/>
                <w:spacing w:val="9"/>
                <w:sz w:val="13"/>
                <w:szCs w:val="13"/>
              </w:rPr>
              <w:t>包含整体商誉</w:t>
            </w:r>
            <w:r>
              <w:rPr>
                <w:rFonts w:ascii="宋体" w:hAnsi="宋体" w:cs="宋体" w:eastAsia="宋体" w:hint="default"/>
                <w:spacing w:val="9"/>
                <w:w w:val="99"/>
                <w:sz w:val="13"/>
                <w:szCs w:val="13"/>
              </w:rPr>
              <w:t> </w:t>
            </w:r>
            <w:r>
              <w:rPr>
                <w:rFonts w:ascii="宋体" w:hAnsi="宋体" w:cs="宋体" w:eastAsia="宋体" w:hint="default"/>
                <w:spacing w:val="9"/>
                <w:sz w:val="13"/>
                <w:szCs w:val="13"/>
              </w:rPr>
              <w:t>的资产组的账</w:t>
            </w:r>
            <w:r>
              <w:rPr>
                <w:rFonts w:ascii="宋体" w:hAnsi="宋体" w:cs="宋体" w:eastAsia="宋体" w:hint="default"/>
                <w:spacing w:val="9"/>
                <w:w w:val="99"/>
                <w:sz w:val="13"/>
                <w:szCs w:val="13"/>
              </w:rPr>
              <w:t> </w:t>
            </w:r>
            <w:r>
              <w:rPr>
                <w:rFonts w:ascii="宋体" w:hAnsi="宋体" w:cs="宋体" w:eastAsia="宋体" w:hint="default"/>
                <w:spacing w:val="4"/>
                <w:sz w:val="13"/>
                <w:szCs w:val="13"/>
              </w:rPr>
              <w:t>面价值⑦</w:t>
            </w:r>
            <w:r>
              <w:rPr>
                <w:rFonts w:ascii="Times New Roman" w:hAnsi="Times New Roman" w:cs="Times New Roman" w:eastAsia="Times New Roman" w:hint="default"/>
                <w:spacing w:val="4"/>
                <w:sz w:val="13"/>
                <w:szCs w:val="13"/>
              </w:rPr>
              <w:t>=</w:t>
            </w:r>
            <w:r>
              <w:rPr>
                <w:rFonts w:ascii="宋体" w:hAnsi="宋体" w:cs="宋体" w:eastAsia="宋体" w:hint="default"/>
                <w:spacing w:val="4"/>
                <w:sz w:val="13"/>
                <w:szCs w:val="13"/>
              </w:rPr>
              <w:t>⑤</w:t>
            </w:r>
            <w:r>
              <w:rPr>
                <w:rFonts w:ascii="Times New Roman" w:hAnsi="Times New Roman" w:cs="Times New Roman" w:eastAsia="Times New Roman" w:hint="default"/>
                <w:spacing w:val="4"/>
                <w:sz w:val="13"/>
                <w:szCs w:val="13"/>
              </w:rPr>
              <w:t>+</w:t>
            </w:r>
          </w:p>
          <w:p>
            <w:pPr>
              <w:pStyle w:val="TableParagraph"/>
              <w:spacing w:line="240" w:lineRule="auto" w:before="12"/>
              <w:ind w:left="4" w:right="0"/>
              <w:jc w:val="both"/>
              <w:rPr>
                <w:rFonts w:ascii="宋体" w:hAnsi="宋体" w:cs="宋体" w:eastAsia="宋体" w:hint="default"/>
                <w:sz w:val="13"/>
                <w:szCs w:val="13"/>
              </w:rPr>
            </w:pPr>
            <w:r>
              <w:rPr>
                <w:rFonts w:ascii="宋体" w:hAnsi="宋体" w:cs="宋体" w:eastAsia="宋体" w:hint="default"/>
                <w:w w:val="99"/>
                <w:sz w:val="13"/>
                <w:szCs w:val="13"/>
              </w:rPr>
              <w:t>⑥</w:t>
            </w:r>
            <w:r>
              <w:rPr>
                <w:rFonts w:ascii="宋体" w:hAnsi="宋体" w:cs="宋体" w:eastAsia="宋体" w:hint="default"/>
                <w:sz w:val="13"/>
                <w:szCs w:val="13"/>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36,897,086.06</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10,905,665.41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10,719,793.69</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4,785,697.45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7,218,769.97</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5,334,099.33</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6,931,532.72</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17,747,315.56</w:t>
            </w:r>
          </w:p>
        </w:tc>
      </w:tr>
      <w:tr>
        <w:trPr>
          <w:trHeight w:val="12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57"/>
              <w:ind w:left="4" w:right="-5"/>
              <w:jc w:val="both"/>
              <w:rPr>
                <w:rFonts w:ascii="宋体" w:hAnsi="宋体" w:cs="宋体" w:eastAsia="宋体" w:hint="default"/>
                <w:sz w:val="13"/>
                <w:szCs w:val="13"/>
              </w:rPr>
            </w:pPr>
            <w:r>
              <w:rPr>
                <w:rFonts w:ascii="宋体" w:hAnsi="宋体" w:cs="宋体" w:eastAsia="宋体" w:hint="default"/>
                <w:spacing w:val="9"/>
                <w:sz w:val="13"/>
                <w:szCs w:val="13"/>
              </w:rPr>
              <w:t>资产组预计未</w:t>
            </w:r>
            <w:r>
              <w:rPr>
                <w:rFonts w:ascii="宋体" w:hAnsi="宋体" w:cs="宋体" w:eastAsia="宋体" w:hint="default"/>
                <w:spacing w:val="9"/>
                <w:w w:val="99"/>
                <w:sz w:val="13"/>
                <w:szCs w:val="13"/>
              </w:rPr>
              <w:t> </w:t>
            </w:r>
            <w:r>
              <w:rPr>
                <w:rFonts w:ascii="宋体" w:hAnsi="宋体" w:cs="宋体" w:eastAsia="宋体" w:hint="default"/>
                <w:spacing w:val="9"/>
                <w:sz w:val="13"/>
                <w:szCs w:val="13"/>
              </w:rPr>
              <w:t>来现金流量的</w:t>
            </w:r>
            <w:r>
              <w:rPr>
                <w:rFonts w:ascii="宋体" w:hAnsi="宋体" w:cs="宋体" w:eastAsia="宋体" w:hint="default"/>
                <w:spacing w:val="9"/>
                <w:w w:val="99"/>
                <w:sz w:val="13"/>
                <w:szCs w:val="13"/>
              </w:rPr>
              <w:t> </w:t>
            </w:r>
            <w:r>
              <w:rPr>
                <w:rFonts w:ascii="宋体" w:hAnsi="宋体" w:cs="宋体" w:eastAsia="宋体" w:hint="default"/>
                <w:spacing w:val="9"/>
                <w:sz w:val="13"/>
                <w:szCs w:val="13"/>
              </w:rPr>
              <w:t>现值（可回收</w:t>
            </w:r>
            <w:r>
              <w:rPr>
                <w:rFonts w:ascii="宋体" w:hAnsi="宋体" w:cs="宋体" w:eastAsia="宋体" w:hint="default"/>
                <w:spacing w:val="9"/>
                <w:w w:val="99"/>
                <w:sz w:val="13"/>
                <w:szCs w:val="13"/>
              </w:rPr>
              <w:t> </w:t>
            </w:r>
            <w:r>
              <w:rPr>
                <w:rFonts w:ascii="宋体" w:hAnsi="宋体" w:cs="宋体" w:eastAsia="宋体" w:hint="default"/>
                <w:sz w:val="13"/>
                <w:szCs w:val="13"/>
              </w:rPr>
              <w:t>金额）⑧</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6,237,300.00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2,776,884.93</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4,981,498.75</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291,745.24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2,650,911.00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4,146,099.33</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3"/>
                <w:szCs w:val="13"/>
              </w:rPr>
            </w:pPr>
            <w:r>
              <w:rPr>
                <w:rFonts w:ascii="Times New Roman"/>
                <w:sz w:val="13"/>
              </w:rPr>
              <w:t>6,287,662.00</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3"/>
                <w:szCs w:val="13"/>
              </w:rPr>
            </w:pPr>
            <w:r>
              <w:rPr>
                <w:rFonts w:ascii="Times New Roman"/>
                <w:sz w:val="13"/>
              </w:rPr>
              <w:t>8,764,700.00</w:t>
            </w:r>
          </w:p>
        </w:tc>
      </w:tr>
      <w:tr>
        <w:trPr>
          <w:trHeight w:val="97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5"/>
              <w:jc w:val="left"/>
              <w:rPr>
                <w:rFonts w:ascii="宋体" w:hAnsi="宋体" w:cs="宋体" w:eastAsia="宋体" w:hint="default"/>
                <w:sz w:val="13"/>
                <w:szCs w:val="13"/>
              </w:rPr>
            </w:pPr>
            <w:r>
              <w:rPr>
                <w:rFonts w:ascii="宋体" w:hAnsi="宋体" w:cs="宋体" w:eastAsia="宋体" w:hint="default"/>
                <w:spacing w:val="9"/>
                <w:sz w:val="13"/>
                <w:szCs w:val="13"/>
              </w:rPr>
              <w:t>商誉减值损失</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4" w:right="0"/>
              <w:jc w:val="left"/>
              <w:rPr>
                <w:rFonts w:ascii="宋体" w:hAnsi="宋体" w:cs="宋体" w:eastAsia="宋体" w:hint="default"/>
                <w:sz w:val="13"/>
                <w:szCs w:val="13"/>
              </w:rPr>
            </w:pPr>
            <w:r>
              <w:rPr>
                <w:rFonts w:ascii="宋体" w:hAnsi="宋体" w:cs="宋体" w:eastAsia="宋体" w:hint="default"/>
                <w:spacing w:val="-3"/>
                <w:sz w:val="13"/>
                <w:szCs w:val="13"/>
              </w:rPr>
              <w:t>（大于</w:t>
            </w:r>
            <w:r>
              <w:rPr>
                <w:rFonts w:ascii="Times New Roman" w:hAnsi="Times New Roman" w:cs="Times New Roman" w:eastAsia="Times New Roman" w:hint="default"/>
                <w:spacing w:val="-3"/>
                <w:sz w:val="13"/>
                <w:szCs w:val="13"/>
              </w:rPr>
              <w:t>0</w:t>
            </w:r>
            <w:r>
              <w:rPr>
                <w:rFonts w:ascii="宋体" w:hAnsi="宋体" w:cs="宋体" w:eastAsia="宋体" w:hint="default"/>
                <w:spacing w:val="-3"/>
                <w:sz w:val="13"/>
                <w:szCs w:val="13"/>
              </w:rPr>
              <w:t>时）⑨</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⑦</w:t>
            </w:r>
            <w:r>
              <w:rPr>
                <w:rFonts w:ascii="Times New Roman" w:hAnsi="Times New Roman" w:cs="Times New Roman" w:eastAsia="Times New Roman" w:hint="default"/>
                <w:sz w:val="13"/>
                <w:szCs w:val="13"/>
              </w:rPr>
              <w:t>-</w:t>
            </w:r>
            <w:r>
              <w:rPr>
                <w:rFonts w:ascii="宋体" w:hAnsi="宋体" w:cs="宋体" w:eastAsia="宋体" w:hint="default"/>
                <w:sz w:val="13"/>
                <w:szCs w:val="13"/>
              </w:rPr>
              <w:t>⑧</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30,659,786.06</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8,128,780.48</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5,738,294.94</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4,493,952.21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4,567,858.97</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1,188,000.00</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643,870.72</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13"/>
                <w:szCs w:val="13"/>
              </w:rPr>
            </w:pPr>
            <w:r>
              <w:rPr>
                <w:rFonts w:ascii="Times New Roman"/>
                <w:sz w:val="13"/>
              </w:rPr>
              <w:t>3,593,046.22</w:t>
            </w:r>
          </w:p>
        </w:tc>
      </w:tr>
    </w:tbl>
    <w:p>
      <w:pPr>
        <w:pStyle w:val="BodyText"/>
        <w:spacing w:line="316" w:lineRule="auto" w:before="8"/>
        <w:ind w:right="986"/>
        <w:jc w:val="left"/>
      </w:pPr>
      <w:r>
        <w:rPr>
          <w:spacing w:val="-2"/>
        </w:rPr>
        <w:t>杭州星影电影院有限公司由于其所承租的物业被拆迁，已无法正常经营，乐清时代电影放映有限公司已关闭，故全额计提减</w:t>
      </w:r>
      <w:r>
        <w:rPr>
          <w:spacing w:val="-63"/>
        </w:rPr>
        <w:t> </w:t>
      </w:r>
      <w:r>
        <w:rPr>
          <w:spacing w:val="-63"/>
        </w:rPr>
      </w:r>
      <w:r>
        <w:rPr/>
        <w:t>值准备。</w:t>
      </w:r>
    </w:p>
    <w:p>
      <w:pPr>
        <w:spacing w:line="240" w:lineRule="auto" w:before="9"/>
        <w:rPr>
          <w:rFonts w:ascii="宋体" w:hAnsi="宋体" w:cs="宋体" w:eastAsia="宋体" w:hint="default"/>
          <w:sz w:val="23"/>
          <w:szCs w:val="23"/>
        </w:rPr>
      </w:pPr>
    </w:p>
    <w:p>
      <w:pPr>
        <w:pStyle w:val="Heading6"/>
        <w:spacing w:line="240" w:lineRule="auto" w:before="0"/>
        <w:ind w:right="1133"/>
        <w:jc w:val="left"/>
      </w:pPr>
      <w:r>
        <w:rPr>
          <w:rFonts w:ascii="Times New Roman" w:hAnsi="Times New Roman" w:cs="Times New Roman" w:eastAsia="Times New Roman" w:hint="default"/>
        </w:rPr>
        <w:t>2</w:t>
      </w:r>
      <w:r>
        <w:rPr/>
        <w:t>、商誉减值测试的过程与方法</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00"/>
        <w:gridCol w:w="1274"/>
        <w:gridCol w:w="1421"/>
        <w:gridCol w:w="1416"/>
        <w:gridCol w:w="1844"/>
        <w:gridCol w:w="1666"/>
      </w:tblGrid>
      <w:tr>
        <w:trPr>
          <w:trHeight w:val="355" w:hRule="exact"/>
        </w:trPr>
        <w:tc>
          <w:tcPr>
            <w:tcW w:w="11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5"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762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关键参数</w:t>
            </w:r>
          </w:p>
        </w:tc>
      </w:tr>
      <w:tr>
        <w:trPr>
          <w:trHeight w:val="662" w:hRule="exact"/>
        </w:trPr>
        <w:tc>
          <w:tcPr>
            <w:tcW w:w="1100" w:type="dxa"/>
            <w:vMerge/>
            <w:tcBorders>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预测期</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hAnsi="宋体" w:cs="宋体" w:eastAsia="宋体" w:hint="default"/>
                <w:sz w:val="16"/>
                <w:szCs w:val="16"/>
              </w:rPr>
              <w:t>预测期增长率</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20" w:right="0"/>
              <w:jc w:val="left"/>
              <w:rPr>
                <w:rFonts w:ascii="宋体" w:hAnsi="宋体" w:cs="宋体" w:eastAsia="宋体" w:hint="default"/>
                <w:sz w:val="16"/>
                <w:szCs w:val="16"/>
              </w:rPr>
            </w:pPr>
            <w:r>
              <w:rPr>
                <w:rFonts w:ascii="宋体" w:hAnsi="宋体" w:cs="宋体" w:eastAsia="宋体" w:hint="default"/>
                <w:sz w:val="16"/>
                <w:szCs w:val="16"/>
              </w:rPr>
              <w:t>稳定期增长率</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center"/>
              <w:rPr>
                <w:rFonts w:ascii="宋体" w:hAnsi="宋体" w:cs="宋体" w:eastAsia="宋体" w:hint="default"/>
                <w:sz w:val="16"/>
                <w:szCs w:val="16"/>
              </w:rPr>
            </w:pPr>
            <w:r>
              <w:rPr>
                <w:rFonts w:ascii="宋体" w:hAnsi="宋体" w:cs="宋体" w:eastAsia="宋体" w:hint="default"/>
                <w:sz w:val="16"/>
                <w:szCs w:val="16"/>
              </w:rPr>
              <w:t>利润率</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6"/>
              <w:ind w:left="424" w:right="29" w:hanging="401"/>
              <w:jc w:val="left"/>
              <w:rPr>
                <w:rFonts w:ascii="宋体" w:hAnsi="宋体" w:cs="宋体" w:eastAsia="宋体" w:hint="default"/>
                <w:sz w:val="16"/>
                <w:szCs w:val="16"/>
              </w:rPr>
            </w:pPr>
            <w:r>
              <w:rPr>
                <w:rFonts w:ascii="宋体" w:hAnsi="宋体" w:cs="宋体" w:eastAsia="宋体" w:hint="default"/>
                <w:sz w:val="16"/>
                <w:szCs w:val="16"/>
              </w:rPr>
              <w:t>折现率（税前加权平均</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资本成本）</w:t>
            </w:r>
          </w:p>
        </w:tc>
      </w:tr>
      <w:tr>
        <w:trPr>
          <w:trHeight w:val="977"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116"/>
              <w:jc w:val="both"/>
              <w:rPr>
                <w:rFonts w:ascii="宋体" w:hAnsi="宋体" w:cs="宋体" w:eastAsia="宋体" w:hint="default"/>
                <w:sz w:val="16"/>
                <w:szCs w:val="16"/>
              </w:rPr>
            </w:pPr>
            <w:r>
              <w:rPr>
                <w:rFonts w:ascii="宋体" w:hAnsi="宋体" w:cs="宋体" w:eastAsia="宋体" w:hint="default"/>
                <w:sz w:val="16"/>
                <w:szCs w:val="16"/>
              </w:rPr>
              <w:t>深圳星海太平</w:t>
            </w:r>
            <w:r>
              <w:rPr>
                <w:rFonts w:ascii="宋体" w:hAnsi="宋体" w:cs="宋体" w:eastAsia="宋体" w:hint="default"/>
                <w:w w:val="100"/>
                <w:sz w:val="16"/>
                <w:szCs w:val="16"/>
              </w:rPr>
              <w:t> </w:t>
            </w:r>
            <w:r>
              <w:rPr>
                <w:rFonts w:ascii="宋体" w:hAnsi="宋体" w:cs="宋体" w:eastAsia="宋体" w:hint="default"/>
                <w:sz w:val="16"/>
                <w:szCs w:val="16"/>
              </w:rPr>
              <w:t>洋影业投资有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5" w:right="0"/>
              <w:jc w:val="center"/>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1"/>
                <w:sz w:val="16"/>
              </w:rPr>
              <w:t>13.22%</w:t>
            </w:r>
          </w:p>
        </w:tc>
      </w:tr>
      <w:tr>
        <w:trPr>
          <w:trHeight w:val="665"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16"/>
              <w:jc w:val="left"/>
              <w:rPr>
                <w:rFonts w:ascii="宋体" w:hAnsi="宋体" w:cs="宋体" w:eastAsia="宋体" w:hint="default"/>
                <w:sz w:val="16"/>
                <w:szCs w:val="16"/>
              </w:rPr>
            </w:pPr>
            <w:r>
              <w:rPr>
                <w:rFonts w:ascii="宋体" w:hAnsi="宋体" w:cs="宋体" w:eastAsia="宋体" w:hint="default"/>
                <w:sz w:val="16"/>
                <w:szCs w:val="16"/>
              </w:rPr>
              <w:t>山西镁乐文化</w:t>
            </w:r>
            <w:r>
              <w:rPr>
                <w:rFonts w:ascii="宋体" w:hAnsi="宋体" w:cs="宋体" w:eastAsia="宋体" w:hint="default"/>
                <w:w w:val="100"/>
                <w:sz w:val="16"/>
                <w:szCs w:val="16"/>
              </w:rPr>
              <w:t> </w:t>
            </w:r>
            <w:r>
              <w:rPr>
                <w:rFonts w:ascii="宋体" w:hAnsi="宋体" w:cs="宋体" w:eastAsia="宋体" w:hint="default"/>
                <w:sz w:val="16"/>
                <w:szCs w:val="16"/>
              </w:rPr>
              <w:t>传媒有限公司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5" w:right="0"/>
              <w:jc w:val="center"/>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513" w:right="31"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16.19%</w:t>
            </w:r>
          </w:p>
        </w:tc>
      </w:tr>
      <w:tr>
        <w:trPr>
          <w:trHeight w:val="662"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16"/>
              <w:jc w:val="left"/>
              <w:rPr>
                <w:rFonts w:ascii="宋体" w:hAnsi="宋体" w:cs="宋体" w:eastAsia="宋体" w:hint="default"/>
                <w:sz w:val="16"/>
                <w:szCs w:val="16"/>
              </w:rPr>
            </w:pPr>
            <w:r>
              <w:rPr>
                <w:rFonts w:ascii="宋体" w:hAnsi="宋体" w:cs="宋体" w:eastAsia="宋体" w:hint="default"/>
                <w:sz w:val="16"/>
                <w:szCs w:val="16"/>
              </w:rPr>
              <w:t>杭州超象娱乐</w:t>
            </w:r>
            <w:r>
              <w:rPr>
                <w:rFonts w:ascii="宋体" w:hAnsi="宋体" w:cs="宋体" w:eastAsia="宋体" w:hint="default"/>
                <w:w w:val="100"/>
                <w:sz w:val="16"/>
                <w:szCs w:val="16"/>
              </w:rPr>
              <w:t> </w:t>
            </w:r>
            <w:r>
              <w:rPr>
                <w:rFonts w:ascii="宋体" w:hAnsi="宋体" w:cs="宋体" w:eastAsia="宋体" w:hint="default"/>
                <w:sz w:val="16"/>
                <w:szCs w:val="16"/>
              </w:rPr>
              <w:t>管理有限公司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5" w:right="0"/>
              <w:jc w:val="center"/>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16.19%</w:t>
            </w:r>
          </w:p>
        </w:tc>
      </w:tr>
      <w:tr>
        <w:trPr>
          <w:trHeight w:val="665"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116"/>
              <w:jc w:val="left"/>
              <w:rPr>
                <w:rFonts w:ascii="宋体" w:hAnsi="宋体" w:cs="宋体" w:eastAsia="宋体" w:hint="default"/>
                <w:sz w:val="16"/>
                <w:szCs w:val="16"/>
              </w:rPr>
            </w:pPr>
            <w:r>
              <w:rPr>
                <w:rFonts w:ascii="宋体" w:hAnsi="宋体" w:cs="宋体" w:eastAsia="宋体" w:hint="default"/>
                <w:sz w:val="16"/>
                <w:szCs w:val="16"/>
              </w:rPr>
              <w:t>陆川县汉鼎宇</w:t>
            </w:r>
            <w:r>
              <w:rPr>
                <w:rFonts w:ascii="宋体" w:hAnsi="宋体" w:cs="宋体" w:eastAsia="宋体" w:hint="default"/>
                <w:w w:val="100"/>
                <w:sz w:val="16"/>
                <w:szCs w:val="16"/>
              </w:rPr>
              <w:t> </w:t>
            </w:r>
            <w:r>
              <w:rPr>
                <w:rFonts w:ascii="宋体" w:hAnsi="宋体" w:cs="宋体" w:eastAsia="宋体" w:hint="default"/>
                <w:sz w:val="16"/>
                <w:szCs w:val="16"/>
              </w:rPr>
              <w:t>佑影城有限责</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5" w:right="0"/>
              <w:jc w:val="center"/>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1"/>
                <w:sz w:val="16"/>
              </w:rPr>
              <w:t>16.19%</w:t>
            </w:r>
          </w:p>
        </w:tc>
      </w:tr>
    </w:tbl>
    <w:p>
      <w:pPr>
        <w:spacing w:after="0" w:line="240" w:lineRule="auto"/>
        <w:jc w:val="right"/>
        <w:rPr>
          <w:rFonts w:ascii="Times New Roman" w:hAnsi="Times New Roman" w:cs="Times New Roman" w:eastAsia="Times New Roman" w:hint="default"/>
          <w:sz w:val="16"/>
          <w:szCs w:val="16"/>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00"/>
        <w:gridCol w:w="1274"/>
        <w:gridCol w:w="1421"/>
        <w:gridCol w:w="1416"/>
        <w:gridCol w:w="1844"/>
        <w:gridCol w:w="1666"/>
      </w:tblGrid>
      <w:tr>
        <w:trPr>
          <w:trHeight w:val="356" w:hRule="exact"/>
        </w:trPr>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任公司</w:t>
            </w:r>
          </w:p>
        </w:tc>
        <w:tc>
          <w:tcPr>
            <w:tcW w:w="1274"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
        </w:tc>
        <w:tc>
          <w:tcPr>
            <w:tcW w:w="1844" w:type="dxa"/>
            <w:tcBorders>
              <w:top w:val="single" w:sz="6" w:space="0" w:color="000000"/>
              <w:left w:val="single" w:sz="6" w:space="0" w:color="000000"/>
              <w:bottom w:val="single" w:sz="12" w:space="0" w:color="000000"/>
              <w:right w:val="single" w:sz="6" w:space="0" w:color="000000"/>
            </w:tcBorders>
          </w:tcPr>
          <w:p>
            <w:pPr/>
          </w:p>
        </w:tc>
        <w:tc>
          <w:tcPr>
            <w:tcW w:w="1666" w:type="dxa"/>
            <w:tcBorders>
              <w:top w:val="single" w:sz="6" w:space="0" w:color="000000"/>
              <w:left w:val="single" w:sz="6" w:space="0" w:color="000000"/>
              <w:bottom w:val="single" w:sz="12" w:space="0" w:color="000000"/>
              <w:right w:val="nil" w:sz="6" w:space="0" w:color="auto"/>
            </w:tcBorders>
          </w:tcPr>
          <w:p>
            <w:pPr/>
          </w:p>
        </w:tc>
      </w:tr>
      <w:tr>
        <w:trPr>
          <w:trHeight w:val="974"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16"/>
              <w:jc w:val="both"/>
              <w:rPr>
                <w:rFonts w:ascii="宋体" w:hAnsi="宋体" w:cs="宋体" w:eastAsia="宋体" w:hint="default"/>
                <w:sz w:val="16"/>
                <w:szCs w:val="16"/>
              </w:rPr>
            </w:pPr>
            <w:r>
              <w:rPr>
                <w:rFonts w:ascii="宋体" w:hAnsi="宋体" w:cs="宋体" w:eastAsia="宋体" w:hint="default"/>
                <w:sz w:val="16"/>
                <w:szCs w:val="16"/>
              </w:rPr>
              <w:t>上林县汉鼎宇</w:t>
            </w:r>
            <w:r>
              <w:rPr>
                <w:rFonts w:ascii="宋体" w:hAnsi="宋体" w:cs="宋体" w:eastAsia="宋体" w:hint="default"/>
                <w:w w:val="100"/>
                <w:sz w:val="16"/>
                <w:szCs w:val="16"/>
              </w:rPr>
              <w:t> </w:t>
            </w:r>
            <w:r>
              <w:rPr>
                <w:rFonts w:ascii="宋体" w:hAnsi="宋体" w:cs="宋体" w:eastAsia="宋体" w:hint="default"/>
                <w:sz w:val="16"/>
                <w:szCs w:val="16"/>
              </w:rPr>
              <w:t>佑影城有限责</w:t>
            </w:r>
            <w:r>
              <w:rPr>
                <w:rFonts w:ascii="宋体" w:hAnsi="宋体" w:cs="宋体" w:eastAsia="宋体" w:hint="default"/>
                <w:w w:val="100"/>
                <w:sz w:val="16"/>
                <w:szCs w:val="16"/>
              </w:rPr>
              <w:t> </w:t>
            </w:r>
            <w:r>
              <w:rPr>
                <w:rFonts w:ascii="宋体" w:hAnsi="宋体" w:cs="宋体" w:eastAsia="宋体" w:hint="default"/>
                <w:sz w:val="16"/>
                <w:szCs w:val="16"/>
              </w:rPr>
              <w:t>任公司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504" w:right="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16.19%</w:t>
            </w:r>
          </w:p>
        </w:tc>
      </w:tr>
      <w:tr>
        <w:trPr>
          <w:trHeight w:val="665"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116"/>
              <w:jc w:val="left"/>
              <w:rPr>
                <w:rFonts w:ascii="宋体" w:hAnsi="宋体" w:cs="宋体" w:eastAsia="宋体" w:hint="default"/>
                <w:sz w:val="16"/>
                <w:szCs w:val="16"/>
              </w:rPr>
            </w:pPr>
            <w:r>
              <w:rPr>
                <w:rFonts w:ascii="宋体" w:hAnsi="宋体" w:cs="宋体" w:eastAsia="宋体" w:hint="default"/>
                <w:sz w:val="16"/>
                <w:szCs w:val="16"/>
              </w:rPr>
              <w:t>长沙祖安文化</w:t>
            </w:r>
            <w:r>
              <w:rPr>
                <w:rFonts w:ascii="宋体" w:hAnsi="宋体" w:cs="宋体" w:eastAsia="宋体" w:hint="default"/>
                <w:w w:val="100"/>
                <w:sz w:val="16"/>
                <w:szCs w:val="16"/>
              </w:rPr>
              <w:t> </w:t>
            </w:r>
            <w:r>
              <w:rPr>
                <w:rFonts w:ascii="宋体" w:hAnsi="宋体" w:cs="宋体" w:eastAsia="宋体" w:hint="default"/>
                <w:sz w:val="16"/>
                <w:szCs w:val="16"/>
              </w:rPr>
              <w:t>传播有限公司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504" w:right="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1"/>
                <w:sz w:val="16"/>
              </w:rPr>
              <w:t>16.19%</w:t>
            </w:r>
          </w:p>
        </w:tc>
      </w:tr>
      <w:tr>
        <w:trPr>
          <w:trHeight w:val="665"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16"/>
              <w:jc w:val="left"/>
              <w:rPr>
                <w:rFonts w:ascii="宋体" w:hAnsi="宋体" w:cs="宋体" w:eastAsia="宋体" w:hint="default"/>
                <w:sz w:val="16"/>
                <w:szCs w:val="16"/>
              </w:rPr>
            </w:pPr>
            <w:r>
              <w:rPr>
                <w:rFonts w:ascii="宋体" w:hAnsi="宋体" w:cs="宋体" w:eastAsia="宋体" w:hint="default"/>
                <w:sz w:val="16"/>
                <w:szCs w:val="16"/>
              </w:rPr>
              <w:t>江油市辉煌影</w:t>
            </w:r>
            <w:r>
              <w:rPr>
                <w:rFonts w:ascii="宋体" w:hAnsi="宋体" w:cs="宋体" w:eastAsia="宋体" w:hint="default"/>
                <w:w w:val="100"/>
                <w:sz w:val="16"/>
                <w:szCs w:val="16"/>
              </w:rPr>
              <w:t> </w:t>
            </w:r>
            <w:r>
              <w:rPr>
                <w:rFonts w:ascii="宋体" w:hAnsi="宋体" w:cs="宋体" w:eastAsia="宋体" w:hint="default"/>
                <w:sz w:val="16"/>
                <w:szCs w:val="16"/>
              </w:rPr>
              <w:t>业有限公司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504" w:right="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15.61%</w:t>
            </w:r>
          </w:p>
        </w:tc>
      </w:tr>
      <w:tr>
        <w:trPr>
          <w:trHeight w:val="977" w:hRule="exact"/>
        </w:trPr>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16"/>
              <w:jc w:val="both"/>
              <w:rPr>
                <w:rFonts w:ascii="宋体" w:hAnsi="宋体" w:cs="宋体" w:eastAsia="宋体" w:hint="default"/>
                <w:sz w:val="16"/>
                <w:szCs w:val="16"/>
              </w:rPr>
            </w:pPr>
            <w:r>
              <w:rPr>
                <w:rFonts w:ascii="宋体" w:hAnsi="宋体" w:cs="宋体" w:eastAsia="宋体" w:hint="default"/>
                <w:sz w:val="16"/>
                <w:szCs w:val="16"/>
              </w:rPr>
              <w:t>好医友医疗科</w:t>
            </w:r>
            <w:r>
              <w:rPr>
                <w:rFonts w:ascii="宋体" w:hAnsi="宋体" w:cs="宋体" w:eastAsia="宋体" w:hint="default"/>
                <w:w w:val="100"/>
                <w:sz w:val="16"/>
                <w:szCs w:val="16"/>
              </w:rPr>
              <w:t> </w:t>
            </w:r>
            <w:r>
              <w:rPr>
                <w:rFonts w:ascii="宋体" w:hAnsi="宋体" w:cs="宋体" w:eastAsia="宋体" w:hint="default"/>
                <w:sz w:val="16"/>
                <w:szCs w:val="16"/>
              </w:rPr>
              <w:t>技集团有限公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2020-2024</w:t>
            </w:r>
            <w:r>
              <w:rPr>
                <w:rFonts w:ascii="宋体" w:hAnsi="宋体" w:cs="宋体" w:eastAsia="宋体" w:hint="default"/>
                <w:sz w:val="16"/>
                <w:szCs w:val="16"/>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504" w:right="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100"/>
                <w:sz w:val="16"/>
              </w:rPr>
              <w:t>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513" w:right="32" w:hanging="481"/>
              <w:jc w:val="left"/>
              <w:rPr>
                <w:rFonts w:ascii="宋体" w:hAnsi="宋体" w:cs="宋体" w:eastAsia="宋体" w:hint="default"/>
                <w:sz w:val="16"/>
                <w:szCs w:val="16"/>
              </w:rPr>
            </w:pPr>
            <w:r>
              <w:rPr>
                <w:rFonts w:ascii="宋体" w:hAnsi="宋体" w:cs="宋体" w:eastAsia="宋体" w:hint="default"/>
                <w:sz w:val="16"/>
                <w:szCs w:val="16"/>
              </w:rPr>
              <w:t>根据预测的收入、成本、</w:t>
            </w:r>
            <w:r>
              <w:rPr>
                <w:rFonts w:ascii="宋体" w:hAnsi="宋体" w:cs="宋体" w:eastAsia="宋体" w:hint="default"/>
                <w:w w:val="100"/>
                <w:sz w:val="16"/>
                <w:szCs w:val="16"/>
              </w:rPr>
              <w:t> </w:t>
            </w:r>
            <w:r>
              <w:rPr>
                <w:rFonts w:ascii="宋体" w:hAnsi="宋体" w:cs="宋体" w:eastAsia="宋体" w:hint="default"/>
                <w:sz w:val="16"/>
                <w:szCs w:val="16"/>
              </w:rPr>
              <w:t>费用等计算</w:t>
            </w:r>
          </w:p>
        </w:tc>
        <w:tc>
          <w:tcPr>
            <w:tcW w:w="16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17.94%</w:t>
            </w:r>
          </w:p>
        </w:tc>
      </w:tr>
    </w:tbl>
    <w:p>
      <w:pPr>
        <w:pStyle w:val="BodyText"/>
        <w:spacing w:line="300" w:lineRule="auto" w:before="8"/>
        <w:ind w:right="1129" w:firstLine="360"/>
        <w:jc w:val="both"/>
      </w:pPr>
      <w:r>
        <w:rPr>
          <w:spacing w:val="-2"/>
        </w:rPr>
        <w:t>注</w:t>
      </w:r>
      <w:r>
        <w:rPr>
          <w:rFonts w:ascii="Times New Roman" w:hAnsi="Times New Roman" w:cs="Times New Roman" w:eastAsia="Times New Roman" w:hint="default"/>
          <w:spacing w:val="-2"/>
        </w:rPr>
        <w:t>1</w:t>
      </w:r>
      <w:r>
        <w:rPr>
          <w:spacing w:val="-2"/>
        </w:rPr>
        <w:t>：公司依据各项目的发展规划、历年经营趋势和市场竞争等因素综合分析，对预测日未来</w:t>
      </w:r>
      <w:r>
        <w:rPr>
          <w:rFonts w:ascii="Times New Roman" w:hAnsi="Times New Roman" w:cs="Times New Roman" w:eastAsia="Times New Roman" w:hint="default"/>
          <w:spacing w:val="-2"/>
        </w:rPr>
        <w:t>5</w:t>
      </w:r>
      <w:r>
        <w:rPr>
          <w:spacing w:val="-2"/>
        </w:rPr>
        <w:t>年的收入、成本、费用等</w:t>
      </w:r>
      <w:r>
        <w:rPr/>
        <w:t> </w:t>
      </w:r>
      <w:r>
        <w:rPr>
          <w:spacing w:val="-2"/>
        </w:rPr>
        <w:t>进行预测。公司各资产组从事电影放映业务，由于受期后突发公共事件的影响，预计</w:t>
      </w:r>
      <w:r>
        <w:rPr>
          <w:rFonts w:ascii="Times New Roman" w:hAnsi="Times New Roman" w:cs="Times New Roman" w:eastAsia="Times New Roman" w:hint="default"/>
          <w:spacing w:val="-2"/>
        </w:rPr>
        <w:t>2020</w:t>
      </w:r>
      <w:r>
        <w:rPr>
          <w:spacing w:val="-2"/>
        </w:rPr>
        <w:t>年业绩将大幅萎缩，且在短期内难</w:t>
      </w:r>
      <w:r>
        <w:rPr>
          <w:spacing w:val="-61"/>
        </w:rPr>
        <w:t> </w:t>
      </w:r>
      <w:r>
        <w:rPr>
          <w:spacing w:val="-61"/>
        </w:rPr>
      </w:r>
      <w:r>
        <w:rPr/>
        <w:t>以恢复。管理层考虑历史年度的票房情况、影院所处地段、期后事项等因素进行预测。</w:t>
      </w:r>
    </w:p>
    <w:p>
      <w:pPr>
        <w:pStyle w:val="BodyText"/>
        <w:spacing w:line="300" w:lineRule="auto" w:before="31"/>
        <w:ind w:right="1127" w:firstLine="360"/>
        <w:jc w:val="both"/>
      </w:pPr>
      <w:r>
        <w:rPr/>
        <w:t>注</w:t>
      </w:r>
      <w:r>
        <w:rPr>
          <w:rFonts w:ascii="Times New Roman" w:hAnsi="Times New Roman" w:cs="Times New Roman" w:eastAsia="Times New Roman" w:hint="default"/>
        </w:rPr>
        <w:t>2</w:t>
      </w:r>
      <w:r>
        <w:rPr/>
        <w:t>：好医友主要从事跨境医疗服务、医疗器械销售、合作健康管理等业务。通过好医友管理层对市场的了解，好医友 </w:t>
      </w:r>
      <w:r>
        <w:rPr>
          <w:spacing w:val="-5"/>
        </w:rPr>
        <w:t>的收入预测，主要结合行业发展趋势、企业未来战略规划、预期客户开拓、产品结构等综合因素进行测算。因此，好医友</w:t>
      </w:r>
      <w:r>
        <w:rPr>
          <w:rFonts w:ascii="Times New Roman" w:hAnsi="Times New Roman" w:cs="Times New Roman" w:eastAsia="Times New Roman" w:hint="default"/>
          <w:spacing w:val="-5"/>
        </w:rPr>
        <w:t>2020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年至</w:t>
      </w:r>
      <w:r>
        <w:rPr>
          <w:rFonts w:ascii="Times New Roman" w:hAnsi="Times New Roman" w:cs="Times New Roman" w:eastAsia="Times New Roman" w:hint="default"/>
        </w:rPr>
        <w:t>2024</w:t>
      </w:r>
      <w:r>
        <w:rPr/>
        <w:t>年预计销售收入增长率分别为</w:t>
      </w:r>
      <w:r>
        <w:rPr>
          <w:rFonts w:ascii="Times New Roman" w:hAnsi="Times New Roman" w:cs="Times New Roman" w:eastAsia="Times New Roman" w:hint="default"/>
        </w:rPr>
        <w:t>45%</w:t>
      </w:r>
      <w:r>
        <w:rPr/>
        <w:t>、</w:t>
      </w:r>
      <w:r>
        <w:rPr>
          <w:rFonts w:ascii="Times New Roman" w:hAnsi="Times New Roman" w:cs="Times New Roman" w:eastAsia="Times New Roman" w:hint="default"/>
        </w:rPr>
        <w:t>26%</w:t>
      </w:r>
      <w:r>
        <w:rPr/>
        <w:t>、</w:t>
      </w:r>
      <w:r>
        <w:rPr>
          <w:rFonts w:ascii="Times New Roman" w:hAnsi="Times New Roman" w:cs="Times New Roman" w:eastAsia="Times New Roman" w:hint="default"/>
        </w:rPr>
        <w:t>18%</w:t>
      </w:r>
      <w:r>
        <w:rPr/>
        <w:t>、</w:t>
      </w:r>
      <w:r>
        <w:rPr>
          <w:rFonts w:ascii="Times New Roman" w:hAnsi="Times New Roman" w:cs="Times New Roman" w:eastAsia="Times New Roman" w:hint="default"/>
        </w:rPr>
        <w:t>10%</w:t>
      </w:r>
      <w:r>
        <w:rPr/>
        <w:t>和</w:t>
      </w:r>
      <w:r>
        <w:rPr>
          <w:rFonts w:ascii="Times New Roman" w:hAnsi="Times New Roman" w:cs="Times New Roman" w:eastAsia="Times New Roman" w:hint="default"/>
        </w:rPr>
        <w:t>5%</w:t>
      </w:r>
      <w:r>
        <w:rPr/>
        <w:t>。</w:t>
      </w:r>
    </w:p>
    <w:p>
      <w:pPr>
        <w:pStyle w:val="BodyText"/>
        <w:spacing w:line="357" w:lineRule="auto" w:before="53"/>
        <w:ind w:right="8585"/>
        <w:jc w:val="left"/>
      </w:pPr>
      <w:r>
        <w:rPr/>
        <w:t>商誉减值测试的影响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装修安装费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61,061,779.17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8,919,478.42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10,251,800.29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58,943,843.44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61,061,779.17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8,919,478.42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10,251,800.29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58,943,843.44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319,443,371.24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55,140,935.99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156,308,662.52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26,600,417.70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121,902,584.69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22,160,304.60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34,818,750.42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8,704,687.60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7,288,990.74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1,256,786.37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5,317,035.57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936,407.34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448,634,946.67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78,558,026.96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196,444,448.51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36,241,512.64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1,192,544.38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178,881.66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1,192,544.38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178,881.66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78,558,026.96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36,241,512.64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178,881.66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747,525,377.71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12,181,455.01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48,835,045.00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28,744,945.44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796,360,422.71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40,926,400.45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1,004,221.83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4,271,086.29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8,787,831.65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11,465,500.82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23,306,404.41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48,835,045.00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210,362,044.36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210,358,056.86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280,440,485.83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320,521,033.33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490,802,530.19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531,924,090.19</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28,724,490.12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3,908,911.77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28,724,490.12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3,908,911.77</w:t>
            </w:r>
          </w:p>
        </w:tc>
      </w:tr>
    </w:tbl>
    <w:p>
      <w:pPr>
        <w:pStyle w:val="BodyText"/>
        <w:spacing w:line="240" w:lineRule="auto" w:before="49"/>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198,633,685.61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182,508,807.87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124,460,907.10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120,073,631.39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323,094,592.71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302,582,439.26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宁波海贝建材有限公司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16,651,795.16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宁波保税区大东电力燃料有限公司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11,735,349.42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诸暨市永安建筑劳务有限公司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6,063,016.00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江苏润通线缆有限公司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6,088,197.82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北京恒生善行科技有限公司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3,747,403.15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北京中盛利杨科技有限公司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2,889,482.76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拉萨市暖心燃气热力设备销售有限公司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杭州飞驰物资有限公司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2,468,481.35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辽宁厚如实业有限公司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2,461,536.79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北京金邦世凯科技发展有限公司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2,279,866.20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57,035,128.65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22,226,660.09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49,087,735.72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13,109,241.74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4,489,573.23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35,335,901.83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53,577,308.95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10,805,277.80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58,564,969.47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59,157,738.02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10,212,509.25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128,402.53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2,966,107.23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2,992,997.81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101,511.95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430,083.20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430,083.20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10,933,680.33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61,961,159.90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62,580,819.03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10,314,021.20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8,036,411.77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53,688,410.05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53,895,670.64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7,829,151.18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713,927.71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713,927.71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104,295.32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2,047,158.54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2,073,232.62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78,221.24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1,818,070.45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1,842,176.42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67,960.65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2,315.78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47,997.08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1,513.16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9,912.92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181,091.01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8,747.43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1,981,155.02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1,981,354.30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1,770.72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2,662,600.71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134,318.15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493,552.75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2,303,366.11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10,805,277.80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58,564,969.47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59,157,738.02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10,212,509.25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123,934.99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2,862,119.78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2,888,028.36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98,026.41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4,467.54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103,987.45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104,969.45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3,485.54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128,402.53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2,966,107.23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2,992,997.81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101,511.95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2,151,156.27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3,264,470.22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3,477,029.56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234,521.06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134,097.70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761,772.45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1,112,127.40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558,943.00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835,375.66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1,342,010.58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324,567.26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116,637.87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23,876.94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6,146,051.94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9,264,305.67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537,912.66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75,151,299.74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131,630,067.20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75,278,334.50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132,308,192.74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537,912.66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537,912.66</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140,212.88</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2,007,843.28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2,575,066.84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15,025,932.75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43,298,954.22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1,049,716.50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5,844,128.15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8,051,329.64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45,675,347.72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75,151,299.74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131,630,067.20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77,561,354.99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77,561,354.99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800"/>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800"/>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60"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4" w:space="417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ind w:right="751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设定受益计划义务现值：</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计划资产：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设定受益计划净负债（净资产）</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19"/>
        <w:jc w:val="left"/>
      </w:pPr>
      <w:r>
        <w:rPr/>
        <w:t>是否已执行新收入准则</w:t>
      </w:r>
    </w:p>
    <w:p>
      <w:pPr>
        <w:pStyle w:val="BodyText"/>
        <w:spacing w:line="240" w:lineRule="auto" w:before="115"/>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0"/>
        <w:gridCol w:w="1008"/>
        <w:gridCol w:w="1010"/>
        <w:gridCol w:w="1249"/>
        <w:gridCol w:w="1010"/>
      </w:tblGrid>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6"/>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683,931,466.00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-3,985,638.00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-3,985,638.00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679,945,828.00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463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1,081,455,877.53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32,568,842.39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1,048,887,035.14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12,249,286.96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9,407,335.55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21,656,622.51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1,093,705,164.49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9,407,335.55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32,568,842.39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1,070,543,657.65</w:t>
            </w:r>
          </w:p>
        </w:tc>
      </w:tr>
    </w:tbl>
    <w:p>
      <w:pPr>
        <w:pStyle w:val="BodyText"/>
        <w:spacing w:line="338" w:lineRule="auto" w:before="49"/>
        <w:ind w:right="986"/>
        <w:jc w:val="left"/>
      </w:pPr>
      <w:r>
        <w:rPr/>
        <w:t>其他说明，包括本期增减变动情况、变动原因说明： </w:t>
      </w:r>
      <w:r>
        <w:rPr>
          <w:spacing w:val="-2"/>
        </w:rPr>
        <w:t>资本溢价变动包括：本期以回购的库存股实施股权激励，收到职工购买限制性股票的购买款与原回购股票的回购款之间的差</w:t>
      </w:r>
      <w:r>
        <w:rPr>
          <w:spacing w:val="-64"/>
        </w:rPr>
        <w:t> </w:t>
      </w:r>
      <w:r>
        <w:rPr>
          <w:spacing w:val="-64"/>
        </w:rPr>
      </w:r>
      <w:r>
        <w:rPr/>
        <w:t>额减少资本公积</w:t>
      </w:r>
      <w:r>
        <w:rPr>
          <w:rFonts w:ascii="Times New Roman" w:hAnsi="Times New Roman" w:cs="Times New Roman" w:eastAsia="Times New Roman" w:hint="default"/>
        </w:rPr>
        <w:t>11,170,367.91</w:t>
      </w:r>
      <w:r>
        <w:rPr/>
        <w:t>元；注销已回购的股票，减少资本公积（资本溢价）</w:t>
      </w:r>
      <w:r>
        <w:rPr>
          <w:rFonts w:ascii="Times New Roman" w:hAnsi="Times New Roman" w:cs="Times New Roman" w:eastAsia="Times New Roman" w:hint="default"/>
        </w:rPr>
        <w:t>21,398,474.48</w:t>
      </w:r>
      <w:r>
        <w:rPr/>
        <w:t>元。</w:t>
      </w:r>
    </w:p>
    <w:p>
      <w:pPr>
        <w:pStyle w:val="BodyText"/>
        <w:spacing w:line="230" w:lineRule="exact" w:before="0"/>
        <w:ind w:right="1133"/>
        <w:jc w:val="left"/>
      </w:pPr>
      <w:r>
        <w:rPr/>
        <w:t>其他资本公积变动：本期实施股权激励，确认股权激励成本增加资本公积</w:t>
      </w:r>
      <w:r>
        <w:rPr>
          <w:rFonts w:ascii="Times New Roman" w:hAnsi="Times New Roman" w:cs="Times New Roman" w:eastAsia="Times New Roman" w:hint="default"/>
        </w:rPr>
        <w:t>1,507,842.05</w:t>
      </w:r>
      <w:r>
        <w:rPr/>
        <w:t>元。本期权益法核算的被投资单位吸</w:t>
      </w:r>
    </w:p>
    <w:p>
      <w:pPr>
        <w:pStyle w:val="BodyText"/>
        <w:spacing w:line="240" w:lineRule="auto" w:before="63"/>
        <w:ind w:right="1133"/>
        <w:jc w:val="left"/>
      </w:pPr>
      <w:r>
        <w:rPr/>
        <w:t>收新的投资者入资导致所有者权益变动，相应调整增加长期股权投资的账面价值，同时增加资本公积（其他资本公积）</w:t>
      </w:r>
    </w:p>
    <w:p>
      <w:pPr>
        <w:pStyle w:val="BodyText"/>
        <w:spacing w:line="240" w:lineRule="auto" w:before="76"/>
        <w:ind w:right="1133"/>
        <w:jc w:val="left"/>
      </w:pPr>
      <w:r>
        <w:rPr>
          <w:rFonts w:ascii="Times New Roman" w:hAnsi="Times New Roman" w:cs="Times New Roman" w:eastAsia="Times New Roman" w:hint="default"/>
        </w:rPr>
        <w:t>2,639,690.36</w:t>
      </w:r>
      <w:r>
        <w:rPr/>
        <w:t>元。本期权益法核算的被投资单位资本公积变动按持股比例确认增加其他资本公积</w:t>
      </w:r>
      <w:r>
        <w:rPr>
          <w:rFonts w:ascii="Times New Roman" w:hAnsi="Times New Roman" w:cs="Times New Roman" w:eastAsia="Times New Roman" w:hint="default"/>
        </w:rPr>
        <w:t>5,259,803.14</w:t>
      </w:r>
      <w:r>
        <w:rPr/>
        <w:t>元。</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18,042,353.68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18,019,855.98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18,193,048.11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17,869,161.55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7,022,680.20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25,384,112.48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54,437,067.72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90,840,853.68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25,042,536.18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43,577,160.59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72,306,229.27</w:t>
            </w:r>
          </w:p>
        </w:tc>
      </w:tr>
    </w:tbl>
    <w:p>
      <w:pPr>
        <w:pStyle w:val="BodyText"/>
        <w:spacing w:line="240" w:lineRule="auto" w:before="49"/>
        <w:ind w:right="1133"/>
        <w:jc w:val="left"/>
      </w:pPr>
      <w:r>
        <w:rPr/>
        <w:t>其他说明，包括本期增减变动情况、变动原因说明：</w:t>
      </w:r>
    </w:p>
    <w:p>
      <w:pPr>
        <w:pStyle w:val="BodyText"/>
        <w:spacing w:line="300" w:lineRule="auto" w:before="115"/>
        <w:ind w:right="1133"/>
        <w:jc w:val="left"/>
      </w:pPr>
      <w:r>
        <w:rPr>
          <w:spacing w:val="-2"/>
        </w:rPr>
        <w:t>注</w:t>
      </w:r>
      <w:r>
        <w:rPr>
          <w:rFonts w:ascii="Times New Roman" w:hAnsi="Times New Roman" w:cs="Times New Roman" w:eastAsia="Times New Roman" w:hint="default"/>
          <w:spacing w:val="-2"/>
        </w:rPr>
        <w:t>1</w:t>
      </w:r>
      <w:r>
        <w:rPr>
          <w:spacing w:val="-2"/>
        </w:rPr>
        <w:t>：本期从二级市场回购股票增加库存股</w:t>
      </w:r>
      <w:r>
        <w:rPr>
          <w:rFonts w:ascii="Times New Roman" w:hAnsi="Times New Roman" w:cs="Times New Roman" w:eastAsia="Times New Roman" w:hint="default"/>
          <w:spacing w:val="-2"/>
        </w:rPr>
        <w:t>17,996,196.31</w:t>
      </w:r>
      <w:r>
        <w:rPr>
          <w:spacing w:val="-2"/>
        </w:rPr>
        <w:t>元，以回购的股票实施限制性股票股权激励减少库存股</w:t>
      </w:r>
      <w:r>
        <w:rPr>
          <w:rFonts w:ascii="Times New Roman" w:hAnsi="Times New Roman" w:cs="Times New Roman" w:eastAsia="Times New Roman" w:hint="default"/>
          <w:spacing w:val="-2"/>
        </w:rPr>
        <w:t>18,193,048.11</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元，分配利润影响库存股</w:t>
      </w:r>
      <w:r>
        <w:rPr>
          <w:rFonts w:ascii="Times New Roman" w:hAnsi="Times New Roman" w:cs="Times New Roman" w:eastAsia="Times New Roman" w:hint="default"/>
        </w:rPr>
        <w:t>23,659.67</w:t>
      </w:r>
      <w:r>
        <w:rPr/>
        <w:t>元。 注</w:t>
      </w:r>
      <w:r>
        <w:rPr>
          <w:rFonts w:ascii="Times New Roman" w:hAnsi="Times New Roman" w:cs="Times New Roman" w:eastAsia="Times New Roman" w:hint="default"/>
        </w:rPr>
        <w:t>2</w:t>
      </w:r>
      <w:r>
        <w:rPr/>
        <w:t>：本期以回购的股票实施股权激励，公司以发行限制性股票的数量以及相应的回购价格确认回购义务，增加库存股 </w:t>
      </w:r>
      <w:r>
        <w:rPr>
          <w:rFonts w:ascii="Times New Roman" w:hAnsi="Times New Roman" w:cs="Times New Roman" w:eastAsia="Times New Roman" w:hint="default"/>
        </w:rPr>
        <w:t>7,022,680.20</w:t>
      </w:r>
      <w:r>
        <w:rPr/>
        <w:t>元；本期回购限制性股票注销减少库存股</w:t>
      </w:r>
      <w:r>
        <w:rPr>
          <w:rFonts w:ascii="Times New Roman" w:hAnsi="Times New Roman" w:cs="Times New Roman" w:eastAsia="Times New Roman" w:hint="default"/>
        </w:rPr>
        <w:t>25,384,112.48</w:t>
      </w:r>
      <w:r>
        <w:rPr/>
        <w:t>元。</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1"/>
        <w:gridCol w:w="852"/>
        <w:gridCol w:w="852"/>
        <w:gridCol w:w="852"/>
        <w:gridCol w:w="853"/>
        <w:gridCol w:w="727"/>
      </w:tblGrid>
      <w:tr>
        <w:trPr>
          <w:trHeight w:val="403"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27"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2D2D2"/>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7,308,422.0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9,480,218.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9,480,218.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5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16,788,6</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40.43</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361,491.22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-1,119,447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-757,955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.78</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6,946,930.8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10,599,66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5.35</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10,599,66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5.35</w:t>
            </w:r>
          </w:p>
        </w:tc>
        <w:tc>
          <w:tcPr>
            <w:tcW w:w="853"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17,546,5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96.21</w:t>
            </w:r>
          </w:p>
        </w:tc>
      </w:tr>
      <w:tr>
        <w:trPr>
          <w:trHeight w:val="394"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7,308,422.0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9,480,218.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9,480,218.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53"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16,788,6</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40.43</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36,852,135.07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36,852,135.07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36,852,135.07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36,852,135.07</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498,377,135.58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383,824,286.84</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100,457,755.38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598,834,890.96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383,824,286.84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-793,295,024.47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124,649,353.29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1,106,766.12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13,411,818.40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8,989,738.43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-207,871,951.91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498,377,135.58</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100,799,597.41</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-341,842.03</w:t>
      </w:r>
      <w:r>
        <w:rPr>
          <w:rFonts w:ascii="Times New Roman" w:hAnsi="Times New Roman" w:cs="Times New Roman" w:eastAsia="Times New Roman" w:hint="default"/>
          <w:spacing w:val="-2"/>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436,096,538.93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389,567,298.45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497,172,824.82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431,669,573.33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15,437,373.09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9,990,968.18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30,474,389.77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17,710,468.55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451,533,912.02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399,558,266.63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527,647,214.59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449,380,041.88</w:t>
            </w:r>
          </w:p>
        </w:tc>
      </w:tr>
    </w:tbl>
    <w:p>
      <w:pPr>
        <w:pStyle w:val="BodyText"/>
        <w:spacing w:line="240" w:lineRule="auto" w:before="49"/>
        <w:ind w:right="1133"/>
        <w:jc w:val="left"/>
      </w:pPr>
      <w:r>
        <w:rPr/>
        <w:t>是否已执行新收入准则</w:t>
      </w:r>
    </w:p>
    <w:p>
      <w:pPr>
        <w:pStyle w:val="BodyText"/>
        <w:spacing w:line="340" w:lineRule="auto" w:before="115"/>
        <w:ind w:right="93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560,954.53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1,027,165.69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243,450.71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438,513.83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2,571,855.53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3,535,732.49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34,331.17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543,832.40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329,246.22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669,905.77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698,634.57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4,694,276.40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6,607,456.37</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10,667,799.21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4,108,981.49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531,233.73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339,747.61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964,797.74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695,507.80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946,389.77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30,676.67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967,036.60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142,406.90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239,126.93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31,483.07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28,707,264.57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15,671,096.12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926,582.73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597,242.94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6,334,133.06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5,041,322.65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1,083,134.86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50,848,246.92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27,980,727.04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1,443,488.15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3,700,365.58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25,202,212.72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22,596,549.86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11,632,321.06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12,867,875.39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5,545,141.33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4,967,696.39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1,631,660.66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2,229,562.58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1,675,653.32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4,586,998.64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4,087,122.38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1,329,084.71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3,025,137.17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1,599,577.50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742,767.13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868,822.85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1,715,988.61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2,941,344.76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287,776.90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315,256.82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58,343,465.00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59,178,912.14</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17,153,078.82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18,410,602.88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2,641,601.11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4,204,407.89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1,042,907.46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2,356,602.41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387,641.51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5,806,214.98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1,876,273.03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1,250,729.00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23,101,501.93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32,028,557.16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28,931,650.82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24,931,117.21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910,778.24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3,890,263.88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358,588.18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183,110.83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957,087.29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466,835.93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943,674.43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281,425.19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28,366,047.90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21,038,553.42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博士后工作站建设补助经费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年博士后科研项目择优资助经费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杭州市下城 区科学技术局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年第三批市文化创意资金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面向一体化健康服务的区域医疗资源知 识图谱构建技术研究项目研究补助资金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跨主机容器弹性集群与动态资源调度技 术研究项目研究补助资金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314,900.00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杭州市下城区科技局知识产权补助款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年度经信项目扶持资金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年省级科技型中小企业扶持和科技 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年度第一批下城区软件和信息服务 业示范基地专项资金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932,900.00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年度国家级省部级科技进步奖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电影事业发展专项资金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面向城市道路智慧照明的云管控平台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税收返还或补助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2,399,052.39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1,749,730.96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其他与日常经营活动相关的政府补助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232,028.82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244,845.84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6,327,981.21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11,438,476.80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71,284,163.00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115,488,323.64</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-1,140,556.03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84,926,125.53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-1,327,976.49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68,815,630.48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200,414,449.17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-106,705,820.15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207,062,321.48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90"/>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100,356,501.33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-55,418,270.83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-26,814,742.93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应收账款信用减值损失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-21,406,498.02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-103,639,511.78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-2,656,797.43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-79,204,054.37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-649,982,851.37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-554,577.63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-64,979,915.27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-21,782,180.75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-643,912.18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-795,365,310.82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-24,438,978.18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715"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172,906.45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172,906.45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2,916,475.35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9,175,096.97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2,916,475.35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3,089,381.80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9,238,840.62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3,089,381.80</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其他零星政 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63,743.65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党组织工作 经费返还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中共杭州市 下城区天水 街道工作委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6,582.00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人力资源见 习基地补贴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杭州市就业 管理服务局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74,359.38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下城区税收 返还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下城区国库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上林县社会 保险事业中 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1,669.10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4" w:right="130"/>
              <w:jc w:val="left"/>
              <w:rPr>
                <w:rFonts w:ascii="宋体" w:hAnsi="宋体" w:cs="宋体" w:eastAsia="宋体" w:hint="default"/>
                <w:sz w:val="18"/>
                <w:szCs w:val="18"/>
              </w:rPr>
            </w:pPr>
            <w:r>
              <w:rPr>
                <w:rFonts w:ascii="宋体" w:hAnsi="宋体" w:cs="宋体" w:eastAsia="宋体" w:hint="default"/>
                <w:sz w:val="18"/>
                <w:szCs w:val="18"/>
              </w:rPr>
              <w:t>放映国产片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中国共产党 上林县委员 会宣传部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地方国家电 影事业发展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中国共产党 上林县委员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68"/>
        <w:gridCol w:w="1063"/>
        <w:gridCol w:w="1064"/>
        <w:gridCol w:w="1063"/>
        <w:gridCol w:w="1061"/>
        <w:gridCol w:w="1064"/>
        <w:gridCol w:w="1063"/>
        <w:gridCol w:w="1064"/>
        <w:gridCol w:w="1063"/>
      </w:tblGrid>
      <w:tr>
        <w:trPr>
          <w:trHeight w:val="161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会宣传部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非流动资产损坏报废损失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670,137.08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82,171.79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670,137.08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8,486,812.70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8,486,812.70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1,549,272.12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769,785.28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1,549,272.12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10,706,221.90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851,957.07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10,706,221.90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6,253,868.09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23,436,790.28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-42,137,632.66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-11,350,887.60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-35,883,764.57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12,085,902.68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-844,499,442.44</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-126,674,916.37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-90,852,343.00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1,505,497.97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-16,670,048.78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7,277,729.12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-923,028.65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191,533,309.92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-1,079,964.78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-35,883,764.57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r>
        <w:rPr>
          <w:rFonts w:ascii="宋体" w:hAnsi="宋体" w:cs="宋体" w:eastAsia="宋体" w:hint="default"/>
          <w:w w:val="100"/>
          <w:sz w:val="18"/>
          <w:szCs w:val="18"/>
        </w:rPr>
        <w:t>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4"/>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收回的投标保证金、履约保证金、往来 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35,930,945.33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97,555,435.13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3,822,364.75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9,752,489.49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910,778.24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3,884,596.87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3,379,795.35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4,361,994.16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44,043,883.67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115,554,515.65</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支付的投标保证金、履约保证金、往来 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78,635,462.46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127,012,099.38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2,908,981.27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12,904,546.39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2,596,458.40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2,924,925.38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5,619,682.98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5,204,330.82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926,582.73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567,194.69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2,725,941.45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5,083,647.72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713,431.18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1,360,472.28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4,469,119.02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4,109,359.47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28,707,264.57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8,756,679.34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3,844,405.59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1,686,593.74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18,568,585.01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7,363,357.11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149,715,914.66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176,973,206.32</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152,919,395.58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166,271,926.32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152,919,395.58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166,271,926.32</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融资租赁出租人支付的现金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135,053,138.13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投资相关手续费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1,327,976.49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1,327,976.49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135,053,138.13</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47,402,664.91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归还母公司及实际控制人借款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109,957,042.69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融资租赁分期支付长期应付款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77,561,354.99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70,631,604.96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124,964,019.90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223,588,647.65</w:t>
            </w:r>
          </w:p>
        </w:tc>
      </w:tr>
    </w:tbl>
    <w:p>
      <w:pPr>
        <w:pStyle w:val="BodyText"/>
        <w:spacing w:line="240" w:lineRule="auto" w:before="49"/>
        <w:ind w:right="1133"/>
        <w:jc w:val="left"/>
      </w:pPr>
      <w:r>
        <w:rPr/>
        <w:t>支付的其他与筹资活动有关的现金说明：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shape style="position:absolute;margin-left:190.100006pt;margin-top:546.549988pt;width:185.6pt;height:19.7pt;mso-position-horizontal-relative:page;mso-position-vertical-relative:page;z-index:-1129504"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Heading5"/>
        <w:spacing w:line="240" w:lineRule="auto" w:before="36"/>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028"/>
        <w:gridCol w:w="2030"/>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8" w:right="0"/>
              <w:jc w:val="left"/>
              <w:rPr>
                <w:rFonts w:ascii="Times New Roman" w:hAnsi="Times New Roman" w:cs="Times New Roman" w:eastAsia="Times New Roman" w:hint="default"/>
                <w:sz w:val="18"/>
                <w:szCs w:val="18"/>
              </w:rPr>
            </w:pPr>
            <w:r>
              <w:rPr>
                <w:rFonts w:ascii="Times New Roman"/>
                <w:sz w:val="18"/>
              </w:rPr>
              <w:t>-808,615,677.87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115,156,006.90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795,365,310.82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24,438,978.18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103,639,511.78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30,311,913.35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28,027,198.56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310,967.85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492,651.02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10,251,800.29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12,510,441.68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-8,111.66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670,137.08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82,171.79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-100,356,501.33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29,200,407.72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24,558,423.54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-68,815,630.48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-200,414,449.17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-42,316,514.32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-11,350,887.60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178,881.66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1028" w:type="dxa"/>
            <w:tcBorders>
              <w:top w:val="single" w:sz="4" w:space="0" w:color="000000"/>
              <w:left w:val="single" w:sz="13" w:space="0" w:color="FFFFFF"/>
              <w:bottom w:val="single" w:sz="4" w:space="0" w:color="000000"/>
              <w:right w:val="nil" w:sz="6" w:space="0" w:color="auto"/>
            </w:tcBorders>
          </w:tcPr>
          <w:p>
            <w:pPr/>
          </w:p>
        </w:tc>
        <w:tc>
          <w:tcPr>
            <w:tcW w:w="2030"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42,068,237.69</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-14,804,981.13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-50,933,387.55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112,956,217.05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5,548,300.53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-67,482,400.55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1,507,842.05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4,293,830.04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-51,984,400.73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28,455,088.65</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159,998,170.04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272,279,753.39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272,279,753.39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407,301,526.83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-112,281,583.35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-135,021,773.44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159,998,170.04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272,279,753.39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20,925.93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146,716.23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158,672,167.53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270,860,617.95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1,305,076.58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1,272,419.21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159,998,170.04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272,279,753.39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86"/>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w:t>
      </w:r>
      <w:r>
        <w:rPr>
          <w:spacing w:val="-2"/>
        </w:rPr>
        <w:t>资本公积</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w:t>
      </w:r>
      <w:r>
        <w:rPr>
          <w:spacing w:val="-2"/>
        </w:rPr>
        <w:t>项目减少包括：本期以回购的库存股实施股权激励，收到职工购买限制性股票的购买款与原回购股票的回购</w:t>
      </w:r>
      <w:r>
        <w:rPr>
          <w:spacing w:val="-45"/>
        </w:rPr>
        <w:t> </w:t>
      </w:r>
      <w:r>
        <w:rPr>
          <w:spacing w:val="-45"/>
        </w:rPr>
      </w:r>
      <w:r>
        <w:rPr>
          <w:spacing w:val="-1"/>
        </w:rPr>
        <w:t>款之间的差额减少资本公积</w:t>
      </w:r>
      <w:r>
        <w:rPr>
          <w:rFonts w:ascii="Times New Roman" w:hAnsi="Times New Roman" w:cs="Times New Roman" w:eastAsia="Times New Roman" w:hint="default"/>
          <w:spacing w:val="-1"/>
        </w:rPr>
        <w:t>11,170,367.91</w:t>
      </w:r>
      <w:r>
        <w:rPr>
          <w:spacing w:val="-1"/>
        </w:rPr>
        <w:t>元；本期权益法核算的被投资单位吸收新的投资者入资导致所有者权益变动，相应</w:t>
      </w:r>
    </w:p>
    <w:p>
      <w:pPr>
        <w:pStyle w:val="BodyText"/>
        <w:spacing w:line="300" w:lineRule="auto" w:before="0"/>
        <w:ind w:right="1169"/>
        <w:jc w:val="left"/>
      </w:pPr>
      <w:r>
        <w:rPr/>
        <w:t>调整增加长期股权投资的账面价值，同时增加资本公积（其他资本公积）</w:t>
      </w:r>
      <w:r>
        <w:rPr>
          <w:rFonts w:ascii="Times New Roman" w:hAnsi="Times New Roman" w:cs="Times New Roman" w:eastAsia="Times New Roman" w:hint="default"/>
        </w:rPr>
        <w:t>2,639,690.36</w:t>
      </w:r>
      <w:r>
        <w:rPr/>
        <w:t>元。本期权益法核算的被投资单位资 本公积变动按持股比例确认增加其他资本公积</w:t>
      </w:r>
      <w:r>
        <w:rPr>
          <w:rFonts w:ascii="Times New Roman" w:hAnsi="Times New Roman" w:cs="Times New Roman" w:eastAsia="Times New Roman" w:hint="default"/>
        </w:rPr>
        <w:t>5,259,803.14</w:t>
      </w:r>
      <w:r>
        <w:rPr/>
        <w:t>元。</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131"/>
        <w:jc w:val="both"/>
      </w:pPr>
      <w:r>
        <w:rPr>
          <w:spacing w:val="-1"/>
        </w:rPr>
        <w:t>库存股</w:t>
      </w:r>
      <w:r>
        <w:rPr>
          <w:rFonts w:ascii="Times New Roman" w:hAnsi="Times New Roman" w:cs="Times New Roman" w:eastAsia="Times New Roman" w:hint="default"/>
          <w:spacing w:val="-1"/>
        </w:rPr>
        <w:t>“</w:t>
      </w:r>
      <w:r>
        <w:rPr>
          <w:spacing w:val="-1"/>
        </w:rPr>
        <w:t>其他</w:t>
      </w:r>
      <w:r>
        <w:rPr>
          <w:rFonts w:ascii="Times New Roman" w:hAnsi="Times New Roman" w:cs="Times New Roman" w:eastAsia="Times New Roman" w:hint="default"/>
          <w:spacing w:val="-1"/>
        </w:rPr>
        <w:t>”</w:t>
      </w:r>
      <w:r>
        <w:rPr>
          <w:spacing w:val="-1"/>
        </w:rPr>
        <w:t>项目减少包括：本期从二级市场回购股票增加库存股</w:t>
      </w:r>
      <w:r>
        <w:rPr>
          <w:rFonts w:ascii="Times New Roman" w:hAnsi="Times New Roman" w:cs="Times New Roman" w:eastAsia="Times New Roman" w:hint="default"/>
          <w:spacing w:val="-1"/>
        </w:rPr>
        <w:t>17,996,196.31</w:t>
      </w:r>
      <w:r>
        <w:rPr>
          <w:spacing w:val="-1"/>
        </w:rPr>
        <w:t>元，以回购的股票实施限制性股票股权激励</w:t>
      </w:r>
      <w:r>
        <w:rPr>
          <w:spacing w:val="-53"/>
        </w:rPr>
        <w:t> </w:t>
      </w:r>
      <w:r>
        <w:rPr>
          <w:spacing w:val="-53"/>
        </w:rPr>
      </w:r>
      <w:r>
        <w:rPr>
          <w:spacing w:val="-2"/>
        </w:rPr>
        <w:t>减少库存股</w:t>
      </w:r>
      <w:r>
        <w:rPr>
          <w:rFonts w:ascii="Times New Roman" w:hAnsi="Times New Roman" w:cs="Times New Roman" w:eastAsia="Times New Roman" w:hint="default"/>
          <w:spacing w:val="-2"/>
        </w:rPr>
        <w:t>18,193,048.11</w:t>
      </w:r>
      <w:r>
        <w:rPr>
          <w:spacing w:val="-2"/>
        </w:rPr>
        <w:t>元，分配利润影响库存股</w:t>
      </w:r>
      <w:r>
        <w:rPr>
          <w:rFonts w:ascii="Times New Roman" w:hAnsi="Times New Roman" w:cs="Times New Roman" w:eastAsia="Times New Roman" w:hint="default"/>
          <w:spacing w:val="-2"/>
        </w:rPr>
        <w:t>23,659.67</w:t>
      </w:r>
      <w:r>
        <w:rPr>
          <w:spacing w:val="-2"/>
        </w:rPr>
        <w:t>元</w:t>
      </w:r>
      <w:r>
        <w:rPr>
          <w:rFonts w:ascii="Times New Roman" w:hAnsi="Times New Roman" w:cs="Times New Roman" w:eastAsia="Times New Roman" w:hint="default"/>
          <w:spacing w:val="-2"/>
        </w:rPr>
        <w:t>,</w:t>
      </w:r>
      <w:r>
        <w:rPr>
          <w:spacing w:val="-2"/>
        </w:rPr>
        <w:t>本期以回购的股票实施股权激励，公司以发行限制性股票的数</w:t>
      </w:r>
      <w:r>
        <w:rPr>
          <w:spacing w:val="-46"/>
        </w:rPr>
        <w:t> </w:t>
      </w:r>
      <w:r>
        <w:rPr>
          <w:spacing w:val="-46"/>
        </w:rPr>
      </w:r>
      <w:r>
        <w:rPr/>
        <w:t>量以及相应的回购价格确认回购义务，增加库存股</w:t>
      </w:r>
      <w:r>
        <w:rPr>
          <w:rFonts w:ascii="Times New Roman" w:hAnsi="Times New Roman" w:cs="Times New Roman" w:eastAsia="Times New Roman" w:hint="default"/>
        </w:rPr>
        <w:t>7,022,680.20</w:t>
      </w:r>
      <w:r>
        <w:rPr/>
        <w:t>元。</w:t>
      </w:r>
    </w:p>
    <w:p>
      <w:pPr>
        <w:spacing w:line="240" w:lineRule="auto" w:before="4"/>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11,084,171.65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59,869,493.99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17,076,214.75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被冻结</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116,177,165.08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204,207,045.47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7,787,222.94</w:t>
            </w: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0" w:right="0"/>
              <w:jc w:val="left"/>
              <w:rPr>
                <w:rFonts w:ascii="Times New Roman" w:hAnsi="Times New Roman" w:cs="Times New Roman" w:eastAsia="Times New Roman" w:hint="default"/>
                <w:sz w:val="18"/>
                <w:szCs w:val="18"/>
              </w:rPr>
            </w:pPr>
            <w:r>
              <w:rPr>
                <w:rFonts w:ascii="Times New Roman"/>
                <w:sz w:val="18"/>
              </w:rPr>
              <w:t>904,442.63</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1" w:right="0"/>
              <w:jc w:val="left"/>
              <w:rPr>
                <w:rFonts w:ascii="Times New Roman" w:hAnsi="Times New Roman" w:cs="Times New Roman" w:eastAsia="Times New Roman" w:hint="default"/>
                <w:sz w:val="18"/>
                <w:szCs w:val="18"/>
              </w:rPr>
            </w:pPr>
            <w:r>
              <w:rPr>
                <w:rFonts w:ascii="Times New Roman"/>
                <w:sz w:val="18"/>
              </w:rPr>
              <w:t>6,309,578.12</w:t>
            </w:r>
          </w:p>
        </w:tc>
      </w:tr>
      <w:tr>
        <w:trPr>
          <w:trHeight w:val="392"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3"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99,950.53</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6" w:right="0"/>
              <w:jc w:val="left"/>
              <w:rPr>
                <w:rFonts w:ascii="Times New Roman" w:hAnsi="Times New Roman" w:cs="Times New Roman" w:eastAsia="Times New Roman" w:hint="default"/>
                <w:sz w:val="18"/>
                <w:szCs w:val="18"/>
              </w:rPr>
            </w:pPr>
            <w:r>
              <w:rPr>
                <w:rFonts w:ascii="Times New Roman"/>
                <w:sz w:val="18"/>
              </w:rPr>
              <w:t>781,163.37</w:t>
            </w:r>
          </w:p>
        </w:tc>
      </w:tr>
      <w:tr>
        <w:trPr>
          <w:trHeight w:val="394"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3"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0" w:right="0"/>
              <w:jc w:val="left"/>
              <w:rPr>
                <w:rFonts w:ascii="Times New Roman" w:hAnsi="Times New Roman" w:cs="Times New Roman" w:eastAsia="Times New Roman" w:hint="default"/>
                <w:sz w:val="18"/>
                <w:szCs w:val="18"/>
              </w:rPr>
            </w:pPr>
            <w:r>
              <w:rPr>
                <w:rFonts w:ascii="Times New Roman"/>
                <w:sz w:val="18"/>
              </w:rPr>
              <w:t>271,866.27</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6" w:right="0"/>
              <w:jc w:val="left"/>
              <w:rPr>
                <w:rFonts w:ascii="Times New Roman" w:hAnsi="Times New Roman" w:cs="Times New Roman" w:eastAsia="Times New Roman" w:hint="default"/>
                <w:sz w:val="18"/>
                <w:szCs w:val="18"/>
              </w:rPr>
            </w:pPr>
            <w:r>
              <w:rPr>
                <w:rFonts w:ascii="Times New Roman"/>
                <w:sz w:val="18"/>
              </w:rPr>
              <w:t>243,532.37</w:t>
            </w: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3"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5" w:right="0"/>
              <w:jc w:val="left"/>
              <w:rPr>
                <w:rFonts w:ascii="Times New Roman" w:hAnsi="Times New Roman" w:cs="Times New Roman" w:eastAsia="Times New Roman" w:hint="default"/>
                <w:sz w:val="18"/>
                <w:szCs w:val="18"/>
              </w:rPr>
            </w:pPr>
            <w:r>
              <w:rPr>
                <w:rFonts w:ascii="Times New Roman"/>
                <w:sz w:val="18"/>
              </w:rPr>
              <w:t>7,067,832.00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452,949.08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3"/>
        </w:rPr>
        <w:t> </w:t>
      </w:r>
      <w:r>
        <w:rPr>
          <w:spacing w:val="-63"/>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博士后工作站建设补助经费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年博士后科研项目择优 资助经费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杭 州市下城区科学技术局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年第三批市文化创意资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面向一体化健康服务的区域 医疗资源知识图谱构建技术 研究项目研究补助资金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跨主机容器弹性集群与动态 资源调度技术研究项目研究 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314,900.00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杭州市下城区科技局知识产 权补助款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电影事业发展专项资金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税收返还或补助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2,399,052.39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2,399,052.39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其他与日常经营活动相关的 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232,028.82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232,028.82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党组织工作经费返还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6,582.00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6,582.00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人力资源见习基地补贴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74,359.38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74,359.38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下城区税收返还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1,669.10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1,669.10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放映国产片奖励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地方国家电影事业发展基金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8"/>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49"/>
        <w:ind w:right="6074"/>
        <w:jc w:val="left"/>
      </w:pPr>
      <w:r>
        <w:rPr/>
        <w:t>合并成本公允价值的确定方法、或有对价及其变动的说明： 大额商誉形成的主要原因：</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240" w:lineRule="auto" w:before="49"/>
        <w:ind w:right="1133"/>
        <w:jc w:val="left"/>
      </w:pPr>
      <w:r>
        <w:rPr/>
        <w:t>可辨认资产、负债公允价值的确定方法：</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ind w:right="7514"/>
        <w:jc w:val="left"/>
      </w:pPr>
      <w:r>
        <w:rPr/>
        <w:t>企业合并中承担的被购买方的或有负债： 其他说明：</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spacing w:line="520" w:lineRule="auto" w:before="0"/>
        <w:ind w:left="152" w:right="6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本期注销子公司成都宇佑信息科技有限公司。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pStyle w:val="Heading5"/>
        <w:spacing w:line="240" w:lineRule="auto" w:before="49"/>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15pt;height:41.35pt;mso-position-horizontal-relative:char;mso-position-vertical-relative:line" coordorigin="0,0" coordsize="9583,827">
            <v:group style="position:absolute;left:3169;top:17;width:24;height:392" coordorigin="3169,17" coordsize="24,392">
              <v:shape style="position:absolute;left:3169;top:17;width:24;height:392" coordorigin="3169,17" coordsize="24,392" path="m3169,409l3193,409,3193,17,3169,17,3169,409xe" filled="true" fillcolor="#d2d2d2" stroked="false">
                <v:path arrowok="t"/>
                <v:fill type="solid"/>
              </v:shape>
            </v:group>
            <v:group style="position:absolute;left:12;top:17;width:22;height:392" coordorigin="12,17" coordsize="22,392">
              <v:shape style="position:absolute;left:12;top:17;width:22;height:392" coordorigin="12,17" coordsize="22,392" path="m12,409l34,409,34,17,12,17,12,409xe" filled="true" fillcolor="#d2d2d2" stroked="false">
                <v:path arrowok="t"/>
                <v:fill type="solid"/>
              </v:shape>
            </v:group>
            <v:group style="position:absolute;left:34;top:17;width:3136;height:392" coordorigin="34,17" coordsize="3136,392">
              <v:shape style="position:absolute;left:34;top:17;width:3136;height:392" coordorigin="34,17" coordsize="3136,392" path="m34,409l3169,409,3169,17,34,17,34,409xe" filled="true" fillcolor="#d2d2d2" stroked="false">
                <v:path arrowok="t"/>
                <v:fill type="solid"/>
              </v:shape>
            </v:group>
            <v:group style="position:absolute;left:3203;top:17;width:22;height:392" coordorigin="3203,17" coordsize="22,392">
              <v:shape style="position:absolute;left:3203;top:17;width:22;height:392" coordorigin="3203,17" coordsize="22,392" path="m3203,409l3224,409,3224,17,3203,17,3203,409xe" filled="true" fillcolor="#d2d2d2" stroked="false">
                <v:path arrowok="t"/>
                <v:fill type="solid"/>
              </v:shape>
            </v:group>
            <v:group style="position:absolute;left:9549;top:17;width:24;height:392" coordorigin="9549,17" coordsize="24,392">
              <v:shape style="position:absolute;left:9549;top:17;width:24;height:392" coordorigin="9549,17" coordsize="24,392" path="m9549,409l9573,409,9573,17,9549,17,9549,409xe" filled="true" fillcolor="#d2d2d2" stroked="false">
                <v:path arrowok="t"/>
                <v:fill type="solid"/>
              </v:shape>
            </v:group>
            <v:group style="position:absolute;left:3224;top:17;width:6325;height:392" coordorigin="3224,17" coordsize="6325,392">
              <v:shape style="position:absolute;left:3224;top:17;width:6325;height:392" coordorigin="3224,17" coordsize="6325,392" path="m3224,409l9549,409,9549,17,3224,17,3224,409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3169;top:418;width:24;height:392" coordorigin="3169,418" coordsize="24,392">
              <v:shape style="position:absolute;left:3169;top:418;width:24;height:392" coordorigin="3169,418" coordsize="24,392" path="m3169,809l3193,809,3193,418,3169,418,3169,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6359;top:418;width:24;height:392" coordorigin="6359,418" coordsize="24,392">
              <v:shape style="position:absolute;left:6359;top:418;width:24;height:392" coordorigin="6359,418" coordsize="24,392" path="m6359,809l6383,809,6383,418,6359,418,6359,809xe" filled="true" fillcolor="#d2d2d2" stroked="false">
                <v:path arrowok="t"/>
                <v:fill type="solid"/>
              </v:shape>
            </v:group>
            <v:group style="position:absolute;left:3203;top:418;width:22;height:392" coordorigin="3203,418" coordsize="22,392">
              <v:shape style="position:absolute;left:3203;top:418;width:22;height:392" coordorigin="3203,418" coordsize="22,392" path="m3203,809l3224,809,3224,418,3203,418,3203,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3;top:418;width:22;height:392" coordorigin="6393,418" coordsize="22,392">
              <v:shape style="position:absolute;left:6393;top:418;width:22;height:392" coordorigin="6393,418" coordsize="22,392" path="m6393,809l6414,809,6414,418,6393,418,6393,809xe" filled="true" fillcolor="#d2d2d2" stroked="false">
                <v:path arrowok="t"/>
                <v:fill type="solid"/>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4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4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4pt" strokecolor="#000000">
                <v:path arrowok="t"/>
              </v:shape>
            </v:group>
            <v:group style="position:absolute;left:5;top:5;width:2;height:817" coordorigin="5,5" coordsize="2,817">
              <v:shape style="position:absolute;left:5;top:5;width:2;height:817" coordorigin="5,5" coordsize="0,817" path="m5,5l5,821e" filled="false" stroked="true" strokeweight=".48pt" strokecolor="#000000">
                <v:path arrowok="t"/>
              </v:shape>
            </v:group>
            <v:group style="position:absolute;left:10;top:817;width:3181;height:2" coordorigin="10,817" coordsize="3181,2">
              <v:shape style="position:absolute;left:10;top:817;width:3181;height:2" coordorigin="10,817" coordsize="3181,0" path="m10,817l3191,817e" filled="false" stroked="true" strokeweight=".47998pt" strokecolor="#000000">
                <v:path arrowok="t"/>
              </v:shape>
            </v:group>
            <v:group style="position:absolute;left:3195;top:5;width:2;height:817" coordorigin="3195,5" coordsize="2,817">
              <v:shape style="position:absolute;left:3195;top:5;width:2;height:817" coordorigin="3195,5" coordsize="0,817" path="m3195,5l3195,821e" filled="false" stroked="true" strokeweight=".48pt" strokecolor="#000000">
                <v:path arrowok="t"/>
              </v:shape>
            </v:group>
            <v:group style="position:absolute;left:3200;top:817;width:3181;height:2" coordorigin="3200,817" coordsize="3181,2">
              <v:shape style="position:absolute;left:3200;top:817;width:3181;height:2" coordorigin="3200,817" coordsize="3181,0" path="m3200,817l6381,817e" filled="false" stroked="true" strokeweight=".47998pt" strokecolor="#000000">
                <v:path arrowok="t"/>
              </v:shape>
            </v:group>
            <v:group style="position:absolute;left:6385;top:409;width:2;height:413" coordorigin="6385,409" coordsize="2,413">
              <v:shape style="position:absolute;left:6385;top:409;width:2;height:413" coordorigin="6385,409" coordsize="0,413" path="m6385,409l6385,821e" filled="false" stroked="true" strokeweight=".48001pt" strokecolor="#000000">
                <v:path arrowok="t"/>
              </v:shape>
            </v:group>
            <v:group style="position:absolute;left:6390;top:817;width:3183;height:2" coordorigin="6390,817" coordsize="3183,2">
              <v:shape style="position:absolute;left:6390;top:817;width:3183;height:2" coordorigin="6390,817" coordsize="3183,0" path="m6390,817l9573,817e" filled="false" stroked="true" strokeweight=".47998pt" strokecolor="#000000">
                <v:path arrowok="t"/>
              </v:shape>
            </v:group>
            <v:group style="position:absolute;left:9578;top:5;width:2;height:817" coordorigin="9578,5" coordsize="2,817">
              <v:shape style="position:absolute;left:9578;top:5;width:2;height:817" coordorigin="9578,5" coordsize="0,817" path="m9578,5l9578,821e" filled="false" stroked="true" strokeweight=".47998pt" strokecolor="#000000">
                <v:path arrowok="t"/>
              </v:shape>
              <v:shape style="position:absolute;left:3195;top:413;width:3190;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57" w:lineRule="auto"/>
        <w:ind w:right="7514"/>
        <w:jc w:val="left"/>
      </w:pPr>
      <w:r>
        <w:rPr/>
        <w:t>企业合并中承担的被合并方的或有负债： 其他说明：</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说明其他原因导致的合并范围变动（如，新设子公司、清算子公司等）及其相关情况：</w:t>
      </w:r>
    </w:p>
    <w:p>
      <w:pPr>
        <w:pStyle w:val="Heading6"/>
        <w:spacing w:line="240" w:lineRule="auto" w:before="94"/>
        <w:ind w:right="1133"/>
        <w:jc w:val="left"/>
      </w:pPr>
      <w:r>
        <w:rPr/>
        <w:t>本期注销子公司成都宇佑信息科技有限公司。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汉鼎宇佑信息产 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浙江汉鼎宇佑金 融服务有限公司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金融服务、咨询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杭州鼎有财金融 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金融服务、技术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杭州宇佑电子商 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金融服务、批发 零售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浙江汉鼎宇佑资 本管理有限公司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投资与资产管理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杭州汉鼎宇佑互 动娱乐管理有限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租赁与商务服务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淳安县汉鼎宇佑 电影有限公司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浙江淳安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浙江淳安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杭州星影电影院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乐清时代电影放 映有限公司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浙江乐清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浙江乐清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深圳星海太平洋 影业投资有限公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山西镁乐文化传 媒有限公司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山西长治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山西长治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杭州超象娱乐管 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宁波汉鼎宇佑电 影院有限公司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陆川县汉鼎宇佑 影城有限责任公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广西陆川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广西陆川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上林县汉鼎宇佑 影城有限责任公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广西上林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广西上林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长沙祖安文化传 播有限公司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江油市辉煌影业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四川江油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四川江油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芜湖华昕影院有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安徽芜湖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安徽芜湖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西安华昕影院有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淮安汉鼎宇佑电 影院有限公司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江苏淮安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江苏淮安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合肥市汉鼎宇佑 电影院有限公司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宁波镇海宇佑互 动电影院有限公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75"/>
              <w:jc w:val="left"/>
              <w:rPr>
                <w:rFonts w:ascii="宋体" w:hAnsi="宋体" w:cs="宋体" w:eastAsia="宋体" w:hint="default"/>
                <w:sz w:val="18"/>
                <w:szCs w:val="18"/>
              </w:rPr>
            </w:pPr>
            <w:r>
              <w:rPr>
                <w:rFonts w:ascii="宋体" w:hAnsi="宋体" w:cs="宋体" w:eastAsia="宋体" w:hint="default"/>
                <w:sz w:val="18"/>
                <w:szCs w:val="18"/>
              </w:rPr>
              <w:t>丽水市汉鼎宇佑 电影放映有限公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浙江丽水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浙江丽水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杭州汉鼎宇佑商 业发展有限公司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商务信息咨询服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杭州汉鼎宇佑金 控投资有限公司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租赁服务、批发 零售、进出口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汉鼎宇佑融资租 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金融租赁业务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汉鼎国际发展有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境外投资并购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汉鼎宇佑有限公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成都宇佑信息科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计算机网络、技 术开发、销售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霍尔果斯吉良先 道信息科技有限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浙江汉鼎宇佑智 慧医疗服务有限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好医友医疗科技 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远程医疗服务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杭州汉鼎宇佑互 联网技术有限公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网络信息服务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0"/>
        <w:jc w:val="both"/>
      </w:pPr>
      <w:r>
        <w:rPr/>
        <w:t>在子公司的持股比例不同于表决权比例的说明：</w:t>
      </w:r>
    </w:p>
    <w:p>
      <w:pPr>
        <w:pStyle w:val="BodyText"/>
        <w:spacing w:line="300" w:lineRule="auto" w:before="115"/>
        <w:ind w:right="1132"/>
        <w:jc w:val="both"/>
      </w:pPr>
      <w:r>
        <w:rPr>
          <w:spacing w:val="-1"/>
        </w:rPr>
        <w:t>本公司直接持有好医友医疗科技集团有限公司</w:t>
      </w:r>
      <w:r>
        <w:rPr>
          <w:rFonts w:ascii="Times New Roman" w:hAnsi="Times New Roman" w:cs="Times New Roman" w:eastAsia="Times New Roman" w:hint="default"/>
          <w:spacing w:val="-1"/>
        </w:rPr>
        <w:t>40%</w:t>
      </w:r>
      <w:r>
        <w:rPr>
          <w:spacing w:val="-1"/>
        </w:rPr>
        <w:t>的股权，本公司的关联方汉鼎宇佑集团有限公司持有好医友医疗科技集团</w:t>
      </w:r>
      <w:r>
        <w:rPr>
          <w:spacing w:val="-87"/>
        </w:rPr>
        <w:t> </w:t>
      </w:r>
      <w:r>
        <w:rPr>
          <w:spacing w:val="-87"/>
        </w:rPr>
      </w:r>
      <w:r>
        <w:rPr>
          <w:spacing w:val="-1"/>
        </w:rPr>
        <w:t>有限公司</w:t>
      </w:r>
      <w:r>
        <w:rPr>
          <w:rFonts w:ascii="Times New Roman" w:hAnsi="Times New Roman" w:cs="Times New Roman" w:eastAsia="Times New Roman" w:hint="default"/>
          <w:spacing w:val="-1"/>
        </w:rPr>
        <w:t>10%</w:t>
      </w:r>
      <w:r>
        <w:rPr>
          <w:spacing w:val="-1"/>
        </w:rPr>
        <w:t>的股权，汉鼎宇佑集团有限公司将其对好医友医疗科技集团有限公司的股东权利委托本公司行使，故本公司对</w:t>
      </w:r>
      <w:r>
        <w:rPr/>
        <w:t> 好医友医疗科技集团有限公司的表决权比例为</w:t>
      </w:r>
      <w:r>
        <w:rPr>
          <w:rFonts w:ascii="Times New Roman" w:hAnsi="Times New Roman" w:cs="Times New Roman" w:eastAsia="Times New Roman" w:hint="default"/>
        </w:rPr>
        <w:t>50%</w:t>
      </w:r>
      <w:r>
        <w:rPr/>
        <w:t>，同时该公司董事会</w:t>
      </w:r>
      <w:r>
        <w:rPr>
          <w:rFonts w:ascii="Times New Roman" w:hAnsi="Times New Roman" w:cs="Times New Roman" w:eastAsia="Times New Roman" w:hint="default"/>
        </w:rPr>
        <w:t>3</w:t>
      </w:r>
      <w:r>
        <w:rPr/>
        <w:t>名成员中本公司派有两名，形成控制。</w:t>
      </w:r>
    </w:p>
    <w:p>
      <w:pPr>
        <w:pStyle w:val="BodyText"/>
        <w:spacing w:line="360" w:lineRule="auto" w:before="53"/>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4"/>
        <w:jc w:val="left"/>
      </w:pPr>
      <w:r>
        <w:rPr/>
        <w:t>确定公司是代理人还是委托人的依据： 其他说明：</w:t>
      </w:r>
    </w:p>
    <w:p>
      <w:pPr>
        <w:spacing w:line="240" w:lineRule="auto" w:before="5"/>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6434"/>
        <w:jc w:val="left"/>
      </w:pPr>
      <w:r>
        <w:rPr/>
        <w:t>子公司少数股东的持股比例不同于表决权比例的说明： 其他说明：</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蜂助手股份有限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广告、通讯、信 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4"/>
              <w:jc w:val="left"/>
              <w:rPr>
                <w:rFonts w:ascii="Times New Roman" w:hAnsi="Times New Roman" w:cs="Times New Roman" w:eastAsia="Times New Roman" w:hint="default"/>
                <w:sz w:val="18"/>
                <w:szCs w:val="18"/>
              </w:rPr>
            </w:pPr>
            <w:r>
              <w:rPr>
                <w:rFonts w:ascii="Times New Roman"/>
                <w:spacing w:val="-3"/>
                <w:sz w:val="18"/>
              </w:rPr>
              <w:t>Weidai</w:t>
            </w:r>
            <w:r>
              <w:rPr>
                <w:rFonts w:ascii="Times New Roman"/>
                <w:sz w:val="18"/>
              </w:rPr>
              <w:t> Ltd.(Cayman Island)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4"/>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公司在重要的联营企业蜂助手股份有限公司董事会中派有二名董事，对其经营活动具有重大影响，按权益法核算。 公司重要的联营企业</w:t>
      </w:r>
      <w:r>
        <w:rPr>
          <w:rFonts w:ascii="Times New Roman" w:hAnsi="Times New Roman" w:cs="Times New Roman" w:eastAsia="Times New Roman" w:hint="default"/>
        </w:rPr>
        <w:t>Weidai Ltd.(Cayman</w:t>
      </w:r>
      <w:r>
        <w:rPr>
          <w:rFonts w:ascii="Times New Roman" w:hAnsi="Times New Roman" w:cs="Times New Roman" w:eastAsia="Times New Roman" w:hint="default"/>
          <w:spacing w:val="-4"/>
        </w:rPr>
        <w:t> </w:t>
      </w:r>
      <w:r>
        <w:rPr>
          <w:rFonts w:ascii="Times New Roman" w:hAnsi="Times New Roman" w:cs="Times New Roman" w:eastAsia="Times New Roman" w:hint="default"/>
        </w:rPr>
        <w:t>Island)</w:t>
      </w:r>
      <w:r>
        <w:rPr/>
        <w:t>系纽交所上市公司，本公司在其董事会中派有一名董事，对其经营活动具有 重大影响，按权益法核算。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7"/>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30" w:right="0"/>
              <w:jc w:val="left"/>
              <w:rPr>
                <w:rFonts w:ascii="Times New Roman" w:hAnsi="Times New Roman" w:cs="Times New Roman" w:eastAsia="Times New Roman" w:hint="default"/>
                <w:sz w:val="18"/>
                <w:szCs w:val="18"/>
              </w:rPr>
            </w:pPr>
            <w:r>
              <w:rPr>
                <w:rFonts w:ascii="Times New Roman"/>
                <w:spacing w:val="-3"/>
                <w:sz w:val="18"/>
              </w:rPr>
              <w:t>Weidai</w:t>
            </w:r>
            <w:r>
              <w:rPr>
                <w:rFonts w:ascii="Times New Roman"/>
                <w:spacing w:val="-1"/>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蜂助手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30" w:right="0"/>
              <w:jc w:val="left"/>
              <w:rPr>
                <w:rFonts w:ascii="Times New Roman" w:hAnsi="Times New Roman" w:cs="Times New Roman" w:eastAsia="Times New Roman" w:hint="default"/>
                <w:sz w:val="18"/>
                <w:szCs w:val="18"/>
              </w:rPr>
            </w:pPr>
            <w:r>
              <w:rPr>
                <w:rFonts w:ascii="Times New Roman"/>
                <w:spacing w:val="-3"/>
                <w:sz w:val="18"/>
              </w:rPr>
              <w:t>Weidai</w:t>
            </w:r>
            <w:r>
              <w:rPr>
                <w:rFonts w:ascii="Times New Roman"/>
                <w:spacing w:val="-1"/>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蜂助手</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3,914,513,331.64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369,333,141.63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4,562,058,303.43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244,045,558.12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422,242,112.12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156,687,597.98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368,695,398.87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172,880,777.37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4,336,755,443.76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526,020,739.61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4,930,753,702.30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416,926,335.49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1,657,172,224.54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137,755,323.81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2,704,611,956.27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79,558,791.99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3,114,646.20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56,221,421.28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8,044,379.65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87,610,479.17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1,660,286,870.74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193,976,745.09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2,712,656,335.92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167,169,271.16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8,691,775.19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8,527,830.25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7,389,778.39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2,667,776,797.83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323,516,164.27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2,210,707,587.99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250,086,759.48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376,956,861.53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64,606,178.00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314,362,619.01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51,842,985.24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175,591,124.78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82,080,121.75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760,702,186.13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67,113,575.96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3,457,321,273.61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424,519,284.87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3,903,133,597.27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311,824,042.32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423,030,736.94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64,280,111.86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677,319,367.53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53,747,439.70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-5,605,643.47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423,030,736.94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58,674,468.39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677,319,367.53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53,747,439.70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-796,382.82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4,743,287.14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6,118,032.66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547,081.16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87,402,694.21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6,824,899.06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205,260,641.69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8,037,178.16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423,360.00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17,978,294.97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9,752,421.28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-1,538,356.51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571,825.98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-1,538,356.51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571,825.98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未纳入合并财务报表范围的结构化主体的相关说明：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Heading6"/>
        <w:spacing w:line="273" w:lineRule="auto" w:before="0"/>
        <w:ind w:right="112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险管理目标和政策的确定，并对风险管理目标和政策承担最终责任，公司财务部设计和实施能确保风险管</w:t>
      </w:r>
      <w:r>
        <w:rPr>
          <w:spacing w:val="-44"/>
        </w:rPr>
        <w:t> </w:t>
      </w:r>
      <w:r>
        <w:rPr>
          <w:spacing w:val="-44"/>
        </w:rPr>
      </w:r>
      <w:r>
        <w:rPr>
          <w:spacing w:val="-2"/>
        </w:rPr>
        <w:t>理目标和政策得以有效执行的程序。董事会通过财务部递交的报告来审查已执行程序的有效性以及风险管</w:t>
      </w:r>
      <w:r>
        <w:rPr>
          <w:spacing w:val="-43"/>
        </w:rPr>
        <w:t> </w:t>
      </w:r>
      <w:r>
        <w:rPr>
          <w:spacing w:val="-43"/>
        </w:rPr>
      </w:r>
      <w:r>
        <w:rPr/>
        <w:t>理目标和政策的合理性。</w:t>
      </w:r>
    </w:p>
    <w:p>
      <w:pPr>
        <w:pStyle w:val="Heading6"/>
        <w:spacing w:line="273" w:lineRule="auto"/>
        <w:ind w:left="573" w:right="1133"/>
        <w:jc w:val="left"/>
      </w:pPr>
      <w:r>
        <w:rPr/>
        <w:t>本公司的内部审计师也会审计风险管理的政策和程序，并且将有关发现汇报给审计委员会。</w:t>
      </w:r>
      <w:r>
        <w:rPr>
          <w:w w:val="100"/>
        </w:rPr>
        <w:t> </w:t>
      </w:r>
      <w:r>
        <w:rPr>
          <w:spacing w:val="-2"/>
        </w:rPr>
        <w:t>本公司风险管理的总体目标是在不过度影响公司竞争力和应变力的情况下，制定尽可能降低风险的风</w:t>
      </w:r>
    </w:p>
    <w:p>
      <w:pPr>
        <w:pStyle w:val="Heading6"/>
        <w:spacing w:line="240" w:lineRule="auto"/>
        <w:ind w:right="0"/>
        <w:jc w:val="both"/>
      </w:pPr>
      <w:r>
        <w:rPr/>
        <w:t>险管理政策。</w:t>
      </w:r>
    </w:p>
    <w:p>
      <w:pPr>
        <w:pStyle w:val="Heading6"/>
        <w:spacing w:line="256" w:lineRule="auto" w:before="37"/>
        <w:ind w:left="573" w:right="113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100"/>
        </w:rPr>
        <w:t> </w:t>
      </w:r>
      <w:r>
        <w:rPr>
          <w:spacing w:val="-2"/>
        </w:rPr>
        <w:t>信用风险是指金融工具的一方不履行义务，造成另一方发生财务损失的风险。本公司主要面临赊销导</w:t>
      </w:r>
    </w:p>
    <w:p>
      <w:pPr>
        <w:pStyle w:val="Heading6"/>
        <w:spacing w:line="273" w:lineRule="auto" w:before="23"/>
        <w:ind w:right="1133"/>
        <w:jc w:val="left"/>
      </w:pPr>
      <w:r>
        <w:rPr>
          <w:spacing w:val="-2"/>
        </w:rPr>
        <w:t>致的客户信用风险。在签订新合同之前，本公司会对新客户的信用风险进行了解评估。公司通过对已有客</w:t>
      </w:r>
      <w:r>
        <w:rPr>
          <w:spacing w:val="-44"/>
        </w:rPr>
        <w:t> </w:t>
      </w:r>
      <w:r>
        <w:rPr>
          <w:spacing w:val="-44"/>
        </w:rPr>
      </w:r>
      <w:r>
        <w:rPr/>
        <w:t>户信用评级以及应收账款账龄分析来确保公司的整体信用风险在可控的范围内。</w:t>
      </w:r>
    </w:p>
    <w:p>
      <w:pPr>
        <w:pStyle w:val="Heading6"/>
        <w:spacing w:line="256" w:lineRule="auto"/>
        <w:ind w:left="573" w:right="113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100"/>
        </w:rPr>
        <w:t> </w:t>
      </w:r>
      <w:r>
        <w:rPr>
          <w:spacing w:val="-2"/>
        </w:rPr>
        <w:t>金融工具的市场风险，是指金融工具的公允价值或未来现金流量因市场价格变动而发生波动的风险，</w:t>
      </w:r>
    </w:p>
    <w:p>
      <w:pPr>
        <w:pStyle w:val="Heading6"/>
        <w:spacing w:line="240" w:lineRule="auto" w:before="22"/>
        <w:ind w:right="0"/>
        <w:jc w:val="both"/>
      </w:pPr>
      <w:r>
        <w:rPr/>
        <w:t>包括外汇风险、利率风险和其他价格风险。</w:t>
      </w:r>
    </w:p>
    <w:p>
      <w:pPr>
        <w:pStyle w:val="Heading6"/>
        <w:spacing w:line="264" w:lineRule="auto" w:before="37"/>
        <w:ind w:left="573" w:right="1133"/>
        <w:jc w:val="left"/>
      </w:pPr>
      <w:r>
        <w:rPr>
          <w:rFonts w:ascii="Times New Roman" w:hAnsi="Times New Roman" w:cs="Times New Roman" w:eastAsia="Times New Roman" w:hint="default"/>
        </w:rPr>
        <w:t>1</w:t>
      </w:r>
      <w:r>
        <w:rPr/>
        <w:t>、利率风险</w:t>
      </w:r>
      <w:r>
        <w:rPr>
          <w:w w:val="100"/>
        </w:rPr>
        <w:t> </w:t>
      </w:r>
      <w:r>
        <w:rPr/>
        <w:t>利率风险，是指金融工具的公允价值或未来现金流量因市场利率变动而发生波动的风险。</w:t>
      </w:r>
      <w:r>
        <w:rPr>
          <w:w w:val="100"/>
        </w:rPr>
        <w:t> </w:t>
      </w:r>
      <w:r>
        <w:rPr>
          <w:spacing w:val="-2"/>
        </w:rPr>
        <w:t>公司目前的政策是维持固定利率借款占外部借款的绝大部分。尽管该政策不能使本公司完全避免支付</w:t>
      </w:r>
    </w:p>
    <w:p>
      <w:pPr>
        <w:pStyle w:val="Heading6"/>
        <w:spacing w:line="273" w:lineRule="auto" w:before="16"/>
        <w:ind w:right="1133"/>
        <w:jc w:val="left"/>
      </w:pPr>
      <w:r>
        <w:rPr>
          <w:spacing w:val="-2"/>
        </w:rPr>
        <w:t>的利率超出现行市场利率的风险，也不能完全消除与利息支付波动相关的现金流量风险，但是管理层认为</w:t>
      </w:r>
      <w:r>
        <w:rPr>
          <w:spacing w:val="-44"/>
        </w:rPr>
        <w:t> </w:t>
      </w:r>
      <w:r>
        <w:rPr>
          <w:spacing w:val="-44"/>
        </w:rPr>
      </w:r>
      <w:r>
        <w:rPr/>
        <w:t>该政策实现了这些风险之间的合理平衡。</w:t>
      </w:r>
    </w:p>
    <w:p>
      <w:pPr>
        <w:pStyle w:val="Heading6"/>
        <w:spacing w:line="256" w:lineRule="auto"/>
        <w:ind w:left="573" w:right="1133"/>
        <w:jc w:val="left"/>
      </w:pPr>
      <w:r>
        <w:rPr>
          <w:rFonts w:ascii="Times New Roman" w:hAnsi="Times New Roman" w:cs="Times New Roman" w:eastAsia="Times New Roman" w:hint="default"/>
        </w:rPr>
        <w:t>2</w:t>
      </w:r>
      <w:r>
        <w:rPr/>
        <w:t>、外汇风险</w:t>
      </w:r>
      <w:r>
        <w:rPr>
          <w:w w:val="100"/>
        </w:rPr>
        <w:t> </w:t>
      </w:r>
      <w:r>
        <w:rPr>
          <w:spacing w:val="-2"/>
        </w:rPr>
        <w:t>外汇风险，是指金融工具的公允价值或未来现金流量因外汇汇率变动而发生波动的风险。本公司尽可</w:t>
      </w:r>
    </w:p>
    <w:p>
      <w:pPr>
        <w:pStyle w:val="Heading6"/>
        <w:spacing w:line="240" w:lineRule="auto" w:before="23"/>
        <w:ind w:right="0"/>
        <w:jc w:val="both"/>
      </w:pPr>
      <w:r>
        <w:rPr/>
        <w:t>能将外币收入与外币支出相匹配以降低外汇风险。</w:t>
      </w:r>
    </w:p>
    <w:p>
      <w:pPr>
        <w:pStyle w:val="Heading6"/>
        <w:spacing w:line="256" w:lineRule="auto" w:before="37"/>
        <w:ind w:left="573" w:right="11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r>
        <w:rPr>
          <w:w w:val="100"/>
        </w:rPr>
        <w:t> </w:t>
      </w:r>
      <w:r>
        <w:rPr>
          <w:spacing w:val="-2"/>
        </w:rPr>
        <w:t>流动风险，是指企业在履行以交付现金或其他金融资产的方式结算的义务时发生资金短缺的风险。本</w:t>
      </w:r>
    </w:p>
    <w:p>
      <w:pPr>
        <w:pStyle w:val="Heading6"/>
        <w:spacing w:line="264" w:lineRule="auto" w:before="22"/>
        <w:ind w:right="1126"/>
        <w:jc w:val="both"/>
      </w:pPr>
      <w:r>
        <w:rPr>
          <w:spacing w:val="-2"/>
        </w:rPr>
        <w:t>公司的政策是确保拥有充足的现金以偿还到期债务。流动性风险由本公司的财务部门集中控制。财务部门</w:t>
      </w:r>
      <w:r>
        <w:rPr>
          <w:spacing w:val="-43"/>
        </w:rPr>
        <w:t> </w:t>
      </w:r>
      <w:r>
        <w:rPr>
          <w:spacing w:val="-43"/>
        </w:rPr>
      </w:r>
      <w:r>
        <w:rPr>
          <w:spacing w:val="-2"/>
        </w:rPr>
        <w:t>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w:t>
      </w:r>
      <w:r>
        <w:rPr>
          <w:spacing w:val="-41"/>
        </w:rPr>
        <w:t> </w:t>
      </w:r>
      <w:r>
        <w:rPr>
          <w:spacing w:val="-41"/>
        </w:rPr>
      </w:r>
      <w:r>
        <w:rPr/>
        <w:t>预测的情况下拥有充足的资金偿还债务。</w:t>
      </w:r>
    </w:p>
    <w:p>
      <w:pPr>
        <w:pStyle w:val="Heading6"/>
        <w:spacing w:line="240" w:lineRule="auto" w:before="16"/>
        <w:ind w:left="57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日，本公司主要金融负债按到期日列示如下：</w:t>
      </w:r>
    </w:p>
    <w:p>
      <w:pPr>
        <w:spacing w:line="240" w:lineRule="auto" w:before="10"/>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949"/>
        <w:gridCol w:w="1352"/>
        <w:gridCol w:w="1349"/>
        <w:gridCol w:w="1352"/>
        <w:gridCol w:w="1368"/>
        <w:gridCol w:w="1352"/>
      </w:tblGrid>
      <w:tr>
        <w:trPr>
          <w:trHeight w:val="355" w:hRule="exact"/>
        </w:trPr>
        <w:tc>
          <w:tcPr>
            <w:tcW w:w="19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50"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490,802,530.19</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490,802,530.19</w:t>
            </w:r>
          </w:p>
        </w:tc>
        <w:tc>
          <w:tcPr>
            <w:tcW w:w="1352" w:type="dxa"/>
            <w:tcBorders>
              <w:top w:val="single" w:sz="12" w:space="0" w:color="000000"/>
              <w:left w:val="single" w:sz="6" w:space="0" w:color="000000"/>
              <w:bottom w:val="single" w:sz="12" w:space="0" w:color="000000"/>
              <w:right w:val="single" w:sz="6" w:space="0" w:color="000000"/>
            </w:tcBorders>
          </w:tcPr>
          <w:p>
            <w:pPr/>
          </w:p>
        </w:tc>
        <w:tc>
          <w:tcPr>
            <w:tcW w:w="1368"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28,724,490.12</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28,724,490.12</w:t>
            </w:r>
          </w:p>
        </w:tc>
        <w:tc>
          <w:tcPr>
            <w:tcW w:w="1352" w:type="dxa"/>
            <w:tcBorders>
              <w:top w:val="single" w:sz="12" w:space="0" w:color="000000"/>
              <w:left w:val="single" w:sz="6" w:space="0" w:color="000000"/>
              <w:bottom w:val="single" w:sz="12" w:space="0" w:color="000000"/>
              <w:right w:val="single" w:sz="6" w:space="0" w:color="000000"/>
            </w:tcBorders>
          </w:tcPr>
          <w:p>
            <w:pPr/>
          </w:p>
        </w:tc>
        <w:tc>
          <w:tcPr>
            <w:tcW w:w="1368"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323,094,592.71</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323,094,592.71</w:t>
            </w:r>
          </w:p>
        </w:tc>
        <w:tc>
          <w:tcPr>
            <w:tcW w:w="1352" w:type="dxa"/>
            <w:tcBorders>
              <w:top w:val="single" w:sz="12" w:space="0" w:color="000000"/>
              <w:left w:val="single" w:sz="6" w:space="0" w:color="000000"/>
              <w:bottom w:val="single" w:sz="12" w:space="0" w:color="000000"/>
              <w:right w:val="single" w:sz="6" w:space="0" w:color="000000"/>
            </w:tcBorders>
          </w:tcPr>
          <w:p>
            <w:pPr/>
          </w:p>
        </w:tc>
        <w:tc>
          <w:tcPr>
            <w:tcW w:w="1368"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75,278,334.50</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75,278,334.50</w:t>
            </w:r>
          </w:p>
        </w:tc>
        <w:tc>
          <w:tcPr>
            <w:tcW w:w="1352" w:type="dxa"/>
            <w:tcBorders>
              <w:top w:val="single" w:sz="12" w:space="0" w:color="000000"/>
              <w:left w:val="single" w:sz="6" w:space="0" w:color="000000"/>
              <w:bottom w:val="single" w:sz="12" w:space="0" w:color="000000"/>
              <w:right w:val="single" w:sz="6" w:space="0" w:color="000000"/>
            </w:tcBorders>
          </w:tcPr>
          <w:p>
            <w:pPr/>
          </w:p>
        </w:tc>
        <w:tc>
          <w:tcPr>
            <w:tcW w:w="1368"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266,317,331.98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357,623,598.03</w:t>
            </w: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91,306,266.05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91,306,266.05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91,306,266.05</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（六）其他非流动金融资</w:t>
            </w:r>
            <w:r>
              <w:rPr>
                <w:rFonts w:ascii="宋体" w:hAnsi="宋体" w:cs="宋体" w:eastAsia="宋体" w:hint="default"/>
                <w:sz w:val="18"/>
                <w:szCs w:val="18"/>
              </w:rPr>
              <w:t> 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266,317,331.98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266,317,331.98</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第一层次输入值是在计量日能够取得的相关资产或负债在活跃市场上未经调整的报价。</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第二层次输入值是除第一层次输入值外相关资产或负债直接或间接可观察的输入值。</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704"/>
        <w:gridCol w:w="1527"/>
        <w:gridCol w:w="1699"/>
        <w:gridCol w:w="1983"/>
        <w:gridCol w:w="1611"/>
      </w:tblGrid>
      <w:tr>
        <w:trPr>
          <w:trHeight w:val="665" w:hRule="exact"/>
        </w:trPr>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566"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1"/>
                <w:sz w:val="20"/>
                <w:szCs w:val="20"/>
              </w:rPr>
              <w:t> </w:t>
            </w:r>
            <w:r>
              <w:rPr>
                <w:rFonts w:ascii="宋体" w:hAnsi="宋体" w:cs="宋体" w:eastAsia="宋体" w:hint="default"/>
                <w:sz w:val="20"/>
                <w:szCs w:val="20"/>
              </w:rPr>
              <w:t>目</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55" w:right="0"/>
              <w:jc w:val="left"/>
              <w:rPr>
                <w:rFonts w:ascii="宋体" w:hAnsi="宋体" w:cs="宋体" w:eastAsia="宋体" w:hint="default"/>
                <w:sz w:val="20"/>
                <w:szCs w:val="20"/>
              </w:rPr>
            </w:pPr>
            <w:r>
              <w:rPr>
                <w:rFonts w:ascii="宋体" w:hAnsi="宋体" w:cs="宋体" w:eastAsia="宋体" w:hint="default"/>
                <w:sz w:val="20"/>
                <w:szCs w:val="20"/>
              </w:rPr>
              <w:t>期末公允价值</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441" w:right="0"/>
              <w:jc w:val="left"/>
              <w:rPr>
                <w:rFonts w:ascii="宋体" w:hAnsi="宋体" w:cs="宋体" w:eastAsia="宋体" w:hint="default"/>
                <w:sz w:val="20"/>
                <w:szCs w:val="20"/>
              </w:rPr>
            </w:pPr>
            <w:r>
              <w:rPr>
                <w:rFonts w:ascii="宋体" w:hAnsi="宋体" w:cs="宋体" w:eastAsia="宋体" w:hint="default"/>
                <w:sz w:val="20"/>
                <w:szCs w:val="20"/>
              </w:rPr>
              <w:t>估值技术</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不可观察输入值</w:t>
            </w:r>
          </w:p>
        </w:tc>
        <w:tc>
          <w:tcPr>
            <w:tcW w:w="16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8"/>
              <w:jc w:val="center"/>
              <w:rPr>
                <w:rFonts w:ascii="宋体" w:hAnsi="宋体" w:cs="宋体" w:eastAsia="宋体" w:hint="default"/>
                <w:sz w:val="20"/>
                <w:szCs w:val="20"/>
              </w:rPr>
            </w:pPr>
            <w:r>
              <w:rPr>
                <w:rFonts w:ascii="宋体" w:hAnsi="宋体" w:cs="宋体" w:eastAsia="宋体" w:hint="default"/>
                <w:sz w:val="20"/>
                <w:szCs w:val="20"/>
              </w:rPr>
              <w:t>范围区间</w:t>
            </w:r>
          </w:p>
          <w:p>
            <w:pPr>
              <w:pStyle w:val="TableParagraph"/>
              <w:spacing w:line="240" w:lineRule="auto" w:before="50"/>
              <w:ind w:right="8"/>
              <w:jc w:val="center"/>
              <w:rPr>
                <w:rFonts w:ascii="宋体" w:hAnsi="宋体" w:cs="宋体" w:eastAsia="宋体" w:hint="default"/>
                <w:sz w:val="20"/>
                <w:szCs w:val="20"/>
              </w:rPr>
            </w:pPr>
            <w:r>
              <w:rPr>
                <w:rFonts w:ascii="宋体" w:hAnsi="宋体" w:cs="宋体" w:eastAsia="宋体" w:hint="default"/>
                <w:sz w:val="20"/>
                <w:szCs w:val="20"/>
              </w:rPr>
              <w:t>（加权平均值）</w:t>
            </w:r>
          </w:p>
        </w:tc>
      </w:tr>
      <w:tr>
        <w:trPr>
          <w:trHeight w:val="353" w:hRule="exact"/>
        </w:trPr>
        <w:tc>
          <w:tcPr>
            <w:tcW w:w="1704" w:type="dxa"/>
            <w:vMerge w:val="restart"/>
            <w:tcBorders>
              <w:top w:val="single" w:sz="12" w:space="0" w:color="000000"/>
              <w:left w:val="single" w:sz="6" w:space="0" w:color="000000"/>
              <w:right w:val="single" w:sz="6" w:space="0" w:color="000000"/>
            </w:tcBorders>
          </w:tcPr>
          <w:p>
            <w:pPr>
              <w:pStyle w:val="TableParagraph"/>
              <w:spacing w:line="256" w:lineRule="exact"/>
              <w:ind w:left="247" w:right="0"/>
              <w:jc w:val="left"/>
              <w:rPr>
                <w:rFonts w:ascii="宋体" w:hAnsi="宋体" w:cs="宋体" w:eastAsia="宋体" w:hint="default"/>
                <w:sz w:val="20"/>
                <w:szCs w:val="20"/>
              </w:rPr>
            </w:pPr>
            <w:r>
              <w:rPr>
                <w:rFonts w:ascii="宋体" w:hAnsi="宋体" w:cs="宋体" w:eastAsia="宋体" w:hint="default"/>
                <w:sz w:val="20"/>
                <w:szCs w:val="20"/>
              </w:rPr>
              <w:t>权益工具投资</w:t>
            </w:r>
          </w:p>
        </w:tc>
        <w:tc>
          <w:tcPr>
            <w:tcW w:w="1527" w:type="dxa"/>
            <w:vMerge w:val="restart"/>
            <w:tcBorders>
              <w:top w:val="single" w:sz="12" w:space="0" w:color="000000"/>
              <w:left w:val="single" w:sz="6" w:space="0" w:color="000000"/>
              <w:right w:val="single" w:sz="6" w:space="0" w:color="000000"/>
            </w:tcBorders>
          </w:tcPr>
          <w:p>
            <w:pPr>
              <w:pStyle w:val="TableParagraph"/>
              <w:spacing w:line="240" w:lineRule="auto" w:before="41"/>
              <w:ind w:left="131" w:right="0"/>
              <w:jc w:val="left"/>
              <w:rPr>
                <w:rFonts w:ascii="Times New Roman" w:hAnsi="Times New Roman" w:cs="Times New Roman" w:eastAsia="Times New Roman" w:hint="default"/>
                <w:sz w:val="20"/>
                <w:szCs w:val="20"/>
              </w:rPr>
            </w:pPr>
            <w:r>
              <w:rPr>
                <w:rFonts w:ascii="Times New Roman"/>
                <w:sz w:val="20"/>
              </w:rPr>
              <w:t>266,317,331.98</w:t>
            </w:r>
          </w:p>
        </w:tc>
        <w:tc>
          <w:tcPr>
            <w:tcW w:w="1699" w:type="dxa"/>
            <w:vMerge w:val="restart"/>
            <w:tcBorders>
              <w:top w:val="single" w:sz="12" w:space="0" w:color="000000"/>
              <w:left w:val="single" w:sz="6" w:space="0" w:color="000000"/>
              <w:right w:val="single" w:sz="6" w:space="0" w:color="000000"/>
            </w:tcBorders>
          </w:tcPr>
          <w:p>
            <w:pPr>
              <w:pStyle w:val="TableParagraph"/>
              <w:spacing w:line="256" w:lineRule="exact"/>
              <w:ind w:left="141" w:right="0"/>
              <w:jc w:val="left"/>
              <w:rPr>
                <w:rFonts w:ascii="宋体" w:hAnsi="宋体" w:cs="宋体" w:eastAsia="宋体" w:hint="default"/>
                <w:sz w:val="20"/>
                <w:szCs w:val="20"/>
              </w:rPr>
            </w:pPr>
            <w:r>
              <w:rPr>
                <w:rFonts w:ascii="宋体" w:hAnsi="宋体" w:cs="宋体" w:eastAsia="宋体" w:hint="default"/>
                <w:sz w:val="20"/>
                <w:szCs w:val="20"/>
              </w:rPr>
              <w:t>现金流量折现法</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加权平均资本成本</w:t>
            </w:r>
          </w:p>
        </w:tc>
        <w:tc>
          <w:tcPr>
            <w:tcW w:w="16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3"/>
              <w:jc w:val="center"/>
              <w:rPr>
                <w:rFonts w:ascii="Times New Roman" w:hAnsi="Times New Roman" w:cs="Times New Roman" w:eastAsia="Times New Roman" w:hint="default"/>
                <w:sz w:val="20"/>
                <w:szCs w:val="20"/>
              </w:rPr>
            </w:pPr>
            <w:r>
              <w:rPr>
                <w:rFonts w:ascii="Times New Roman"/>
                <w:sz w:val="20"/>
              </w:rPr>
              <w:t>7.80%</w:t>
            </w:r>
          </w:p>
        </w:tc>
      </w:tr>
      <w:tr>
        <w:trPr>
          <w:trHeight w:val="350" w:hRule="exact"/>
        </w:trPr>
        <w:tc>
          <w:tcPr>
            <w:tcW w:w="1704" w:type="dxa"/>
            <w:vMerge/>
            <w:tcBorders>
              <w:left w:val="single" w:sz="6" w:space="0" w:color="000000"/>
              <w:right w:val="single" w:sz="6" w:space="0" w:color="000000"/>
            </w:tcBorders>
          </w:tcPr>
          <w:p>
            <w:pPr/>
          </w:p>
        </w:tc>
        <w:tc>
          <w:tcPr>
            <w:tcW w:w="1527"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3"/>
              <w:jc w:val="center"/>
              <w:rPr>
                <w:rFonts w:ascii="宋体" w:hAnsi="宋体" w:cs="宋体" w:eastAsia="宋体" w:hint="default"/>
                <w:sz w:val="20"/>
                <w:szCs w:val="20"/>
              </w:rPr>
            </w:pPr>
            <w:r>
              <w:rPr>
                <w:rFonts w:ascii="宋体" w:hAnsi="宋体" w:cs="宋体" w:eastAsia="宋体" w:hint="default"/>
                <w:sz w:val="20"/>
                <w:szCs w:val="20"/>
              </w:rPr>
              <w:t>长期收入增长率</w:t>
            </w:r>
          </w:p>
        </w:tc>
        <w:tc>
          <w:tcPr>
            <w:tcW w:w="16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51.86%</w:t>
            </w:r>
          </w:p>
        </w:tc>
      </w:tr>
      <w:tr>
        <w:trPr>
          <w:trHeight w:val="355" w:hRule="exact"/>
        </w:trPr>
        <w:tc>
          <w:tcPr>
            <w:tcW w:w="1704" w:type="dxa"/>
            <w:vMerge/>
            <w:tcBorders>
              <w:left w:val="single" w:sz="6" w:space="0" w:color="000000"/>
              <w:bottom w:val="single" w:sz="12" w:space="0" w:color="000000"/>
              <w:right w:val="single" w:sz="6" w:space="0" w:color="000000"/>
            </w:tcBorders>
          </w:tcPr>
          <w:p>
            <w:pPr/>
          </w:p>
        </w:tc>
        <w:tc>
          <w:tcPr>
            <w:tcW w:w="1527" w:type="dxa"/>
            <w:vMerge/>
            <w:tcBorders>
              <w:left w:val="single" w:sz="6" w:space="0" w:color="000000"/>
              <w:bottom w:val="single" w:sz="12" w:space="0" w:color="000000"/>
              <w:right w:val="single" w:sz="6" w:space="0" w:color="000000"/>
            </w:tcBorders>
          </w:tcPr>
          <w:p>
            <w:pPr/>
          </w:p>
        </w:tc>
        <w:tc>
          <w:tcPr>
            <w:tcW w:w="1699" w:type="dxa"/>
            <w:vMerge/>
            <w:tcBorders>
              <w:left w:val="single" w:sz="6" w:space="0" w:color="000000"/>
              <w:bottom w:val="single" w:sz="12" w:space="0" w:color="000000"/>
              <w:right w:val="single" w:sz="6" w:space="0" w:color="000000"/>
            </w:tcBorders>
          </w:tcPr>
          <w:p>
            <w:pP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长期税前营业利润</w:t>
            </w:r>
          </w:p>
        </w:tc>
        <w:tc>
          <w:tcPr>
            <w:tcW w:w="1611"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8"/>
              <w:jc w:val="center"/>
              <w:rPr>
                <w:rFonts w:ascii="宋体" w:hAnsi="宋体" w:cs="宋体" w:eastAsia="宋体" w:hint="default"/>
                <w:sz w:val="20"/>
                <w:szCs w:val="20"/>
              </w:rPr>
            </w:pPr>
            <w:r>
              <w:rPr>
                <w:rFonts w:ascii="Times New Roman" w:hAnsi="Times New Roman" w:cs="Times New Roman" w:eastAsia="Times New Roman" w:hint="default"/>
                <w:sz w:val="20"/>
                <w:szCs w:val="20"/>
              </w:rPr>
              <w:t>64,483.46</w:t>
            </w:r>
            <w:r>
              <w:rPr>
                <w:rFonts w:ascii="宋体" w:hAnsi="宋体" w:cs="宋体" w:eastAsia="宋体" w:hint="default"/>
                <w:sz w:val="20"/>
                <w:szCs w:val="20"/>
              </w:rPr>
              <w:t>万元</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该类权益性投资初始计量后被投资单位业绩、所处市场环境等未发生重大变化，投资成本代表了公允价值的最佳估计。</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平潭创新股权投资 合伙企业（有限合 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福建平潭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15.00%</w:t>
            </w:r>
          </w:p>
        </w:tc>
      </w:tr>
    </w:tbl>
    <w:p>
      <w:pPr>
        <w:pStyle w:val="BodyText"/>
        <w:spacing w:line="240" w:lineRule="auto" w:before="49"/>
        <w:ind w:right="1133"/>
        <w:jc w:val="left"/>
      </w:pPr>
      <w:r>
        <w:rPr/>
        <w:t>本企业的母公司情况的说明</w:t>
      </w:r>
    </w:p>
    <w:p>
      <w:pPr>
        <w:pStyle w:val="BodyText"/>
        <w:spacing w:line="309" w:lineRule="auto" w:before="117"/>
        <w:ind w:right="1034"/>
        <w:jc w:val="left"/>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11</w:t>
      </w:r>
      <w:r>
        <w:rPr>
          <w:spacing w:val="-5"/>
        </w:rPr>
        <w:t>月，公司原控股股东、实际控制人吴艳与平潭创新股权投资合伙企业（有限合伙）（以下简称</w:t>
      </w:r>
      <w:r>
        <w:rPr>
          <w:rFonts w:ascii="Times New Roman" w:hAnsi="Times New Roman" w:cs="Times New Roman" w:eastAsia="Times New Roman" w:hint="default"/>
          <w:spacing w:val="-5"/>
        </w:rPr>
        <w:t>“</w:t>
      </w:r>
      <w:r>
        <w:rPr>
          <w:spacing w:val="-5"/>
        </w:rPr>
        <w:t>平潭创投</w:t>
      </w:r>
      <w:r>
        <w:rPr>
          <w:rFonts w:ascii="Times New Roman" w:hAnsi="Times New Roman" w:cs="Times New Roman" w:eastAsia="Times New Roman" w:hint="default"/>
          <w:spacing w:val="-5"/>
        </w:rPr>
        <w:t>”</w:t>
      </w:r>
      <w:r>
        <w:rPr>
          <w:spacing w:val="-5"/>
        </w:rPr>
        <w:t>）签署《股</w:t>
      </w:r>
      <w:r>
        <w:rPr>
          <w:spacing w:val="-43"/>
        </w:rPr>
        <w:t> </w:t>
      </w:r>
      <w:r>
        <w:rPr>
          <w:spacing w:val="-43"/>
        </w:rPr>
      </w:r>
      <w:r>
        <w:rPr/>
        <w:t>权转让协议》，平潭创投受让吴艳持有的本公司股本总额</w:t>
      </w:r>
      <w:r>
        <w:rPr>
          <w:rFonts w:ascii="Times New Roman" w:hAnsi="Times New Roman" w:cs="Times New Roman" w:eastAsia="Times New Roman" w:hint="default"/>
        </w:rPr>
        <w:t>15%</w:t>
      </w:r>
      <w:r>
        <w:rPr/>
        <w:t>的股份；同时吴艳、宇佑集团与平潭创投签署《放弃表决权协 </w:t>
      </w:r>
      <w:r>
        <w:rPr>
          <w:spacing w:val="-4"/>
        </w:rPr>
        <w:t>议》，吴艳、宇佑集团无条件且不可撤销地放弃行使其所持股权对应的表决权，亦不委托任何其他方行使该等股份的表决权。</w:t>
      </w:r>
      <w:r>
        <w:rPr>
          <w:spacing w:val="-46"/>
        </w:rPr>
        <w:t> </w:t>
      </w:r>
      <w:r>
        <w:rPr>
          <w:spacing w:val="-46"/>
        </w:rPr>
      </w:r>
      <w:r>
        <w:rPr/>
        <w:t>股权转让已完成，公司控股股东由吴艳变更为平潭创投。 平潭创投系平潭综合实验区国有资产管理局全资子公司，本公司实际控制人由吴艳变更为平潭综合实验区国有资产管理局。</w:t>
      </w:r>
    </w:p>
    <w:p>
      <w:pPr>
        <w:pStyle w:val="BodyText"/>
        <w:spacing w:line="357" w:lineRule="auto" w:before="65"/>
        <w:ind w:right="6434"/>
        <w:jc w:val="left"/>
      </w:pPr>
      <w:r>
        <w:rPr/>
        <w:t>本企业最终控制方是平潭综合实验区国有资产管理局。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本企业子公司的情况详见附注九。</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2294"/>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7"/>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浙江汉鼎宇佑智慧产业开发有限公司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汉鼎宇佑传媒集团有限公司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杭州宇佑动漫制作有限公司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杭州汉鼎宇佑股权投资合伙企业（有限合伙）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沈阳汉鼎宇佑置业有限公司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舟山市汉鼎宇佑贸易有限公司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原实际控制人控制的公司</w:t>
            </w:r>
          </w:p>
        </w:tc>
      </w:tr>
      <w:tr>
        <w:trPr>
          <w:trHeight w:val="102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曹阳、倪晨勋、李童童、谢家清、林向阳、项坚（已离职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黄门马（已离职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H</w:t>
            </w:r>
            <w:r>
              <w:rPr>
                <w:rFonts w:ascii="Times New Roman" w:hAnsi="Times New Roman" w:cs="Times New Roman" w:eastAsia="Times New Roman" w:hint="default"/>
                <w:spacing w:val="-2"/>
                <w:w w:val="99"/>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ry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Hu</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g</w:t>
            </w:r>
            <w:r>
              <w:rPr>
                <w:rFonts w:ascii="宋体" w:hAnsi="宋体" w:cs="宋体" w:eastAsia="宋体" w:hint="default"/>
                <w:sz w:val="18"/>
                <w:szCs w:val="18"/>
              </w:rPr>
              <w:t>（已离职</w:t>
            </w:r>
            <w:r>
              <w:rPr>
                <w:rFonts w:ascii="宋体" w:hAnsi="宋体" w:cs="宋体" w:eastAsia="宋体" w:hint="default"/>
                <w:spacing w:val="-92"/>
                <w:sz w:val="18"/>
                <w:szCs w:val="18"/>
              </w:rPr>
              <w:t>）</w:t>
            </w:r>
            <w:r>
              <w:rPr>
                <w:rFonts w:ascii="宋体" w:hAnsi="宋体" w:cs="宋体" w:eastAsia="宋体" w:hint="default"/>
                <w:sz w:val="18"/>
                <w:szCs w:val="18"/>
              </w:rPr>
              <w:t>、金雪军、陶宝</w:t>
            </w:r>
            <w:r>
              <w:rPr>
                <w:rFonts w:ascii="宋体" w:hAnsi="宋体" w:cs="宋体" w:eastAsia="宋体" w:hint="default"/>
                <w:sz w:val="18"/>
                <w:szCs w:val="18"/>
              </w:rPr>
              <w:t> 山（已离职</w:t>
            </w:r>
            <w:r>
              <w:rPr>
                <w:rFonts w:ascii="宋体" w:hAnsi="宋体" w:cs="宋体" w:eastAsia="宋体" w:hint="default"/>
                <w:spacing w:val="-92"/>
                <w:sz w:val="18"/>
                <w:szCs w:val="18"/>
              </w:rPr>
              <w:t>）</w:t>
            </w:r>
            <w:r>
              <w:rPr>
                <w:rFonts w:ascii="宋体" w:hAnsi="宋体" w:cs="宋体" w:eastAsia="宋体" w:hint="default"/>
                <w:sz w:val="18"/>
                <w:szCs w:val="18"/>
              </w:rPr>
              <w:t>、周为利（已离</w:t>
            </w:r>
            <w:r>
              <w:rPr>
                <w:rFonts w:ascii="宋体" w:hAnsi="宋体" w:cs="宋体" w:eastAsia="宋体" w:hint="default"/>
                <w:spacing w:val="2"/>
                <w:sz w:val="18"/>
                <w:szCs w:val="18"/>
              </w:rPr>
              <w:t>职</w:t>
            </w:r>
            <w:r>
              <w:rPr>
                <w:rFonts w:ascii="宋体" w:hAnsi="宋体" w:cs="宋体" w:eastAsia="宋体" w:hint="default"/>
                <w:spacing w:val="-92"/>
                <w:sz w:val="18"/>
                <w:szCs w:val="18"/>
              </w:rPr>
              <w:t>）</w:t>
            </w:r>
            <w:r>
              <w:rPr>
                <w:rFonts w:ascii="宋体" w:hAnsi="宋体" w:cs="宋体" w:eastAsia="宋体" w:hint="default"/>
                <w:sz w:val="18"/>
                <w:szCs w:val="18"/>
              </w:rPr>
              <w:t>、周亚力、范悦龙、吴飞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李嫣、徐策、章怡雯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叶兴波、曾志勇、庄良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医盛（杭州）投资管理有限公司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好医友医疗科技集团有限公司的股东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深圳市南洋码头网络科技有限公司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浙江中城智慧城市规划咨询有限公司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杭州火剧科技有限公司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FACE</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CareConnectors,Inc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浙江大数据交易中心有限公司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浙江搜道网络有限公司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深圳市云影易投资管理有限责任公司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MacArthur Court Acquisition</w:t>
            </w:r>
            <w:r>
              <w:rPr>
                <w:rFonts w:ascii="Times New Roman"/>
                <w:spacing w:val="-18"/>
                <w:sz w:val="18"/>
              </w:rPr>
              <w:t> </w:t>
            </w:r>
            <w:r>
              <w:rPr>
                <w:rFonts w:ascii="Times New Roman"/>
                <w:sz w:val="18"/>
              </w:rPr>
              <w:t>Corp</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以上的股权</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6"/>
        <w:gridCol w:w="1707"/>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339,622.64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租赁租息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464,682.88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672,925.27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租赁租息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1,365,240.43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1,857,720.13</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好医友医疗科技集团有限公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1,120,161.63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477,056.93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157,142.85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204,761.86</w:t>
            </w: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1133"/>
        <w:jc w:val="left"/>
      </w:pPr>
      <w:r>
        <w:rPr/>
        <w:t>关联租赁情况说明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拆借单位为：美元</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沈阳汉鼎宇佑置业有限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浙江汉鼎宇佑智慧产业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舟山市汉鼎宇佑贸易有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医盛（杭州）投资管理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2,276,200.00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浙江汉鼎宇佑智慧 产业开发有限公司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5,327,542.83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903,551.26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6,776,637.00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483,174.22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四川通普科技有限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7,874,456.92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78,744.57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7,323,798.66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73,237.99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杭州醍醐文化创意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2,989,670.16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597,934.03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2,673,385.09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26,733.85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浙江汉鼎宇佑智慧 产业开发有限公司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沈阳汉鼎宇佑置业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四川通普科技有限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12,997,049.68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129,970.50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20,441,171.19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204,411.71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杭州醍醐文化创意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3,718,587.50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743,717.50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6,236,614.91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62,366.15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浙江汉鼎宇佑智慧 产业开发有限公司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汉鼎宇佑集团有限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452,500.00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361,845.00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1,578,522.27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6,999,074.80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6,999,074.80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279,183.47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1,179,183.47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1,104,195.00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2,298,900.00</w:t>
            </w:r>
          </w:p>
        </w:tc>
      </w:tr>
      <w:tr>
        <w:trPr>
          <w:trHeight w:val="726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日公司向符合条件的激励对象授予限 </w:t>
            </w:r>
            <w:r>
              <w:rPr>
                <w:rFonts w:ascii="宋体" w:hAnsi="宋体" w:cs="宋体" w:eastAsia="宋体" w:hint="default"/>
                <w:spacing w:val="-4"/>
                <w:sz w:val="18"/>
                <w:szCs w:val="18"/>
              </w:rPr>
              <w:t>制性股票，股票来源为公司通过公开交易回购的本公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司股票，合计授予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766.3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万股，授予价格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元。第</w:t>
            </w:r>
            <w:r>
              <w:rPr>
                <w:rFonts w:ascii="宋体" w:hAnsi="宋体" w:cs="宋体" w:eastAsia="宋体" w:hint="default"/>
                <w:sz w:val="18"/>
                <w:szCs w:val="18"/>
              </w:rPr>
              <w:t> </w:t>
            </w:r>
            <w:r>
              <w:rPr>
                <w:rFonts w:ascii="宋体" w:hAnsi="宋体" w:cs="宋体" w:eastAsia="宋体" w:hint="default"/>
                <w:spacing w:val="-4"/>
                <w:sz w:val="18"/>
                <w:szCs w:val="18"/>
              </w:rPr>
              <w:t>一个解除限售期，自首次授予部分限制性股票上市日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个月后的首个交易日起至首次授予部分限制性</w:t>
            </w:r>
          </w:p>
          <w:p>
            <w:pPr>
              <w:pStyle w:val="TableParagraph"/>
              <w:spacing w:line="300" w:lineRule="auto" w:before="5"/>
              <w:ind w:left="24" w:right="27"/>
              <w:jc w:val="left"/>
              <w:rPr>
                <w:rFonts w:ascii="宋体" w:hAnsi="宋体" w:cs="宋体" w:eastAsia="宋体" w:hint="default"/>
                <w:sz w:val="18"/>
                <w:szCs w:val="18"/>
              </w:rPr>
            </w:pPr>
            <w:r>
              <w:rPr>
                <w:rFonts w:ascii="宋体" w:hAnsi="宋体" w:cs="宋体" w:eastAsia="宋体" w:hint="default"/>
                <w:sz w:val="18"/>
                <w:szCs w:val="18"/>
              </w:rPr>
              <w:t>股票上市日起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个月内的最后一个交易日当日止， 解除限售比例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。第二个解除限售期，自首次授 予部分限制性股票上市日起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个月后的首个交易日</w:t>
            </w:r>
          </w:p>
          <w:p>
            <w:pPr>
              <w:pStyle w:val="TableParagraph"/>
              <w:spacing w:line="307" w:lineRule="auto" w:before="13"/>
              <w:ind w:left="24" w:right="20"/>
              <w:jc w:val="left"/>
              <w:rPr>
                <w:rFonts w:ascii="宋体" w:hAnsi="宋体" w:cs="宋体" w:eastAsia="宋体" w:hint="default"/>
                <w:sz w:val="18"/>
                <w:szCs w:val="18"/>
              </w:rPr>
            </w:pPr>
            <w:r>
              <w:rPr>
                <w:rFonts w:ascii="宋体" w:hAnsi="宋体" w:cs="宋体" w:eastAsia="宋体" w:hint="default"/>
                <w:sz w:val="18"/>
                <w:szCs w:val="18"/>
              </w:rPr>
              <w:t>起至首次授予部分限制性股票上市日起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 最后一个交易日当日止，解除限售比例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。第三 </w:t>
            </w:r>
            <w:r>
              <w:rPr>
                <w:rFonts w:ascii="宋体" w:hAnsi="宋体" w:cs="宋体" w:eastAsia="宋体" w:hint="default"/>
                <w:spacing w:val="-4"/>
                <w:sz w:val="18"/>
                <w:szCs w:val="18"/>
              </w:rPr>
              <w:t>个解除限售期，自首次授予部分限制性股票上市日起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个月后的首个交易日起至首次授予部分限制性股</w:t>
            </w:r>
          </w:p>
          <w:p>
            <w:pPr>
              <w:pStyle w:val="TableParagraph"/>
              <w:spacing w:line="300" w:lineRule="auto" w:before="7"/>
              <w:ind w:left="24" w:right="27"/>
              <w:jc w:val="left"/>
              <w:rPr>
                <w:rFonts w:ascii="宋体" w:hAnsi="宋体" w:cs="宋体" w:eastAsia="宋体" w:hint="default"/>
                <w:sz w:val="18"/>
                <w:szCs w:val="18"/>
              </w:rPr>
            </w:pPr>
            <w:r>
              <w:rPr>
                <w:rFonts w:ascii="宋体" w:hAnsi="宋体" w:cs="宋体" w:eastAsia="宋体" w:hint="default"/>
                <w:sz w:val="18"/>
                <w:szCs w:val="18"/>
              </w:rPr>
              <w:t>票上市日起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个月内的最后一个交易日当日止，解 除限售比例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日公司向符合条件的激励对象授予限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制性股票预留部分，合计授予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万股，授予价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元。第一个解除限售期，自预留部分限制性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股票上市日起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个月后的首个交易日起至预留部分</w:t>
            </w:r>
          </w:p>
          <w:p>
            <w:pPr>
              <w:pStyle w:val="TableParagraph"/>
              <w:spacing w:line="300" w:lineRule="auto" w:before="63"/>
              <w:ind w:left="24" w:right="26"/>
              <w:jc w:val="left"/>
              <w:rPr>
                <w:rFonts w:ascii="宋体" w:hAnsi="宋体" w:cs="宋体" w:eastAsia="宋体" w:hint="default"/>
                <w:sz w:val="18"/>
                <w:szCs w:val="18"/>
              </w:rPr>
            </w:pPr>
            <w:r>
              <w:rPr>
                <w:rFonts w:ascii="宋体" w:hAnsi="宋体" w:cs="宋体" w:eastAsia="宋体" w:hint="default"/>
                <w:sz w:val="18"/>
                <w:szCs w:val="18"/>
              </w:rPr>
              <w:t>限制性股票上市日起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个月内的最后一个交易日当 日止，解除限售比例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。第二个解除限售期，自 预留部分限制性股票上市日起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w:t>
            </w:r>
          </w:p>
          <w:p>
            <w:pPr>
              <w:pStyle w:val="TableParagraph"/>
              <w:spacing w:line="300" w:lineRule="auto" w:before="13"/>
              <w:ind w:left="24" w:right="24"/>
              <w:jc w:val="left"/>
              <w:rPr>
                <w:rFonts w:ascii="宋体" w:hAnsi="宋体" w:cs="宋体" w:eastAsia="宋体" w:hint="default"/>
                <w:sz w:val="18"/>
                <w:szCs w:val="18"/>
              </w:rPr>
            </w:pPr>
            <w:r>
              <w:rPr>
                <w:rFonts w:ascii="宋体" w:hAnsi="宋体" w:cs="宋体" w:eastAsia="宋体" w:hint="default"/>
                <w:sz w:val="18"/>
                <w:szCs w:val="18"/>
              </w:rPr>
              <w:t>日起至预留部分限制性股票上市日起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 后一个交易日当日止，解除限售比例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限制性股票公允价值</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实际授予日收盘价格</w:t>
            </w:r>
            <w:r>
              <w:rPr>
                <w:rFonts w:ascii="Times New Roman" w:hAnsi="Times New Roman" w:cs="Times New Roman" w:eastAsia="Times New Roman" w:hint="default"/>
                <w:sz w:val="18"/>
                <w:szCs w:val="18"/>
              </w:rPr>
              <w:t>-</w:t>
            </w:r>
            <w:r>
              <w:rPr>
                <w:rFonts w:ascii="宋体" w:hAnsi="宋体" w:cs="宋体" w:eastAsia="宋体" w:hint="default"/>
                <w:sz w:val="18"/>
                <w:szCs w:val="18"/>
              </w:rPr>
              <w:t>授予价格</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根据预计失效限制性股票数量计算</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7,556,937.62</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7,556,937.62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5"/>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right="6074"/>
        <w:jc w:val="left"/>
      </w:pPr>
      <w:r>
        <w:rPr/>
        <w:t>资产负债表日存在的重要承诺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9"/>
        <w:rPr>
          <w:rFonts w:ascii="宋体" w:hAnsi="宋体" w:cs="宋体" w:eastAsia="宋体" w:hint="default"/>
          <w:sz w:val="18"/>
          <w:szCs w:val="18"/>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489" w:right="1133"/>
        <w:jc w:val="left"/>
      </w:pPr>
      <w:r>
        <w:rPr>
          <w:rFonts w:ascii="Times New Roman" w:hAnsi="Times New Roman" w:cs="Times New Roman" w:eastAsia="Times New Roman" w:hint="default"/>
        </w:rPr>
        <w:t>1</w:t>
      </w:r>
      <w:r>
        <w:rPr/>
        <w:t>、对外担保</w:t>
      </w:r>
    </w:p>
    <w:p>
      <w:pPr>
        <w:spacing w:line="240" w:lineRule="auto" w:before="10"/>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448"/>
        <w:gridCol w:w="1419"/>
        <w:gridCol w:w="1562"/>
        <w:gridCol w:w="1133"/>
        <w:gridCol w:w="1558"/>
        <w:gridCol w:w="1558"/>
      </w:tblGrid>
      <w:tr>
        <w:trPr>
          <w:trHeight w:val="355" w:hRule="exact"/>
        </w:trPr>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9"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担保权人</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r>
      <w:tr>
        <w:trPr>
          <w:trHeight w:val="665" w:hRule="exact"/>
        </w:trPr>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178" w:right="82" w:hanging="90"/>
              <w:jc w:val="left"/>
              <w:rPr>
                <w:rFonts w:ascii="宋体" w:hAnsi="宋体" w:cs="宋体" w:eastAsia="宋体" w:hint="default"/>
                <w:sz w:val="18"/>
                <w:szCs w:val="18"/>
              </w:rPr>
            </w:pPr>
            <w:r>
              <w:rPr>
                <w:rFonts w:ascii="宋体" w:hAnsi="宋体" w:cs="宋体" w:eastAsia="宋体" w:hint="default"/>
                <w:sz w:val="18"/>
                <w:szCs w:val="18"/>
              </w:rPr>
              <w:t>汉鼎宇佑互联网 股份有限公司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71" w:right="70"/>
              <w:jc w:val="left"/>
              <w:rPr>
                <w:rFonts w:ascii="宋体" w:hAnsi="宋体" w:cs="宋体" w:eastAsia="宋体" w:hint="default"/>
                <w:sz w:val="18"/>
                <w:szCs w:val="18"/>
              </w:rPr>
            </w:pPr>
            <w:r>
              <w:rPr>
                <w:rFonts w:ascii="宋体" w:hAnsi="宋体" w:cs="宋体" w:eastAsia="宋体" w:hint="default"/>
                <w:sz w:val="18"/>
                <w:szCs w:val="18"/>
              </w:rPr>
              <w:t>杭州汉鼎俏星商 业发展有限公司</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15" w:right="50" w:hanging="360"/>
              <w:jc w:val="left"/>
              <w:rPr>
                <w:rFonts w:ascii="宋体" w:hAnsi="宋体" w:cs="宋体" w:eastAsia="宋体" w:hint="default"/>
                <w:sz w:val="18"/>
                <w:szCs w:val="18"/>
              </w:rPr>
            </w:pPr>
            <w:r>
              <w:rPr>
                <w:rFonts w:ascii="宋体" w:hAnsi="宋体" w:cs="宋体" w:eastAsia="宋体" w:hint="default"/>
                <w:sz w:val="18"/>
                <w:szCs w:val="18"/>
              </w:rPr>
              <w:t>杭州财富盛典投资 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3" w:right="0"/>
              <w:jc w:val="center"/>
              <w:rPr>
                <w:rFonts w:ascii="Times New Roman" w:hAnsi="Times New Roman" w:cs="Times New Roman" w:eastAsia="Times New Roman" w:hint="default"/>
                <w:sz w:val="18"/>
                <w:szCs w:val="18"/>
              </w:rPr>
            </w:pPr>
            <w:r>
              <w:rPr>
                <w:rFonts w:ascii="Times New Roman"/>
                <w:sz w:val="18"/>
              </w:rPr>
              <w:t>61,991,688.00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665" w:hRule="exact"/>
        </w:trPr>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178" w:right="82" w:hanging="90"/>
              <w:jc w:val="left"/>
              <w:rPr>
                <w:rFonts w:ascii="宋体" w:hAnsi="宋体" w:cs="宋体" w:eastAsia="宋体" w:hint="default"/>
                <w:sz w:val="18"/>
                <w:szCs w:val="18"/>
              </w:rPr>
            </w:pPr>
            <w:r>
              <w:rPr>
                <w:rFonts w:ascii="宋体" w:hAnsi="宋体" w:cs="宋体" w:eastAsia="宋体" w:hint="default"/>
                <w:sz w:val="18"/>
                <w:szCs w:val="18"/>
              </w:rPr>
              <w:t>汉鼎宇佑互联网 股份有限公司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71" w:right="70"/>
              <w:jc w:val="left"/>
              <w:rPr>
                <w:rFonts w:ascii="宋体" w:hAnsi="宋体" w:cs="宋体" w:eastAsia="宋体" w:hint="default"/>
                <w:sz w:val="18"/>
                <w:szCs w:val="18"/>
              </w:rPr>
            </w:pPr>
            <w:r>
              <w:rPr>
                <w:rFonts w:ascii="宋体" w:hAnsi="宋体" w:cs="宋体" w:eastAsia="宋体" w:hint="default"/>
                <w:sz w:val="18"/>
                <w:szCs w:val="18"/>
              </w:rPr>
              <w:t>杭州汉鼎俏星商 业发展有限公司</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5" w:right="50"/>
              <w:jc w:val="left"/>
              <w:rPr>
                <w:rFonts w:ascii="宋体" w:hAnsi="宋体" w:cs="宋体" w:eastAsia="宋体" w:hint="default"/>
                <w:sz w:val="18"/>
                <w:szCs w:val="18"/>
              </w:rPr>
            </w:pPr>
            <w:r>
              <w:rPr>
                <w:rFonts w:ascii="宋体" w:hAnsi="宋体" w:cs="宋体" w:eastAsia="宋体" w:hint="default"/>
                <w:sz w:val="18"/>
                <w:szCs w:val="18"/>
              </w:rPr>
              <w:t>杭州市下城区国有 房产管理有限公司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3" w:right="0"/>
              <w:jc w:val="center"/>
              <w:rPr>
                <w:rFonts w:ascii="Times New Roman" w:hAnsi="Times New Roman" w:cs="Times New Roman" w:eastAsia="Times New Roman" w:hint="default"/>
                <w:sz w:val="18"/>
                <w:szCs w:val="18"/>
              </w:rPr>
            </w:pPr>
            <w:r>
              <w:rPr>
                <w:rFonts w:ascii="Times New Roman"/>
                <w:sz w:val="18"/>
              </w:rPr>
              <w:t>50,000,000.00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bl>
    <w:p>
      <w:pPr>
        <w:pStyle w:val="Heading6"/>
        <w:spacing w:line="273" w:lineRule="auto" w:before="0"/>
        <w:ind w:right="1126" w:firstLine="420"/>
        <w:jc w:val="both"/>
      </w:pPr>
      <w:r>
        <w:rPr>
          <w:spacing w:val="2"/>
        </w:rPr>
        <w:t>公司为子公司杭州汉鼎宇佑商业发展有限公司与杭州财富盛典投资有限公司和杭州市下城区国有房</w:t>
      </w:r>
      <w:r>
        <w:rPr>
          <w:w w:val="100"/>
        </w:rPr>
        <w:t> </w:t>
      </w:r>
      <w:r>
        <w:rPr>
          <w:spacing w:val="-2"/>
        </w:rPr>
        <w:t>产管理有限公司签订的两份《房屋租赁合同》提供保证担保，由于公司募投项目变更，杭州汉鼎宇佑商业</w:t>
      </w:r>
      <w:r>
        <w:rPr>
          <w:spacing w:val="-47"/>
        </w:rPr>
        <w:t> </w:t>
      </w:r>
      <w:r>
        <w:rPr>
          <w:spacing w:val="-47"/>
        </w:rPr>
      </w:r>
      <w:r>
        <w:rPr>
          <w:spacing w:val="-2"/>
        </w:rPr>
        <w:t>发展有限公司将前述两份《房屋租赁合同》转租给杭州汉鼎俏星商业发展有限公司，但公司需继续为《房</w:t>
      </w:r>
      <w:r>
        <w:rPr>
          <w:spacing w:val="-44"/>
        </w:rPr>
        <w:t> </w:t>
      </w:r>
      <w:r>
        <w:rPr>
          <w:spacing w:val="-44"/>
        </w:rPr>
      </w:r>
      <w:r>
        <w:rPr>
          <w:spacing w:val="-2"/>
        </w:rPr>
        <w:t>屋租赁合同》提供担保，直到合同到期。杭州汉鼎俏星商业发展有限公司的股东杭州俏星商业发展有限公</w:t>
      </w:r>
      <w:r>
        <w:rPr>
          <w:spacing w:val="-43"/>
        </w:rPr>
        <w:t> </w:t>
      </w:r>
      <w:r>
        <w:rPr>
          <w:spacing w:val="-43"/>
        </w:rPr>
      </w:r>
      <w:r>
        <w:rPr/>
        <w:t>司为上述担保提供担保金额为人民币</w:t>
      </w:r>
      <w:r>
        <w:rPr>
          <w:rFonts w:ascii="Times New Roman" w:hAnsi="Times New Roman" w:cs="Times New Roman" w:eastAsia="Times New Roman" w:hint="default"/>
        </w:rPr>
        <w:t>111,991,688.00</w:t>
      </w:r>
      <w:r>
        <w:rPr/>
        <w:t>元整的反担保。</w:t>
      </w:r>
    </w:p>
    <w:p>
      <w:pPr>
        <w:pStyle w:val="Heading6"/>
        <w:spacing w:line="256" w:lineRule="auto" w:before="108"/>
        <w:ind w:right="1129" w:firstLine="420"/>
        <w:jc w:val="both"/>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日，公司为承接智能化工程出具投标、履约及预付款保函</w:t>
      </w:r>
      <w:r>
        <w:rPr>
          <w:rFonts w:ascii="Times New Roman" w:hAnsi="Times New Roman" w:cs="Times New Roman" w:eastAsia="Times New Roman" w:hint="default"/>
        </w:rPr>
        <w:t>13</w:t>
      </w:r>
      <w:r>
        <w:rPr/>
        <w:t>份，投标及履约保</w:t>
      </w:r>
      <w:r>
        <w:rPr>
          <w:w w:val="100"/>
        </w:rPr>
        <w:t> </w:t>
      </w:r>
      <w:r>
        <w:rPr/>
        <w:t>函金额为</w:t>
      </w:r>
      <w:r>
        <w:rPr>
          <w:rFonts w:ascii="Times New Roman" w:hAnsi="Times New Roman" w:cs="Times New Roman" w:eastAsia="Times New Roman" w:hint="default"/>
        </w:rPr>
        <w:t>12,482,645.65</w:t>
      </w:r>
      <w:r>
        <w:rPr/>
        <w:t>元，存入保证金金额</w:t>
      </w:r>
      <w:r>
        <w:rPr>
          <w:spacing w:val="-28"/>
        </w:rPr>
        <w:t> </w:t>
      </w:r>
      <w:r>
        <w:rPr>
          <w:rFonts w:ascii="Times New Roman" w:hAnsi="Times New Roman" w:cs="Times New Roman" w:eastAsia="Times New Roman" w:hint="default"/>
        </w:rPr>
        <w:t>3,930,826.61</w:t>
      </w:r>
      <w:r>
        <w:rPr/>
        <w:t>元，明细列示如下：</w:t>
      </w:r>
    </w:p>
    <w:p>
      <w:pPr>
        <w:spacing w:line="240" w:lineRule="auto" w:before="7"/>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867"/>
        <w:gridCol w:w="1274"/>
        <w:gridCol w:w="1159"/>
        <w:gridCol w:w="1820"/>
        <w:gridCol w:w="1445"/>
      </w:tblGrid>
      <w:tr>
        <w:trPr>
          <w:trHeight w:val="355" w:hRule="exact"/>
        </w:trPr>
        <w:tc>
          <w:tcPr>
            <w:tcW w:w="28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开出银行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867"/>
        <w:gridCol w:w="1274"/>
        <w:gridCol w:w="1159"/>
        <w:gridCol w:w="1820"/>
        <w:gridCol w:w="1445"/>
      </w:tblGrid>
      <w:tr>
        <w:trPr>
          <w:trHeight w:val="668" w:hRule="exact"/>
        </w:trPr>
        <w:tc>
          <w:tcPr>
            <w:tcW w:w="28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浙江省建设集团投资股份有限公司</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1,767,332.00</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530,199.60</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85" w:right="0"/>
              <w:jc w:val="left"/>
              <w:rPr>
                <w:rFonts w:ascii="Times New Roman" w:hAnsi="Times New Roman" w:cs="Times New Roman" w:eastAsia="Times New Roman" w:hint="default"/>
                <w:sz w:val="18"/>
                <w:szCs w:val="18"/>
              </w:rPr>
            </w:pPr>
            <w:r>
              <w:rPr>
                <w:rFonts w:ascii="Times New Roman"/>
                <w:sz w:val="18"/>
              </w:rPr>
              <w:t>2020-11-27</w:t>
            </w:r>
          </w:p>
        </w:tc>
        <w:tc>
          <w:tcPr>
            <w:tcW w:w="1445" w:type="dxa"/>
            <w:tcBorders>
              <w:top w:val="single" w:sz="6" w:space="0" w:color="000000"/>
              <w:left w:val="single" w:sz="6" w:space="0" w:color="000000"/>
              <w:bottom w:val="single" w:sz="12" w:space="0" w:color="000000"/>
              <w:right w:val="nil" w:sz="6" w:space="0" w:color="auto"/>
            </w:tcBorders>
          </w:tcPr>
          <w:p>
            <w:pPr>
              <w:pStyle w:val="TableParagraph"/>
              <w:spacing w:line="319" w:lineRule="auto" w:before="17"/>
              <w:ind w:left="355" w:right="92" w:hanging="272"/>
              <w:jc w:val="left"/>
              <w:rPr>
                <w:rFonts w:ascii="宋体" w:hAnsi="宋体" w:cs="宋体" w:eastAsia="宋体" w:hint="default"/>
                <w:sz w:val="18"/>
                <w:szCs w:val="18"/>
              </w:rPr>
            </w:pPr>
            <w:r>
              <w:rPr>
                <w:rFonts w:ascii="宋体" w:hAnsi="宋体" w:cs="宋体" w:eastAsia="宋体" w:hint="default"/>
                <w:sz w:val="18"/>
                <w:szCs w:val="18"/>
              </w:rPr>
              <w:t>中国银行舟山千 岛路支行</w:t>
            </w:r>
          </w:p>
        </w:tc>
      </w:tr>
      <w:tr>
        <w:trPr>
          <w:trHeight w:val="662"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浙江省建设集团投资股份有限公司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1,776,169.00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532,850.70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2020-11-27</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5"/>
              <w:jc w:val="left"/>
              <w:rPr>
                <w:rFonts w:ascii="宋体" w:hAnsi="宋体" w:cs="宋体" w:eastAsia="宋体" w:hint="default"/>
                <w:sz w:val="18"/>
                <w:szCs w:val="18"/>
              </w:rPr>
            </w:pPr>
            <w:r>
              <w:rPr>
                <w:rFonts w:ascii="宋体" w:hAnsi="宋体" w:cs="宋体" w:eastAsia="宋体" w:hint="default"/>
                <w:sz w:val="18"/>
                <w:szCs w:val="18"/>
              </w:rPr>
              <w:t>中国石油化工股份有限公司胜利油 田分公司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90,000.00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85" w:right="89" w:hanging="92"/>
              <w:jc w:val="left"/>
              <w:rPr>
                <w:rFonts w:ascii="宋体" w:hAnsi="宋体" w:cs="宋体" w:eastAsia="宋体" w:hint="default"/>
                <w:sz w:val="18"/>
                <w:szCs w:val="18"/>
              </w:rPr>
            </w:pPr>
            <w:r>
              <w:rPr>
                <w:rFonts w:ascii="宋体" w:hAnsi="宋体" w:cs="宋体" w:eastAsia="宋体" w:hint="default"/>
                <w:sz w:val="18"/>
                <w:szCs w:val="18"/>
              </w:rPr>
              <w:t>发包人签发或应签发 工程接受证书之日</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广州公安局</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428,750.00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128,625.00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73" w:right="0"/>
              <w:jc w:val="left"/>
              <w:rPr>
                <w:rFonts w:ascii="Times New Roman" w:hAnsi="Times New Roman" w:cs="Times New Roman" w:eastAsia="Times New Roman" w:hint="default"/>
                <w:sz w:val="18"/>
                <w:szCs w:val="18"/>
              </w:rPr>
            </w:pPr>
            <w:r>
              <w:rPr>
                <w:rFonts w:ascii="Times New Roman"/>
                <w:sz w:val="18"/>
              </w:rPr>
              <w:t>2020-8-1</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2"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山东文登抽水蓄能有限公司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1,720,906.57</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516,271.98</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2023-10-31</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重庆海康威视系统技术有限公司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770,012.50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231,003.75</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45" w:right="89" w:hanging="452"/>
              <w:jc w:val="left"/>
              <w:rPr>
                <w:rFonts w:ascii="宋体" w:hAnsi="宋体" w:cs="宋体" w:eastAsia="宋体" w:hint="default"/>
                <w:sz w:val="18"/>
                <w:szCs w:val="18"/>
              </w:rPr>
            </w:pPr>
            <w:r>
              <w:rPr>
                <w:rFonts w:ascii="宋体" w:hAnsi="宋体" w:cs="宋体" w:eastAsia="宋体" w:hint="default"/>
                <w:sz w:val="18"/>
                <w:szCs w:val="18"/>
              </w:rPr>
              <w:t>发包人签发工程接受 证书之日</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金华市婺舟航运开发建设有限公司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615,128.30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615,128.30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45" w:right="89" w:hanging="452"/>
              <w:jc w:val="left"/>
              <w:rPr>
                <w:rFonts w:ascii="宋体" w:hAnsi="宋体" w:cs="宋体" w:eastAsia="宋体" w:hint="default"/>
                <w:sz w:val="18"/>
                <w:szCs w:val="18"/>
              </w:rPr>
            </w:pPr>
            <w:r>
              <w:rPr>
                <w:rFonts w:ascii="宋体" w:hAnsi="宋体" w:cs="宋体" w:eastAsia="宋体" w:hint="default"/>
                <w:sz w:val="18"/>
                <w:szCs w:val="18"/>
              </w:rPr>
              <w:t>发包人签发工程接受 证书之日</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2"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金华市婺舟航运开发建设有限公司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204,200.00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204,200.00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45" w:right="89" w:hanging="452"/>
              <w:jc w:val="left"/>
              <w:rPr>
                <w:rFonts w:ascii="宋体" w:hAnsi="宋体" w:cs="宋体" w:eastAsia="宋体" w:hint="default"/>
                <w:sz w:val="18"/>
                <w:szCs w:val="18"/>
              </w:rPr>
            </w:pPr>
            <w:r>
              <w:rPr>
                <w:rFonts w:ascii="宋体" w:hAnsi="宋体" w:cs="宋体" w:eastAsia="宋体" w:hint="default"/>
                <w:sz w:val="18"/>
                <w:szCs w:val="18"/>
              </w:rPr>
              <w:t>发包人签发工程接受 证书之日</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南京市溧水区人民医院</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768,000.00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230,400.00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30" w:right="0"/>
              <w:jc w:val="left"/>
              <w:rPr>
                <w:rFonts w:ascii="Times New Roman" w:hAnsi="Times New Roman" w:cs="Times New Roman" w:eastAsia="Times New Roman" w:hint="default"/>
                <w:sz w:val="18"/>
                <w:szCs w:val="18"/>
              </w:rPr>
            </w:pPr>
            <w:r>
              <w:rPr>
                <w:rFonts w:ascii="Times New Roman"/>
                <w:sz w:val="18"/>
              </w:rPr>
              <w:t>2020-7-31</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大元建业集团股份有限公司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60,000.00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30" w:right="0"/>
              <w:jc w:val="left"/>
              <w:rPr>
                <w:rFonts w:ascii="Times New Roman" w:hAnsi="Times New Roman" w:cs="Times New Roman" w:eastAsia="Times New Roman" w:hint="default"/>
                <w:sz w:val="18"/>
                <w:szCs w:val="18"/>
              </w:rPr>
            </w:pPr>
            <w:r>
              <w:rPr>
                <w:rFonts w:ascii="Times New Roman"/>
                <w:sz w:val="18"/>
              </w:rPr>
              <w:t>2020-4-24</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92" w:hanging="452"/>
              <w:jc w:val="left"/>
              <w:rPr>
                <w:rFonts w:ascii="宋体" w:hAnsi="宋体" w:cs="宋体" w:eastAsia="宋体" w:hint="default"/>
                <w:sz w:val="18"/>
                <w:szCs w:val="18"/>
              </w:rPr>
            </w:pPr>
            <w:r>
              <w:rPr>
                <w:rFonts w:ascii="宋体" w:hAnsi="宋体" w:cs="宋体" w:eastAsia="宋体" w:hint="default"/>
                <w:sz w:val="18"/>
                <w:szCs w:val="18"/>
              </w:rPr>
              <w:t>中国银行浙江省 分行</w:t>
            </w:r>
          </w:p>
        </w:tc>
      </w:tr>
      <w:tr>
        <w:trPr>
          <w:trHeight w:val="662"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上海招商宝欣置业有限公司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1,792,000.00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362,000.00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30" w:right="0"/>
              <w:jc w:val="left"/>
              <w:rPr>
                <w:rFonts w:ascii="Times New Roman" w:hAnsi="Times New Roman" w:cs="Times New Roman" w:eastAsia="Times New Roman" w:hint="default"/>
                <w:sz w:val="18"/>
                <w:szCs w:val="18"/>
              </w:rPr>
            </w:pPr>
            <w:r>
              <w:rPr>
                <w:rFonts w:ascii="Times New Roman"/>
                <w:sz w:val="18"/>
              </w:rPr>
              <w:t>2020-5-30</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623" w:right="92" w:hanging="540"/>
              <w:jc w:val="left"/>
              <w:rPr>
                <w:rFonts w:ascii="宋体" w:hAnsi="宋体" w:cs="宋体" w:eastAsia="宋体" w:hint="default"/>
                <w:sz w:val="18"/>
                <w:szCs w:val="18"/>
              </w:rPr>
            </w:pPr>
            <w:r>
              <w:rPr>
                <w:rFonts w:ascii="宋体" w:hAnsi="宋体" w:cs="宋体" w:eastAsia="宋体" w:hint="default"/>
                <w:sz w:val="18"/>
                <w:szCs w:val="18"/>
              </w:rPr>
              <w:t>联合银行丁桥支 行</w:t>
            </w:r>
          </w:p>
        </w:tc>
      </w:tr>
      <w:tr>
        <w:trPr>
          <w:trHeight w:val="1289"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浙江滨海新城开发投资股份有限公 司、绍兴滨海新城开发建设有限公 </w:t>
            </w:r>
            <w:r>
              <w:rPr>
                <w:rFonts w:ascii="宋体" w:hAnsi="宋体" w:cs="宋体" w:eastAsia="宋体" w:hint="default"/>
                <w:spacing w:val="-3"/>
                <w:sz w:val="18"/>
                <w:szCs w:val="18"/>
              </w:rPr>
              <w:t>司、绍兴滨海新城城市建设发展有限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400,000.00</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80,000.00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85" w:right="0"/>
              <w:jc w:val="left"/>
              <w:rPr>
                <w:rFonts w:ascii="Times New Roman" w:hAnsi="Times New Roman" w:cs="Times New Roman" w:eastAsia="Times New Roman" w:hint="default"/>
                <w:sz w:val="18"/>
                <w:szCs w:val="18"/>
              </w:rPr>
            </w:pPr>
            <w:r>
              <w:rPr>
                <w:rFonts w:ascii="Times New Roman"/>
                <w:sz w:val="18"/>
              </w:rPr>
              <w:t>2020-12-31</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23" w:right="92" w:hanging="540"/>
              <w:jc w:val="left"/>
              <w:rPr>
                <w:rFonts w:ascii="宋体" w:hAnsi="宋体" w:cs="宋体" w:eastAsia="宋体" w:hint="default"/>
                <w:sz w:val="18"/>
                <w:szCs w:val="18"/>
              </w:rPr>
            </w:pPr>
            <w:r>
              <w:rPr>
                <w:rFonts w:ascii="宋体" w:hAnsi="宋体" w:cs="宋体" w:eastAsia="宋体" w:hint="default"/>
                <w:sz w:val="18"/>
                <w:szCs w:val="18"/>
              </w:rPr>
              <w:t>联合银行丁桥支 行</w:t>
            </w:r>
          </w:p>
        </w:tc>
      </w:tr>
      <w:tr>
        <w:trPr>
          <w:trHeight w:val="665"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肥西县城乡建设投资有限公司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1,740,147.28</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350,147.28</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30" w:right="0"/>
              <w:jc w:val="left"/>
              <w:rPr>
                <w:rFonts w:ascii="Times New Roman" w:hAnsi="Times New Roman" w:cs="Times New Roman" w:eastAsia="Times New Roman" w:hint="default"/>
                <w:sz w:val="18"/>
                <w:szCs w:val="18"/>
              </w:rPr>
            </w:pPr>
            <w:r>
              <w:rPr>
                <w:rFonts w:ascii="Times New Roman"/>
                <w:sz w:val="18"/>
              </w:rPr>
              <w:t>2020-2-29</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623" w:right="92" w:hanging="540"/>
              <w:jc w:val="left"/>
              <w:rPr>
                <w:rFonts w:ascii="宋体" w:hAnsi="宋体" w:cs="宋体" w:eastAsia="宋体" w:hint="default"/>
                <w:sz w:val="18"/>
                <w:szCs w:val="18"/>
              </w:rPr>
            </w:pPr>
            <w:r>
              <w:rPr>
                <w:rFonts w:ascii="宋体" w:hAnsi="宋体" w:cs="宋体" w:eastAsia="宋体" w:hint="default"/>
                <w:sz w:val="18"/>
                <w:szCs w:val="18"/>
              </w:rPr>
              <w:t>联合银行丁桥支 行</w:t>
            </w:r>
          </w:p>
        </w:tc>
      </w:tr>
      <w:tr>
        <w:trPr>
          <w:trHeight w:val="353" w:hRule="exact"/>
        </w:trPr>
        <w:tc>
          <w:tcPr>
            <w:tcW w:w="2867" w:type="dxa"/>
            <w:tcBorders>
              <w:top w:val="single" w:sz="12" w:space="0" w:color="000000"/>
              <w:left w:val="single" w:sz="6" w:space="0" w:color="000000"/>
              <w:bottom w:val="single" w:sz="12" w:space="0" w:color="000000"/>
              <w:right w:val="single" w:sz="6" w:space="0" w:color="000000"/>
            </w:tcBorders>
          </w:tcPr>
          <w:p>
            <w:pPr>
              <w:pStyle w:val="TableParagraph"/>
              <w:tabs>
                <w:tab w:pos="395"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12,482,645.65</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3,930,826.61</w:t>
            </w:r>
          </w:p>
        </w:tc>
        <w:tc>
          <w:tcPr>
            <w:tcW w:w="1820" w:type="dxa"/>
            <w:tcBorders>
              <w:top w:val="single" w:sz="12" w:space="0" w:color="000000"/>
              <w:left w:val="single" w:sz="6" w:space="0" w:color="000000"/>
              <w:bottom w:val="single" w:sz="12" w:space="0" w:color="000000"/>
              <w:right w:val="single" w:sz="6" w:space="0" w:color="000000"/>
            </w:tcBorders>
          </w:tcPr>
          <w:p>
            <w:pPr/>
          </w:p>
        </w:tc>
        <w:tc>
          <w:tcPr>
            <w:tcW w:w="1445" w:type="dxa"/>
            <w:tcBorders>
              <w:top w:val="single" w:sz="12" w:space="0" w:color="000000"/>
              <w:left w:val="single" w:sz="6" w:space="0" w:color="000000"/>
              <w:bottom w:val="single" w:sz="12" w:space="0" w:color="000000"/>
              <w:right w:val="nil" w:sz="6" w:space="0" w:color="auto"/>
            </w:tcBorders>
          </w:tcPr>
          <w:p>
            <w:pPr/>
          </w:p>
        </w:tc>
      </w:tr>
    </w:tbl>
    <w:p>
      <w:pPr>
        <w:pStyle w:val="Heading6"/>
        <w:spacing w:line="278" w:lineRule="exact" w:before="0"/>
        <w:ind w:left="489" w:right="1133"/>
        <w:jc w:val="left"/>
      </w:pPr>
      <w:r>
        <w:rPr>
          <w:rFonts w:ascii="Times New Roman" w:hAnsi="Times New Roman" w:cs="Times New Roman" w:eastAsia="Times New Roman" w:hint="default"/>
        </w:rPr>
        <w:t>3</w:t>
      </w:r>
      <w:r>
        <w:rPr/>
        <w:t>、未决诉讼</w:t>
      </w:r>
    </w:p>
    <w:p>
      <w:pPr>
        <w:pStyle w:val="Heading6"/>
        <w:spacing w:line="261" w:lineRule="auto" w:before="141"/>
        <w:ind w:right="1126" w:firstLine="336"/>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日，沈阳兴迪电子科技有限公司向法院起诉本公司，要求本公司向其返还人民币</w:t>
      </w:r>
      <w:r>
        <w:rPr>
          <w:rFonts w:ascii="Times New Roman" w:hAnsi="Times New Roman" w:cs="Times New Roman" w:eastAsia="Times New Roman" w:hint="default"/>
        </w:rPr>
        <w:t>1200</w:t>
      </w:r>
      <w:r>
        <w:rPr/>
        <w:t>万元</w:t>
      </w:r>
      <w:r>
        <w:rPr>
          <w:w w:val="100"/>
        </w:rPr>
        <w:t> </w:t>
      </w:r>
      <w:r>
        <w:rPr>
          <w:spacing w:val="-2"/>
        </w:rPr>
        <w:t>的借款及相应的利息，经查阅历史财务信息，本公司与沈阳兴迪除购销业务外不存在借款事项，无需支付</w:t>
      </w:r>
      <w:r>
        <w:rPr>
          <w:spacing w:val="-42"/>
        </w:rPr>
        <w:t> </w:t>
      </w:r>
      <w:r>
        <w:rPr>
          <w:spacing w:val="-42"/>
        </w:rPr>
      </w:r>
      <w:r>
        <w:rPr>
          <w:spacing w:val="-2"/>
        </w:rPr>
        <w:t>起诉书提及的借款及相应的利息。该诉讼事项已于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日开庭审理，尚未收到判决结果，法院冻结</w:t>
      </w:r>
      <w:r>
        <w:rPr>
          <w:spacing w:val="-41"/>
        </w:rPr>
        <w:t> </w:t>
      </w:r>
      <w:r>
        <w:rPr>
          <w:spacing w:val="-41"/>
        </w:rPr>
      </w:r>
      <w:r>
        <w:rPr/>
        <w:t>了本公司银行存款</w:t>
      </w:r>
      <w:r>
        <w:rPr>
          <w:rFonts w:ascii="Times New Roman" w:hAnsi="Times New Roman" w:cs="Times New Roman" w:eastAsia="Times New Roman" w:hint="default"/>
        </w:rPr>
        <w:t>1,200.00</w:t>
      </w:r>
      <w:r>
        <w:rPr/>
        <w:t>万元。</w:t>
      </w:r>
    </w:p>
    <w:p>
      <w:pPr>
        <w:spacing w:line="240" w:lineRule="auto" w:before="13"/>
        <w:rPr>
          <w:rFonts w:ascii="宋体" w:hAnsi="宋体" w:cs="宋体" w:eastAsia="宋体" w:hint="default"/>
          <w:sz w:val="22"/>
          <w:szCs w:val="22"/>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公司不存在需要披露的重要或有事项。</w:t>
      </w:r>
    </w:p>
    <w:p>
      <w:pPr>
        <w:spacing w:after="0" w:line="240" w:lineRule="auto"/>
        <w:jc w:val="left"/>
        <w:sectPr>
          <w:footerReference w:type="default" r:id="rId22"/>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29"/>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月突发公共卫生事件，对本公司</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季度主营业务各板块产生了一定负面影响，其后续影响取决于持续时间、各</w:t>
      </w:r>
      <w:r>
        <w:rPr>
          <w:spacing w:val="-58"/>
        </w:rPr>
        <w:t> </w:t>
      </w:r>
      <w:r>
        <w:rPr>
          <w:spacing w:val="-58"/>
        </w:rPr>
      </w:r>
      <w:r>
        <w:rPr>
          <w:spacing w:val="-2"/>
        </w:rPr>
        <w:t>地的措施、上下游企业的复工情况以及对宏观经济的整体影响。本公司积极响应并严格执行国家各级政府对该事件的各项规</w:t>
      </w:r>
      <w:r>
        <w:rPr>
          <w:spacing w:val="-64"/>
        </w:rPr>
        <w:t> </w:t>
      </w:r>
      <w:r>
        <w:rPr>
          <w:spacing w:val="-64"/>
        </w:rPr>
      </w:r>
      <w:r>
        <w:rPr/>
        <w:t>定和要求，努力降低对本公司财务状况和经营成果的不利影响。</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339"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-30,609,403.75</w:t>
            </w:r>
          </w:p>
        </w:tc>
      </w:tr>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8,945,180.12</w:t>
            </w:r>
          </w:p>
        </w:tc>
      </w:tr>
      <w:tr>
        <w:trPr>
          <w:trHeight w:val="1339"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574,492.66</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745"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-285,055.58</w:t>
            </w:r>
          </w:p>
        </w:tc>
      </w:tr>
      <w:tr>
        <w:trPr>
          <w:trHeight w:val="1339"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-19,741,606.48</w:t>
            </w:r>
          </w:p>
        </w:tc>
      </w:tr>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83,164.00</w:t>
            </w:r>
          </w:p>
        </w:tc>
      </w:tr>
      <w:tr>
        <w:trPr>
          <w:trHeight w:val="134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-341,842.03</w:t>
            </w:r>
          </w:p>
        </w:tc>
      </w:tr>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-1,374,502.04</w:t>
            </w:r>
          </w:p>
        </w:tc>
      </w:tr>
      <w:tr>
        <w:trPr>
          <w:trHeight w:val="134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-75,336,900.37</w:t>
            </w:r>
          </w:p>
        </w:tc>
      </w:tr>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-39,237,310.89</w:t>
            </w:r>
          </w:p>
        </w:tc>
      </w:tr>
      <w:tr>
        <w:trPr>
          <w:trHeight w:val="1339"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-28,540,997.58</w:t>
            </w:r>
          </w:p>
        </w:tc>
      </w:tr>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-452,469.41</w:t>
            </w:r>
          </w:p>
        </w:tc>
      </w:tr>
      <w:tr>
        <w:trPr>
          <w:trHeight w:val="1339"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-4,890,615.89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经公司第三届董事会第四十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-683,280.27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98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52"/>
              <w:jc w:val="both"/>
              <w:rPr>
                <w:rFonts w:ascii="宋体" w:hAnsi="宋体" w:cs="宋体" w:eastAsia="宋体" w:hint="default"/>
                <w:sz w:val="18"/>
                <w:szCs w:val="18"/>
              </w:rPr>
            </w:pPr>
            <w:r>
              <w:rPr>
                <w:rFonts w:ascii="宋体" w:hAnsi="宋体" w:cs="宋体" w:eastAsia="宋体" w:hint="default"/>
                <w:sz w:val="18"/>
                <w:szCs w:val="18"/>
              </w:rPr>
              <w:t>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-1,348,769.80</w:t>
            </w:r>
          </w:p>
        </w:tc>
      </w:tr>
      <w:tr>
        <w:trPr>
          <w:trHeight w:val="1339"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23"/>
              <w:jc w:val="both"/>
              <w:rPr>
                <w:rFonts w:ascii="宋体" w:hAnsi="宋体" w:cs="宋体" w:eastAsia="宋体" w:hint="default"/>
                <w:sz w:val="18"/>
                <w:szCs w:val="18"/>
              </w:rPr>
            </w:pPr>
            <w:r>
              <w:rPr>
                <w:rFonts w:ascii="宋体" w:hAnsi="宋体" w:cs="宋体" w:eastAsia="宋体" w:hint="default"/>
                <w:sz w:val="18"/>
                <w:szCs w:val="18"/>
              </w:rPr>
              <w:t>好医友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年通过远程医疗服 </w:t>
            </w:r>
            <w:r>
              <w:rPr>
                <w:rFonts w:ascii="宋体" w:hAnsi="宋体" w:cs="宋体" w:eastAsia="宋体" w:hint="default"/>
                <w:spacing w:val="-7"/>
                <w:sz w:val="18"/>
                <w:szCs w:val="18"/>
              </w:rPr>
              <w:t>务业务虚增主营业务收入、主营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业务成本、期间费用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2"/>
              <w:jc w:val="both"/>
              <w:rPr>
                <w:rFonts w:ascii="宋体" w:hAnsi="宋体" w:cs="宋体" w:eastAsia="宋体" w:hint="default"/>
                <w:sz w:val="18"/>
                <w:szCs w:val="18"/>
              </w:rPr>
            </w:pPr>
            <w:r>
              <w:rPr>
                <w:rFonts w:ascii="宋体" w:hAnsi="宋体" w:cs="宋体" w:eastAsia="宋体" w:hint="default"/>
                <w:sz w:val="18"/>
                <w:szCs w:val="18"/>
              </w:rPr>
              <w:t>经公司第三届董事会第四十 五次会议审议，对其进行会 计差错更正，追溯调整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年度财务报表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671,148.55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公司目前主营业务为对外承包工程业务，其他板块业务规模较小，占比较低，故公司无需编制分部报告。</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4"/>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799"/>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7,493,79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5,378,07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2,115,718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309,160.0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216,412.0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92,748.00</w:t>
            </w: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232,922,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231.43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104,923,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473.74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127,998,7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57.69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249,508,5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66.58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90,330,00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159,178,56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3.27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240,416,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021.87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110,301,</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545.32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130,114,4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76.55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249,817,7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26.58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90,546,41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159,271,31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1.27</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五洋建设集团股份有限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已破产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浙江易健生物制品有限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3,494,281.14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客户经营困难</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舟山</w:t>
            </w:r>
            <w:r>
              <w:rPr>
                <w:rFonts w:ascii="Times New Roman" w:hAnsi="Times New Roman" w:cs="Times New Roman" w:eastAsia="Times New Roman" w:hint="default"/>
                <w:sz w:val="18"/>
                <w:szCs w:val="18"/>
              </w:rPr>
              <w:t>)</w:t>
            </w:r>
            <w:r>
              <w:rPr>
                <w:rFonts w:ascii="宋体" w:hAnsi="宋体" w:cs="宋体" w:eastAsia="宋体" w:hint="default"/>
                <w:sz w:val="18"/>
                <w:szCs w:val="18"/>
              </w:rPr>
              <w:t>大宗商品交 易中心管理委员会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1,574,630.44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1,574,630.44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7,493,790.44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5,378,071.58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75,752,560.81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5,401,157.59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29,238,893.64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4,958,916.36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16.96%</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24,038,418.91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7,050,468.27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29.33%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14,243,243.78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7,209,930.00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46,567,577.35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37,221,464.58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79.93%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43,081,536.94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43,081,536.94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232,922,231.43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104,923,473.74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19"/>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4" w:space="66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75,752,560.81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29,238,893.64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25,613,049.35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109,811,518.07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14,243,243.78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52,486,737.35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43,081,536.94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240,416,021.87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216,412.00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5,161,659.58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5,378,071.58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90,330,003.31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14,593,470.43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104,923,473.74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90,546,415.31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19,755,130.01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110,301,545.32</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33"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66,698,211.70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60,181,884.56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14,720,996.34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5,654,189.22</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630,520.16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8,174,312.73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6,533,728.17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7,562,911.00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539,235.55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105,999,631.77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630,554,354.47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818,221,280.39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630,554,354.47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818,221,280.39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87,683,606.03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93,224,332.74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681,463,487.82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815,330,298.73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689,620.78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1,681,168.75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4,135,640.25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4,017,158.61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773,972,354.88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914,252,958.83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0"/>
        <w:gridCol w:w="1805"/>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77,309,940.44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18,721,738.00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96,031,678.44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14,448,059.45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32,938,262.52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47,386,321.97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91,757,999.89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51,660,000.52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143,418,000.41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194,068,858.70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384,599,880.99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160,118,057.13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35,185,558.06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2,368,508.14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28,176,840.50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4,640,209.42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773,972,354.88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1333"/>
        <w:gridCol w:w="1452"/>
        <w:gridCol w:w="1198"/>
        <w:gridCol w:w="1346"/>
        <w:gridCol w:w="1575"/>
      </w:tblGrid>
      <w:tr>
        <w:trPr>
          <w:trHeight w:val="401"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252,628,160.08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27,693,323.33</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177,653,401.13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28,505,247.47</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175,073,330.50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11,082,141.82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47,738,214.83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11,695,797.87</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27,655,693.78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3,046,319.40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680,748,800.32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82,022,829.89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1,265,307,587.24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1,265,307,587.24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1,250,747,587.24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1,250,747,587.24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93,635,237.70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93,635,237.70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70,442,818.22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70,442,818.22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1,358,942,824.94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1,358,942,824.94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1,321,190,405.46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1,321,190,405.46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4"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上海汉鼎信息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汉鼎宇佑信息 产业有限公司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49,655,638.79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49,655,638.79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成都宇佑信息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5,940,000.00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汉鼎国际发展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11,737,064.19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11,737,064.19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浙江汉鼎宇佑 金融服务有限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479,968,170.0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479,968,170.05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杭州汉鼎宇佑 金控投资有限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浙江汉鼎宇佑 资本管理有限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杭州汉鼎宇佑 互动娱乐管理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杭州汉鼎宇佑 商业发展有限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霍尔果斯吉良 先道信息科技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好医友医疗科 技集团有限公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50,486,714.21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70,986,714.21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1,250,747,587.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1,265,307,587.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蜂助手股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60,690,39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13,136,60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2,787,131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75,656,94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广东汉鼎 蜂助手网 络技术有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-1,472,16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8,527,830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四川通普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9,752,421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9,450,464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70,442,81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11,509,91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2,639,690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93,635,23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70,442,81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11,509,91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-1,119,44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162,256.2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2,639,690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93,635,23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7.70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295,485,312.05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286,082,867.24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396,627,662.90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334,452,441.40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4,984,337.00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3,931,146.46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19,929,760.26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12,938,819.30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300,469,649.05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290,014,013.70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416,557,423.16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347,391,260.70</w:t>
            </w:r>
          </w:p>
        </w:tc>
      </w:tr>
    </w:tbl>
    <w:p>
      <w:pPr>
        <w:pStyle w:val="BodyText"/>
        <w:spacing w:line="240" w:lineRule="auto" w:before="49"/>
        <w:ind w:right="1133"/>
        <w:jc w:val="left"/>
      </w:pPr>
      <w:r>
        <w:rPr/>
        <w:t>是否已执行新收入准则</w:t>
      </w:r>
    </w:p>
    <w:p>
      <w:pPr>
        <w:pStyle w:val="BodyText"/>
        <w:spacing w:line="338" w:lineRule="auto" w:before="118"/>
        <w:ind w:right="93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11,509,919.87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10,700,384.44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-4,988,465.24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22,982,100.27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6,521,454.63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33,682,484.71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-1,810,693.11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6,500,887.66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详见附注七、合并财务报表项目注释</w:t>
            </w:r>
          </w:p>
          <w:p>
            <w:pPr>
              <w:pStyle w:val="TableParagraph"/>
              <w:spacing w:line="300" w:lineRule="auto" w:before="77"/>
              <w:ind w:left="23" w:right="8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67</w:t>
            </w:r>
            <w:r>
              <w:rPr>
                <w:rFonts w:ascii="宋体" w:hAnsi="宋体" w:cs="宋体" w:eastAsia="宋体" w:hint="default"/>
                <w:sz w:val="18"/>
                <w:szCs w:val="18"/>
              </w:rPr>
              <w:t>）中计入其他收益以及（</w:t>
            </w:r>
            <w:r>
              <w:rPr>
                <w:rFonts w:ascii="Times New Roman" w:hAnsi="Times New Roman" w:cs="Times New Roman" w:eastAsia="Times New Roman" w:hint="default"/>
                <w:sz w:val="18"/>
                <w:szCs w:val="18"/>
              </w:rPr>
              <w:t>74</w:t>
            </w:r>
            <w:r>
              <w:rPr>
                <w:rFonts w:ascii="宋体" w:hAnsi="宋体" w:cs="宋体" w:eastAsia="宋体" w:hint="default"/>
                <w:sz w:val="18"/>
                <w:szCs w:val="18"/>
              </w:rPr>
              <w:t>）中计 入营业外收入的政府补助</w:t>
            </w:r>
          </w:p>
        </w:tc>
      </w:tr>
      <w:tr>
        <w:trPr>
          <w:trHeight w:val="161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100,356,501.33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125"/>
              <w:ind w:left="23" w:right="89"/>
              <w:jc w:val="left"/>
              <w:rPr>
                <w:rFonts w:ascii="宋体" w:hAnsi="宋体" w:cs="宋体" w:eastAsia="宋体" w:hint="default"/>
                <w:sz w:val="18"/>
                <w:szCs w:val="18"/>
              </w:rPr>
            </w:pPr>
            <w:r>
              <w:rPr>
                <w:rFonts w:ascii="宋体" w:hAnsi="宋体" w:cs="宋体" w:eastAsia="宋体" w:hint="default"/>
                <w:sz w:val="18"/>
                <w:szCs w:val="18"/>
              </w:rPr>
              <w:t>主要系金融资产公允价值变动收益。其 中极光股价波动影响数</w:t>
            </w:r>
            <w:r>
              <w:rPr>
                <w:rFonts w:ascii="Times New Roman" w:hAnsi="Times New Roman" w:cs="Times New Roman" w:eastAsia="Times New Roman" w:hint="default"/>
                <w:sz w:val="18"/>
                <w:szCs w:val="18"/>
              </w:rPr>
              <w:t>-107,898,364.53 </w:t>
            </w:r>
            <w:r>
              <w:rPr>
                <w:rFonts w:ascii="宋体" w:hAnsi="宋体" w:cs="宋体" w:eastAsia="宋体" w:hint="default"/>
                <w:sz w:val="18"/>
                <w:szCs w:val="18"/>
              </w:rPr>
              <w:t>元，</w:t>
            </w:r>
            <w:r>
              <w:rPr>
                <w:rFonts w:ascii="Times New Roman" w:hAnsi="Times New Roman" w:cs="Times New Roman" w:eastAsia="Times New Roman" w:hint="default"/>
                <w:sz w:val="18"/>
                <w:szCs w:val="18"/>
              </w:rPr>
              <w:t>MCAC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估值变动影响数 </w:t>
            </w:r>
            <w:r>
              <w:rPr>
                <w:rFonts w:ascii="Times New Roman" w:hAnsi="Times New Roman" w:cs="Times New Roman" w:eastAsia="Times New Roman" w:hint="default"/>
                <w:sz w:val="18"/>
                <w:szCs w:val="18"/>
              </w:rPr>
              <w:t>207,062,321.48 </w:t>
            </w:r>
            <w:r>
              <w:rPr>
                <w:rFonts w:ascii="宋体" w:hAnsi="宋体" w:cs="宋体" w:eastAsia="宋体" w:hint="default"/>
                <w:sz w:val="18"/>
                <w:szCs w:val="18"/>
              </w:rPr>
              <w:t>元。</w:t>
            </w:r>
          </w:p>
        </w:tc>
      </w:tr>
    </w:tbl>
    <w:p>
      <w:pPr>
        <w:spacing w:after="0" w:line="345"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67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49"/>
              <w:jc w:val="left"/>
              <w:rPr>
                <w:rFonts w:ascii="宋体" w:hAnsi="宋体" w:cs="宋体" w:eastAsia="宋体" w:hint="default"/>
                <w:sz w:val="18"/>
                <w:szCs w:val="18"/>
              </w:rPr>
            </w:pPr>
            <w:r>
              <w:rPr>
                <w:rFonts w:ascii="宋体" w:hAnsi="宋体" w:cs="宋体" w:eastAsia="宋体" w:hint="default"/>
                <w:sz w:val="18"/>
                <w:szCs w:val="18"/>
              </w:rPr>
              <w:t>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-7,119,609.47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详见附注七、合并财务报表项目注释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75</w:t>
            </w:r>
            <w:r>
              <w:rPr>
                <w:rFonts w:ascii="宋体" w:hAnsi="宋体" w:cs="宋体" w:eastAsia="宋体" w:hint="default"/>
                <w:sz w:val="18"/>
                <w:szCs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249,317.74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533,350.94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97,144,417.73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33"/>
        <w:jc w:val="left"/>
        <w:rPr>
          <w:b w:val="0"/>
          <w:bCs w:val="0"/>
        </w:rPr>
      </w:pP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1214"/>
        <w:jc w:val="left"/>
      </w:pPr>
      <w:r>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w:t>
      </w:r>
    </w:p>
    <w:p>
      <w:pPr>
        <w:pStyle w:val="BodyText"/>
        <w:spacing w:line="316" w:lineRule="auto" w:before="19"/>
        <w:ind w:right="7154"/>
        <w:jc w:val="left"/>
      </w:pPr>
      <w:r>
        <w:rPr/>
        <w:t>四、其他相关资料。 以上备查文件的备置地点：公司证券事务部。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176" type="#_x0000_t75" stroked="false">
          <v:imagedata r:id="rId1" o:title=""/>
        </v:shape>
      </w:pict>
    </w:r>
    <w:r>
      <w:rPr/>
      <w:pict>
        <v:shape style="position:absolute;margin-left:533.099976pt;margin-top:795.613892pt;width:6.5pt;height:11pt;mso-position-horizontal-relative:page;mso-position-vertical-relative:page;z-index:-113015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720" type="#_x0000_t75" stroked="false">
          <v:imagedata r:id="rId1" o:title=""/>
        </v:shape>
      </w:pict>
    </w:r>
    <w:r>
      <w:rPr/>
      <w:pict>
        <v:shape style="position:absolute;margin-left:523.099976pt;margin-top:781.933899pt;width:17.7pt;height:11pt;mso-position-horizontal-relative:page;mso-position-vertical-relative:page;z-index:-11296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128" type="#_x0000_t75" stroked="false">
          <v:imagedata r:id="rId1" o:title=""/>
        </v:shape>
      </w:pict>
    </w:r>
    <w:r>
      <w:rPr/>
      <w:pict>
        <v:shape style="position:absolute;margin-left:527.659973pt;margin-top:781.933899pt;width:13.15pt;height:11pt;mso-position-horizontal-relative:page;mso-position-vertical-relative:page;z-index:-11301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080" type="#_x0000_t75" stroked="false">
          <v:imagedata r:id="rId1" o:title=""/>
        </v:shape>
      </w:pict>
    </w:r>
    <w:r>
      <w:rPr/>
      <w:pict>
        <v:shape style="position:absolute;margin-left:524.099976pt;margin-top:781.933899pt;width:15.7pt;height:11pt;mso-position-horizontal-relative:page;mso-position-vertical-relative:page;z-index:-11300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032" type="#_x0000_t75" stroked="false">
          <v:imagedata r:id="rId1" o:title=""/>
        </v:shape>
      </w:pict>
    </w:r>
    <w:r>
      <w:rPr/>
      <w:pict>
        <v:shape style="position:absolute;margin-left:523.099976pt;margin-top:781.933899pt;width:17.7pt;height:11pt;mso-position-horizontal-relative:page;mso-position-vertical-relative:page;z-index:-11300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984" type="#_x0000_t75" stroked="false">
          <v:imagedata r:id="rId1" o:title=""/>
        </v:shape>
      </w:pict>
    </w:r>
    <w:r>
      <w:rPr/>
      <w:pict>
        <v:shape style="position:absolute;margin-left:523.460022pt;margin-top:781.933899pt;width:17.350pt;height:11pt;mso-position-horizontal-relative:page;mso-position-vertical-relative:page;z-index:-1129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936" type="#_x0000_t75" stroked="false">
          <v:imagedata r:id="rId1" o:title=""/>
        </v:shape>
      </w:pict>
    </w:r>
    <w:r>
      <w:rPr/>
      <w:pict>
        <v:shape style="position:absolute;margin-left:523.099976pt;margin-top:781.933899pt;width:17.7pt;height:11pt;mso-position-horizontal-relative:page;mso-position-vertical-relative:page;z-index:-11299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888" type="#_x0000_t75" stroked="false">
          <v:imagedata r:id="rId1" o:title=""/>
        </v:shape>
      </w:pict>
    </w:r>
    <w:r>
      <w:rPr/>
      <w:pict>
        <v:shape style="position:absolute;margin-left:497.100006pt;margin-top:753.121582pt;width:42.6pt;height:11pt;mso-position-horizontal-relative:page;mso-position-vertical-relative:page;z-index:-1129864" type="#_x0000_t202" filled="false" stroked="false">
          <v:textbox inset="0,0,0,0">
            <w:txbxContent>
              <w:p>
                <w:pPr>
                  <w:pStyle w:val="BodyText"/>
                  <w:spacing w:line="200" w:lineRule="exact" w:before="0"/>
                  <w:ind w:left="20" w:right="0"/>
                  <w:jc w:val="left"/>
                </w:pPr>
                <w:r>
                  <w:rPr/>
                  <w:t>单位：</w:t>
                </w:r>
                <w:r>
                  <w:rPr>
                    <w:spacing w:val="1"/>
                  </w:rPr>
                  <w:t> </w:t>
                </w:r>
                <w:r>
                  <w:rPr/>
                  <w:t>元</w:t>
                </w:r>
              </w:p>
            </w:txbxContent>
          </v:textbox>
          <w10:wrap type="none"/>
        </v:shape>
      </w:pict>
    </w:r>
    <w:r>
      <w:rPr/>
      <w:pict>
        <v:shape style="position:absolute;margin-left:523.099976pt;margin-top:781.933899pt;width:17.7pt;height:11pt;mso-position-horizontal-relative:page;mso-position-vertical-relative:page;z-index:-11298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816" type="#_x0000_t75" stroked="false">
          <v:imagedata r:id="rId1" o:title=""/>
        </v:shape>
      </w:pict>
    </w:r>
    <w:r>
      <w:rPr/>
      <w:pict>
        <v:shape style="position:absolute;margin-left:523.099976pt;margin-top:781.933899pt;width:17.7pt;height:11pt;mso-position-horizontal-relative:page;mso-position-vertical-relative:page;z-index:-11297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768" type="#_x0000_t75" stroked="false">
          <v:imagedata r:id="rId1" o:title=""/>
        </v:shape>
      </w:pict>
    </w:r>
    <w:r>
      <w:rPr/>
      <w:pict>
        <v:shape style="position:absolute;margin-left:524.099976pt;margin-top:781.933899pt;width:15.7pt;height:11pt;mso-position-horizontal-relative:page;mso-position-vertical-relative:page;z-index:-112974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130200" type="#_x0000_t202" filled="false" stroked="false">
          <v:textbox inset="0,0,0,0">
            <w:txbxContent>
              <w:p>
                <w:pPr>
                  <w:pStyle w:val="BodyText"/>
                  <w:spacing w:line="214" w:lineRule="exact" w:before="0"/>
                  <w:ind w:left="20" w:right="0"/>
                  <w:jc w:val="left"/>
                </w:pPr>
                <w:r>
                  <w:rPr/>
                  <w:t>汉鼎宇佑互联网股份有限公司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633"/>
      <w:outlineLvl w:val="3"/>
    </w:pPr>
    <w:rPr>
      <w:rFonts w:ascii="宋体" w:hAnsi="宋体" w:eastAsia="宋体"/>
      <w:sz w:val="24"/>
      <w:szCs w:val="24"/>
    </w:rPr>
  </w:style>
  <w:style w:styleId="Heading4" w:type="paragraph">
    <w:name w:val="Heading 4"/>
    <w:basedOn w:val="Normal"/>
    <w:uiPriority w:val="1"/>
    <w:qFormat/>
    <w:pPr>
      <w:spacing w:before="162"/>
      <w:ind w:left="152"/>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spacing w:before="7"/>
      <w:ind w:left="152"/>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akim.com.cn/" TargetMode="External"/><Relationship Id="rId10" Type="http://schemas.openxmlformats.org/officeDocument/2006/relationships/hyperlink" Target="mailto:hakim@hakim.com.cn" TargetMode="External"/><Relationship Id="rId11" Type="http://schemas.openxmlformats.org/officeDocument/2006/relationships/hyperlink" Target="mailto:yexingbo@hakim.com.cn" TargetMode="External"/><Relationship Id="rId12" Type="http://schemas.openxmlformats.org/officeDocument/2006/relationships/hyperlink" Target="mailto:yueyitao@hakim.com.cn" TargetMode="External"/><Relationship Id="rId13" Type="http://schemas.openxmlformats.org/officeDocument/2006/relationships/hyperlink" Target="http://www.cninfo.com.cn/" TargetMode="External"/><Relationship Id="rId14" Type="http://schemas.openxmlformats.org/officeDocument/2006/relationships/hyperlink" Target="http://www.cninfo.com/"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汉鼎宇佑互联网股份有限公司</dc:creator>
  <dc:title>汉鼎宇佑互联网股份有限公司2019年年度报告全文</dc:title>
  <dcterms:created xsi:type="dcterms:W3CDTF">2020-05-19T23:06:01Z</dcterms:created>
  <dcterms:modified xsi:type="dcterms:W3CDTF">2020-05-19T23:06:01Z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2020-05-19T00:00:00Z</vt:filetime>
  </property>
</Properties>
</file>