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018" w:right="1107" w:bottom="984" w:left="1102" w:header="0" w:footer="3" w:gutter="0"/>
          <w:pgNumType w:start="1"/>
          <w:cols w:space="720"/>
          <w:noEndnote/>
          <w:titlePg/>
          <w:rtlGutter w:val="0"/>
          <w:docGrid w:linePitch="360"/>
        </w:sectPr>
      </w:pPr>
    </w:p>
    <w:p>
      <w:pPr>
        <w:pStyle w:val="Style6"/>
        <w:keepNext w:val="0"/>
        <w:keepLines w:val="0"/>
        <w:framePr w:w="3331" w:h="1008" w:wrap="none" w:vAnchor="text" w:hAnchor="page" w:x="5226" w:y="481"/>
        <w:widowControl w:val="0"/>
        <w:shd w:val="clear" w:color="auto" w:fill="auto"/>
        <w:bidi w:val="0"/>
        <w:spacing w:before="0" w:after="0" w:line="240" w:lineRule="auto"/>
        <w:ind w:left="0" w:right="0" w:firstLine="0"/>
        <w:jc w:val="both"/>
        <w:rPr>
          <w:sz w:val="60"/>
          <w:szCs w:val="60"/>
        </w:rPr>
      </w:pPr>
      <w:r>
        <w:rPr>
          <w:rFonts w:ascii="SimHei" w:eastAsia="SimHei" w:hAnsi="SimHei" w:cs="SimHei"/>
          <w:color w:val="1068B6"/>
          <w:spacing w:val="0"/>
          <w:w w:val="100"/>
          <w:position w:val="0"/>
          <w:sz w:val="60"/>
          <w:szCs w:val="60"/>
        </w:rPr>
        <w:t>海峡创新</w:t>
      </w:r>
    </w:p>
    <w:p>
      <w:pPr>
        <w:pStyle w:val="Style6"/>
        <w:keepNext w:val="0"/>
        <w:keepLines w:val="0"/>
        <w:framePr w:w="3331" w:h="1008" w:wrap="none" w:vAnchor="text" w:hAnchor="page" w:x="5226" w:y="481"/>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1068B6"/>
          <w:spacing w:val="0"/>
          <w:w w:val="100"/>
          <w:position w:val="0"/>
          <w:sz w:val="26"/>
          <w:szCs w:val="26"/>
        </w:rPr>
        <w:t>Strait Innovation</w:t>
      </w:r>
    </w:p>
    <w:p>
      <w:pPr>
        <w:widowControl w:val="0"/>
        <w:spacing w:line="360" w:lineRule="exact"/>
      </w:pPr>
      <w:r>
        <w:drawing>
          <wp:anchor distT="0" distB="0" distL="0" distR="0" simplePos="0" relativeHeight="62914702" behindDoc="1" locked="0" layoutInCell="1" allowOverlap="1">
            <wp:simplePos x="0" y="0"/>
            <wp:positionH relativeFrom="page">
              <wp:posOffset>2117090</wp:posOffset>
            </wp:positionH>
            <wp:positionV relativeFrom="paragraph">
              <wp:posOffset>12700</wp:posOffset>
            </wp:positionV>
            <wp:extent cx="1127760" cy="112141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1127760" cy="1121410"/>
                    </a:xfrm>
                    <a:prstGeom prst="rect"/>
                  </pic:spPr>
                </pic:pic>
              </a:graphicData>
            </a:graphic>
          </wp:anchor>
        </w:drawing>
      </w: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1018" w:right="1107" w:bottom="984" w:left="110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5" w:right="0" w:bottom="1510" w:left="0" w:header="0" w:footer="3" w:gutter="0"/>
          <w:cols w:space="720"/>
          <w:noEndnote/>
          <w:rtlGutter w:val="0"/>
          <w:docGrid w:linePitch="360"/>
        </w:sectPr>
      </w:pPr>
    </w:p>
    <w:p>
      <w:pPr>
        <w:pStyle w:val="Style10"/>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海峡创新互联网股份有限公司</w:t>
      </w:r>
    </w:p>
    <w:p>
      <w:pPr>
        <w:pStyle w:val="Style10"/>
        <w:keepNext w:val="0"/>
        <w:keepLines w:val="0"/>
        <w:widowControl w:val="0"/>
        <w:shd w:val="clear" w:color="auto" w:fill="auto"/>
        <w:bidi w:val="0"/>
        <w:spacing w:before="0" w:after="44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6"/>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2021-027</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公司负责人曹阳、主管会计工作负责人曾志勇及会计机构负责人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王鸿博声明：保证本年度报告中财务报告的真实、准确、完整。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（一）</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年度公司业绩大幅亏损主要系公司部分投资损失、计提应收款 项信用减值及部分资产减值、部分金融资产公允价值变动损失减少公司净利润 合计</w:t>
      </w:r>
      <w:r>
        <w:rPr>
          <w:rFonts w:ascii="Times New Roman" w:eastAsia="Times New Roman" w:hAnsi="Times New Roman" w:cs="Times New Roman"/>
          <w:color w:val="000000"/>
          <w:spacing w:val="0"/>
          <w:w w:val="100"/>
          <w:position w:val="0"/>
          <w:sz w:val="28"/>
          <w:szCs w:val="28"/>
        </w:rPr>
        <w:t>47,007.65</w:t>
      </w:r>
      <w:r>
        <w:rPr>
          <w:color w:val="000000"/>
          <w:spacing w:val="0"/>
          <w:w w:val="100"/>
          <w:position w:val="0"/>
        </w:rPr>
        <w:t>万元。（二）公司的基本面及主营业务、核心竞争力、主要财务 指标等均未发生重大不利变化，与行业趋势基本一致。（三）面对行业蓬勃的发 展态势，公司将进一步优化战略布局，聚焦智慧城市和智慧医疗，报告期内公 司持续经营能力不存在重大风险。</w:t>
      </w:r>
    </w:p>
    <w:p>
      <w:pPr>
        <w:pStyle w:val="Style18"/>
        <w:keepNext w:val="0"/>
        <w:keepLines w:val="0"/>
        <w:widowControl w:val="0"/>
        <w:shd w:val="clear" w:color="auto" w:fill="auto"/>
        <w:bidi w:val="0"/>
        <w:spacing w:before="0" w:line="607" w:lineRule="exact"/>
        <w:ind w:left="0" w:right="0"/>
        <w:jc w:val="both"/>
      </w:pPr>
      <w:r>
        <w:rPr>
          <w:color w:val="000000"/>
          <w:spacing w:val="0"/>
          <w:w w:val="100"/>
          <w:position w:val="0"/>
        </w:rPr>
        <w:t>本报告中所涉及的未来计划或规划等前瞻性描述不构成公司对投资者的实 质承诺，投资者及相关人士均应当对此保持足够的风险认识，并且应当理解计 划、预测与承诺之间的差异，敬请投资者注意投资风险。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公司目前不存在影响公司正常经营的重大风险，公司日常经营中可能面临 的风险因素详见</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 相关风险因素。</w:t>
      </w:r>
    </w:p>
    <w:p>
      <w:pPr>
        <w:pStyle w:val="Style18"/>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7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25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24"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8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93"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9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61"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64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65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2344"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190</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海峡创新、本公司、公司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海峡创新互联网股份有限公司（原：汉鼎信息科技股份有限公司、汉 鼎宇佑互联网股份有限公司）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福建省平潭综合实验区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平潭国资局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平潭综合实验区国有资产管理局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平潭创投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平潭创新股权投资合伙企业（有限合伙）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平潭金控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平潭综合实验区金融控股集团有限公司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平潭麒麟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平潭综合实验区麒麟股权投资管理有限公司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平潭互联网医院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好医友互联网医院（平潭）有限公司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汉鼎租赁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汉鼎宇佑融资租赁有限公司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海润影视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海润影视制作有限公司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蜂助手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蜂助手股份有限公司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好医友医疗科技集团有限公司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微贷金服、微贷网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微贷（杭州）金融信息服务有限公司；</w:t>
            </w:r>
            <w:r>
              <w:rPr>
                <w:rFonts w:ascii="Times New Roman" w:eastAsia="Times New Roman" w:hAnsi="Times New Roman" w:cs="Times New Roman"/>
                <w:color w:val="000000"/>
                <w:spacing w:val="0"/>
                <w:w w:val="100"/>
                <w:position w:val="0"/>
                <w:sz w:val="18"/>
                <w:szCs w:val="18"/>
              </w:rPr>
              <w:t>Weidai Ltd.</w:t>
            </w:r>
            <w:r>
              <w:rPr>
                <w:color w:val="000000"/>
                <w:spacing w:val="0"/>
                <w:w w:val="100"/>
                <w:position w:val="0"/>
              </w:rPr>
              <w:t>，</w:t>
            </w:r>
            <w:r>
              <w:rPr>
                <w:color w:val="000000"/>
                <w:spacing w:val="0"/>
                <w:w w:val="100"/>
                <w:position w:val="0"/>
              </w:rPr>
              <w:t>微贷香港有限公 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MCAC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MacArthur Court Acquisition Corp.</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《海峡创新互联网股份有限公司章程》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pacing w:lineRule="exact" w:line="1"/>
        <w:rPr>
          <w:sz w:val="2"/>
          <w:szCs w:val="2"/>
        </w:rPr>
      </w:pPr>
      <w:r>
        <w:br w:type="page"/>
      </w:r>
    </w:p>
    <w:p>
      <w:pPr>
        <w:pStyle w:val="Style16"/>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525"/>
        <w:gridCol w:w="2717"/>
        <w:gridCol w:w="2155"/>
        <w:gridCol w:w="21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海峡创新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Strait Innovation Internet Co., Ltd.</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HXCX</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福建省平潭综合实验区金井湾片区商务营运中心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号天际大厦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hxcx.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hxcx@hxcx. com. cn</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2275"/>
        <w:gridCol w:w="3682"/>
        <w:gridCol w:w="362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叶兴波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林楠芳</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号天际大厦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号天际大厦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0571-89938397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0571-89938397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0571-88303333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0571-88303333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yexingbo@hxcx. com.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linnanfang@hxcx. com. cn</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李赟莘、肖俊龙</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451,533,912.02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527,647,214.59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-588,788,805.84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-793,295,024.47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124,307,511.26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-288,175,017.67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-890,439,442.20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35,959,846.50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-24,825,629.37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-51,984,400.73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28,455,088.65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1,845,345,308.70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2,459,254,325.86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3,449,022,544.98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909,408,273.81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1,523,952,079.97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2,348,035,971.05</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006"/>
        <w:gridCol w:w="1838"/>
        <w:gridCol w:w="334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451,533,912.02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主要系智慧城市、智慧医疗、影院票房、 租赁服务、物业服务、广告服务等</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15,437,373.09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主要系租赁服务、物业服务、广告服务等</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342,330,576.53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436,096,538.93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43,910,680.08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50,140,328.18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64,056,829.12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195,491,000.93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-62,776,835.85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-164,368,366.39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-66,004,025.59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-295,639,578.01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-43,903,034.40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-66,059,135.78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-21,443,093.89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-156,769,753.60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-16,264,253.36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-31,230,664.28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25,758,905.41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-3,089,617.14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1"/>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238"/>
        <w:gridCol w:w="1416"/>
        <w:gridCol w:w="1277"/>
        <w:gridCol w:w="234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1,415,801.80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-1,810,693.11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92,705,753.82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8,953,754.81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6,500,887.66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11,438,476.80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1,755,265.53</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主要系因被担保人违约而确 认的预计负债</w:t>
            </w:r>
            <w:r>
              <w:rPr>
                <w:rFonts w:ascii="Times New Roman" w:eastAsia="Times New Roman" w:hAnsi="Times New Roman" w:cs="Times New Roman"/>
                <w:color w:val="000000"/>
                <w:spacing w:val="0"/>
                <w:w w:val="100"/>
                <w:position w:val="0"/>
                <w:sz w:val="18"/>
                <w:szCs w:val="18"/>
              </w:rPr>
              <w:t xml:space="preserve">8,803,453.36 </w:t>
            </w:r>
            <w:r>
              <w:rPr>
                <w:color w:val="000000"/>
                <w:spacing w:val="0"/>
                <w:w w:val="100"/>
                <w:position w:val="0"/>
              </w:rPr>
              <w:t>元，详见本附注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十四、承诺 及或有事项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302"/>
        <w:gridCol w:w="1238"/>
        <w:gridCol w:w="1416"/>
        <w:gridCol w:w="1277"/>
        <w:gridCol w:w="2347"/>
      </w:tblGrid>
      <w:tr>
        <w:trPr>
          <w:trHeight w:val="25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-245,228,790.3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100,356,501.33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主要系金融资产公允价值变 动损益。其中</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 xml:space="preserve">公允价 值变动影响数为 </w:t>
            </w:r>
            <w:r>
              <w:rPr>
                <w:rFonts w:ascii="Times New Roman" w:eastAsia="Times New Roman" w:hAnsi="Times New Roman" w:cs="Times New Roman"/>
                <w:color w:val="000000"/>
                <w:spacing w:val="0"/>
                <w:w w:val="100"/>
                <w:position w:val="0"/>
                <w:sz w:val="18"/>
                <w:szCs w:val="18"/>
              </w:rPr>
              <w:t xml:space="preserve">-102,269,860.96 </w:t>
            </w:r>
            <w:r>
              <w:rPr>
                <w:color w:val="000000"/>
                <w:spacing w:val="0"/>
                <w:w w:val="100"/>
                <w:position w:val="0"/>
              </w:rPr>
              <w:t xml:space="preserve">元，海润影视 公允价值变动影响数为 </w:t>
            </w:r>
            <w:r>
              <w:rPr>
                <w:rFonts w:ascii="Times New Roman" w:eastAsia="Times New Roman" w:hAnsi="Times New Roman" w:cs="Times New Roman"/>
                <w:color w:val="000000"/>
                <w:spacing w:val="0"/>
                <w:w w:val="100"/>
                <w:position w:val="0"/>
                <w:sz w:val="18"/>
                <w:szCs w:val="18"/>
              </w:rPr>
              <w:t>-87,500,558.40</w:t>
            </w:r>
            <w:r>
              <w:rPr>
                <w:color w:val="000000"/>
                <w:spacing w:val="0"/>
                <w:w w:val="100"/>
                <w:position w:val="0"/>
              </w:rPr>
              <w:t xml:space="preserve">元，微贷网股 价波动影响数为 </w:t>
            </w:r>
            <w:r>
              <w:rPr>
                <w:rFonts w:ascii="Times New Roman" w:eastAsia="Times New Roman" w:hAnsi="Times New Roman" w:cs="Times New Roman"/>
                <w:color w:val="000000"/>
                <w:spacing w:val="0"/>
                <w:w w:val="100"/>
                <w:position w:val="0"/>
                <w:sz w:val="18"/>
                <w:szCs w:val="18"/>
              </w:rPr>
              <w:t xml:space="preserve">-22,002,747.05 </w:t>
            </w:r>
            <w:r>
              <w:rPr>
                <w:color w:val="000000"/>
                <w:spacing w:val="0"/>
                <w:w w:val="100"/>
                <w:position w:val="0"/>
              </w:rPr>
              <w:t>元。</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-859,784.20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-7,119,609.47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6,549,446.23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-62,143,128.72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主要系微贷网由权益法转换 为公允价值计量且其变动计 入当期损益的金融资产形成 的投资损失。</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24,096,071.54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533,350.94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-300,613,788.1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97,144,417.73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88,347,664.76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type w:val="continuous"/>
          <w:pgSz w:w="11900" w:h="16840"/>
          <w:pgMar w:top="1425" w:right="1118" w:bottom="1510" w:left="109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6"/>
        <w:keepNext/>
        <w:keepLines/>
        <w:widowControl w:val="0"/>
        <w:shd w:val="clear" w:color="auto" w:fill="auto"/>
        <w:bidi w:val="0"/>
        <w:spacing w:before="480" w:after="54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5"/>
        <w:keepNext/>
        <w:keepLines/>
        <w:widowControl w:val="0"/>
        <w:shd w:val="clear" w:color="auto" w:fill="auto"/>
        <w:tabs>
          <w:tab w:pos="505" w:val="left"/>
        </w:tabs>
        <w:bidi w:val="0"/>
        <w:spacing w:before="0" w:after="28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w:t>
        <w:tab/>
        <w:t>报告期内公司从事的主要业务</w:t>
      </w:r>
      <w:bookmarkEnd w:id="51"/>
      <w:bookmarkEnd w:id="52"/>
      <w:bookmarkEnd w:id="54"/>
      <w:bookmarkEnd w:id="50"/>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报告期内，公司坚定战略聚焦的发展战略，进一步整合调整公司业务群，形成了智慧城市和智慧医疗 两大核心业务群。</w:t>
      </w:r>
    </w:p>
    <w:p>
      <w:pPr>
        <w:pStyle w:val="Style34"/>
        <w:keepNext w:val="0"/>
        <w:keepLines w:val="0"/>
        <w:widowControl w:val="0"/>
        <w:shd w:val="clear" w:color="auto" w:fill="auto"/>
        <w:tabs>
          <w:tab w:pos="782" w:val="left"/>
        </w:tabs>
        <w:bidi w:val="0"/>
        <w:spacing w:before="0" w:after="0" w:line="326" w:lineRule="auto"/>
        <w:ind w:left="0" w:right="0" w:firstLine="440"/>
        <w:jc w:val="both"/>
      </w:pPr>
      <w:bookmarkStart w:id="55" w:name="bookmark55"/>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智慧城市</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报告期内，公司主营业务未发生重大变化。公司在智慧城市建设领域积累了丰富的项目经验，同时建 立了完善的营销业务体系。公司基于多年应用场景开发及案例经验，凭借工程领域</w:t>
      </w:r>
      <w:r>
        <w:rPr>
          <w:rFonts w:ascii="Times New Roman" w:eastAsia="Times New Roman" w:hAnsi="Times New Roman" w:cs="Times New Roman"/>
          <w:color w:val="000000"/>
          <w:spacing w:val="0"/>
          <w:w w:val="100"/>
          <w:position w:val="0"/>
        </w:rPr>
        <w:t>“11</w:t>
      </w:r>
      <w:r>
        <w:rPr>
          <w:color w:val="000000"/>
          <w:spacing w:val="0"/>
          <w:w w:val="100"/>
          <w:position w:val="0"/>
        </w:rPr>
        <w:t>甲</w:t>
      </w:r>
      <w:r>
        <w:rPr>
          <w:rFonts w:ascii="Times New Roman" w:eastAsia="Times New Roman" w:hAnsi="Times New Roman" w:cs="Times New Roman"/>
          <w:color w:val="000000"/>
          <w:spacing w:val="0"/>
          <w:w w:val="100"/>
          <w:position w:val="0"/>
        </w:rPr>
        <w:t>''</w:t>
      </w:r>
      <w:r>
        <w:rPr>
          <w:color w:val="000000"/>
          <w:spacing w:val="0"/>
          <w:w w:val="100"/>
          <w:position w:val="0"/>
        </w:rPr>
        <w:t>资质的业务积淀， 为业主方提供智慧城市规划、设计、咨询、工程建设、集成和运营服务。从数字转型、智能升级、安全应 急等维度来重构项目的实施逻辑；以互联网、物联网、人工智能、大数据、云计算等新一代信息技术提升 项目的精细化、智能化水平；借助应急、安全等科技手段，提升项目的抗风险能力，努力实现智慧城市的 集约高效、精准治理、安全应急和人文关怀。</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报告期内，公司设立控股子公司浙江海峡创新科技有限公司，与浙江大学韧性城市研究中心团队合作， 成立了一支韧性城市研究的队伍，以韧性安全为抓手，发展具有高效运营、智慧管理、科学防灾、韧性恢 复四位一体的现代城市运营管理体系，助力公司智慧城市板块的全面发展。</w:t>
      </w:r>
    </w:p>
    <w:p>
      <w:pPr>
        <w:pStyle w:val="Style34"/>
        <w:keepNext w:val="0"/>
        <w:keepLines w:val="0"/>
        <w:widowControl w:val="0"/>
        <w:shd w:val="clear" w:color="auto" w:fill="auto"/>
        <w:tabs>
          <w:tab w:pos="801" w:val="left"/>
        </w:tabs>
        <w:bidi w:val="0"/>
        <w:spacing w:before="0" w:after="0" w:line="326" w:lineRule="auto"/>
        <w:ind w:left="0" w:right="0" w:firstLine="440"/>
        <w:jc w:val="both"/>
      </w:pPr>
      <w:bookmarkStart w:id="56" w:name="bookmark56"/>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智慧医疗及商业</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公司控股子公司好医友互联网医院（平潭）有限公司取得互联网医院执业许可证。报告期内，公司持 续加大对智慧医疗业务的投入力度，通过合资或者业务合作的模式，多方面着手打造</w:t>
      </w:r>
      <w:r>
        <w:rPr>
          <w:rFonts w:ascii="Times New Roman" w:eastAsia="Times New Roman" w:hAnsi="Times New Roman" w:cs="Times New Roman"/>
          <w:color w:val="000000"/>
          <w:spacing w:val="0"/>
          <w:w w:val="100"/>
          <w:position w:val="0"/>
        </w:rPr>
        <w:t>“</w:t>
      </w:r>
      <w:r>
        <w:rPr>
          <w:color w:val="000000"/>
          <w:spacing w:val="0"/>
          <w:w w:val="100"/>
          <w:position w:val="0"/>
        </w:rPr>
        <w:t>中外远程医联体</w:t>
      </w:r>
      <w:r>
        <w:rPr>
          <w:color w:val="000000"/>
          <w:spacing w:val="0"/>
          <w:w w:val="100"/>
          <w:position w:val="0"/>
        </w:rPr>
        <w:t xml:space="preserve">''， </w:t>
      </w:r>
      <w:r>
        <w:rPr>
          <w:color w:val="000000"/>
          <w:spacing w:val="0"/>
          <w:w w:val="100"/>
          <w:position w:val="0"/>
        </w:rPr>
        <w:t>致力于构建线上国际远程会诊服务、线下海外就医服务、保险合作服务、医疗器械及药品代理服务为一体 的跨境医疗闭环体系。</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报告期内，疫情对公司影城板块影响较大，公司对现有项目进行了梳理和优化，持续推进降本增效举 措。</w:t>
      </w:r>
    </w:p>
    <w:p>
      <w:pPr>
        <w:pStyle w:val="Style34"/>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报告期内公司所属行业的发展阶段、周期性特点以及公司所处行业的地位，请详见第四节</w:t>
      </w:r>
      <w:r>
        <w:rPr>
          <w:rFonts w:ascii="Times New Roman" w:eastAsia="Times New Roman" w:hAnsi="Times New Roman" w:cs="Times New Roman"/>
          <w:color w:val="000000"/>
          <w:spacing w:val="0"/>
          <w:w w:val="100"/>
          <w:position w:val="0"/>
        </w:rPr>
        <w:t>“</w:t>
      </w:r>
      <w:r>
        <w:rPr>
          <w:color w:val="000000"/>
          <w:spacing w:val="0"/>
          <w:w w:val="100"/>
          <w:position w:val="0"/>
        </w:rPr>
        <w:t>经营情况 讨论与分析''之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p>
    <w:p>
      <w:pPr>
        <w:pStyle w:val="Style25"/>
        <w:keepNext/>
        <w:keepLines/>
        <w:widowControl w:val="0"/>
        <w:shd w:val="clear" w:color="auto" w:fill="auto"/>
        <w:tabs>
          <w:tab w:pos="505" w:val="left"/>
        </w:tabs>
        <w:bidi w:val="0"/>
        <w:spacing w:before="0" w:after="34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w:t>
        <w:tab/>
        <w:t>主要资产重大变化情况</w:t>
      </w:r>
      <w:bookmarkEnd w:id="57"/>
      <w:bookmarkEnd w:id="58"/>
      <w:bookmarkEnd w:id="60"/>
    </w:p>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61" w:name="bookmark6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1"/>
    </w:p>
    <w:tbl>
      <w:tblPr>
        <w:tblOverlap w:val="never"/>
        <w:jc w:val="center"/>
        <w:tblLayout w:type="fixed"/>
      </w:tblPr>
      <w:tblGrid>
        <w:gridCol w:w="1565"/>
        <w:gridCol w:w="8016"/>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34,870.56</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39.23%</w:t>
            </w:r>
            <w:r>
              <w:rPr>
                <w:color w:val="000000"/>
                <w:spacing w:val="0"/>
                <w:w w:val="100"/>
                <w:position w:val="0"/>
              </w:rPr>
              <w:t>,主要系本期其他非流动金融资产中</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w:t>
            </w:r>
            <w:r>
              <w:rPr>
                <w:color w:val="000000"/>
                <w:spacing w:val="0"/>
                <w:w w:val="100"/>
                <w:position w:val="0"/>
              </w:rPr>
              <w:t>海 润影视及交易性金融资产中微贷网的公允价值下降所致。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3,391.66</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50.53%</w:t>
            </w:r>
            <w:r>
              <w:rPr>
                <w:color w:val="000000"/>
                <w:spacing w:val="0"/>
                <w:w w:val="100"/>
                <w:position w:val="0"/>
              </w:rPr>
              <w:t>，主要系本报告期对已发生信用减值的其他应收款 计提了信用减值损失。</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29,635.44</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72.64%</w:t>
            </w:r>
            <w:r>
              <w:rPr>
                <w:color w:val="000000"/>
                <w:spacing w:val="0"/>
                <w:w w:val="100"/>
                <w:position w:val="0"/>
              </w:rPr>
              <w:t>，主要系本报告期根据新收入准则对科目列示进</w:t>
            </w:r>
          </w:p>
        </w:tc>
      </w:tr>
    </w:tbl>
    <w:p>
      <w:pPr>
        <w:spacing w:lineRule="exact" w:line="1"/>
        <w:rPr>
          <w:sz w:val="2"/>
          <w:szCs w:val="2"/>
        </w:rPr>
      </w:pPr>
      <w:r>
        <w:br w:type="page"/>
      </w:r>
    </w:p>
    <w:tbl>
      <w:tblPr>
        <w:tblOverlap w:val="never"/>
        <w:jc w:val="center"/>
        <w:tblLayout w:type="fixed"/>
      </w:tblPr>
      <w:tblGrid>
        <w:gridCol w:w="1565"/>
        <w:gridCol w:w="801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行重分类。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27,433.76</w:t>
            </w:r>
            <w:r>
              <w:rPr>
                <w:color w:val="000000"/>
                <w:spacing w:val="0"/>
                <w:w w:val="100"/>
                <w:position w:val="0"/>
              </w:rPr>
              <w:t>万元，主要系本报告期根据新收入准则对科目列示进行重分类。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 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8,872.35</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69.60%</w:t>
            </w:r>
            <w:r>
              <w:rPr>
                <w:color w:val="000000"/>
                <w:spacing w:val="0"/>
                <w:w w:val="100"/>
                <w:position w:val="0"/>
              </w:rPr>
              <w:t>，主要系本报告期内公司停止开展新的融资租赁业 务，融资租赁合同到期回款以及报告期末根据对汉鼎租赁评估结果计提减值。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5,388.79</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88.05%</w:t>
            </w:r>
            <w:r>
              <w:rPr>
                <w:color w:val="000000"/>
                <w:spacing w:val="0"/>
                <w:w w:val="100"/>
                <w:position w:val="0"/>
              </w:rPr>
              <w:t>，主要系本报告期部分融资租赁合同剩余期限小于 一年，从长期应收款转入一年内到期非流动资产，以及本报告期根据对汉鼎租赁的评估结果计提减值。</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1,893.28</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32.12%</w:t>
            </w:r>
            <w:r>
              <w:rPr>
                <w:color w:val="000000"/>
                <w:spacing w:val="0"/>
                <w:w w:val="100"/>
                <w:position w:val="0"/>
              </w:rPr>
              <w:t>，主要系本报告期末影城板块长期待摊费用根据评 估结果计提减值。</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62" w:name="bookmark6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2"/>
    </w:p>
    <w:p>
      <w:pPr>
        <w:widowControl w:val="0"/>
        <w:spacing w:after="33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917"/>
        <w:gridCol w:w="994"/>
        <w:gridCol w:w="1560"/>
        <w:gridCol w:w="782"/>
        <w:gridCol w:w="1066"/>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保障资产安全性的 控制措施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-MCAC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15,023.76 </w:t>
            </w:r>
            <w:r>
              <w:rPr>
                <w:color w:val="000000"/>
                <w:spacing w:val="0"/>
                <w:w w:val="100"/>
                <w:position w:val="0"/>
              </w:rPr>
              <w:t>万</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投资及健康 保险计划运 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密切跟踪，积极推 动投后服务，帮助 被投企业从商业模 式、市场拓展、管 理规范、再融资等 多维度降低风险。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三</w:t>
      </w:r>
      <w:bookmarkEnd w:id="65"/>
      <w:r>
        <w:rPr>
          <w:color w:val="000000"/>
          <w:spacing w:val="0"/>
          <w:w w:val="100"/>
          <w:position w:val="0"/>
          <w:sz w:val="24"/>
          <w:szCs w:val="24"/>
        </w:rPr>
        <w:t>、核心竞争力分析</w:t>
      </w:r>
      <w:bookmarkEnd w:id="63"/>
      <w:bookmarkEnd w:id="64"/>
      <w:bookmarkEnd w:id="66"/>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公司深耕智慧城市领域近</w:t>
      </w:r>
      <w:r>
        <w:rPr>
          <w:rFonts w:ascii="Times New Roman" w:eastAsia="Times New Roman" w:hAnsi="Times New Roman" w:cs="Times New Roman"/>
          <w:color w:val="000000"/>
          <w:spacing w:val="0"/>
          <w:w w:val="100"/>
          <w:position w:val="0"/>
        </w:rPr>
        <w:t>20</w:t>
      </w:r>
      <w:r>
        <w:rPr>
          <w:color w:val="000000"/>
          <w:spacing w:val="0"/>
          <w:w w:val="100"/>
          <w:position w:val="0"/>
        </w:rPr>
        <w:t>年，业务涵盖信息化和智能化的全过程，具有良好的业务资质、技术研发、 国资控股及区位等优势，同时建立了良好的品牌知名度。</w:t>
      </w:r>
    </w:p>
    <w:p>
      <w:pPr>
        <w:pStyle w:val="Style34"/>
        <w:keepNext w:val="0"/>
        <w:keepLines w:val="0"/>
        <w:widowControl w:val="0"/>
        <w:shd w:val="clear" w:color="auto" w:fill="auto"/>
        <w:tabs>
          <w:tab w:pos="759" w:val="left"/>
        </w:tabs>
        <w:bidi w:val="0"/>
        <w:spacing w:before="0" w:after="0" w:line="326" w:lineRule="auto"/>
        <w:ind w:left="0" w:right="0" w:firstLine="440"/>
        <w:jc w:val="both"/>
      </w:pPr>
      <w:bookmarkStart w:id="67" w:name="bookmark67"/>
      <w:r>
        <w:rPr>
          <w:rFonts w:ascii="Times New Roman" w:eastAsia="Times New Roman" w:hAnsi="Times New Roman" w:cs="Times New Roman"/>
          <w:color w:val="000000"/>
          <w:spacing w:val="0"/>
          <w:w w:val="100"/>
          <w:position w:val="0"/>
        </w:rPr>
        <w:t>1</w:t>
      </w:r>
      <w:bookmarkEnd w:id="67"/>
      <w:r>
        <w:rPr>
          <w:color w:val="000000"/>
          <w:spacing w:val="0"/>
          <w:w w:val="100"/>
          <w:position w:val="0"/>
        </w:rPr>
        <w:t>、</w:t>
        <w:tab/>
        <w:t>业务资质优势</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业务资质一方面代表了企业技术上的实力，同样也是一种技术壁垒。目前，公司是行业内为数不多的 拥有</w:t>
      </w:r>
      <w:r>
        <w:rPr>
          <w:rFonts w:ascii="Times New Roman" w:eastAsia="Times New Roman" w:hAnsi="Times New Roman" w:cs="Times New Roman"/>
          <w:color w:val="000000"/>
          <w:spacing w:val="0"/>
          <w:w w:val="100"/>
          <w:position w:val="0"/>
        </w:rPr>
        <w:t>11</w:t>
      </w:r>
      <w:r>
        <w:rPr>
          <w:color w:val="000000"/>
          <w:spacing w:val="0"/>
          <w:w w:val="100"/>
          <w:position w:val="0"/>
        </w:rPr>
        <w:t>项壹级或者甲级资质的企业，凭借工程领域</w:t>
      </w:r>
      <w:r>
        <w:rPr>
          <w:rFonts w:ascii="Times New Roman" w:eastAsia="Times New Roman" w:hAnsi="Times New Roman" w:cs="Times New Roman"/>
          <w:color w:val="000000"/>
          <w:spacing w:val="0"/>
          <w:w w:val="100"/>
          <w:position w:val="0"/>
        </w:rPr>
        <w:t>“11</w:t>
      </w:r>
      <w:r>
        <w:rPr>
          <w:color w:val="000000"/>
          <w:spacing w:val="0"/>
          <w:w w:val="100"/>
          <w:position w:val="0"/>
        </w:rPr>
        <w:t>甲</w:t>
      </w:r>
      <w:r>
        <w:rPr>
          <w:color w:val="000000"/>
          <w:spacing w:val="0"/>
          <w:w w:val="100"/>
          <w:position w:val="0"/>
        </w:rPr>
        <w:t>''</w:t>
      </w:r>
      <w:r>
        <w:rPr>
          <w:color w:val="000000"/>
          <w:spacing w:val="0"/>
          <w:w w:val="100"/>
          <w:position w:val="0"/>
        </w:rPr>
        <w:t>资质的积淀，如今已经成为领先的新型智慧城市 服务商，累计参建上千项智慧工程项目，项目遍布全国</w:t>
      </w:r>
      <w:r>
        <w:rPr>
          <w:rFonts w:ascii="Times New Roman" w:eastAsia="Times New Roman" w:hAnsi="Times New Roman" w:cs="Times New Roman"/>
          <w:color w:val="000000"/>
          <w:spacing w:val="0"/>
          <w:w w:val="100"/>
          <w:position w:val="0"/>
        </w:rPr>
        <w:t>30</w:t>
      </w:r>
      <w:r>
        <w:rPr>
          <w:color w:val="000000"/>
          <w:spacing w:val="0"/>
          <w:w w:val="100"/>
          <w:position w:val="0"/>
        </w:rPr>
        <w:t>余个省份，业务领域涉及智慧交通、智慧公安、 应急指挥、智慧社区和智慧文旅等行业，雄厚的资质条件为公司未来发展奠定了坚实的基础。</w:t>
      </w:r>
    </w:p>
    <w:p>
      <w:pPr>
        <w:pStyle w:val="Style34"/>
        <w:keepNext w:val="0"/>
        <w:keepLines w:val="0"/>
        <w:widowControl w:val="0"/>
        <w:shd w:val="clear" w:color="auto" w:fill="auto"/>
        <w:tabs>
          <w:tab w:pos="779" w:val="left"/>
        </w:tabs>
        <w:bidi w:val="0"/>
        <w:spacing w:before="0" w:after="0" w:line="326" w:lineRule="auto"/>
        <w:ind w:left="0" w:right="0" w:firstLine="44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技术研发优势</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公司是国家高新技术企业，在智慧城市领域精耕细作，秉承专业、创新的态度，持续加大研发投入和 技术创新。截至</w:t>
      </w:r>
      <w:r>
        <w:rPr>
          <w:rFonts w:ascii="Times New Roman" w:eastAsia="Times New Roman" w:hAnsi="Times New Roman" w:cs="Times New Roman"/>
          <w:color w:val="000000"/>
          <w:spacing w:val="0"/>
          <w:w w:val="100"/>
          <w:position w:val="0"/>
        </w:rPr>
        <w:t>2020</w:t>
      </w:r>
      <w:r>
        <w:rPr>
          <w:color w:val="000000"/>
          <w:spacing w:val="0"/>
          <w:w w:val="100"/>
          <w:position w:val="0"/>
        </w:rPr>
        <w:t>年末，公司共拥有</w:t>
      </w:r>
      <w:r>
        <w:rPr>
          <w:rFonts w:ascii="Times New Roman" w:eastAsia="Times New Roman" w:hAnsi="Times New Roman" w:cs="Times New Roman"/>
          <w:color w:val="000000"/>
          <w:spacing w:val="0"/>
          <w:w w:val="100"/>
          <w:position w:val="0"/>
        </w:rPr>
        <w:t>11</w:t>
      </w:r>
      <w:r>
        <w:rPr>
          <w:color w:val="000000"/>
          <w:spacing w:val="0"/>
          <w:w w:val="100"/>
          <w:position w:val="0"/>
        </w:rPr>
        <w:t>项发明专利、</w:t>
      </w:r>
      <w:r>
        <w:rPr>
          <w:rFonts w:ascii="Times New Roman" w:eastAsia="Times New Roman" w:hAnsi="Times New Roman" w:cs="Times New Roman"/>
          <w:color w:val="000000"/>
          <w:spacing w:val="0"/>
          <w:w w:val="100"/>
          <w:position w:val="0"/>
        </w:rPr>
        <w:t>34</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245</w:t>
      </w:r>
      <w:r>
        <w:rPr>
          <w:color w:val="000000"/>
          <w:spacing w:val="0"/>
          <w:w w:val="100"/>
          <w:position w:val="0"/>
        </w:rPr>
        <w:t xml:space="preserve">项软件著作权，并通过了 </w:t>
      </w:r>
      <w:r>
        <w:rPr>
          <w:rFonts w:ascii="Times New Roman" w:eastAsia="Times New Roman" w:hAnsi="Times New Roman" w:cs="Times New Roman"/>
          <w:color w:val="000000"/>
          <w:spacing w:val="0"/>
          <w:w w:val="100"/>
          <w:position w:val="0"/>
        </w:rPr>
        <w:t>CMMI3</w:t>
      </w:r>
      <w:r>
        <w:rPr>
          <w:color w:val="000000"/>
          <w:spacing w:val="0"/>
          <w:w w:val="100"/>
          <w:position w:val="0"/>
        </w:rPr>
        <w:t>级国际认证。公司拥有领先的技术应用和解决方案创新能力，面对行业客户的应用需求，不断创新 和完善应用解决方案，致力于为行业提供优质、可靠、成熟的软硬件产品和系统集成方案。公司持续深化 与科研院校的长期战略合作，积极开展产学研合作和上下游技术攻关。</w:t>
      </w:r>
      <w:r>
        <w:rPr>
          <w:rFonts w:ascii="Times New Roman" w:eastAsia="Times New Roman" w:hAnsi="Times New Roman" w:cs="Times New Roman"/>
          <w:color w:val="000000"/>
          <w:spacing w:val="0"/>
          <w:w w:val="100"/>
          <w:position w:val="0"/>
        </w:rPr>
        <w:t>2020</w:t>
      </w:r>
      <w:r>
        <w:rPr>
          <w:color w:val="000000"/>
          <w:spacing w:val="0"/>
          <w:w w:val="100"/>
          <w:position w:val="0"/>
        </w:rPr>
        <w:t>年，公司与浙江大学建筑工程 学院韧性城市研究中心建立了战略合作伙伴关系，在韧性城市和应急管理等方面的系统开发和应用示范进 行持续探索。</w:t>
      </w:r>
    </w:p>
    <w:p>
      <w:pPr>
        <w:pStyle w:val="Style34"/>
        <w:keepNext w:val="0"/>
        <w:keepLines w:val="0"/>
        <w:widowControl w:val="0"/>
        <w:shd w:val="clear" w:color="auto" w:fill="auto"/>
        <w:tabs>
          <w:tab w:pos="779" w:val="left"/>
        </w:tabs>
        <w:bidi w:val="0"/>
        <w:spacing w:before="0" w:after="0" w:line="326" w:lineRule="auto"/>
        <w:ind w:left="0" w:right="0" w:firstLine="440"/>
        <w:jc w:val="both"/>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w:t>
        <w:tab/>
        <w:t>生态融合优势</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公司作为一个赋能型企业，利用现有的渠道、流量等资源体系优势，发挥强大的数据和产业生态整合 能力，赋能公司产业发展。公司积极拓宽智慧城市新内涵，搭建公司智慧城市业务发展的生态系统，与国 </w:t>
      </w:r>
      <w:r>
        <w:rPr>
          <w:color w:val="000000"/>
          <w:spacing w:val="0"/>
          <w:w w:val="100"/>
          <w:position w:val="0"/>
        </w:rPr>
        <w:t>内外一流的学术研究机构及行业内领军企业开展合作，同构</w:t>
      </w:r>
      <w:r>
        <w:rPr>
          <w:rFonts w:ascii="Times New Roman" w:eastAsia="Times New Roman" w:hAnsi="Times New Roman" w:cs="Times New Roman"/>
          <w:color w:val="000000"/>
          <w:spacing w:val="0"/>
          <w:w w:val="100"/>
          <w:position w:val="0"/>
        </w:rPr>
        <w:t>“</w:t>
      </w:r>
      <w:r>
        <w:rPr>
          <w:color w:val="000000"/>
          <w:spacing w:val="0"/>
          <w:w w:val="100"/>
          <w:position w:val="0"/>
        </w:rPr>
        <w:t>共创、共建、共生、共长</w:t>
      </w:r>
      <w:r>
        <w:rPr>
          <w:rFonts w:ascii="Times New Roman" w:eastAsia="Times New Roman" w:hAnsi="Times New Roman" w:cs="Times New Roman"/>
          <w:color w:val="000000"/>
          <w:spacing w:val="0"/>
          <w:w w:val="100"/>
          <w:position w:val="0"/>
        </w:rPr>
        <w:t>''</w:t>
      </w:r>
      <w:r>
        <w:rPr>
          <w:color w:val="000000"/>
          <w:spacing w:val="0"/>
          <w:w w:val="100"/>
          <w:position w:val="0"/>
        </w:rPr>
        <w:t>的协同发展的智库 及产业生态。</w:t>
      </w:r>
    </w:p>
    <w:p>
      <w:pPr>
        <w:pStyle w:val="Style34"/>
        <w:keepNext w:val="0"/>
        <w:keepLines w:val="0"/>
        <w:widowControl w:val="0"/>
        <w:shd w:val="clear" w:color="auto" w:fill="auto"/>
        <w:bidi w:val="0"/>
        <w:spacing w:before="0" w:after="0" w:line="317" w:lineRule="auto"/>
        <w:ind w:left="0" w:right="0" w:firstLine="440"/>
        <w:jc w:val="both"/>
      </w:pPr>
      <w:bookmarkStart w:id="70" w:name="bookmark70"/>
      <w:r>
        <w:rPr>
          <w:rFonts w:ascii="Times New Roman" w:eastAsia="Times New Roman" w:hAnsi="Times New Roman" w:cs="Times New Roman"/>
          <w:color w:val="000000"/>
          <w:spacing w:val="0"/>
          <w:w w:val="100"/>
          <w:position w:val="0"/>
        </w:rPr>
        <w:t>4</w:t>
      </w:r>
      <w:bookmarkEnd w:id="70"/>
      <w:r>
        <w:rPr>
          <w:color w:val="000000"/>
          <w:spacing w:val="0"/>
          <w:w w:val="100"/>
          <w:position w:val="0"/>
        </w:rPr>
        <w:t>、国资控股及区位优势</w:t>
      </w:r>
    </w:p>
    <w:p>
      <w:pPr>
        <w:pStyle w:val="Style34"/>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426" w:right="1019" w:bottom="1512" w:left="109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日，公司注册地址迁至平潭综合实验区，平潭是</w:t>
      </w:r>
      <w:r>
        <w:rPr>
          <w:rFonts w:ascii="Times New Roman" w:eastAsia="Times New Roman" w:hAnsi="Times New Roman" w:cs="Times New Roman"/>
          <w:color w:val="000000"/>
          <w:spacing w:val="0"/>
          <w:w w:val="100"/>
          <w:position w:val="0"/>
        </w:rPr>
        <w:t>“</w:t>
      </w:r>
      <w:r>
        <w:rPr>
          <w:color w:val="000000"/>
          <w:spacing w:val="0"/>
          <w:w w:val="100"/>
          <w:position w:val="0"/>
        </w:rPr>
        <w:t>因台而设，因台而特</w:t>
      </w:r>
      <w:r>
        <w:rPr>
          <w:rFonts w:ascii="Times New Roman" w:eastAsia="Times New Roman" w:hAnsi="Times New Roman" w:cs="Times New Roman"/>
          <w:color w:val="000000"/>
          <w:spacing w:val="0"/>
          <w:w w:val="100"/>
          <w:position w:val="0"/>
        </w:rPr>
        <w:t>''</w:t>
      </w:r>
      <w:r>
        <w:rPr>
          <w:color w:val="000000"/>
          <w:spacing w:val="0"/>
          <w:w w:val="100"/>
          <w:position w:val="0"/>
        </w:rPr>
        <w:t>的国家级综合实验 区，而公司作为目前平潭国资控股的唯一一家上市公司，是平潭产业发展战略的重要实施平台，也是落实 承接两岸融合国家战略目标的重要战略平台。作为新型智慧城市服务商，未来公司将紧抓平潭</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 划的发展机遇，以新基建、数字经济等战略新兴产业为重要载体，积极参与平潭全域</w:t>
      </w:r>
      <w:r>
        <w:rPr>
          <w:rFonts w:ascii="Times New Roman" w:eastAsia="Times New Roman" w:hAnsi="Times New Roman" w:cs="Times New Roman"/>
          <w:color w:val="000000"/>
          <w:spacing w:val="0"/>
          <w:w w:val="100"/>
          <w:position w:val="0"/>
        </w:rPr>
        <w:t>5G</w:t>
      </w:r>
      <w:r>
        <w:rPr>
          <w:color w:val="000000"/>
          <w:spacing w:val="0"/>
          <w:w w:val="100"/>
          <w:position w:val="0"/>
        </w:rPr>
        <w:t>建设、新型智慧岛、 国际旅游岛、国际医美健康岛、国家离岸数据中心、云计算专区与信息保税港等项目建设，助力平潭打造 两岸数字经济融合发展示范区。</w:t>
      </w:r>
    </w:p>
    <w:p>
      <w:pPr>
        <w:pStyle w:val="Style16"/>
        <w:keepNext/>
        <w:keepLines/>
        <w:widowControl w:val="0"/>
        <w:shd w:val="clear" w:color="auto" w:fill="auto"/>
        <w:bidi w:val="0"/>
        <w:spacing w:before="580" w:after="520" w:line="240" w:lineRule="auto"/>
        <w:ind w:left="0" w:right="0" w:firstLine="0"/>
        <w:jc w:val="center"/>
      </w:pPr>
      <w:bookmarkStart w:id="71" w:name="bookmark71"/>
      <w:bookmarkStart w:id="72" w:name="bookmark72"/>
      <w:bookmarkStart w:id="73" w:name="bookmark73"/>
      <w:r>
        <w:rPr>
          <w:color w:val="000000"/>
          <w:spacing w:val="0"/>
          <w:w w:val="100"/>
          <w:position w:val="0"/>
        </w:rPr>
        <w:t>第四节经营情况讨论与分析</w:t>
      </w:r>
      <w:bookmarkEnd w:id="71"/>
      <w:bookmarkEnd w:id="72"/>
      <w:bookmarkEnd w:id="73"/>
    </w:p>
    <w:p>
      <w:pPr>
        <w:pStyle w:val="Style25"/>
        <w:keepNext/>
        <w:keepLines/>
        <w:widowControl w:val="0"/>
        <w:shd w:val="clear" w:color="auto" w:fill="auto"/>
        <w:bidi w:val="0"/>
        <w:spacing w:before="0" w:after="280" w:line="240" w:lineRule="auto"/>
        <w:ind w:left="0" w:right="0" w:firstLine="0"/>
        <w:jc w:val="both"/>
      </w:pPr>
      <w:bookmarkStart w:id="74" w:name="bookmark74"/>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、概述</w:t>
      </w:r>
      <w:bookmarkEnd w:id="75"/>
      <w:bookmarkEnd w:id="76"/>
      <w:bookmarkEnd w:id="78"/>
      <w:bookmarkEnd w:id="74"/>
    </w:p>
    <w:p>
      <w:pPr>
        <w:pStyle w:val="Style3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年，新冠肺炎疫情在全球范围持续爆发，国内外经济形势复杂多变，报告期内公司聚焦主业，从 业务发展、内控管理、绩效改革等多方面入手，应对挑战，稳健经营。公司深耕智慧城市，依托智能技术 提升运营能力，围绕新城市运营发展新战略，导入智慧城市生态运用；同时公司持续推进智慧医疗业务发 展，通过整合卫生信息资源和各级卫生系统，利用先进的物联网技术搭建互联网医院平台，打造基于互联 网和大数据驱动的跨境医疗闭环体系。</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纵观全年，公司影院板块营业收入降幅较大，融资租赁未开展新的业务，部分投资项目不及预期。</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3.54</w:t>
      </w:r>
      <w:r>
        <w:rPr>
          <w:color w:val="000000"/>
          <w:spacing w:val="0"/>
          <w:w w:val="100"/>
          <w:position w:val="0"/>
        </w:rPr>
        <w:t>亿元，同比下降</w:t>
      </w:r>
      <w:r>
        <w:rPr>
          <w:rFonts w:ascii="Times New Roman" w:eastAsia="Times New Roman" w:hAnsi="Times New Roman" w:cs="Times New Roman"/>
          <w:color w:val="000000"/>
          <w:spacing w:val="0"/>
          <w:w w:val="100"/>
          <w:position w:val="0"/>
        </w:rPr>
        <w:t>21.69%</w:t>
      </w:r>
      <w:r>
        <w:rPr>
          <w:color w:val="000000"/>
          <w:spacing w:val="0"/>
          <w:w w:val="100"/>
          <w:position w:val="0"/>
        </w:rPr>
        <w:t>,实现扣除非经常性损益后归属于上市公司股东的净利 润</w:t>
      </w:r>
      <w:r>
        <w:rPr>
          <w:rFonts w:ascii="Times New Roman" w:eastAsia="Times New Roman" w:hAnsi="Times New Roman" w:cs="Times New Roman"/>
          <w:color w:val="000000"/>
          <w:spacing w:val="0"/>
          <w:w w:val="100"/>
          <w:position w:val="0"/>
        </w:rPr>
        <w:t>-2.88</w:t>
      </w:r>
      <w:r>
        <w:rPr>
          <w:color w:val="000000"/>
          <w:spacing w:val="0"/>
          <w:w w:val="100"/>
          <w:position w:val="0"/>
        </w:rPr>
        <w:t>亿元，同比上升</w:t>
      </w:r>
      <w:r>
        <w:rPr>
          <w:rFonts w:ascii="Times New Roman" w:eastAsia="Times New Roman" w:hAnsi="Times New Roman" w:cs="Times New Roman"/>
          <w:color w:val="000000"/>
          <w:spacing w:val="0"/>
          <w:w w:val="100"/>
          <w:position w:val="0"/>
        </w:rPr>
        <w:t>67.64%</w:t>
      </w:r>
      <w:r>
        <w:rPr>
          <w:color w:val="000000"/>
          <w:spacing w:val="0"/>
          <w:w w:val="100"/>
          <w:position w:val="0"/>
        </w:rPr>
        <w:t>。这其中既有公司发展战略转型的主观因素，也有疫情带来的客观影响。</w:t>
      </w:r>
    </w:p>
    <w:p>
      <w:pPr>
        <w:pStyle w:val="Style34"/>
        <w:keepNext w:val="0"/>
        <w:keepLines w:val="0"/>
        <w:widowControl w:val="0"/>
        <w:shd w:val="clear" w:color="auto" w:fill="auto"/>
        <w:tabs>
          <w:tab w:pos="757" w:val="left"/>
        </w:tabs>
        <w:bidi w:val="0"/>
        <w:spacing w:before="0" w:after="0" w:line="312" w:lineRule="exact"/>
        <w:ind w:left="0" w:right="0" w:firstLine="44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智慧城市</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智慧城市是公司十余年积淀的核心业务板块。公司在智慧城市建设领域积累了丰富的项目经验，同时 建立了完善的营销业务体系。公司基于多年应用场景开发及案例经验，凭借工程领域</w:t>
      </w:r>
      <w:r>
        <w:rPr>
          <w:rFonts w:ascii="Times New Roman" w:eastAsia="Times New Roman" w:hAnsi="Times New Roman" w:cs="Times New Roman"/>
          <w:color w:val="000000"/>
          <w:spacing w:val="0"/>
          <w:w w:val="100"/>
          <w:position w:val="0"/>
        </w:rPr>
        <w:t>“11</w:t>
      </w:r>
      <w:r>
        <w:rPr>
          <w:color w:val="000000"/>
          <w:spacing w:val="0"/>
          <w:w w:val="100"/>
          <w:position w:val="0"/>
        </w:rPr>
        <w:t>甲</w:t>
      </w:r>
      <w:r>
        <w:rPr>
          <w:rFonts w:ascii="Times New Roman" w:eastAsia="Times New Roman" w:hAnsi="Times New Roman" w:cs="Times New Roman"/>
          <w:color w:val="000000"/>
          <w:spacing w:val="0"/>
          <w:w w:val="100"/>
          <w:position w:val="0"/>
        </w:rPr>
        <w:t>''</w:t>
      </w:r>
      <w:r>
        <w:rPr>
          <w:color w:val="000000"/>
          <w:spacing w:val="0"/>
          <w:w w:val="100"/>
          <w:position w:val="0"/>
        </w:rPr>
        <w:t>资质的业务积 淀，为业主方提供智慧城市规划、设计、咨询、工程建设、集成和运营服务。从数字转型、智能升级、安 全应急等维度来重构项目的实施逻辑；以互联网、物联网、人工智能、大数据、云计算等新一代信息技术 提升项目的精细化、智能化水平；借助应急、安全等科技手段，提升项目的抗风险能力，努力实现智慧城 市的集约高效、精准治理、安全应急和人文关怀，让城市更聪明，让人民生活更便捷。</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报告期内，公司抓住新基建、数字经济的战略性新兴产业发展契机，持续强化落实智慧城市发展新战 略，加强科技赋能，加快公司的核心技术产品创新，以</w:t>
      </w:r>
      <w:r>
        <w:rPr>
          <w:rFonts w:ascii="Times New Roman" w:eastAsia="Times New Roman" w:hAnsi="Times New Roman" w:cs="Times New Roman"/>
          <w:color w:val="000000"/>
          <w:spacing w:val="0"/>
          <w:w w:val="100"/>
          <w:position w:val="0"/>
        </w:rPr>
        <w:t>“</w:t>
      </w:r>
      <w:r>
        <w:rPr>
          <w:color w:val="000000"/>
          <w:spacing w:val="0"/>
          <w:w w:val="100"/>
          <w:position w:val="0"/>
        </w:rPr>
        <w:t>保存量、促增量、强核心''为业务发展目标，改善 优化智慧城市业务结构，积极拓宽智慧城市新的内涵，增加公司的自营项目比例及开拓高技术含量和毛利 率的业务板块，为城市运行效率、韧性安全等方面提供综合解决方案。</w:t>
      </w:r>
      <w:r>
        <w:rPr>
          <w:rFonts w:ascii="Times New Roman" w:eastAsia="Times New Roman" w:hAnsi="Times New Roman" w:cs="Times New Roman"/>
          <w:color w:val="000000"/>
          <w:spacing w:val="0"/>
          <w:w w:val="100"/>
          <w:position w:val="0"/>
        </w:rPr>
        <w:t>2020</w:t>
      </w:r>
      <w:r>
        <w:rPr>
          <w:color w:val="000000"/>
          <w:spacing w:val="0"/>
          <w:w w:val="100"/>
          <w:position w:val="0"/>
        </w:rPr>
        <w:t>年第四季度公司整体新增订单 有一定增长，为进入智慧城市高速发展期积势蓄力。</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报告期内，公司拓展智慧交通、智慧政务、智慧公安、智慧文旅、智慧应急、智慧教育、智慧社区、 大数据中心等领域，与高等院校、国家级研究院展开合作研究，提升行业影响力。与浙江大学建筑工程学 院签订韧性城市战略合作协议，将韧性应急技术积极运用于智慧城市项目实施，发展具有高效运营、智慧 管理、科学防灾、韧性恢复四位一体的现代城市运营管理体系，打造全国韧性城市信息化行业的综合解决 方案。</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公司持续深化全方位合作伙伴关系，搭建公司智慧城市业务发展的生态系统，与大型央企、行业领军 企业签订战略合作协议，旨在依托各自在行业发展和智慧城市项目建设上的经验，通过优势互补，整合赋 能，实现资源共享、合作共赢。</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作为平潭综合实验区区属国企首家控股的上市公司，报告期内公司与平潭综合实验区智慧岛投资发展 有限公司达成了战略合作意向。双方达成智慧城市在建、改扩建、新建项目及新基建项目进行合作的初步 约定,在平潭</w:t>
      </w:r>
      <w:r>
        <w:rPr>
          <w:rFonts w:ascii="Times New Roman" w:eastAsia="Times New Roman" w:hAnsi="Times New Roman" w:cs="Times New Roman"/>
          <w:color w:val="000000"/>
          <w:spacing w:val="0"/>
          <w:w w:val="100"/>
          <w:position w:val="0"/>
        </w:rPr>
        <w:t>“</w:t>
      </w:r>
      <w:r>
        <w:rPr>
          <w:color w:val="000000"/>
          <w:spacing w:val="0"/>
          <w:w w:val="100"/>
          <w:position w:val="0"/>
        </w:rPr>
        <w:t>国际旅游岛</w:t>
      </w:r>
      <w:r>
        <w:rPr>
          <w:color w:val="000000"/>
          <w:spacing w:val="0"/>
          <w:w w:val="100"/>
          <w:position w:val="0"/>
        </w:rPr>
        <w:t>''</w:t>
      </w:r>
      <w:r>
        <w:rPr>
          <w:color w:val="000000"/>
          <w:spacing w:val="0"/>
          <w:w w:val="100"/>
          <w:position w:val="0"/>
        </w:rPr>
        <w:t>城市建设发展的背景下,进一步推进双方在产业资源和技术优势方面强强联合、 优势互补。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日，公司经营注册地址由浙江省杭州市下城区变更至福建省平潭综合实验区。平 潭综合实验区是全国唯一具备</w:t>
      </w:r>
      <w:r>
        <w:rPr>
          <w:rFonts w:ascii="Times New Roman" w:eastAsia="Times New Roman" w:hAnsi="Times New Roman" w:cs="Times New Roman"/>
          <w:color w:val="000000"/>
          <w:spacing w:val="0"/>
          <w:w w:val="100"/>
          <w:position w:val="0"/>
        </w:rPr>
        <w:t>“</w:t>
      </w:r>
      <w:r>
        <w:rPr>
          <w:color w:val="000000"/>
          <w:spacing w:val="0"/>
          <w:w w:val="100"/>
          <w:position w:val="0"/>
        </w:rPr>
        <w:t>综合实验区</w:t>
      </w:r>
      <w:r>
        <w:rPr>
          <w:rFonts w:ascii="Times New Roman" w:eastAsia="Times New Roman" w:hAnsi="Times New Roman" w:cs="Times New Roman"/>
          <w:color w:val="000000"/>
          <w:spacing w:val="0"/>
          <w:w w:val="100"/>
          <w:position w:val="0"/>
        </w:rPr>
        <w:t>+</w:t>
      </w:r>
      <w:r>
        <w:rPr>
          <w:color w:val="000000"/>
          <w:spacing w:val="0"/>
          <w:w w:val="100"/>
          <w:position w:val="0"/>
        </w:rPr>
        <w:t>自由贸易试验区</w:t>
      </w:r>
      <w:r>
        <w:rPr>
          <w:rFonts w:ascii="Times New Roman" w:eastAsia="Times New Roman" w:hAnsi="Times New Roman" w:cs="Times New Roman"/>
          <w:color w:val="000000"/>
          <w:spacing w:val="0"/>
          <w:w w:val="100"/>
          <w:position w:val="0"/>
        </w:rPr>
        <w:t>+</w:t>
      </w:r>
      <w:r>
        <w:rPr>
          <w:color w:val="000000"/>
          <w:spacing w:val="0"/>
          <w:w w:val="100"/>
          <w:position w:val="0"/>
        </w:rPr>
        <w:t>国际旅游岛</w:t>
      </w:r>
      <w:r>
        <w:rPr>
          <w:color w:val="000000"/>
          <w:spacing w:val="0"/>
          <w:w w:val="100"/>
          <w:position w:val="0"/>
        </w:rPr>
        <w:t>''</w:t>
      </w:r>
      <w:r>
        <w:rPr>
          <w:color w:val="000000"/>
          <w:spacing w:val="0"/>
          <w:w w:val="100"/>
          <w:position w:val="0"/>
        </w:rPr>
        <w:t>三区叠加优势的地区，凭借</w:t>
      </w:r>
      <w:r>
        <w:rPr>
          <w:rFonts w:ascii="Times New Roman" w:eastAsia="Times New Roman" w:hAnsi="Times New Roman" w:cs="Times New Roman"/>
          <w:color w:val="000000"/>
          <w:spacing w:val="0"/>
          <w:w w:val="100"/>
          <w:position w:val="0"/>
        </w:rPr>
        <w:t>“</w:t>
      </w:r>
      <w:r>
        <w:rPr>
          <w:color w:val="000000"/>
          <w:spacing w:val="0"/>
          <w:w w:val="100"/>
          <w:position w:val="0"/>
        </w:rPr>
        <w:t>一 岛两窗三区</w:t>
      </w:r>
      <w:r>
        <w:rPr>
          <w:color w:val="000000"/>
          <w:spacing w:val="0"/>
          <w:w w:val="100"/>
          <w:position w:val="0"/>
        </w:rPr>
        <w:t>''</w:t>
      </w:r>
      <w:r>
        <w:rPr>
          <w:color w:val="000000"/>
          <w:spacing w:val="0"/>
          <w:w w:val="100"/>
          <w:position w:val="0"/>
        </w:rPr>
        <w:t>的战略定位，正全力打造台胞台企登陆第一家园的</w:t>
      </w:r>
      <w:r>
        <w:rPr>
          <w:rFonts w:ascii="Times New Roman" w:eastAsia="Times New Roman" w:hAnsi="Times New Roman" w:cs="Times New Roman"/>
          <w:color w:val="000000"/>
          <w:spacing w:val="0"/>
          <w:w w:val="100"/>
          <w:position w:val="0"/>
        </w:rPr>
        <w:t>“</w:t>
      </w:r>
      <w:r>
        <w:rPr>
          <w:color w:val="000000"/>
          <w:spacing w:val="0"/>
          <w:w w:val="100"/>
          <w:position w:val="0"/>
        </w:rPr>
        <w:t>桥头堡''和台湾同胞</w:t>
      </w:r>
      <w:r>
        <w:rPr>
          <w:rFonts w:ascii="Times New Roman" w:eastAsia="Times New Roman" w:hAnsi="Times New Roman" w:cs="Times New Roman"/>
          <w:color w:val="000000"/>
          <w:spacing w:val="0"/>
          <w:w w:val="100"/>
          <w:position w:val="0"/>
        </w:rPr>
        <w:t>“</w:t>
      </w:r>
      <w:r>
        <w:rPr>
          <w:color w:val="000000"/>
          <w:spacing w:val="0"/>
          <w:w w:val="100"/>
          <w:position w:val="0"/>
        </w:rPr>
        <w:t>第二生活圈未来, 公司将抓住平潭综合实验区</w:t>
      </w:r>
      <w:r>
        <w:rPr>
          <w:rFonts w:ascii="Times New Roman" w:eastAsia="Times New Roman" w:hAnsi="Times New Roman" w:cs="Times New Roman"/>
          <w:color w:val="000000"/>
          <w:spacing w:val="0"/>
          <w:w w:val="100"/>
          <w:position w:val="0"/>
        </w:rPr>
        <w:t>“</w:t>
      </w:r>
      <w:r>
        <w:rPr>
          <w:color w:val="000000"/>
          <w:spacing w:val="0"/>
          <w:w w:val="100"/>
          <w:position w:val="0"/>
        </w:rPr>
        <w:t>十四五''规划的发展机遇，积极参与平潭全域</w:t>
      </w:r>
      <w:r>
        <w:rPr>
          <w:rFonts w:ascii="Times New Roman" w:eastAsia="Times New Roman" w:hAnsi="Times New Roman" w:cs="Times New Roman"/>
          <w:color w:val="000000"/>
          <w:spacing w:val="0"/>
          <w:w w:val="100"/>
          <w:position w:val="0"/>
        </w:rPr>
        <w:t>5G</w:t>
      </w:r>
      <w:r>
        <w:rPr>
          <w:color w:val="000000"/>
          <w:spacing w:val="0"/>
          <w:w w:val="100"/>
          <w:position w:val="0"/>
        </w:rPr>
        <w:t>建设、新型智慧岛、国际旅游 岛、国家离岸数据中心、云计算专区与信息保税港等项目建设，助力平潭打造两岸数字经济融合发展示范 区，成为平潭对台融合工作的中流砥柱和生力军。</w:t>
      </w:r>
    </w:p>
    <w:p>
      <w:pPr>
        <w:pStyle w:val="Style34"/>
        <w:keepNext w:val="0"/>
        <w:keepLines w:val="0"/>
        <w:widowControl w:val="0"/>
        <w:shd w:val="clear" w:color="auto" w:fill="auto"/>
        <w:tabs>
          <w:tab w:pos="757" w:val="left"/>
        </w:tabs>
        <w:bidi w:val="0"/>
        <w:spacing w:before="0" w:after="280" w:line="312" w:lineRule="exact"/>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智慧医疗</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智慧医疗是公司未来跨越式发展的加速器。在福建省加快推进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示范省建设的契机 下，公司成立好医友互联网医院（平潭）有限公司，并于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日取得医疗机构执业许可证，这也是 福建省第二家由第三方独立申办的互联网医院，将为公司打通</w:t>
      </w:r>
      <w:r>
        <w:rPr>
          <w:rFonts w:ascii="Times New Roman" w:eastAsia="Times New Roman" w:hAnsi="Times New Roman" w:cs="Times New Roman"/>
          <w:color w:val="000000"/>
          <w:spacing w:val="0"/>
          <w:w w:val="100"/>
          <w:position w:val="0"/>
        </w:rPr>
        <w:t>“</w:t>
      </w:r>
      <w:r>
        <w:rPr>
          <w:color w:val="000000"/>
          <w:spacing w:val="0"/>
          <w:w w:val="100"/>
          <w:position w:val="0"/>
        </w:rPr>
        <w:t>医</w:t>
      </w:r>
      <w:r>
        <w:rPr>
          <w:rFonts w:ascii="Times New Roman" w:eastAsia="Times New Roman" w:hAnsi="Times New Roman" w:cs="Times New Roman"/>
          <w:color w:val="000000"/>
          <w:spacing w:val="0"/>
          <w:w w:val="100"/>
          <w:position w:val="0"/>
        </w:rPr>
        <w:t>+</w:t>
      </w:r>
      <w:r>
        <w:rPr>
          <w:color w:val="000000"/>
          <w:spacing w:val="0"/>
          <w:w w:val="100"/>
          <w:position w:val="0"/>
        </w:rPr>
        <w:t>药</w:t>
      </w:r>
      <w:r>
        <w:rPr>
          <w:rFonts w:ascii="Times New Roman" w:eastAsia="Times New Roman" w:hAnsi="Times New Roman" w:cs="Times New Roman"/>
          <w:color w:val="000000"/>
          <w:spacing w:val="0"/>
          <w:w w:val="100"/>
          <w:position w:val="0"/>
        </w:rPr>
        <w:t>+</w:t>
      </w:r>
      <w:r>
        <w:rPr>
          <w:color w:val="000000"/>
          <w:spacing w:val="0"/>
          <w:w w:val="100"/>
          <w:position w:val="0"/>
        </w:rPr>
        <w:t>保</w:t>
      </w:r>
      <w:r>
        <w:rPr>
          <w:rFonts w:ascii="Times New Roman" w:eastAsia="Times New Roman" w:hAnsi="Times New Roman" w:cs="Times New Roman"/>
          <w:color w:val="000000"/>
          <w:spacing w:val="0"/>
          <w:w w:val="100"/>
          <w:position w:val="0"/>
        </w:rPr>
        <w:t>''</w:t>
      </w:r>
      <w:r>
        <w:rPr>
          <w:color w:val="000000"/>
          <w:spacing w:val="0"/>
          <w:w w:val="100"/>
          <w:position w:val="0"/>
        </w:rPr>
        <w:t>的医疗健康生态闭环打下坚实基 础。</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报告期内，公司取得特拉维夫医疗中心在中国的经营权，最大程度使用以色列公立医院资源；同时推 动成立伊奇洛夫创新国际合资公司，通过整合及利用远程会诊平台和互联网医院两大平台优势，加快促成 合资公司在品牌授权、医师培训、中以远程会诊</w:t>
      </w:r>
      <w:r>
        <w:rPr>
          <w:rFonts w:ascii="Times New Roman" w:eastAsia="Times New Roman" w:hAnsi="Times New Roman" w:cs="Times New Roman"/>
          <w:color w:val="000000"/>
          <w:spacing w:val="0"/>
          <w:w w:val="100"/>
          <w:position w:val="0"/>
        </w:rPr>
        <w:t>3</w:t>
      </w:r>
      <w:r>
        <w:rPr>
          <w:color w:val="000000"/>
          <w:spacing w:val="0"/>
          <w:w w:val="100"/>
          <w:position w:val="0"/>
        </w:rPr>
        <w:t>个方面与公司互联网医院的合作落地，有效推进中以双 方的国际医疗合作，进一步打造医疗行业专业技术壁垒，完善智慧医疗产业链布局。</w:t>
      </w:r>
    </w:p>
    <w:p>
      <w:pPr>
        <w:pStyle w:val="Style34"/>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平潭综合实验区作为全国首批健康旅游示范基地，智慧医疗前景广阔。公司将充分利用平潭的特殊区 位优势，探索台医入驻互联网医院新模式，解决台胞生活就医问题，整合海峡两岸优质医疗资源，助力医 疗服务创新，推行</w:t>
      </w:r>
      <w:r>
        <w:rPr>
          <w:rFonts w:ascii="Times New Roman" w:eastAsia="Times New Roman" w:hAnsi="Times New Roman" w:cs="Times New Roman"/>
          <w:color w:val="000000"/>
          <w:spacing w:val="0"/>
          <w:w w:val="100"/>
          <w:position w:val="0"/>
        </w:rPr>
        <w:t>“</w:t>
      </w:r>
      <w:r>
        <w:rPr>
          <w:color w:val="000000"/>
          <w:spacing w:val="0"/>
          <w:w w:val="100"/>
          <w:position w:val="0"/>
        </w:rPr>
        <w:t>以医促融，服务先行</w:t>
      </w:r>
      <w:r>
        <w:rPr>
          <w:rFonts w:ascii="Times New Roman" w:eastAsia="Times New Roman" w:hAnsi="Times New Roman" w:cs="Times New Roman"/>
          <w:color w:val="000000"/>
          <w:spacing w:val="0"/>
          <w:w w:val="100"/>
          <w:position w:val="0"/>
        </w:rPr>
        <w:t>''</w:t>
      </w:r>
      <w:r>
        <w:rPr>
          <w:color w:val="000000"/>
          <w:spacing w:val="0"/>
          <w:w w:val="100"/>
          <w:position w:val="0"/>
        </w:rPr>
        <w:t>的理念，积极推动海峡两岸以通促融、以惠促融、以情促融，不 断深化两岸关系和平发展、融合发展。同时，公司将抓住平潭</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规划的发展机遇，积极探索慢病康 养和医美产业的应用，助力平潭打造高端医疗集聚区和国际医美健康岛，为平潭乃至福建、两岸、全国人 民的健康保驾护航。</w:t>
      </w:r>
    </w:p>
    <w:p>
      <w:pPr>
        <w:pStyle w:val="Style34"/>
        <w:keepNext w:val="0"/>
        <w:keepLines w:val="0"/>
        <w:widowControl w:val="0"/>
        <w:shd w:val="clear" w:color="auto" w:fill="auto"/>
        <w:tabs>
          <w:tab w:pos="786" w:val="left"/>
        </w:tabs>
        <w:bidi w:val="0"/>
        <w:spacing w:before="0" w:after="0" w:line="326" w:lineRule="auto"/>
        <w:ind w:left="0" w:right="0" w:firstLine="46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影城板块</w:t>
      </w:r>
    </w:p>
    <w:p>
      <w:pPr>
        <w:pStyle w:val="Style34"/>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公司下属公司杭州海峡创新互动娱乐管理有限公司拥有</w:t>
      </w:r>
      <w:r>
        <w:rPr>
          <w:rFonts w:ascii="Times New Roman" w:eastAsia="Times New Roman" w:hAnsi="Times New Roman" w:cs="Times New Roman"/>
          <w:color w:val="000000"/>
          <w:spacing w:val="0"/>
          <w:w w:val="100"/>
          <w:position w:val="0"/>
        </w:rPr>
        <w:t>15</w:t>
      </w:r>
      <w:r>
        <w:rPr>
          <w:color w:val="000000"/>
          <w:spacing w:val="0"/>
          <w:w w:val="100"/>
          <w:position w:val="0"/>
        </w:rPr>
        <w:t>家自营影城，受疫情停业政策影响，影城板 块业绩不及预期。报告期内，公司对自营影城现有项目进行了梳理和优化，通过免租减租政策申请，管理 成本压缩及商务开拓等一系列经营措施最大限度减少了停业损失。</w:t>
      </w:r>
    </w:p>
    <w:p>
      <w:pPr>
        <w:pStyle w:val="Style34"/>
        <w:keepNext w:val="0"/>
        <w:keepLines w:val="0"/>
        <w:widowControl w:val="0"/>
        <w:shd w:val="clear" w:color="auto" w:fill="auto"/>
        <w:tabs>
          <w:tab w:pos="786" w:val="left"/>
        </w:tabs>
        <w:bidi w:val="0"/>
        <w:spacing w:before="0" w:after="0" w:line="326" w:lineRule="auto"/>
        <w:ind w:left="0" w:right="0" w:firstLine="460"/>
        <w:jc w:val="both"/>
      </w:pPr>
      <w:bookmarkStart w:id="82" w:name="bookmark82"/>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t>投资领域</w:t>
      </w:r>
    </w:p>
    <w:p>
      <w:pPr>
        <w:pStyle w:val="Style34"/>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 xml:space="preserve">公司旗下投资参股公司包括微贷网＞ </w:t>
      </w:r>
      <w:r>
        <w:rPr>
          <w:rFonts w:ascii="Times New Roman" w:eastAsia="Times New Roman" w:hAnsi="Times New Roman" w:cs="Times New Roman"/>
          <w:color w:val="000000"/>
          <w:spacing w:val="0"/>
          <w:w w:val="100"/>
          <w:position w:val="0"/>
        </w:rPr>
        <w:t>Aurora Mobile Ltd.</w:t>
      </w:r>
      <w:r>
        <w:rPr>
          <w:color w:val="000000"/>
          <w:spacing w:val="0"/>
          <w:w w:val="100"/>
          <w:position w:val="0"/>
        </w:rPr>
        <w:t>（极光大数据）、蜂助手股份有限公司、</w:t>
      </w:r>
      <w:r>
        <w:rPr>
          <w:rFonts w:ascii="Times New Roman" w:eastAsia="Times New Roman" w:hAnsi="Times New Roman" w:cs="Times New Roman"/>
          <w:color w:val="000000"/>
          <w:spacing w:val="0"/>
          <w:w w:val="100"/>
          <w:position w:val="0"/>
        </w:rPr>
        <w:t>Xynomic Pharmaceuticals Holdings,Inc.</w:t>
      </w:r>
      <w:r>
        <w:rPr>
          <w:color w:val="000000"/>
          <w:spacing w:val="0"/>
          <w:w w:val="100"/>
          <w:position w:val="0"/>
        </w:rPr>
        <w:t>（徐诺药业）、</w:t>
      </w:r>
      <w:r>
        <w:rPr>
          <w:rFonts w:ascii="Times New Roman" w:eastAsia="Times New Roman" w:hAnsi="Times New Roman" w:cs="Times New Roman"/>
          <w:color w:val="000000"/>
          <w:spacing w:val="0"/>
          <w:w w:val="100"/>
          <w:position w:val="0"/>
        </w:rPr>
        <w:t>MacArthur Court Acquisition Corp.</w:t>
      </w:r>
      <w:r>
        <w:rPr>
          <w:color w:val="000000"/>
          <w:spacing w:val="0"/>
          <w:w w:val="100"/>
          <w:position w:val="0"/>
        </w:rPr>
        <w:t>等公司。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日蜂 助手在创业板提交</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申请。报告期内，公司退出了浙江搜道网络技术有限公司、浙江大数据交易中心有 限公司项目，通过二级市场减持了极光大数据股权获得了一定投资收益。报告期内，参股公司微贷网停止 网贷业务，由于其股价下跌，产生公允价值变动损失。截至期末，公司持有的</w:t>
      </w:r>
      <w:r>
        <w:rPr>
          <w:rFonts w:ascii="Times New Roman" w:eastAsia="Times New Roman" w:hAnsi="Times New Roman" w:cs="Times New Roman"/>
          <w:color w:val="000000"/>
          <w:spacing w:val="0"/>
          <w:w w:val="100"/>
          <w:position w:val="0"/>
        </w:rPr>
        <w:t>MacArthur Court Acquisition Corp.</w:t>
      </w:r>
      <w:r>
        <w:rPr>
          <w:color w:val="000000"/>
          <w:spacing w:val="0"/>
          <w:w w:val="100"/>
          <w:position w:val="0"/>
        </w:rPr>
        <w:t>及海润影视制作有限公司公允价值较年初下降。</w:t>
      </w:r>
    </w:p>
    <w:p>
      <w:pPr>
        <w:pStyle w:val="Style25"/>
        <w:keepNext/>
        <w:keepLines/>
        <w:widowControl w:val="0"/>
        <w:shd w:val="clear" w:color="auto" w:fill="auto"/>
        <w:bidi w:val="0"/>
        <w:spacing w:before="0" w:after="38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、主营业务分析</w:t>
      </w:r>
      <w:bookmarkEnd w:id="83"/>
      <w:bookmarkEnd w:id="84"/>
      <w:bookmarkEnd w:id="86"/>
    </w:p>
    <w:p>
      <w:pPr>
        <w:pStyle w:val="Style31"/>
        <w:keepNext/>
        <w:keepLines/>
        <w:widowControl w:val="0"/>
        <w:shd w:val="clear" w:color="auto" w:fill="auto"/>
        <w:tabs>
          <w:tab w:pos="321" w:val="left"/>
        </w:tabs>
        <w:bidi w:val="0"/>
        <w:spacing w:before="0" w:after="320" w:line="326"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概述</w:t>
      </w:r>
      <w:bookmarkEnd w:id="87"/>
      <w:bookmarkEnd w:id="88"/>
      <w:bookmarkEnd w:id="9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31" w:val="left"/>
        </w:tabs>
        <w:bidi w:val="0"/>
        <w:spacing w:before="0" w:after="200" w:line="326"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w:t>
        <w:tab/>
        <w:t>收入与成本</w:t>
      </w:r>
      <w:bookmarkEnd w:id="91"/>
      <w:bookmarkEnd w:id="92"/>
      <w:bookmarkEnd w:id="94"/>
    </w:p>
    <w:p>
      <w:pPr>
        <w:pStyle w:val="Style44"/>
        <w:keepNext/>
        <w:keepLines/>
        <w:widowControl w:val="0"/>
        <w:shd w:val="clear" w:color="auto" w:fill="auto"/>
        <w:bidi w:val="0"/>
        <w:spacing w:before="0" w:line="312" w:lineRule="exact"/>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5"/>
      <w:bookmarkEnd w:id="96"/>
      <w:bookmarkEnd w:id="98"/>
    </w:p>
    <w:p>
      <w:pPr>
        <w:pStyle w:val="Style3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451,533,912.02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智慧城市与金融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296,311,162.02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328,374,746.45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智慧医疗与商业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57,287,676.29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123,159,165.57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智慧城市与金融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296,311,162.02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328,374,746.45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智慧医疗与商业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57,287,676.29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123,159,165.57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352,931,649.74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446,721,188.91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667,188.57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4,812,723.11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w:t>
            </w:r>
          </w:p>
        </w:tc>
      </w:tr>
    </w:tbl>
    <w:p>
      <w:pPr>
        <w:widowControl w:val="0"/>
        <w:spacing w:after="319" w:line="1" w:lineRule="exact"/>
      </w:pPr>
    </w:p>
    <w:p>
      <w:pPr>
        <w:pStyle w:val="Style44"/>
        <w:keepNext/>
        <w:keepLines/>
        <w:widowControl w:val="0"/>
        <w:numPr>
          <w:ilvl w:val="0"/>
          <w:numId w:val="1"/>
        </w:numPr>
        <w:shd w:val="clear" w:color="auto" w:fill="auto"/>
        <w:bidi w:val="0"/>
        <w:spacing w:before="0" w:after="400" w:line="240" w:lineRule="auto"/>
        <w:ind w:left="0" w:right="0" w:firstLine="0"/>
        <w:jc w:val="both"/>
      </w:pPr>
      <w:bookmarkStart w:id="100" w:name="bookmark100"/>
      <w:bookmarkStart w:id="101" w:name="bookmark101"/>
      <w:bookmarkStart w:id="102" w:name="bookmark102"/>
      <w:bookmarkStart w:id="99" w:name="bookmark99"/>
      <w:bookmarkEnd w:id="10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0"/>
      <w:bookmarkEnd w:id="102"/>
      <w:bookmarkEnd w:id="9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296,311,162.02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275,226,591.09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57,287,676.29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71,920,664.05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296,311,162.02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275,226,591.09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57,287,676.29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71,920,664.05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352,931,649.74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343,810,115.14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r>
    </w:tbl>
    <w:p>
      <w:pPr>
        <w:pStyle w:val="Style27"/>
        <w:keepNext w:val="0"/>
        <w:keepLines w:val="0"/>
        <w:widowControl w:val="0"/>
        <w:shd w:val="clear" w:color="auto" w:fill="auto"/>
        <w:bidi w:val="0"/>
        <w:spacing w:before="0" w:after="140"/>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
        </w:numPr>
        <w:shd w:val="clear" w:color="auto" w:fill="auto"/>
        <w:tabs>
          <w:tab w:pos="493" w:val="left"/>
        </w:tabs>
        <w:bidi w:val="0"/>
        <w:spacing w:before="0" w:after="400" w:line="240" w:lineRule="auto"/>
        <w:ind w:left="0" w:right="0" w:firstLine="0"/>
        <w:jc w:val="both"/>
      </w:pPr>
      <w:bookmarkStart w:id="103" w:name="bookmark103"/>
      <w:bookmarkStart w:id="104" w:name="bookmark104"/>
      <w:bookmarkStart w:id="105" w:name="bookmark105"/>
      <w:bookmarkStart w:id="106" w:name="bookmark106"/>
      <w:bookmarkEnd w:id="105"/>
      <w:r>
        <w:rPr>
          <w:color w:val="000000"/>
          <w:spacing w:val="0"/>
          <w:w w:val="100"/>
          <w:position w:val="0"/>
        </w:rPr>
        <w:t>公司实物销售收入是否大于劳务收入</w:t>
      </w:r>
      <w:bookmarkEnd w:id="103"/>
      <w:bookmarkEnd w:id="104"/>
      <w:bookmarkEnd w:id="106"/>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numPr>
          <w:ilvl w:val="0"/>
          <w:numId w:val="1"/>
        </w:numPr>
        <w:shd w:val="clear" w:color="auto" w:fill="auto"/>
        <w:tabs>
          <w:tab w:pos="493" w:val="left"/>
        </w:tabs>
        <w:bidi w:val="0"/>
        <w:spacing w:before="0" w:after="400" w:line="240" w:lineRule="auto"/>
        <w:ind w:left="0" w:right="0" w:firstLine="0"/>
        <w:jc w:val="both"/>
      </w:pPr>
      <w:bookmarkStart w:id="107" w:name="bookmark107"/>
      <w:bookmarkStart w:id="108" w:name="bookmark108"/>
      <w:bookmarkStart w:id="109" w:name="bookmark109"/>
      <w:bookmarkStart w:id="110" w:name="bookmark110"/>
      <w:bookmarkEnd w:id="109"/>
      <w:r>
        <w:rPr>
          <w:color w:val="000000"/>
          <w:spacing w:val="0"/>
          <w:w w:val="100"/>
          <w:position w:val="0"/>
        </w:rPr>
        <w:t>公司已签订的重大销售合同截至本报告期的履行情况</w:t>
      </w:r>
      <w:bookmarkEnd w:id="107"/>
      <w:bookmarkEnd w:id="108"/>
      <w:bookmarkEnd w:id="110"/>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3"/>
        </w:numPr>
        <w:shd w:val="clear" w:color="auto" w:fill="auto"/>
        <w:tabs>
          <w:tab w:pos="824" w:val="left"/>
        </w:tabs>
        <w:bidi w:val="0"/>
        <w:spacing w:before="0" w:after="0"/>
        <w:ind w:left="0" w:right="0" w:firstLine="440"/>
        <w:jc w:val="both"/>
      </w:pPr>
      <w:bookmarkStart w:id="111" w:name="bookmark111"/>
      <w:bookmarkEnd w:id="111"/>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月，公司披露了新民市智慧城市建设合同，合同总价</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亿元。本报告期确认收入</w:t>
      </w:r>
      <w:r>
        <w:rPr>
          <w:rFonts w:ascii="Times New Roman" w:eastAsia="Times New Roman" w:hAnsi="Times New Roman" w:cs="Times New Roman"/>
          <w:color w:val="000000"/>
          <w:spacing w:val="0"/>
          <w:w w:val="100"/>
          <w:position w:val="0"/>
          <w:sz w:val="18"/>
          <w:szCs w:val="18"/>
        </w:rPr>
        <w:t>222.78</w:t>
      </w:r>
      <w:r>
        <w:rPr>
          <w:color w:val="000000"/>
          <w:spacing w:val="0"/>
          <w:w w:val="100"/>
          <w:position w:val="0"/>
        </w:rPr>
        <w:t>万元，累计确认收 入</w:t>
      </w:r>
      <w:r>
        <w:rPr>
          <w:rFonts w:ascii="Times New Roman" w:eastAsia="Times New Roman" w:hAnsi="Times New Roman" w:cs="Times New Roman"/>
          <w:color w:val="000000"/>
          <w:spacing w:val="0"/>
          <w:w w:val="100"/>
          <w:position w:val="0"/>
          <w:sz w:val="18"/>
          <w:szCs w:val="18"/>
        </w:rPr>
        <w:t>15,210.03</w:t>
      </w:r>
      <w:r>
        <w:rPr>
          <w:color w:val="000000"/>
          <w:spacing w:val="0"/>
          <w:w w:val="100"/>
          <w:position w:val="0"/>
        </w:rPr>
        <w:t>万元，报告期内实现回款</w:t>
      </w:r>
      <w:r>
        <w:rPr>
          <w:rFonts w:ascii="Times New Roman" w:eastAsia="Times New Roman" w:hAnsi="Times New Roman" w:cs="Times New Roman"/>
          <w:color w:val="000000"/>
          <w:spacing w:val="0"/>
          <w:w w:val="100"/>
          <w:position w:val="0"/>
          <w:sz w:val="18"/>
          <w:szCs w:val="18"/>
        </w:rPr>
        <w:t>817.43</w:t>
      </w:r>
      <w:r>
        <w:rPr>
          <w:color w:val="000000"/>
          <w:spacing w:val="0"/>
          <w:w w:val="100"/>
          <w:position w:val="0"/>
        </w:rPr>
        <w:t>万元。</w:t>
      </w:r>
    </w:p>
    <w:p>
      <w:pPr>
        <w:pStyle w:val="Style27"/>
        <w:keepNext w:val="0"/>
        <w:keepLines w:val="0"/>
        <w:widowControl w:val="0"/>
        <w:numPr>
          <w:ilvl w:val="0"/>
          <w:numId w:val="3"/>
        </w:numPr>
        <w:shd w:val="clear" w:color="auto" w:fill="auto"/>
        <w:tabs>
          <w:tab w:pos="824" w:val="left"/>
        </w:tabs>
        <w:bidi w:val="0"/>
        <w:spacing w:before="0" w:after="0"/>
        <w:ind w:left="0" w:right="0" w:firstLine="440"/>
        <w:jc w:val="both"/>
      </w:pPr>
      <w:bookmarkStart w:id="112" w:name="bookmark112"/>
      <w:bookmarkEnd w:id="112"/>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月，公司披露的全资子公司汉爵科技蓝月小区工程安装施工分包合同，合同金额暂定为人民币</w:t>
      </w:r>
      <w:r>
        <w:rPr>
          <w:rFonts w:ascii="Times New Roman" w:eastAsia="Times New Roman" w:hAnsi="Times New Roman" w:cs="Times New Roman"/>
          <w:color w:val="000000"/>
          <w:spacing w:val="0"/>
          <w:w w:val="100"/>
          <w:position w:val="0"/>
          <w:sz w:val="18"/>
          <w:szCs w:val="18"/>
        </w:rPr>
        <w:t>19,760.00</w:t>
      </w:r>
      <w:r>
        <w:rPr>
          <w:color w:val="000000"/>
          <w:spacing w:val="0"/>
          <w:w w:val="100"/>
          <w:position w:val="0"/>
        </w:rPr>
        <w:t>万 元整，合同期限</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日历天。本项目开发商为兴文县斌鑫房地产开发有限公司，总包方为五洋建设集团。由于工程未具备进 场施工条件，导致合同无法履行，根据浙江省绍兴市上虞区人民法院(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)浙</w:t>
      </w:r>
      <w:r>
        <w:rPr>
          <w:rFonts w:ascii="Times New Roman" w:eastAsia="Times New Roman" w:hAnsi="Times New Roman" w:cs="Times New Roman"/>
          <w:color w:val="000000"/>
          <w:spacing w:val="0"/>
          <w:w w:val="100"/>
          <w:position w:val="0"/>
          <w:sz w:val="18"/>
          <w:szCs w:val="18"/>
        </w:rPr>
        <w:t>0604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6976</w:t>
      </w:r>
      <w:r>
        <w:rPr>
          <w:color w:val="000000"/>
          <w:spacing w:val="0"/>
          <w:w w:val="100"/>
          <w:position w:val="0"/>
        </w:rPr>
        <w:t>号民事判决书，法院判决该 合同解除，五洋建设集团需退还</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万元保证金。由于五洋建设集团未积极履行归还保证金，公司已向法院申请强制执行。 因法院已受理五洋建设集团所提出的破产重整申请，执行中止。目前公司已参与到五洋建设破产重整程序中，已进行了债权 </w:t>
      </w:r>
      <w:r>
        <w:rPr>
          <w:color w:val="000000"/>
          <w:spacing w:val="0"/>
          <w:w w:val="100"/>
          <w:position w:val="0"/>
        </w:rPr>
        <w:t>申报。截至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年末，该项目相关存货余额已全额计提减值。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年度，该项目无实质性变化，项目总包方五洋建设集团破 产重整案暂无实质性进展，后续公司将根据五洋建设集团破产重组的整体推进情况落实后续工作。</w:t>
      </w:r>
    </w:p>
    <w:p>
      <w:pPr>
        <w:pStyle w:val="Style27"/>
        <w:keepNext w:val="0"/>
        <w:keepLines w:val="0"/>
        <w:widowControl w:val="0"/>
        <w:shd w:val="clear" w:color="auto" w:fill="auto"/>
        <w:tabs>
          <w:tab w:pos="769" w:val="left"/>
        </w:tabs>
        <w:bidi w:val="0"/>
        <w:spacing w:before="0" w:after="0"/>
        <w:ind w:left="0" w:right="0" w:firstLine="440"/>
        <w:jc w:val="both"/>
      </w:pPr>
      <w:bookmarkStart w:id="113" w:name="bookmark113"/>
      <w:r>
        <w:rPr>
          <w:rFonts w:ascii="Times New Roman" w:eastAsia="Times New Roman" w:hAnsi="Times New Roman" w:cs="Times New Roman"/>
          <w:color w:val="000000"/>
          <w:spacing w:val="0"/>
          <w:w w:val="100"/>
          <w:position w:val="0"/>
          <w:sz w:val="18"/>
          <w:szCs w:val="18"/>
        </w:rPr>
        <w:t>（</w:t>
      </w:r>
      <w:bookmarkEnd w:id="113"/>
      <w:r>
        <w:rPr>
          <w:rFonts w:ascii="Times New Roman" w:eastAsia="Times New Roman" w:hAnsi="Times New Roman" w:cs="Times New Roman"/>
          <w:color w:val="000000"/>
          <w:spacing w:val="0"/>
          <w:w w:val="100"/>
          <w:position w:val="0"/>
          <w:sz w:val="18"/>
          <w:szCs w:val="18"/>
        </w:rPr>
        <w:t>3）</w:t>
        <w:tab/>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月，公司披露的南宁五象湖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号二至五期安装施工分包合同，合同金额暂定为</w:t>
      </w:r>
      <w:r>
        <w:rPr>
          <w:rFonts w:ascii="Times New Roman" w:eastAsia="Times New Roman" w:hAnsi="Times New Roman" w:cs="Times New Roman"/>
          <w:color w:val="000000"/>
          <w:spacing w:val="0"/>
          <w:w w:val="100"/>
          <w:position w:val="0"/>
          <w:sz w:val="18"/>
          <w:szCs w:val="18"/>
        </w:rPr>
        <w:t>26,500</w:t>
      </w:r>
      <w:r>
        <w:rPr>
          <w:color w:val="000000"/>
          <w:spacing w:val="0"/>
          <w:w w:val="100"/>
          <w:position w:val="0"/>
        </w:rPr>
        <w:t>万元，工期暂定为</w:t>
      </w:r>
      <w:r>
        <w:rPr>
          <w:rFonts w:ascii="Times New Roman" w:eastAsia="Times New Roman" w:hAnsi="Times New Roman" w:cs="Times New Roman"/>
          <w:color w:val="000000"/>
          <w:spacing w:val="0"/>
          <w:w w:val="100"/>
          <w:position w:val="0"/>
          <w:sz w:val="18"/>
          <w:szCs w:val="18"/>
        </w:rPr>
        <w:t>787</w:t>
      </w:r>
      <w:r>
        <w:rPr>
          <w:color w:val="000000"/>
          <w:spacing w:val="0"/>
          <w:w w:val="100"/>
          <w:position w:val="0"/>
        </w:rPr>
        <w:t>日 历天。本报告期确认收入</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万元，累计确认收入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,573.00</w:t>
      </w:r>
      <w:r>
        <w:rPr>
          <w:color w:val="000000"/>
          <w:spacing w:val="0"/>
          <w:w w:val="100"/>
          <w:position w:val="0"/>
        </w:rPr>
        <w:t>万元。南宁五象湖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号项目由深圳宝能集团（广西宝汇置业）开发， 总包方为五洋建设集团，本项目开发共有五期，建筑面积达</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万平方米。现因与公司签订施工分包合同的项目总包单位五洋 建设集团已申请破产重整，为避免公司损失继续扩大，公司已停止该项目后续施工。目前公司已参与到五洋建设破产重整程 序中，已进行了债权申报。截至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年末，该项目相关应收款项已全额计提减值。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年度，该项目无实质性变化，项目总 包方五洋建设集团破产重整案暂无实质性进展，后续公司将根据五洋建设集团破产重组的整体推进情况落实后续工作。</w:t>
      </w:r>
    </w:p>
    <w:p>
      <w:pPr>
        <w:pStyle w:val="Style27"/>
        <w:keepNext w:val="0"/>
        <w:keepLines w:val="0"/>
        <w:widowControl w:val="0"/>
        <w:shd w:val="clear" w:color="auto" w:fill="auto"/>
        <w:tabs>
          <w:tab w:pos="774" w:val="left"/>
        </w:tabs>
        <w:bidi w:val="0"/>
        <w:spacing w:before="0" w:after="0"/>
        <w:ind w:left="0" w:right="0" w:firstLine="440"/>
        <w:jc w:val="both"/>
      </w:pPr>
      <w:bookmarkStart w:id="114" w:name="bookmark114"/>
      <w:r>
        <w:rPr>
          <w:rFonts w:ascii="Times New Roman" w:eastAsia="Times New Roman" w:hAnsi="Times New Roman" w:cs="Times New Roman"/>
          <w:color w:val="000000"/>
          <w:spacing w:val="0"/>
          <w:w w:val="100"/>
          <w:position w:val="0"/>
          <w:sz w:val="18"/>
          <w:szCs w:val="18"/>
        </w:rPr>
        <w:t>（</w:t>
      </w:r>
      <w:bookmarkEnd w:id="114"/>
      <w:r>
        <w:rPr>
          <w:rFonts w:ascii="Times New Roman" w:eastAsia="Times New Roman" w:hAnsi="Times New Roman" w:cs="Times New Roman"/>
          <w:color w:val="000000"/>
          <w:spacing w:val="0"/>
          <w:w w:val="100"/>
          <w:position w:val="0"/>
          <w:sz w:val="18"/>
          <w:szCs w:val="18"/>
        </w:rPr>
        <w:t>4）</w:t>
        <w:tab/>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月，公司与浙江易健生物制品有限公司签订《诸暨市岭外生物医药产业园区采购施工建设项目承包合同》，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日，公司在巨潮资讯网披露了《重大合同公告》（公告编号：</w:t>
      </w:r>
      <w:r>
        <w:rPr>
          <w:rFonts w:ascii="Times New Roman" w:eastAsia="Times New Roman" w:hAnsi="Times New Roman" w:cs="Times New Roman"/>
          <w:color w:val="000000"/>
          <w:spacing w:val="0"/>
          <w:w w:val="100"/>
          <w:position w:val="0"/>
          <w:sz w:val="18"/>
          <w:szCs w:val="18"/>
        </w:rPr>
        <w:t>2015-053</w:t>
      </w:r>
      <w:r>
        <w:rPr>
          <w:color w:val="000000"/>
          <w:spacing w:val="0"/>
          <w:w w:val="100"/>
          <w:position w:val="0"/>
        </w:rPr>
        <w:t>）,</w:t>
      </w:r>
      <w:r>
        <w:rPr>
          <w:color w:val="000000"/>
          <w:spacing w:val="0"/>
          <w:w w:val="100"/>
          <w:position w:val="0"/>
        </w:rPr>
        <w:t>诸暨市岭外生物医药产业园区采购 施工建设项目合同金额暂定为</w:t>
      </w:r>
      <w:r>
        <w:rPr>
          <w:rFonts w:ascii="Times New Roman" w:eastAsia="Times New Roman" w:hAnsi="Times New Roman" w:cs="Times New Roman"/>
          <w:color w:val="000000"/>
          <w:spacing w:val="0"/>
          <w:w w:val="100"/>
          <w:position w:val="0"/>
          <w:sz w:val="18"/>
          <w:szCs w:val="18"/>
        </w:rPr>
        <w:t>48,000</w:t>
      </w:r>
      <w:r>
        <w:rPr>
          <w:color w:val="000000"/>
          <w:spacing w:val="0"/>
          <w:w w:val="100"/>
          <w:position w:val="0"/>
        </w:rPr>
        <w:t>万元，工期暂定为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个月。本报告期确认收入</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万元，累计确认收入</w:t>
      </w:r>
      <w:r>
        <w:rPr>
          <w:rFonts w:ascii="Times New Roman" w:eastAsia="Times New Roman" w:hAnsi="Times New Roman" w:cs="Times New Roman"/>
          <w:color w:val="000000"/>
          <w:spacing w:val="0"/>
          <w:w w:val="100"/>
          <w:position w:val="0"/>
          <w:sz w:val="18"/>
          <w:szCs w:val="18"/>
        </w:rPr>
        <w:t>6,837.00</w:t>
      </w:r>
      <w:r>
        <w:rPr>
          <w:color w:val="000000"/>
          <w:spacing w:val="0"/>
          <w:w w:val="100"/>
          <w:position w:val="0"/>
        </w:rPr>
        <w:t>万元。此 项目自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月进场以来，公司已完成基础建设部分工程量，项目现场施工自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月以来，进度逐步放缓直至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 停止。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日，诸暨市人民法院阿里巴巴司法拍卖网络平台公开拍卖本项目所属位于诸暨市应店街镇飞跃村（岭外 村）的工业房地产，该司法拍卖成交，对岭外项目继续进行的可能性产生重大影响。具体情况详见公司于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 巨潮资讯网上披露的《关于重大合同的进展公告》（公告编号：</w:t>
      </w:r>
      <w:r>
        <w:rPr>
          <w:rFonts w:ascii="Times New Roman" w:eastAsia="Times New Roman" w:hAnsi="Times New Roman" w:cs="Times New Roman"/>
          <w:color w:val="000000"/>
          <w:spacing w:val="0"/>
          <w:w w:val="100"/>
          <w:position w:val="0"/>
          <w:sz w:val="18"/>
          <w:szCs w:val="18"/>
        </w:rPr>
        <w:t>2019-116</w:t>
      </w:r>
      <w:r>
        <w:rPr>
          <w:color w:val="000000"/>
          <w:spacing w:val="0"/>
          <w:w w:val="100"/>
          <w:position w:val="0"/>
        </w:rPr>
        <w:t>）</w:t>
      </w:r>
      <w:r>
        <w:rPr>
          <w:color w:val="000000"/>
          <w:spacing w:val="0"/>
          <w:w w:val="100"/>
          <w:position w:val="0"/>
        </w:rPr>
        <w:t>。诸暨市人民法院于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日根据其他债 权人的申请裁定受理浙江易健生物制品有限公司破产清算一案，并指定破产管理人。公司已经申报债权并参加债权人会议。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年度，易健生物破产案暂无实质性进展。截至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年末，该项目相关应收款项等已全额计提减值，后续公司将根据其破 产清算的整体推进情况落实后续工作。</w:t>
      </w:r>
    </w:p>
    <w:p>
      <w:pPr>
        <w:pStyle w:val="Style27"/>
        <w:keepNext w:val="0"/>
        <w:keepLines w:val="0"/>
        <w:widowControl w:val="0"/>
        <w:shd w:val="clear" w:color="auto" w:fill="auto"/>
        <w:bidi w:val="0"/>
        <w:spacing w:before="0" w:after="0"/>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月，公司与金交恒通有限公司签订了《高速智慧交通信息化建设合同》，具体建设内容涉及隧道监控、 通信、收费、照明等系统工程的设计（施工工艺和软件）、供货、交付、安装、调试、完工测试，试运营及管理操作培训等 一体化服务。合同金额总计约</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日披露于巨潮资讯网《关于签订高速智慧交通 信息化建设合同的公告》（公告编号：</w:t>
      </w:r>
      <w:r>
        <w:rPr>
          <w:rFonts w:ascii="Times New Roman" w:eastAsia="Times New Roman" w:hAnsi="Times New Roman" w:cs="Times New Roman"/>
          <w:color w:val="000000"/>
          <w:spacing w:val="0"/>
          <w:w w:val="100"/>
          <w:position w:val="0"/>
          <w:sz w:val="18"/>
          <w:szCs w:val="18"/>
        </w:rPr>
        <w:t>2020-129</w:t>
      </w:r>
      <w:r>
        <w:rPr>
          <w:color w:val="000000"/>
          <w:spacing w:val="0"/>
          <w:w w:val="100"/>
          <w:position w:val="0"/>
        </w:rPr>
        <w:t>）</w:t>
      </w:r>
      <w:r>
        <w:rPr>
          <w:color w:val="000000"/>
          <w:spacing w:val="0"/>
          <w:w w:val="100"/>
          <w:position w:val="0"/>
        </w:rPr>
        <w:t>。截至本报告期末，累计确认收入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7"/>
        <w:keepNext w:val="0"/>
        <w:keepLines w:val="0"/>
        <w:widowControl w:val="0"/>
        <w:shd w:val="clear" w:color="auto" w:fill="auto"/>
        <w:tabs>
          <w:tab w:pos="903" w:val="left"/>
        </w:tabs>
        <w:bidi w:val="0"/>
        <w:spacing w:before="0" w:after="380"/>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月，公司与中国五冶集团有限公司签订了《建筑工程施工专业分包合同（建筑工程）》</w:t>
      </w:r>
      <w:r>
        <w:rPr>
          <w:color w:val="000000"/>
          <w:spacing w:val="0"/>
          <w:w w:val="100"/>
          <w:position w:val="0"/>
          <w:sz w:val="18"/>
          <w:szCs w:val="18"/>
        </w:rPr>
        <w:t>，</w:t>
      </w:r>
      <w:r>
        <w:rPr>
          <w:color w:val="000000"/>
          <w:spacing w:val="0"/>
          <w:w w:val="100"/>
          <w:position w:val="0"/>
        </w:rPr>
        <w:t>中国五冶将成 都市环城生态修复综合项目（东、西片区）（南片区）施工熊猫基地扩建一期项目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建筑外装幕墙工程分包给公司，合同金 额（含税）约为</w:t>
      </w:r>
      <w:r>
        <w:rPr>
          <w:rFonts w:ascii="Times New Roman" w:eastAsia="Times New Roman" w:hAnsi="Times New Roman" w:cs="Times New Roman"/>
          <w:color w:val="000000"/>
          <w:spacing w:val="0"/>
          <w:w w:val="100"/>
          <w:position w:val="0"/>
          <w:sz w:val="18"/>
          <w:szCs w:val="18"/>
        </w:rPr>
        <w:t>150,586,880</w:t>
      </w:r>
      <w:r>
        <w:rPr>
          <w:color w:val="000000"/>
          <w:spacing w:val="0"/>
          <w:w w:val="100"/>
          <w:position w:val="0"/>
        </w:rPr>
        <w:t>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日披露于巨潮资讯网《关于签订成都市环城生态修复综 合项目合同的公告》（公告编号：</w:t>
      </w:r>
      <w:r>
        <w:rPr>
          <w:rFonts w:ascii="Times New Roman" w:eastAsia="Times New Roman" w:hAnsi="Times New Roman" w:cs="Times New Roman"/>
          <w:color w:val="000000"/>
          <w:spacing w:val="0"/>
          <w:w w:val="100"/>
          <w:position w:val="0"/>
          <w:sz w:val="18"/>
          <w:szCs w:val="18"/>
        </w:rPr>
        <w:t>2020-134</w:t>
      </w:r>
      <w:r>
        <w:rPr>
          <w:color w:val="000000"/>
          <w:spacing w:val="0"/>
          <w:w w:val="100"/>
          <w:position w:val="0"/>
        </w:rPr>
        <w:t>）</w:t>
      </w:r>
      <w:r>
        <w:rPr>
          <w:color w:val="000000"/>
          <w:spacing w:val="0"/>
          <w:w w:val="100"/>
          <w:position w:val="0"/>
        </w:rPr>
        <w:t>。截至本报告期末，当期确认收入</w:t>
      </w:r>
      <w:r>
        <w:rPr>
          <w:rFonts w:ascii="Times New Roman" w:eastAsia="Times New Roman" w:hAnsi="Times New Roman" w:cs="Times New Roman"/>
          <w:color w:val="000000"/>
          <w:spacing w:val="0"/>
          <w:w w:val="100"/>
          <w:position w:val="0"/>
          <w:sz w:val="18"/>
          <w:szCs w:val="18"/>
        </w:rPr>
        <w:t>1,409.43</w:t>
      </w:r>
      <w:r>
        <w:rPr>
          <w:color w:val="000000"/>
          <w:spacing w:val="0"/>
          <w:w w:val="100"/>
          <w:position w:val="0"/>
        </w:rPr>
        <w:t>万元，累计确认收入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,409.43</w:t>
      </w:r>
      <w:r>
        <w:rPr>
          <w:color w:val="000000"/>
          <w:spacing w:val="0"/>
          <w:w w:val="100"/>
          <w:position w:val="0"/>
        </w:rPr>
        <w:t>万元。</w:t>
      </w:r>
    </w:p>
    <w:p>
      <w:pPr>
        <w:pStyle w:val="Style44"/>
        <w:keepNext/>
        <w:keepLines/>
        <w:widowControl w:val="0"/>
        <w:shd w:val="clear" w:color="auto" w:fill="auto"/>
        <w:bidi w:val="0"/>
        <w:spacing w:before="0" w:after="2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7"/>
      <w:bookmarkEnd w:id="118"/>
      <w:bookmarkEnd w:id="120"/>
    </w:p>
    <w:p>
      <w:pPr>
        <w:pStyle w:val="Style27"/>
        <w:keepNext w:val="0"/>
        <w:keepLines w:val="0"/>
        <w:widowControl w:val="0"/>
        <w:shd w:val="clear" w:color="auto" w:fill="auto"/>
        <w:bidi w:val="0"/>
        <w:spacing w:before="0" w:after="160"/>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275,226,591.09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305,196,679.14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71,920,664.05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94,361,587.49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275,226,591.09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305,196,679.14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71,920,664.05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94,361,587.49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30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tabs>
          <w:tab w:pos="694" w:val="left"/>
        </w:tabs>
        <w:bidi w:val="0"/>
        <w:spacing w:before="0" w:after="0" w:line="314" w:lineRule="exact"/>
        <w:ind w:left="0" w:right="0" w:firstLine="360"/>
        <w:jc w:val="both"/>
      </w:pPr>
      <w:bookmarkStart w:id="125" w:name="bookmark125"/>
      <w:r>
        <w:rPr>
          <w:rFonts w:ascii="Times New Roman" w:eastAsia="Times New Roman" w:hAnsi="Times New Roman" w:cs="Times New Roman"/>
          <w:color w:val="000000"/>
          <w:spacing w:val="0"/>
          <w:w w:val="100"/>
          <w:position w:val="0"/>
          <w:sz w:val="18"/>
          <w:szCs w:val="18"/>
        </w:rPr>
        <w:t>1</w:t>
      </w:r>
      <w:bookmarkEnd w:id="125"/>
      <w:r>
        <w:rPr>
          <w:color w:val="000000"/>
          <w:spacing w:val="0"/>
          <w:w w:val="100"/>
          <w:position w:val="0"/>
        </w:rPr>
        <w:t>、</w:t>
        <w:tab/>
        <w:t>注销子公司</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报告期内注销子公司霍尔果斯吉良先道信息科技有限公司、浙江汉鼎宇佑智慧医疗服务有限公司。注销孙子公司杭州宇 佑电子商务有限公司、杭州医利智能科技有限公司、杭州星影电影院有限公司、乐清时代电影放映有限公司。</w:t>
      </w:r>
    </w:p>
    <w:p>
      <w:pPr>
        <w:pStyle w:val="Style27"/>
        <w:keepNext w:val="0"/>
        <w:keepLines w:val="0"/>
        <w:widowControl w:val="0"/>
        <w:shd w:val="clear" w:color="auto" w:fill="auto"/>
        <w:tabs>
          <w:tab w:pos="714" w:val="left"/>
        </w:tabs>
        <w:bidi w:val="0"/>
        <w:spacing w:before="0" w:after="0" w:line="314" w:lineRule="exact"/>
        <w:ind w:left="0" w:right="0" w:firstLine="360"/>
        <w:jc w:val="both"/>
      </w:pPr>
      <w:bookmarkStart w:id="126" w:name="bookmark126"/>
      <w:r>
        <w:rPr>
          <w:rFonts w:ascii="Times New Roman" w:eastAsia="Times New Roman" w:hAnsi="Times New Roman" w:cs="Times New Roman"/>
          <w:color w:val="000000"/>
          <w:spacing w:val="0"/>
          <w:w w:val="100"/>
          <w:position w:val="0"/>
          <w:sz w:val="18"/>
          <w:szCs w:val="18"/>
        </w:rPr>
        <w:t>2</w:t>
      </w:r>
      <w:bookmarkEnd w:id="126"/>
      <w:r>
        <w:rPr>
          <w:color w:val="000000"/>
          <w:spacing w:val="0"/>
          <w:w w:val="100"/>
          <w:position w:val="0"/>
        </w:rPr>
        <w:t>、</w:t>
        <w:tab/>
        <w:t>对子公司好医友医疗科技集团有限公司丧失控制权并不再纳入合并报表范围</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公司直接持有好医友医疗科技集团有限公司（以下简称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好医友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的股权，本公司的关联方汉鼎宇佑集团有限公司 持有好医友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月汉鼎宇佑集团有限公司与本公司签订《表决权委托协议》，将其对好医友的股东权利委 托本公司行使，故本公司对好医友的表决权比例为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，同时好医友董事会三名成员中本公司派有两名，形成控制；</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月本公司与汉鼎宇佑集团有限公司签订《解除协议》，原《表决权委托协议》项下的权利义务立即终止。在汉鼎宇佑集 团有限公司解除表决权委托后，本公司可实际控制的好医友股权比例为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，可委派到好医友董事会人数为一名。在汉鼎宇 佑集团有限公司解除表决权委托后，本公司持有好医友的股权比例不足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，无法独立行使在好医友股东会和董事会中的超 半数表决权，公司将丧失对好医友的控制权并不再将好医友纳入公司合并报表范围。</w:t>
      </w:r>
    </w:p>
    <w:p>
      <w:pPr>
        <w:pStyle w:val="Style27"/>
        <w:keepNext w:val="0"/>
        <w:keepLines w:val="0"/>
        <w:widowControl w:val="0"/>
        <w:shd w:val="clear" w:color="auto" w:fill="auto"/>
        <w:tabs>
          <w:tab w:pos="714" w:val="left"/>
        </w:tabs>
        <w:bidi w:val="0"/>
        <w:spacing w:before="0" w:after="0" w:line="314" w:lineRule="exact"/>
        <w:ind w:left="0" w:right="0" w:firstLine="360"/>
        <w:jc w:val="both"/>
      </w:pPr>
      <w:bookmarkStart w:id="127" w:name="bookmark127"/>
      <w:r>
        <w:rPr>
          <w:rFonts w:ascii="Times New Roman" w:eastAsia="Times New Roman" w:hAnsi="Times New Roman" w:cs="Times New Roman"/>
          <w:color w:val="000000"/>
          <w:spacing w:val="0"/>
          <w:w w:val="100"/>
          <w:position w:val="0"/>
          <w:sz w:val="18"/>
          <w:szCs w:val="18"/>
        </w:rPr>
        <w:t>3</w:t>
      </w:r>
      <w:bookmarkEnd w:id="127"/>
      <w:r>
        <w:rPr>
          <w:color w:val="000000"/>
          <w:spacing w:val="0"/>
          <w:w w:val="100"/>
          <w:position w:val="0"/>
        </w:rPr>
        <w:t>、</w:t>
        <w:tab/>
        <w:t>设立子公司</w:t>
      </w:r>
    </w:p>
    <w:p>
      <w:pPr>
        <w:pStyle w:val="Style27"/>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报告期内设立子公司好医友互联网医院（平潭）有限公司、浙江海峡创新科技有限公司、贵阳市海峡创新科技有限公司。</w:t>
      </w:r>
    </w:p>
    <w:p>
      <w:pPr>
        <w:pStyle w:val="Style44"/>
        <w:keepNext/>
        <w:keepLines/>
        <w:widowControl w:val="0"/>
        <w:shd w:val="clear" w:color="auto" w:fill="auto"/>
        <w:tabs>
          <w:tab w:pos="493" w:val="left"/>
        </w:tabs>
        <w:bidi w:val="0"/>
        <w:spacing w:before="0" w:after="30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27"/>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105,159,090.73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31,231,622.78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23,411,693.89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20,083,088.46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15,350,230.14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15,082,455.47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105,159,090.74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56,720,793.02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12,972,300.00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12,428,667.28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12,255,497.74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9,935,000.00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9,129,328.00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56,720,793.02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15,103,344.17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50,848,246.92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主要系本报告期内因推广宣传费用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等减少导致销售费用下降。</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57,586,085.90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58,343,465.00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30,866,780.86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28,366,047.90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25,986,600.76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23,101,501.93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7"/>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74" w:val="left"/>
        </w:tabs>
        <w:bidi w:val="0"/>
        <w:spacing w:before="0" w:after="40" w:line="314" w:lineRule="exact"/>
        <w:ind w:left="0" w:right="0" w:firstLine="440"/>
        <w:jc w:val="both"/>
      </w:pPr>
      <w:bookmarkStart w:id="144" w:name="bookmark144"/>
      <w:r>
        <w:rPr>
          <w:rFonts w:ascii="Times New Roman" w:eastAsia="Times New Roman" w:hAnsi="Times New Roman" w:cs="Times New Roman"/>
          <w:color w:val="000000"/>
          <w:spacing w:val="0"/>
          <w:w w:val="100"/>
          <w:position w:val="0"/>
          <w:sz w:val="18"/>
          <w:szCs w:val="18"/>
        </w:rPr>
        <w:t>1</w:t>
      </w:r>
      <w:bookmarkEnd w:id="144"/>
      <w:r>
        <w:rPr>
          <w:color w:val="000000"/>
          <w:spacing w:val="0"/>
          <w:w w:val="100"/>
          <w:position w:val="0"/>
        </w:rPr>
        <w:t>、</w:t>
        <w:tab/>
        <w:t>城市安全韧性动态仿真与决策平台</w:t>
      </w:r>
    </w:p>
    <w:p>
      <w:pPr>
        <w:pStyle w:val="Style2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本项目旨在研发形成集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三位一体的城市安全韧性动态仿真与决策平台，为政府提供一套完备的提升应 急管理和综合防灾、减灾、救灾能力的理论、方法、技术和平台。项目期间，公司联合浙江大学韧性城市研究中心，先后开 展了城市安全韧性数据治理和模型构建、城市安全韧性评价指标体系、城市灾害综合风险动态评估与区划、城市应急动态辅 助决策和城市安全韧性动态仿真等核心技术的研发。在与多个省、市级应急管理部门进行充分探讨后，项目已初步构建了平 台业务功能架构，形成了技术开发路线，且核心技术已陆续进入攻坚阶段，项目预计将形成专利等多项知识产权。</w:t>
      </w:r>
    </w:p>
    <w:p>
      <w:pPr>
        <w:pStyle w:val="Style27"/>
        <w:keepNext w:val="0"/>
        <w:keepLines w:val="0"/>
        <w:widowControl w:val="0"/>
        <w:shd w:val="clear" w:color="auto" w:fill="auto"/>
        <w:tabs>
          <w:tab w:pos="794" w:val="left"/>
        </w:tabs>
        <w:bidi w:val="0"/>
        <w:spacing w:before="0" w:after="40" w:line="314" w:lineRule="exact"/>
        <w:ind w:left="0" w:right="0" w:firstLine="440"/>
        <w:jc w:val="both"/>
      </w:pPr>
      <w:bookmarkStart w:id="145" w:name="bookmark145"/>
      <w:r>
        <w:rPr>
          <w:rFonts w:ascii="Times New Roman" w:eastAsia="Times New Roman" w:hAnsi="Times New Roman" w:cs="Times New Roman"/>
          <w:color w:val="000000"/>
          <w:spacing w:val="0"/>
          <w:w w:val="100"/>
          <w:position w:val="0"/>
          <w:sz w:val="18"/>
          <w:szCs w:val="18"/>
        </w:rPr>
        <w:t>2</w:t>
      </w:r>
      <w:bookmarkEnd w:id="145"/>
      <w:r>
        <w:rPr>
          <w:color w:val="000000"/>
          <w:spacing w:val="0"/>
          <w:w w:val="100"/>
          <w:position w:val="0"/>
        </w:rPr>
        <w:t>、</w:t>
        <w:tab/>
        <w:t>基于互联网与物联网的智慧社区解决方案</w:t>
      </w:r>
    </w:p>
    <w:p>
      <w:pPr>
        <w:pStyle w:val="Style27"/>
        <w:keepNext w:val="0"/>
        <w:keepLines w:val="0"/>
        <w:widowControl w:val="0"/>
        <w:shd w:val="clear" w:color="auto" w:fill="auto"/>
        <w:bidi w:val="0"/>
        <w:spacing w:before="0" w:line="310" w:lineRule="exact"/>
        <w:ind w:left="0" w:right="0" w:firstLine="440"/>
        <w:jc w:val="both"/>
      </w:pPr>
      <w:r>
        <w:rPr>
          <w:color w:val="000000"/>
          <w:spacing w:val="0"/>
          <w:w w:val="100"/>
          <w:position w:val="0"/>
        </w:rPr>
        <w:t>随着业主消费水平、消费理念的提高与转变，业主希望享受到更便捷更智能舒适的社区服务，智慧社区概念随之而出， 小区智能化、互联网化已是大势所趋，楼盘居住舒适度，服务智能化将成为楼盘竞争的新趋势。社区如何突破信息孤岛，高 效利用信息技术、物联网等技术手段，实现更加智能、优质的事务协同与居民服务。海峡创新以技术驱动产品创新，致力于 打造智慧社区服务综合平台。此项目主要聚焦社区领域中的硬件物联网、社区商业、资产管理、物业服务及社区综合服务，</w:t>
        <w:br w:type="page"/>
      </w:r>
      <w:r>
        <w:rPr>
          <w:color w:val="000000"/>
          <w:spacing w:val="0"/>
          <w:w w:val="100"/>
          <w:position w:val="0"/>
        </w:rPr>
        <w:t>主要服务对象为街道办、社区、物业公司、居民，实现社区治理的三个提升，即感知模式提升、管理模式提升、服务模式提 升。平台四大功能为政府服务、物业服务、生活服务与周边便利。通过平台提升社区数字化管理水平，让社区生活更舒心； 通过数据交互，实现信息上传下达，提升社区与居民间的业务协同效率；通过有感知的物联网硬件与平台的互联互通，从基 础服务等方面提升居民居住满意度及幸福感，做到真正的社区智能服务整合。</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25,986,600.76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23,101,501.93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32,028,557.16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483,375,592.74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551,996,268.67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508,201,222.11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603,980,669.40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-24,825,629.37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-51,984,400.73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144,245,104.09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186,452,795.58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7,402,086.73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33,517,531.91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136,843,017.36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152,935,263.67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490,970,000.00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606,992,680.20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583,106,688.05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819,956,369.59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-92,136,688.05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-212,963,689.39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20,554,487.73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-112,281,583.35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49" w:val="left"/>
        </w:tabs>
        <w:bidi w:val="0"/>
        <w:spacing w:before="0" w:after="0" w:line="322" w:lineRule="exact"/>
        <w:ind w:left="0" w:right="0" w:firstLine="0"/>
        <w:jc w:val="both"/>
      </w:pPr>
      <w:bookmarkStart w:id="150" w:name="bookmark150"/>
      <w:r>
        <w:rPr>
          <w:rFonts w:ascii="Times New Roman" w:eastAsia="Times New Roman" w:hAnsi="Times New Roman" w:cs="Times New Roman"/>
          <w:color w:val="000000"/>
          <w:spacing w:val="0"/>
          <w:w w:val="100"/>
          <w:position w:val="0"/>
          <w:sz w:val="18"/>
          <w:szCs w:val="18"/>
        </w:rPr>
        <w:t>1</w:t>
      </w:r>
      <w:bookmarkEnd w:id="150"/>
      <w:r>
        <w:rPr>
          <w:color w:val="000000"/>
          <w:spacing w:val="0"/>
          <w:w w:val="100"/>
          <w:position w:val="0"/>
        </w:rPr>
        <w:t>、</w:t>
        <w:tab/>
        <w:t>报告期内，公司经营活动产生的现金流量净额为</w:t>
      </w:r>
      <w:r>
        <w:rPr>
          <w:rFonts w:ascii="Times New Roman" w:eastAsia="Times New Roman" w:hAnsi="Times New Roman" w:cs="Times New Roman"/>
          <w:color w:val="000000"/>
          <w:spacing w:val="0"/>
          <w:w w:val="100"/>
          <w:position w:val="0"/>
          <w:sz w:val="18"/>
          <w:szCs w:val="18"/>
        </w:rPr>
        <w:t>-24,825,629.37</w:t>
      </w:r>
      <w:r>
        <w:rPr>
          <w:color w:val="000000"/>
          <w:spacing w:val="0"/>
          <w:w w:val="100"/>
          <w:position w:val="0"/>
        </w:rPr>
        <w:t>元，同比上升了</w:t>
      </w:r>
      <w:r>
        <w:rPr>
          <w:rFonts w:ascii="Times New Roman" w:eastAsia="Times New Roman" w:hAnsi="Times New Roman" w:cs="Times New Roman"/>
          <w:color w:val="000000"/>
          <w:spacing w:val="0"/>
          <w:w w:val="100"/>
          <w:position w:val="0"/>
          <w:sz w:val="18"/>
          <w:szCs w:val="18"/>
        </w:rPr>
        <w:t>52.24%</w:t>
      </w:r>
      <w:r>
        <w:rPr>
          <w:color w:val="000000"/>
          <w:spacing w:val="0"/>
          <w:w w:val="100"/>
          <w:position w:val="0"/>
        </w:rPr>
        <w:t>,主要系公司加大应收款项催收力 度，回款速度有所提升。</w:t>
      </w:r>
    </w:p>
    <w:p>
      <w:pPr>
        <w:pStyle w:val="Style27"/>
        <w:keepNext w:val="0"/>
        <w:keepLines w:val="0"/>
        <w:widowControl w:val="0"/>
        <w:shd w:val="clear" w:color="auto" w:fill="auto"/>
        <w:bidi w:val="0"/>
        <w:spacing w:before="0" w:after="0" w:line="326" w:lineRule="exact"/>
        <w:ind w:left="0" w:right="0" w:firstLine="0"/>
        <w:jc w:val="both"/>
      </w:pPr>
      <w:bookmarkStart w:id="151" w:name="bookmark151"/>
      <w:r>
        <w:rPr>
          <w:rFonts w:ascii="Times New Roman" w:eastAsia="Times New Roman" w:hAnsi="Times New Roman" w:cs="Times New Roman"/>
          <w:color w:val="000000"/>
          <w:spacing w:val="0"/>
          <w:w w:val="100"/>
          <w:position w:val="0"/>
          <w:sz w:val="18"/>
          <w:szCs w:val="18"/>
        </w:rPr>
        <w:t>2</w:t>
      </w:r>
      <w:bookmarkEnd w:id="151"/>
      <w:r>
        <w:rPr>
          <w:color w:val="000000"/>
          <w:spacing w:val="0"/>
          <w:w w:val="100"/>
          <w:position w:val="0"/>
        </w:rPr>
        <w:t>、 报告期内，公司投资活动现金流出金额为</w:t>
      </w:r>
      <w:r>
        <w:rPr>
          <w:rFonts w:ascii="Times New Roman" w:eastAsia="Times New Roman" w:hAnsi="Times New Roman" w:cs="Times New Roman"/>
          <w:color w:val="000000"/>
          <w:spacing w:val="0"/>
          <w:w w:val="100"/>
          <w:position w:val="0"/>
          <w:sz w:val="18"/>
          <w:szCs w:val="18"/>
        </w:rPr>
        <w:t>7,402,086.73</w:t>
      </w:r>
      <w:r>
        <w:rPr>
          <w:color w:val="000000"/>
          <w:spacing w:val="0"/>
          <w:w w:val="100"/>
          <w:position w:val="0"/>
        </w:rPr>
        <w:t>元，同比下降了</w:t>
      </w:r>
      <w:r>
        <w:rPr>
          <w:rFonts w:ascii="Times New Roman" w:eastAsia="Times New Roman" w:hAnsi="Times New Roman" w:cs="Times New Roman"/>
          <w:color w:val="000000"/>
          <w:spacing w:val="0"/>
          <w:w w:val="100"/>
          <w:position w:val="0"/>
          <w:sz w:val="18"/>
          <w:szCs w:val="18"/>
        </w:rPr>
        <w:t>77.92%</w:t>
      </w:r>
      <w:r>
        <w:rPr>
          <w:color w:val="000000"/>
          <w:spacing w:val="0"/>
          <w:w w:val="100"/>
          <w:position w:val="0"/>
        </w:rPr>
        <w:t>,主要系公司对外投资及购建长期资产金额 同比下降。</w:t>
      </w:r>
    </w:p>
    <w:p>
      <w:pPr>
        <w:pStyle w:val="Style27"/>
        <w:keepNext w:val="0"/>
        <w:keepLines w:val="0"/>
        <w:widowControl w:val="0"/>
        <w:shd w:val="clear" w:color="auto" w:fill="auto"/>
        <w:tabs>
          <w:tab w:pos="354" w:val="left"/>
        </w:tabs>
        <w:bidi w:val="0"/>
        <w:spacing w:before="0" w:after="360" w:line="326" w:lineRule="exact"/>
        <w:ind w:left="0" w:right="0" w:firstLine="0"/>
        <w:jc w:val="both"/>
      </w:pPr>
      <w:bookmarkStart w:id="152" w:name="bookmark152"/>
      <w:r>
        <w:rPr>
          <w:rFonts w:ascii="Times New Roman" w:eastAsia="Times New Roman" w:hAnsi="Times New Roman" w:cs="Times New Roman"/>
          <w:color w:val="000000"/>
          <w:spacing w:val="0"/>
          <w:w w:val="100"/>
          <w:position w:val="0"/>
          <w:sz w:val="18"/>
          <w:szCs w:val="18"/>
        </w:rPr>
        <w:t>3</w:t>
      </w:r>
      <w:bookmarkEnd w:id="152"/>
      <w:r>
        <w:rPr>
          <w:color w:val="000000"/>
          <w:spacing w:val="0"/>
          <w:w w:val="100"/>
          <w:position w:val="0"/>
        </w:rPr>
        <w:t>、</w:t>
        <w:tab/>
        <w:t>报告期内，公司筹资活动产生的现金流量净额为</w:t>
      </w:r>
      <w:r>
        <w:rPr>
          <w:rFonts w:ascii="Times New Roman" w:eastAsia="Times New Roman" w:hAnsi="Times New Roman" w:cs="Times New Roman"/>
          <w:color w:val="000000"/>
          <w:spacing w:val="0"/>
          <w:w w:val="100"/>
          <w:position w:val="0"/>
          <w:sz w:val="18"/>
          <w:szCs w:val="18"/>
        </w:rPr>
        <w:t>-92,136,688.05</w:t>
      </w:r>
      <w:r>
        <w:rPr>
          <w:color w:val="000000"/>
          <w:spacing w:val="0"/>
          <w:w w:val="100"/>
          <w:position w:val="0"/>
        </w:rPr>
        <w:t>元，同比上升了</w:t>
      </w:r>
      <w:r>
        <w:rPr>
          <w:rFonts w:ascii="Times New Roman" w:eastAsia="Times New Roman" w:hAnsi="Times New Roman" w:cs="Times New Roman"/>
          <w:color w:val="000000"/>
          <w:spacing w:val="0"/>
          <w:w w:val="100"/>
          <w:position w:val="0"/>
          <w:sz w:val="18"/>
          <w:szCs w:val="18"/>
        </w:rPr>
        <w:t>56.74%</w:t>
      </w:r>
      <w:r>
        <w:rPr>
          <w:color w:val="000000"/>
          <w:spacing w:val="0"/>
          <w:w w:val="100"/>
          <w:position w:val="0"/>
        </w:rPr>
        <w:t>,主要系报告期内公司停止开展融 资租赁业务，导致长期应付款支付金额减少。</w:t>
      </w:r>
    </w:p>
    <w:p>
      <w:pPr>
        <w:pStyle w:val="Style27"/>
        <w:keepNext w:val="0"/>
        <w:keepLines w:val="0"/>
        <w:widowControl w:val="0"/>
        <w:shd w:val="clear" w:color="auto" w:fill="auto"/>
        <w:bidi w:val="0"/>
        <w:spacing w:before="0" w:after="0" w:line="32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288" w:lineRule="exact"/>
        <w:ind w:left="0" w:right="0" w:firstLine="0"/>
        <w:jc w:val="both"/>
      </w:pPr>
      <w:r>
        <w:rPr>
          <w:color w:val="000000"/>
          <w:spacing w:val="0"/>
          <w:w w:val="100"/>
          <w:position w:val="0"/>
        </w:rPr>
        <w:t>报告期内，公司对外投资金融资产的公允价值变动对本年度净利润影响较大，因此，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年度公司经营活动产生的现金净流 量与本年度净利润存在重大差异。</w:t>
      </w:r>
    </w:p>
    <w:p>
      <w:pPr>
        <w:pStyle w:val="Style25"/>
        <w:keepNext/>
        <w:keepLines/>
        <w:widowControl w:val="0"/>
        <w:shd w:val="clear" w:color="auto" w:fill="auto"/>
        <w:bidi w:val="0"/>
        <w:spacing w:before="0" w:after="28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sz w:val="24"/>
          <w:szCs w:val="24"/>
        </w:rPr>
        <w:t>三</w:t>
      </w:r>
      <w:bookmarkEnd w:id="155"/>
      <w:r>
        <w:rPr>
          <w:color w:val="000000"/>
          <w:spacing w:val="0"/>
          <w:w w:val="100"/>
          <w:position w:val="0"/>
          <w:sz w:val="24"/>
          <w:szCs w:val="24"/>
        </w:rPr>
        <w:t>、非主营业务情况</w:t>
      </w:r>
      <w:bookmarkEnd w:id="153"/>
      <w:bookmarkEnd w:id="154"/>
      <w:bookmarkEnd w:id="156"/>
    </w:p>
    <w:p>
      <w:pPr>
        <w:pStyle w:val="Style27"/>
        <w:keepNext w:val="0"/>
        <w:keepLines w:val="0"/>
        <w:widowControl w:val="0"/>
        <w:shd w:val="clear" w:color="auto" w:fill="auto"/>
        <w:bidi w:val="0"/>
        <w:spacing w:before="0" w:after="140" w:line="32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382"/>
        <w:gridCol w:w="3120"/>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-72,068,938.29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主要系对转换日前的微贷网及蜂助手等 投资权益法确认的投资收益。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-244,808,498.93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主要系对</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w:t>
            </w:r>
            <w:r>
              <w:rPr>
                <w:color w:val="000000"/>
                <w:spacing w:val="0"/>
                <w:w w:val="100"/>
                <w:position w:val="0"/>
              </w:rPr>
              <w:t>海润影视及转换日后 的微贷网等交易性金融资产确认的公允 价值变动损益。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-60,547,290.71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主要系对合同资产、固定资产、长期待 摊费用、商誉等计提资产减值损失。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3,521,579.27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14,162,711.63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主要系因被担保人违约而确认的预计负 债，详见本报告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第十二节财务部分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十四、承诺及或有事项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-92,651,761.62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主要系本期对已发生信用减值的应收款 项、一年内到期的非流动资产、长期应 收款计提的信用减值损失。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25"/>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四</w:t>
      </w:r>
      <w:bookmarkEnd w:id="159"/>
      <w:r>
        <w:rPr>
          <w:color w:val="000000"/>
          <w:spacing w:val="0"/>
          <w:w w:val="100"/>
          <w:position w:val="0"/>
          <w:sz w:val="24"/>
          <w:szCs w:val="24"/>
        </w:rPr>
        <w:t>、资产及负债状况分析</w:t>
      </w:r>
      <w:bookmarkEnd w:id="157"/>
      <w:bookmarkEnd w:id="158"/>
      <w:bookmarkEnd w:id="160"/>
    </w:p>
    <w:p>
      <w:pPr>
        <w:pStyle w:val="Style31"/>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227"/>
        <w:gridCol w:w="2256"/>
        <w:gridCol w:w="802"/>
        <w:gridCol w:w="292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373"/>
        <w:gridCol w:w="1186"/>
        <w:gridCol w:w="1042"/>
        <w:gridCol w:w="1195"/>
        <w:gridCol w:w="1061"/>
        <w:gridCol w:w="802"/>
        <w:gridCol w:w="292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201,955,831.05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187,620,365.92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152,523,919.74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161,818,448.98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113,767,306.14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151,918,310.78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181,951,821.88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157,349,653.87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275,649,541.50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主要系本报告期公司对微贷网丧失 重大影响，将剩余股权调整为公允价 值计量且其变动计入当期损益的金 融资产。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173,765,020.53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180,050,688.32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490,802,530.19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521,891,975.94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主要系本报告期内其他非流动金融 资产中</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w:t>
            </w:r>
            <w:r>
              <w:rPr>
                <w:color w:val="000000"/>
                <w:spacing w:val="0"/>
                <w:w w:val="100"/>
                <w:position w:val="0"/>
              </w:rPr>
              <w:t>海润影视等公允价值 下降所致。</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147"/>
        <w:gridCol w:w="1277"/>
        <w:gridCol w:w="994"/>
        <w:gridCol w:w="706"/>
        <w:gridCol w:w="994"/>
        <w:gridCol w:w="1133"/>
        <w:gridCol w:w="1128"/>
        <w:gridCol w:w="122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91,306,266.05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-28,710,260.16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58,357,923.12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93,755,208.79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91,306,266.05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-28,710,260.16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58,357,923.12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93,755,208.79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521,891,975.9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-216,098,238.77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287,964,024.01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613,198,241.9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-244,808,498.93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58,357,923.12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93,205,208.79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382,792,516.39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80" w:line="240" w:lineRule="auto"/>
        <w:ind w:left="0" w:right="0" w:firstLine="0"/>
        <w:jc w:val="left"/>
      </w:pPr>
      <w:bookmarkStart w:id="169" w:name="bookmark169"/>
      <w:r>
        <w:rPr>
          <w:rFonts w:ascii="Times New Roman" w:eastAsia="Times New Roman" w:hAnsi="Times New Roman" w:cs="Times New Roman"/>
          <w:color w:val="000000"/>
          <w:spacing w:val="0"/>
          <w:w w:val="100"/>
          <w:position w:val="0"/>
          <w:sz w:val="18"/>
          <w:szCs w:val="18"/>
        </w:rPr>
        <w:t>1</w:t>
      </w:r>
      <w:bookmarkEnd w:id="169"/>
      <w:r>
        <w:rPr>
          <w:color w:val="000000"/>
          <w:spacing w:val="0"/>
          <w:w w:val="100"/>
          <w:position w:val="0"/>
        </w:rPr>
        <w:t>、交易性金融资产的其它变动，主要系公司对微贷网丧失重大影响，自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日起，公司对微贷网的股权投资由按权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益法进行计量变更为按公允价值进行计量且其变动计入当期损益的金融资产，该事项增加交易性金融资产账面价值</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93,755,208.79</w:t>
      </w:r>
      <w:r>
        <w:rPr>
          <w:color w:val="000000"/>
          <w:spacing w:val="0"/>
          <w:w w:val="100"/>
          <w:position w:val="0"/>
        </w:rPr>
        <w:t>元。</w:t>
      </w:r>
    </w:p>
    <w:p>
      <w:pPr>
        <w:pStyle w:val="Style27"/>
        <w:keepNext w:val="0"/>
        <w:keepLines w:val="0"/>
        <w:widowControl w:val="0"/>
        <w:shd w:val="clear" w:color="auto" w:fill="auto"/>
        <w:tabs>
          <w:tab w:pos="354" w:val="left"/>
        </w:tabs>
        <w:bidi w:val="0"/>
        <w:spacing w:before="0" w:after="0" w:line="312" w:lineRule="exact"/>
        <w:ind w:left="0" w:right="0" w:firstLine="0"/>
        <w:jc w:val="both"/>
      </w:pPr>
      <w:bookmarkStart w:id="170" w:name="bookmark170"/>
      <w:r>
        <w:rPr>
          <w:rFonts w:ascii="Times New Roman" w:eastAsia="Times New Roman" w:hAnsi="Times New Roman" w:cs="Times New Roman"/>
          <w:color w:val="000000"/>
          <w:spacing w:val="0"/>
          <w:w w:val="100"/>
          <w:position w:val="0"/>
          <w:sz w:val="18"/>
          <w:szCs w:val="18"/>
        </w:rPr>
        <w:t>2</w:t>
      </w:r>
      <w:bookmarkEnd w:id="170"/>
      <w:r>
        <w:rPr>
          <w:color w:val="000000"/>
          <w:spacing w:val="0"/>
          <w:w w:val="100"/>
          <w:position w:val="0"/>
        </w:rPr>
        <w:t>、</w:t>
        <w:tab/>
        <w:t>其他非流动金融资产的其他变动，主要系原好医友核算的非流动金融资产，由于公司丧失对好医友的控制权不再将好医 友纳入公司合并报表范围而减少，该事项导致其他非流动金融资产金额净减少</w:t>
      </w:r>
      <w:r>
        <w:rPr>
          <w:rFonts w:ascii="Times New Roman" w:eastAsia="Times New Roman" w:hAnsi="Times New Roman" w:cs="Times New Roman"/>
          <w:color w:val="000000"/>
          <w:spacing w:val="0"/>
          <w:w w:val="100"/>
          <w:position w:val="0"/>
          <w:sz w:val="18"/>
          <w:szCs w:val="18"/>
        </w:rPr>
        <w:t>550,000.00</w:t>
      </w:r>
      <w:r>
        <w:rPr>
          <w:color w:val="000000"/>
          <w:spacing w:val="0"/>
          <w:w w:val="100"/>
          <w:position w:val="0"/>
        </w:rPr>
        <w:t>元。</w:t>
      </w:r>
    </w:p>
    <w:p>
      <w:pPr>
        <w:pStyle w:val="Style2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报告期内公司主要资产计量属性发生重大变化的原因说明及对其经营成果和财务状况影响</w:t>
      </w:r>
    </w:p>
    <w:p>
      <w:pPr>
        <w:pStyle w:val="Style2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月对微贷网丧失重大影响，根据《企业会计准则第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长期股权投资》的规定，投资方丧失了对被投资单位 的重大影响的，剩余股权应当改按《企业会计准则第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号——金融工具确认和计量》的有关规定进行会计处理，公司将其调 整为以公允价值计量且其变动计入当期损益的金融资产。</w:t>
      </w:r>
    </w:p>
    <w:p>
      <w:pPr>
        <w:pStyle w:val="Style31"/>
        <w:keepNext/>
        <w:keepLines/>
        <w:widowControl w:val="0"/>
        <w:shd w:val="clear" w:color="auto" w:fill="auto"/>
        <w:tabs>
          <w:tab w:pos="378" w:val="left"/>
        </w:tabs>
        <w:bidi w:val="0"/>
        <w:spacing w:before="0" w:after="28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截至报告期末的资产权利受限情况</w:t>
      </w:r>
      <w:bookmarkEnd w:id="171"/>
      <w:bookmarkEnd w:id="172"/>
      <w:bookmarkEnd w:id="174"/>
    </w:p>
    <w:p>
      <w:pPr>
        <w:pStyle w:val="Style2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截止报告期末的资产权利受限情况详见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、投资状况分析</w:t>
      </w:r>
      <w:bookmarkEnd w:id="175"/>
      <w:bookmarkEnd w:id="176"/>
      <w:bookmarkEnd w:id="178"/>
    </w:p>
    <w:p>
      <w:pPr>
        <w:pStyle w:val="Style31"/>
        <w:keepNext/>
        <w:keepLines/>
        <w:widowControl w:val="0"/>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、报告期内获取的重大的股权投资情况</w:t>
      </w:r>
      <w:bookmarkEnd w:id="183"/>
      <w:bookmarkEnd w:id="184"/>
      <w:bookmarkEnd w:id="18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864"/>
        <w:gridCol w:w="408"/>
        <w:gridCol w:w="624"/>
        <w:gridCol w:w="619"/>
        <w:gridCol w:w="619"/>
        <w:gridCol w:w="619"/>
        <w:gridCol w:w="614"/>
        <w:gridCol w:w="629"/>
        <w:gridCol w:w="581"/>
        <w:gridCol w:w="595"/>
        <w:gridCol w:w="691"/>
        <w:gridCol w:w="691"/>
        <w:gridCol w:w="691"/>
        <w:gridCol w:w="672"/>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 资 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好医友 互联网 医院</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 潭）有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综合医 院，医学 研究和试 验发展</w:t>
            </w:r>
            <w:r>
              <w:rPr>
                <w:color w:val="000000"/>
                <w:spacing w:val="0"/>
                <w:w w:val="100"/>
                <w:position w:val="0"/>
                <w:sz w:val="18"/>
                <w:szCs w:val="18"/>
              </w:rPr>
              <w:t>，</w:t>
            </w:r>
            <w:r>
              <w:rPr>
                <w:color w:val="000000"/>
                <w:spacing w:val="0"/>
                <w:w w:val="100"/>
                <w:position w:val="0"/>
              </w:rPr>
              <w:t>生 物技术推 广服务</w:t>
            </w:r>
            <w:r>
              <w:rPr>
                <w:color w:val="000000"/>
                <w:spacing w:val="0"/>
                <w:w w:val="100"/>
                <w:position w:val="0"/>
                <w:sz w:val="18"/>
                <w:szCs w:val="18"/>
              </w:rPr>
              <w:t>，</w:t>
            </w:r>
            <w:r>
              <w:rPr>
                <w:color w:val="000000"/>
                <w:spacing w:val="0"/>
                <w:w w:val="100"/>
                <w:position w:val="0"/>
              </w:rPr>
              <w:t>其 他卫生活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医药及 医疗器材 批发</w:t>
            </w:r>
            <w:r>
              <w:rPr>
                <w:color w:val="000000"/>
                <w:spacing w:val="0"/>
                <w:w w:val="100"/>
                <w:position w:val="0"/>
                <w:sz w:val="18"/>
                <w:szCs w:val="18"/>
              </w:rPr>
              <w:t>，</w:t>
            </w:r>
            <w:r>
              <w:rPr>
                <w:color w:val="000000"/>
                <w:spacing w:val="0"/>
                <w:w w:val="100"/>
                <w:position w:val="0"/>
              </w:rPr>
              <w:t>药品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 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好医友 医疗科 技集团 有限公 司、平 潭综合 实验区 金融创 新服务 中心有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已出 资</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302"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2020-01</w:t>
            </w:r>
          </w:p>
          <w:p>
            <w:pPr>
              <w:pStyle w:val="Style6"/>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667"/>
        <w:gridCol w:w="864"/>
        <w:gridCol w:w="408"/>
        <w:gridCol w:w="624"/>
        <w:gridCol w:w="619"/>
        <w:gridCol w:w="619"/>
        <w:gridCol w:w="619"/>
        <w:gridCol w:w="614"/>
        <w:gridCol w:w="619"/>
        <w:gridCol w:w="590"/>
        <w:gridCol w:w="595"/>
        <w:gridCol w:w="691"/>
        <w:gridCol w:w="691"/>
        <w:gridCol w:w="691"/>
        <w:gridCol w:w="67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零售</w:t>
            </w:r>
            <w:r>
              <w:rPr>
                <w:color w:val="000000"/>
                <w:spacing w:val="0"/>
                <w:w w:val="100"/>
                <w:position w:val="0"/>
                <w:sz w:val="18"/>
                <w:szCs w:val="18"/>
              </w:rPr>
              <w:t>，</w:t>
            </w:r>
            <w:r>
              <w:rPr>
                <w:color w:val="000000"/>
                <w:spacing w:val="0"/>
                <w:w w:val="100"/>
                <w:position w:val="0"/>
              </w:rPr>
              <w:t>医疗 器械零售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浙江海 峡创新 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各类工程 建设活 动。一般 项目：技 术服务、 技术开 发、技术 咨询、技 术交流、 技术转 让、技术 推广等。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毛方强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已出 资</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-366,71</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2020-08</w:t>
            </w:r>
          </w:p>
          <w:p>
            <w:pPr>
              <w:pStyle w:val="Style6"/>
              <w:keepNext w:val="0"/>
              <w:keepLines w:val="0"/>
              <w:widowControl w:val="0"/>
              <w:shd w:val="clear" w:color="auto" w:fill="auto"/>
              <w:bidi w:val="0"/>
              <w:spacing w:before="0" w:after="0" w:line="35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-651,44</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报告期内正在进行的重大的非股权投资情况</w:t>
      </w:r>
      <w:bookmarkEnd w:id="187"/>
      <w:bookmarkEnd w:id="188"/>
      <w:bookmarkEnd w:id="19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以公允价值计量的金融资产</w:t>
      </w:r>
      <w:bookmarkEnd w:id="191"/>
      <w:bookmarkEnd w:id="192"/>
      <w:bookmarkEnd w:id="19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1277"/>
        <w:gridCol w:w="994"/>
        <w:gridCol w:w="989"/>
        <w:gridCol w:w="1138"/>
        <w:gridCol w:w="850"/>
        <w:gridCol w:w="1238"/>
        <w:gridCol w:w="96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91,306,266.05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-28,710,260.16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58,357,923.12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521,891,975.94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-216,098,238.77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613,198,241.99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-244,808,498.93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58,357,923.12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382,792,516.39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、募集资金使用情况</w:t>
      </w:r>
      <w:bookmarkEnd w:id="195"/>
      <w:bookmarkEnd w:id="196"/>
      <w:bookmarkEnd w:id="19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r>
        <w:br w:type="page"/>
      </w:r>
    </w:p>
    <w:p>
      <w:pPr>
        <w:pStyle w:val="Style25"/>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六</w:t>
      </w:r>
      <w:bookmarkEnd w:id="201"/>
      <w:r>
        <w:rPr>
          <w:color w:val="000000"/>
          <w:spacing w:val="0"/>
          <w:w w:val="100"/>
          <w:position w:val="0"/>
          <w:sz w:val="24"/>
          <w:szCs w:val="24"/>
        </w:rPr>
        <w:t>、重大资产和股权出售</w:t>
      </w:r>
      <w:bookmarkEnd w:id="199"/>
      <w:bookmarkEnd w:id="200"/>
      <w:bookmarkEnd w:id="202"/>
    </w:p>
    <w:p>
      <w:pPr>
        <w:pStyle w:val="Style31"/>
        <w:keepNext/>
        <w:keepLines/>
        <w:widowControl w:val="0"/>
        <w:shd w:val="clear" w:color="auto" w:fill="auto"/>
        <w:tabs>
          <w:tab w:pos="368"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504"/>
        <w:gridCol w:w="864"/>
        <w:gridCol w:w="682"/>
        <w:gridCol w:w="691"/>
      </w:tblGrid>
      <w:tr>
        <w:trPr>
          <w:trHeight w:val="290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与交易 对方的 关联关</w:t>
            </w:r>
          </w:p>
          <w:p>
            <w:pPr>
              <w:pStyle w:val="Style6"/>
              <w:keepNext w:val="0"/>
              <w:keepLines w:val="0"/>
              <w:widowControl w:val="0"/>
              <w:shd w:val="clear" w:color="auto" w:fill="auto"/>
              <w:bidi w:val="0"/>
              <w:spacing w:before="0" w:after="0" w:line="310" w:lineRule="exact"/>
              <w:ind w:left="0" w:right="0" w:firstLine="260"/>
              <w:jc w:val="both"/>
            </w:pPr>
            <w:r>
              <w:rPr>
                <w:color w:val="000000"/>
                <w:spacing w:val="0"/>
                <w:w w:val="100"/>
                <w:position w:val="0"/>
              </w:rPr>
              <w:t>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是否 已全 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是否按计 划如期实 施，如未 按计划实 施，应当 说明原因 及公司已 采取的措 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二级市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场出售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极光大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无重大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二级市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场出售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无关联</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七</w:t>
      </w:r>
      <w:bookmarkEnd w:id="213"/>
      <w:r>
        <w:rPr>
          <w:color w:val="000000"/>
          <w:spacing w:val="0"/>
          <w:w w:val="100"/>
          <w:position w:val="0"/>
          <w:sz w:val="24"/>
          <w:szCs w:val="24"/>
        </w:rPr>
        <w:t>、主要控股参股公司分析</w:t>
      </w:r>
      <w:bookmarkEnd w:id="211"/>
      <w:bookmarkEnd w:id="212"/>
      <w:bookmarkEnd w:id="21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87"/>
        <w:gridCol w:w="1526"/>
        <w:gridCol w:w="970"/>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浙江汉鼎宇 佑金融服务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服务：接受金融机 构委托从事金融业 务流程外包、金融 信息技术外包，计 算机软件的技术服 务、技术咨询、技 术开发、成果转让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47,996.817 </w:t>
            </w:r>
            <w:r>
              <w:rPr>
                <w:color w:val="000000"/>
                <w:spacing w:val="0"/>
                <w:w w:val="100"/>
                <w:position w:val="0"/>
              </w:rPr>
              <w:t>万元人民币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352,478,425.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20,608,070.0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5,925,469.04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-119,177,772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-119,170,714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汉鼎国际发 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境外投资并购，智 慧城市项目产品进 出口及结算。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235,188,352.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106,315,378.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-118,771,936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-118,771,936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浙江汉鼎宇 佑资本管理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服务：受托企业资 产管理，投资管理。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39,605,250.0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-68,194,749.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-86,732,185.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-86,732,185.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bl>
    <w:tbl>
      <w:tblPr>
        <w:tblOverlap w:val="never"/>
        <w:jc w:val="center"/>
        <w:tblLayout w:type="fixed"/>
      </w:tblPr>
      <w:tblGrid>
        <w:gridCol w:w="1061"/>
        <w:gridCol w:w="787"/>
        <w:gridCol w:w="1526"/>
        <w:gridCol w:w="970"/>
        <w:gridCol w:w="1046"/>
        <w:gridCol w:w="1046"/>
        <w:gridCol w:w="1046"/>
        <w:gridCol w:w="1042"/>
        <w:gridCol w:w="105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3" w:lineRule="exact"/>
              <w:ind w:left="0" w:right="0" w:firstLine="0"/>
              <w:jc w:val="left"/>
            </w:pPr>
            <w:r>
              <w:rPr>
                <w:color w:val="000000"/>
                <w:spacing w:val="0"/>
                <w:w w:val="100"/>
                <w:position w:val="0"/>
              </w:rPr>
              <w:t>杭州海峡创 新互动娱乐 管理有限公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服务：受托对从事 娱乐活动的企业进 行管理，电影放映， 企业管理服务，文 化艺术交流活动策 划等。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24,331</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113,840,120.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59,051,721.1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25,633,115.4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-59,046,947.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-66,550,504.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好医友互联网医院（平潭）有限公司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浙江海峡创新科技有限公司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贵阳市海峡创新科技有限公司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乐清市汉鼎宇佑影城有限责任公司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浙江汉鼎宇佑智慧医疗服务有限公司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杭州医利智能科技有限公司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杭州星影电影院有限公司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主要控股参股公司情况说明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截止报告期末：</w:t>
      </w:r>
    </w:p>
    <w:p>
      <w:pPr>
        <w:pStyle w:val="Style27"/>
        <w:keepNext w:val="0"/>
        <w:keepLines w:val="0"/>
        <w:widowControl w:val="0"/>
        <w:shd w:val="clear" w:color="auto" w:fill="auto"/>
        <w:tabs>
          <w:tab w:pos="349" w:val="left"/>
        </w:tabs>
        <w:bidi w:val="0"/>
        <w:spacing w:before="0" w:after="0" w:line="310" w:lineRule="exact"/>
        <w:ind w:left="0" w:right="0" w:firstLine="0"/>
        <w:jc w:val="both"/>
      </w:pPr>
      <w:bookmarkStart w:id="215" w:name="bookmark215"/>
      <w:r>
        <w:rPr>
          <w:rFonts w:ascii="Times New Roman" w:eastAsia="Times New Roman" w:hAnsi="Times New Roman" w:cs="Times New Roman"/>
          <w:color w:val="000000"/>
          <w:spacing w:val="0"/>
          <w:w w:val="100"/>
          <w:position w:val="0"/>
          <w:sz w:val="18"/>
          <w:szCs w:val="18"/>
        </w:rPr>
        <w:t>1</w:t>
      </w:r>
      <w:bookmarkEnd w:id="215"/>
      <w:r>
        <w:rPr>
          <w:color w:val="000000"/>
          <w:spacing w:val="0"/>
          <w:w w:val="100"/>
          <w:position w:val="0"/>
        </w:rPr>
        <w:t>、</w:t>
        <w:tab/>
        <w:t>全资子公司：海峡创新信息产业有限公司、汉鼎国际发展有限公司、浙江汉鼎宇佑金融服务有限公司、杭州汉鼎宇佑金 控投资有限公司、浙江汉鼎宇佑资本管理有限公司、杭州海峡创新互动娱乐管理有限公司、杭州汉鼎宇佑商业发展有限公司、 杭州海峡创新互联网技术有限公司、</w:t>
      </w:r>
      <w:r>
        <w:rPr>
          <w:rFonts w:ascii="Times New Roman" w:eastAsia="Times New Roman" w:hAnsi="Times New Roman" w:cs="Times New Roman"/>
          <w:color w:val="000000"/>
          <w:spacing w:val="0"/>
          <w:w w:val="100"/>
          <w:position w:val="0"/>
          <w:sz w:val="18"/>
          <w:szCs w:val="18"/>
        </w:rPr>
        <w:t>Hakim Unique Technology Limited</w:t>
      </w:r>
      <w:r>
        <w:rPr>
          <w:color w:val="000000"/>
          <w:spacing w:val="0"/>
          <w:w w:val="100"/>
          <w:position w:val="0"/>
        </w:rPr>
        <w:t>（</w:t>
      </w:r>
      <w:r>
        <w:rPr>
          <w:color w:val="000000"/>
          <w:spacing w:val="0"/>
          <w:w w:val="100"/>
          <w:position w:val="0"/>
        </w:rPr>
        <w:t>汉鼎宇佑科技有限公司）、汉鼎宇佑有限公司、贵 阳市海峡创新科技有限公司。</w:t>
      </w:r>
    </w:p>
    <w:p>
      <w:pPr>
        <w:pStyle w:val="Style27"/>
        <w:keepNext w:val="0"/>
        <w:keepLines w:val="0"/>
        <w:widowControl w:val="0"/>
        <w:shd w:val="clear" w:color="auto" w:fill="auto"/>
        <w:tabs>
          <w:tab w:pos="354" w:val="left"/>
        </w:tabs>
        <w:bidi w:val="0"/>
        <w:spacing w:before="0" w:after="0" w:line="310" w:lineRule="exact"/>
        <w:ind w:left="0" w:right="0" w:firstLine="0"/>
        <w:jc w:val="both"/>
      </w:pPr>
      <w:bookmarkStart w:id="216" w:name="bookmark216"/>
      <w:r>
        <w:rPr>
          <w:rFonts w:ascii="Times New Roman" w:eastAsia="Times New Roman" w:hAnsi="Times New Roman" w:cs="Times New Roman"/>
          <w:color w:val="000000"/>
          <w:spacing w:val="0"/>
          <w:w w:val="100"/>
          <w:position w:val="0"/>
          <w:sz w:val="18"/>
          <w:szCs w:val="18"/>
        </w:rPr>
        <w:t>2</w:t>
      </w:r>
      <w:bookmarkEnd w:id="216"/>
      <w:r>
        <w:rPr>
          <w:color w:val="000000"/>
          <w:spacing w:val="0"/>
          <w:w w:val="100"/>
          <w:position w:val="0"/>
        </w:rPr>
        <w:t>、</w:t>
        <w:tab/>
        <w:t>控股子公司：浙江海峡创新科技有限公司；好医友互联网医院（平潭）有限公司。</w:t>
      </w:r>
    </w:p>
    <w:p>
      <w:pPr>
        <w:pStyle w:val="Style27"/>
        <w:keepNext w:val="0"/>
        <w:keepLines w:val="0"/>
        <w:widowControl w:val="0"/>
        <w:shd w:val="clear" w:color="auto" w:fill="auto"/>
        <w:tabs>
          <w:tab w:pos="354" w:val="left"/>
        </w:tabs>
        <w:bidi w:val="0"/>
        <w:spacing w:before="0" w:after="340" w:line="310" w:lineRule="exact"/>
        <w:ind w:left="0" w:right="0" w:firstLine="0"/>
        <w:jc w:val="both"/>
      </w:pPr>
      <w:bookmarkStart w:id="217" w:name="bookmark217"/>
      <w:r>
        <w:rPr>
          <w:rFonts w:ascii="Times New Roman" w:eastAsia="Times New Roman" w:hAnsi="Times New Roman" w:cs="Times New Roman"/>
          <w:color w:val="000000"/>
          <w:spacing w:val="0"/>
          <w:w w:val="100"/>
          <w:position w:val="0"/>
          <w:sz w:val="18"/>
          <w:szCs w:val="18"/>
        </w:rPr>
        <w:t>3</w:t>
      </w:r>
      <w:bookmarkEnd w:id="217"/>
      <w:r>
        <w:rPr>
          <w:color w:val="000000"/>
          <w:spacing w:val="0"/>
          <w:w w:val="100"/>
          <w:position w:val="0"/>
        </w:rPr>
        <w:t>、</w:t>
        <w:tab/>
        <w:t>主要参股子公司：四川通普科技有限公司、深圳南洋码头网络科技有限公司、浙江大数据交易中心有限公司、北京数想 科技有限公司、上海保险交易所股份有限公司、浙江搜道网络技术有限公司、浙江中城智慧城市规划咨询有限公司、蜂助手 股份有限公司、</w:t>
      </w:r>
      <w:r>
        <w:rPr>
          <w:rFonts w:ascii="Times New Roman" w:eastAsia="Times New Roman" w:hAnsi="Times New Roman" w:cs="Times New Roman"/>
          <w:color w:val="000000"/>
          <w:spacing w:val="0"/>
          <w:w w:val="100"/>
          <w:position w:val="0"/>
          <w:sz w:val="18"/>
          <w:szCs w:val="18"/>
        </w:rPr>
        <w:t>Xynomic Pharmaceuticals Holdings,Inc.</w:t>
      </w:r>
      <w:r>
        <w:rPr>
          <w:color w:val="000000"/>
          <w:spacing w:val="0"/>
          <w:w w:val="100"/>
          <w:position w:val="0"/>
        </w:rPr>
        <w:t>、广东悦伍纪网络技术有限公司。</w:t>
      </w:r>
    </w:p>
    <w:p>
      <w:pPr>
        <w:pStyle w:val="Style25"/>
        <w:keepNext/>
        <w:keepLines/>
        <w:widowControl w:val="0"/>
        <w:shd w:val="clear" w:color="auto" w:fill="auto"/>
        <w:tabs>
          <w:tab w:pos="517" w:val="left"/>
        </w:tabs>
        <w:bidi w:val="0"/>
        <w:spacing w:before="0" w:after="28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w:t>
        <w:tab/>
        <w:t>公司控制的结构化主体情况</w:t>
      </w:r>
      <w:bookmarkEnd w:id="218"/>
      <w:bookmarkEnd w:id="219"/>
      <w:bookmarkEnd w:id="221"/>
    </w:p>
    <w:p>
      <w:pPr>
        <w:pStyle w:val="Style27"/>
        <w:keepNext w:val="0"/>
        <w:keepLines w:val="0"/>
        <w:widowControl w:val="0"/>
        <w:shd w:val="clear" w:color="auto" w:fill="auto"/>
        <w:bidi w:val="0"/>
        <w:spacing w:before="0" w:after="34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28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w:t>
        <w:tab/>
        <w:t>公司未来发展的展望</w:t>
      </w:r>
      <w:bookmarkEnd w:id="222"/>
      <w:bookmarkEnd w:id="223"/>
      <w:bookmarkEnd w:id="225"/>
    </w:p>
    <w:p>
      <w:pPr>
        <w:pStyle w:val="Style34"/>
        <w:keepNext w:val="0"/>
        <w:keepLines w:val="0"/>
        <w:widowControl w:val="0"/>
        <w:shd w:val="clear" w:color="auto" w:fill="auto"/>
        <w:bidi w:val="0"/>
        <w:spacing w:before="0" w:after="0" w:line="317" w:lineRule="exact"/>
        <w:ind w:left="0" w:right="0" w:firstLine="440"/>
        <w:jc w:val="both"/>
      </w:pPr>
      <w:bookmarkStart w:id="226" w:name="bookmark226"/>
      <w:r>
        <w:rPr>
          <w:b/>
          <w:bCs/>
          <w:color w:val="000000"/>
          <w:spacing w:val="0"/>
          <w:w w:val="100"/>
          <w:position w:val="0"/>
        </w:rPr>
        <w:t>（</w:t>
      </w:r>
      <w:bookmarkEnd w:id="226"/>
      <w:r>
        <w:rPr>
          <w:b/>
          <w:bCs/>
          <w:color w:val="000000"/>
          <w:spacing w:val="0"/>
          <w:w w:val="100"/>
          <w:position w:val="0"/>
        </w:rPr>
        <w:t>一）行业发展趋势与区位优势</w:t>
      </w:r>
    </w:p>
    <w:p>
      <w:pPr>
        <w:pStyle w:val="Style34"/>
        <w:keepNext w:val="0"/>
        <w:keepLines w:val="0"/>
        <w:widowControl w:val="0"/>
        <w:shd w:val="clear" w:color="auto" w:fill="auto"/>
        <w:bidi w:val="0"/>
        <w:spacing w:before="0" w:after="0" w:line="317" w:lineRule="exact"/>
        <w:ind w:left="0" w:right="0" w:firstLine="440"/>
        <w:jc w:val="both"/>
      </w:pPr>
      <w:bookmarkStart w:id="227" w:name="bookmark227"/>
      <w:r>
        <w:rPr>
          <w:rFonts w:ascii="Times New Roman" w:eastAsia="Times New Roman" w:hAnsi="Times New Roman" w:cs="Times New Roman"/>
          <w:b/>
          <w:bCs/>
          <w:color w:val="000000"/>
          <w:spacing w:val="0"/>
          <w:w w:val="100"/>
          <w:position w:val="0"/>
        </w:rPr>
        <w:t>1</w:t>
      </w:r>
      <w:bookmarkEnd w:id="227"/>
      <w:r>
        <w:rPr>
          <w:b/>
          <w:bCs/>
          <w:color w:val="000000"/>
          <w:spacing w:val="0"/>
          <w:w w:val="100"/>
          <w:position w:val="0"/>
        </w:rPr>
        <w:t>、新基建下智慧城市新的发展内涵和方向</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年远景目标提出，要统筹推进传统基础设施和新型基础设施建设，加快数字 化发展，打造数字经济新优势，协同推进数字产业化和产业数字化转型，加快数字社会建设步伐，提高数 字政府建设水平，营造良好数字生态，建设数字中国。当前，我国智慧城市建设已经跨入</w:t>
      </w:r>
      <w:r>
        <w:rPr>
          <w:rFonts w:ascii="Times New Roman" w:eastAsia="Times New Roman" w:hAnsi="Times New Roman" w:cs="Times New Roman"/>
          <w:color w:val="000000"/>
          <w:spacing w:val="0"/>
          <w:w w:val="100"/>
          <w:position w:val="0"/>
        </w:rPr>
        <w:t>3.0</w:t>
      </w:r>
      <w:r>
        <w:rPr>
          <w:color w:val="000000"/>
          <w:spacing w:val="0"/>
          <w:w w:val="100"/>
          <w:position w:val="0"/>
        </w:rPr>
        <w:t xml:space="preserve">时代，这一时 代是旨在创造性地提升市民体验的大数据应用，未来十年，将是智慧城市创新和谋变发展的十年，也是大 </w:t>
      </w:r>
      <w:r>
        <w:rPr>
          <w:color w:val="000000"/>
          <w:spacing w:val="0"/>
          <w:w w:val="100"/>
          <w:position w:val="0"/>
        </w:rPr>
        <w:t>规模落地的十年，</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将从概念、少数城市拥有走向大众参与、各个城市都要具备的基本配置。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的驱动下，数字经济蓬勃发展，智慧城市建设乘风破浪正当其时。进入</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时期，城 市发展聚焦民生服务和产业发展需求，不断拓展智慧城市创新应用场景，持续为在现代复杂社会条件下实 现城市治理现代化提供技术与平台支撑，最终实现</w:t>
      </w:r>
      <w:r>
        <w:rPr>
          <w:rFonts w:ascii="Times New Roman" w:eastAsia="Times New Roman" w:hAnsi="Times New Roman" w:cs="Times New Roman"/>
          <w:color w:val="000000"/>
          <w:spacing w:val="0"/>
          <w:w w:val="100"/>
          <w:position w:val="0"/>
        </w:rPr>
        <w:t>“</w:t>
      </w:r>
      <w:r>
        <w:rPr>
          <w:color w:val="000000"/>
          <w:spacing w:val="0"/>
          <w:w w:val="100"/>
          <w:position w:val="0"/>
        </w:rPr>
        <w:t>技术让人类生活更美好</w:t>
      </w:r>
      <w:r>
        <w:rPr>
          <w:rFonts w:ascii="Times New Roman" w:eastAsia="Times New Roman" w:hAnsi="Times New Roman" w:cs="Times New Roman"/>
          <w:color w:val="000000"/>
          <w:spacing w:val="0"/>
          <w:w w:val="100"/>
          <w:position w:val="0"/>
        </w:rPr>
        <w:t>''</w:t>
      </w:r>
      <w:r>
        <w:rPr>
          <w:color w:val="000000"/>
          <w:spacing w:val="0"/>
          <w:w w:val="100"/>
          <w:position w:val="0"/>
        </w:rPr>
        <w:t>的目标。</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根据德勤统计，国内智慧城市市场规模近</w:t>
      </w:r>
      <w:r>
        <w:rPr>
          <w:rFonts w:ascii="Times New Roman" w:eastAsia="Times New Roman" w:hAnsi="Times New Roman" w:cs="Times New Roman"/>
          <w:color w:val="000000"/>
          <w:spacing w:val="0"/>
          <w:w w:val="100"/>
          <w:position w:val="0"/>
        </w:rPr>
        <w:t>5</w:t>
      </w:r>
      <w:r>
        <w:rPr>
          <w:color w:val="000000"/>
          <w:spacing w:val="0"/>
          <w:w w:val="100"/>
          <w:position w:val="0"/>
        </w:rPr>
        <w:t>年均保持</w:t>
      </w:r>
      <w:r>
        <w:rPr>
          <w:rFonts w:ascii="Times New Roman" w:eastAsia="Times New Roman" w:hAnsi="Times New Roman" w:cs="Times New Roman"/>
          <w:color w:val="000000"/>
          <w:spacing w:val="0"/>
          <w:w w:val="100"/>
          <w:position w:val="0"/>
        </w:rPr>
        <w:t>30%</w:t>
      </w:r>
      <w:r>
        <w:rPr>
          <w:color w:val="000000"/>
          <w:spacing w:val="0"/>
          <w:w w:val="100"/>
          <w:position w:val="0"/>
        </w:rPr>
        <w:t>以上增长，</w:t>
      </w:r>
      <w:r>
        <w:rPr>
          <w:rFonts w:ascii="Times New Roman" w:eastAsia="Times New Roman" w:hAnsi="Times New Roman" w:cs="Times New Roman"/>
          <w:color w:val="000000"/>
          <w:spacing w:val="0"/>
          <w:w w:val="100"/>
          <w:position w:val="0"/>
        </w:rPr>
        <w:t>2019</w:t>
      </w:r>
      <w:r>
        <w:rPr>
          <w:color w:val="000000"/>
          <w:spacing w:val="0"/>
          <w:w w:val="100"/>
          <w:position w:val="0"/>
        </w:rPr>
        <w:t>年市场规模达到</w:t>
      </w:r>
      <w:r>
        <w:rPr>
          <w:rFonts w:ascii="Times New Roman" w:eastAsia="Times New Roman" w:hAnsi="Times New Roman" w:cs="Times New Roman"/>
          <w:color w:val="000000"/>
          <w:spacing w:val="0"/>
          <w:w w:val="100"/>
          <w:position w:val="0"/>
        </w:rPr>
        <w:t>10.5</w:t>
      </w:r>
      <w:r>
        <w:rPr>
          <w:color w:val="000000"/>
          <w:spacing w:val="0"/>
          <w:w w:val="100"/>
          <w:position w:val="0"/>
        </w:rPr>
        <w:t xml:space="preserve">万亿元。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IDC（ Analyze the Future</w:t>
      </w:r>
      <w:r>
        <w:rPr>
          <w:color w:val="000000"/>
          <w:spacing w:val="0"/>
          <w:w w:val="100"/>
          <w:position w:val="0"/>
        </w:rPr>
        <w:t>）</w:t>
      </w:r>
      <w:r>
        <w:rPr>
          <w:color w:val="000000"/>
          <w:spacing w:val="0"/>
          <w:w w:val="100"/>
          <w:position w:val="0"/>
        </w:rPr>
        <w:t>发布的《全球智慧城市支出指南》，中国的智慧城市市场规模占全球的</w:t>
      </w:r>
      <w:r>
        <w:rPr>
          <w:rFonts w:ascii="Times New Roman" w:eastAsia="Times New Roman" w:hAnsi="Times New Roman" w:cs="Times New Roman"/>
          <w:color w:val="000000"/>
          <w:spacing w:val="0"/>
          <w:w w:val="100"/>
          <w:position w:val="0"/>
        </w:rPr>
        <w:t>22.7%</w:t>
      </w:r>
      <w:r>
        <w:rPr>
          <w:color w:val="000000"/>
          <w:spacing w:val="0"/>
          <w:w w:val="100"/>
          <w:position w:val="0"/>
        </w:rPr>
        <w:t>， 仅次于美国和西欧地区，作为一个高技术含量、高附加值的新产业，智慧城市市场规模大、发展潜力大。 据</w:t>
      </w:r>
      <w:r>
        <w:rPr>
          <w:rFonts w:ascii="Times New Roman" w:eastAsia="Times New Roman" w:hAnsi="Times New Roman" w:cs="Times New Roman"/>
          <w:color w:val="000000"/>
          <w:spacing w:val="0"/>
          <w:w w:val="100"/>
          <w:position w:val="0"/>
        </w:rPr>
        <w:t>IDC</w:t>
      </w:r>
      <w:r>
        <w:rPr>
          <w:color w:val="000000"/>
          <w:spacing w:val="0"/>
          <w:w w:val="100"/>
          <w:position w:val="0"/>
        </w:rPr>
        <w:t>预测，</w:t>
      </w:r>
      <w:r>
        <w:rPr>
          <w:rFonts w:ascii="Times New Roman" w:eastAsia="Times New Roman" w:hAnsi="Times New Roman" w:cs="Times New Roman"/>
          <w:color w:val="000000"/>
          <w:spacing w:val="0"/>
          <w:w w:val="100"/>
          <w:position w:val="0"/>
        </w:rPr>
        <w:t>2020</w:t>
      </w:r>
      <w:r>
        <w:rPr>
          <w:color w:val="000000"/>
          <w:spacing w:val="0"/>
          <w:w w:val="100"/>
          <w:position w:val="0"/>
        </w:rPr>
        <w:t>年中国智慧城市市场支出规模达到</w:t>
      </w:r>
      <w:r>
        <w:rPr>
          <w:rFonts w:ascii="Times New Roman" w:eastAsia="Times New Roman" w:hAnsi="Times New Roman" w:cs="Times New Roman"/>
          <w:color w:val="000000"/>
          <w:spacing w:val="0"/>
          <w:w w:val="100"/>
          <w:position w:val="0"/>
        </w:rPr>
        <w:t>266</w:t>
      </w:r>
      <w:r>
        <w:rPr>
          <w:color w:val="000000"/>
          <w:spacing w:val="0"/>
          <w:w w:val="100"/>
          <w:position w:val="0"/>
        </w:rPr>
        <w:t>亿美元，且在未来五年内将继续保持</w:t>
      </w:r>
      <w:r>
        <w:rPr>
          <w:rFonts w:ascii="Times New Roman" w:eastAsia="Times New Roman" w:hAnsi="Times New Roman" w:cs="Times New Roman"/>
          <w:color w:val="000000"/>
          <w:spacing w:val="0"/>
          <w:w w:val="100"/>
          <w:position w:val="0"/>
        </w:rPr>
        <w:t>15%</w:t>
      </w:r>
      <w:r>
        <w:rPr>
          <w:color w:val="000000"/>
          <w:spacing w:val="0"/>
          <w:w w:val="100"/>
          <w:position w:val="0"/>
        </w:rPr>
        <w:t>以上的年 复合增长率。</w:t>
      </w:r>
    </w:p>
    <w:p>
      <w:pPr>
        <w:pStyle w:val="Style3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在技术创新的不断驱动下，智慧城市建设将迈向更高级别，</w:t>
      </w:r>
      <w:r>
        <w:rPr>
          <w:rFonts w:ascii="Times New Roman" w:eastAsia="Times New Roman" w:hAnsi="Times New Roman" w:cs="Times New Roman"/>
          <w:color w:val="000000"/>
          <w:spacing w:val="0"/>
          <w:w w:val="100"/>
          <w:position w:val="0"/>
        </w:rPr>
        <w:t>5G</w:t>
      </w:r>
      <w:r>
        <w:rPr>
          <w:color w:val="000000"/>
          <w:spacing w:val="0"/>
          <w:w w:val="100"/>
          <w:position w:val="0"/>
        </w:rPr>
        <w:t>通信、大数据、云计算、虚拟现实、 物联网等信息技术的逐渐成熟对于智慧城市解决方案质量的提升起着十分重要的作用。在整合智慧城市平 台建设中，加强数据中心建设，完善公共安全、应急管理体系，运用数字化手段提升城市安全保障水平， 实现智慧城市体验提升，将是未来智慧城市建设发展过程中的重要趋势。</w:t>
      </w:r>
    </w:p>
    <w:p>
      <w:pPr>
        <w:pStyle w:val="Style34"/>
        <w:keepNext w:val="0"/>
        <w:keepLines w:val="0"/>
        <w:widowControl w:val="0"/>
        <w:shd w:val="clear" w:color="auto" w:fill="auto"/>
        <w:tabs>
          <w:tab w:pos="758" w:val="left"/>
        </w:tabs>
        <w:bidi w:val="0"/>
        <w:spacing w:before="0" w:after="0" w:line="312" w:lineRule="exact"/>
        <w:ind w:left="0" w:right="0" w:firstLine="440"/>
        <w:jc w:val="both"/>
      </w:pPr>
      <w:bookmarkStart w:id="228" w:name="bookmark228"/>
      <w:r>
        <w:rPr>
          <w:rFonts w:ascii="Times New Roman" w:eastAsia="Times New Roman" w:hAnsi="Times New Roman" w:cs="Times New Roman"/>
          <w:b/>
          <w:bCs/>
          <w:color w:val="000000"/>
          <w:spacing w:val="0"/>
          <w:w w:val="100"/>
          <w:position w:val="0"/>
        </w:rPr>
        <w:t>2</w:t>
      </w:r>
      <w:bookmarkEnd w:id="228"/>
      <w:r>
        <w:rPr>
          <w:b/>
          <w:bCs/>
          <w:color w:val="000000"/>
          <w:spacing w:val="0"/>
          <w:w w:val="100"/>
          <w:position w:val="0"/>
        </w:rPr>
        <w:t>、</w:t>
        <w:tab/>
        <w:t>新时代的新互联网医疗产业</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互联网医疗能够提升医疗卫生现代化管理水平，优化资源配置，创新服务模式，提高服务效率，降低 服务成本，更好满足人民群众日益增长的医疗卫生健康需求。同时，互联网医疗为推动互联网与医疗健康 服务融合，促进健康产业发展提供了新机遇。根据易观数据显示，</w:t>
      </w:r>
      <w:r>
        <w:rPr>
          <w:rFonts w:ascii="Times New Roman" w:eastAsia="Times New Roman" w:hAnsi="Times New Roman" w:cs="Times New Roman"/>
          <w:color w:val="000000"/>
          <w:spacing w:val="0"/>
          <w:w w:val="100"/>
          <w:position w:val="0"/>
        </w:rPr>
        <w:t>2015-2019</w:t>
      </w:r>
      <w:r>
        <w:rPr>
          <w:color w:val="000000"/>
          <w:spacing w:val="0"/>
          <w:w w:val="100"/>
          <w:position w:val="0"/>
        </w:rPr>
        <w:t>年我国互联网医疗市场规模整 体呈现逐年增长的趋势。到</w:t>
      </w:r>
      <w:r>
        <w:rPr>
          <w:rFonts w:ascii="Times New Roman" w:eastAsia="Times New Roman" w:hAnsi="Times New Roman" w:cs="Times New Roman"/>
          <w:color w:val="000000"/>
          <w:spacing w:val="0"/>
          <w:w w:val="100"/>
          <w:position w:val="0"/>
        </w:rPr>
        <w:t>2019</w:t>
      </w:r>
      <w:r>
        <w:rPr>
          <w:color w:val="000000"/>
          <w:spacing w:val="0"/>
          <w:w w:val="100"/>
          <w:position w:val="0"/>
        </w:rPr>
        <w:t>年，其市场规模达到</w:t>
      </w:r>
      <w:r>
        <w:rPr>
          <w:rFonts w:ascii="Times New Roman" w:eastAsia="Times New Roman" w:hAnsi="Times New Roman" w:cs="Times New Roman"/>
          <w:color w:val="000000"/>
          <w:spacing w:val="0"/>
          <w:w w:val="100"/>
          <w:position w:val="0"/>
        </w:rPr>
        <w:t>1336.88</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年，疫情加速了互联网医疗市场发 展，其市场规模将达到</w:t>
      </w:r>
      <w:r>
        <w:rPr>
          <w:rFonts w:ascii="Times New Roman" w:eastAsia="Times New Roman" w:hAnsi="Times New Roman" w:cs="Times New Roman"/>
          <w:color w:val="000000"/>
          <w:spacing w:val="0"/>
          <w:w w:val="100"/>
          <w:position w:val="0"/>
        </w:rPr>
        <w:t>1961</w:t>
      </w:r>
      <w:r>
        <w:rPr>
          <w:color w:val="000000"/>
          <w:spacing w:val="0"/>
          <w:w w:val="100"/>
          <w:position w:val="0"/>
        </w:rPr>
        <w:t>亿元。</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在新冠肺炎疫情防控中，互联网医疗模式的降低时间成本、个性化定制、信息透明等优势全面凸显， 在应对疫情、满足人民群众就医需求等方面发挥了重要作用。国家相继出台一系列政策，鼓励互联网医院、 互联网诊疗服务，支撑常态化疫情防控工作。据统计，</w:t>
      </w:r>
      <w:r>
        <w:rPr>
          <w:rFonts w:ascii="Times New Roman" w:eastAsia="Times New Roman" w:hAnsi="Times New Roman" w:cs="Times New Roman"/>
          <w:color w:val="000000"/>
          <w:spacing w:val="0"/>
          <w:w w:val="100"/>
          <w:position w:val="0"/>
        </w:rPr>
        <w:t>2020</w:t>
      </w:r>
      <w:r>
        <w:rPr>
          <w:color w:val="000000"/>
          <w:spacing w:val="0"/>
          <w:w w:val="100"/>
          <w:position w:val="0"/>
        </w:rPr>
        <w:t>年互联网医院领域总共出台</w:t>
      </w:r>
      <w:r>
        <w:rPr>
          <w:rFonts w:ascii="Times New Roman" w:eastAsia="Times New Roman" w:hAnsi="Times New Roman" w:cs="Times New Roman"/>
          <w:color w:val="000000"/>
          <w:spacing w:val="0"/>
          <w:w w:val="100"/>
          <w:position w:val="0"/>
        </w:rPr>
        <w:t>56</w:t>
      </w:r>
      <w:r>
        <w:rPr>
          <w:color w:val="000000"/>
          <w:spacing w:val="0"/>
          <w:w w:val="100"/>
          <w:position w:val="0"/>
        </w:rPr>
        <w:t>条积极支持性政 策，涉及到医保支付、完善智慧医院建设、网售处方药等方面，政策连续性强、落地周期短。</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日国家正式实施《医疗机构医疗保障定点管理暂行办法》和《零售药店医疗保障定点管理暂行办法》，明 显放宽了对互联网</w:t>
      </w:r>
      <w:r>
        <w:rPr>
          <w:rFonts w:ascii="Times New Roman" w:eastAsia="Times New Roman" w:hAnsi="Times New Roman" w:cs="Times New Roman"/>
          <w:color w:val="000000"/>
          <w:spacing w:val="0"/>
          <w:w w:val="100"/>
          <w:position w:val="0"/>
        </w:rPr>
        <w:t>+</w:t>
      </w:r>
      <w:r>
        <w:rPr>
          <w:color w:val="000000"/>
          <w:spacing w:val="0"/>
          <w:w w:val="100"/>
          <w:position w:val="0"/>
        </w:rPr>
        <w:t>医疗的限制，且打通了医保、支付等多处关键环节。</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疫情常态化防控形势下，互联网医院模式优势明显，成为智慧医疗未来的蓝海市场。我国新互联网医 疗的市场增长潜力巨大。在政策鼓励、疫情防控、慢性病防控需求的多重驱动下，伴随国家体制市场化、 居民就医习惯转变以及</w:t>
      </w:r>
      <w:r>
        <w:rPr>
          <w:rFonts w:ascii="Times New Roman" w:eastAsia="Times New Roman" w:hAnsi="Times New Roman" w:cs="Times New Roman"/>
          <w:color w:val="000000"/>
          <w:spacing w:val="0"/>
          <w:w w:val="100"/>
          <w:position w:val="0"/>
        </w:rPr>
        <w:t>5G</w:t>
      </w:r>
      <w:r>
        <w:rPr>
          <w:color w:val="000000"/>
          <w:spacing w:val="0"/>
          <w:w w:val="100"/>
          <w:position w:val="0"/>
        </w:rPr>
        <w:t>及硬件技术突破与加持，互联网</w:t>
      </w:r>
      <w:r>
        <w:rPr>
          <w:rFonts w:ascii="Times New Roman" w:eastAsia="Times New Roman" w:hAnsi="Times New Roman" w:cs="Times New Roman"/>
          <w:color w:val="000000"/>
          <w:spacing w:val="0"/>
          <w:w w:val="100"/>
          <w:position w:val="0"/>
        </w:rPr>
        <w:t>+</w:t>
      </w:r>
      <w:r>
        <w:rPr>
          <w:color w:val="000000"/>
          <w:spacing w:val="0"/>
          <w:w w:val="100"/>
          <w:position w:val="0"/>
        </w:rPr>
        <w:t>医疗行业将迎来新一轮发展期。</w:t>
      </w:r>
    </w:p>
    <w:p>
      <w:pPr>
        <w:pStyle w:val="Style34"/>
        <w:keepNext w:val="0"/>
        <w:keepLines w:val="0"/>
        <w:widowControl w:val="0"/>
        <w:shd w:val="clear" w:color="auto" w:fill="auto"/>
        <w:tabs>
          <w:tab w:pos="758" w:val="left"/>
        </w:tabs>
        <w:bidi w:val="0"/>
        <w:spacing w:before="0" w:after="0" w:line="312" w:lineRule="exact"/>
        <w:ind w:left="0" w:right="0" w:firstLine="440"/>
        <w:jc w:val="both"/>
      </w:pPr>
      <w:bookmarkStart w:id="229" w:name="bookmark229"/>
      <w:r>
        <w:rPr>
          <w:rFonts w:ascii="Times New Roman" w:eastAsia="Times New Roman" w:hAnsi="Times New Roman" w:cs="Times New Roman"/>
          <w:b/>
          <w:bCs/>
          <w:color w:val="000000"/>
          <w:spacing w:val="0"/>
          <w:w w:val="100"/>
          <w:position w:val="0"/>
        </w:rPr>
        <w:t>3</w:t>
      </w:r>
      <w:bookmarkEnd w:id="229"/>
      <w:r>
        <w:rPr>
          <w:b/>
          <w:bCs/>
          <w:color w:val="000000"/>
          <w:spacing w:val="0"/>
          <w:w w:val="100"/>
          <w:position w:val="0"/>
        </w:rPr>
        <w:t>、</w:t>
        <w:tab/>
        <w:t>平潭综合实验区的区位优势和政策优势</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平潭综合实验区位于台湾海峡中北部，具有对台交流合作的独特优势。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月，国务院发布《平 潭综合实验区总体发展规划》，明确了平潭建设</w:t>
      </w:r>
      <w:r>
        <w:rPr>
          <w:rFonts w:ascii="Times New Roman" w:eastAsia="Times New Roman" w:hAnsi="Times New Roman" w:cs="Times New Roman"/>
          <w:color w:val="000000"/>
          <w:spacing w:val="0"/>
          <w:w w:val="100"/>
          <w:position w:val="0"/>
        </w:rPr>
        <w:t>“</w:t>
      </w:r>
      <w:r>
        <w:rPr>
          <w:color w:val="000000"/>
          <w:spacing w:val="0"/>
          <w:w w:val="100"/>
          <w:position w:val="0"/>
        </w:rPr>
        <w:t>两岸同胞共同家园</w:t>
      </w:r>
      <w:r>
        <w:rPr>
          <w:color w:val="000000"/>
          <w:spacing w:val="0"/>
          <w:w w:val="100"/>
          <w:position w:val="0"/>
        </w:rPr>
        <w:t>''</w:t>
      </w:r>
      <w:r>
        <w:rPr>
          <w:color w:val="000000"/>
          <w:spacing w:val="0"/>
          <w:w w:val="100"/>
          <w:position w:val="0"/>
        </w:rPr>
        <w:t>的目标定位，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月，国家批准设 立福建自由贸易试验区平潭片区，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月，国家批准建设平潭国际旅游岛。根据《国务院关于平潭国 际旅游岛建设方案的批复》（国函〔</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143</w:t>
      </w:r>
      <w:r>
        <w:rPr>
          <w:color w:val="000000"/>
          <w:spacing w:val="0"/>
          <w:w w:val="100"/>
          <w:position w:val="0"/>
        </w:rPr>
        <w:t>号）和《国务院关于支持自由贸易试验区深化改革创新若 干措施的通知》（国发〔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38</w:t>
      </w:r>
      <w:r>
        <w:rPr>
          <w:color w:val="000000"/>
          <w:spacing w:val="0"/>
          <w:w w:val="100"/>
          <w:position w:val="0"/>
        </w:rPr>
        <w:t>号）等文件，平潭是大陆唯一的</w:t>
      </w:r>
      <w:r>
        <w:rPr>
          <w:rFonts w:ascii="Times New Roman" w:eastAsia="Times New Roman" w:hAnsi="Times New Roman" w:cs="Times New Roman"/>
          <w:color w:val="000000"/>
          <w:spacing w:val="0"/>
          <w:w w:val="100"/>
          <w:position w:val="0"/>
        </w:rPr>
        <w:t>“</w:t>
      </w:r>
      <w:r>
        <w:rPr>
          <w:color w:val="000000"/>
          <w:spacing w:val="0"/>
          <w:w w:val="100"/>
          <w:position w:val="0"/>
        </w:rPr>
        <w:t>综合实验区</w:t>
      </w:r>
      <w:r>
        <w:rPr>
          <w:rFonts w:ascii="Times New Roman" w:eastAsia="Times New Roman" w:hAnsi="Times New Roman" w:cs="Times New Roman"/>
          <w:color w:val="000000"/>
          <w:spacing w:val="0"/>
          <w:w w:val="100"/>
          <w:position w:val="0"/>
        </w:rPr>
        <w:t>+</w:t>
      </w:r>
      <w:r>
        <w:rPr>
          <w:color w:val="000000"/>
          <w:spacing w:val="0"/>
          <w:w w:val="100"/>
          <w:position w:val="0"/>
        </w:rPr>
        <w:t>自由自贸区</w:t>
      </w:r>
      <w:r>
        <w:rPr>
          <w:rFonts w:ascii="Times New Roman" w:eastAsia="Times New Roman" w:hAnsi="Times New Roman" w:cs="Times New Roman"/>
          <w:color w:val="000000"/>
          <w:spacing w:val="0"/>
          <w:w w:val="100"/>
          <w:position w:val="0"/>
        </w:rPr>
        <w:t>+</w:t>
      </w:r>
      <w:r>
        <w:rPr>
          <w:color w:val="000000"/>
          <w:spacing w:val="0"/>
          <w:w w:val="100"/>
          <w:position w:val="0"/>
        </w:rPr>
        <w:t>国际旅游岛</w:t>
      </w:r>
      <w:r>
        <w:rPr>
          <w:rFonts w:ascii="Times New Roman" w:eastAsia="Times New Roman" w:hAnsi="Times New Roman" w:cs="Times New Roman"/>
          <w:color w:val="000000"/>
          <w:spacing w:val="0"/>
          <w:w w:val="100"/>
          <w:position w:val="0"/>
        </w:rPr>
        <w:t>”</w:t>
      </w:r>
      <w:r>
        <w:rPr>
          <w:color w:val="000000"/>
          <w:spacing w:val="0"/>
          <w:w w:val="100"/>
          <w:position w:val="0"/>
        </w:rPr>
        <w:t>， 具有独特的区位及税收等政策优势。</w:t>
      </w:r>
    </w:p>
    <w:p>
      <w:pPr>
        <w:pStyle w:val="Style3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年，《中共中央关于制定国民经济和社会发展第十四个五年规划和二。三五年远景目标的建议》 提出</w:t>
      </w:r>
      <w:r>
        <w:rPr>
          <w:rFonts w:ascii="Times New Roman" w:eastAsia="Times New Roman" w:hAnsi="Times New Roman" w:cs="Times New Roman"/>
          <w:color w:val="000000"/>
          <w:spacing w:val="0"/>
          <w:w w:val="100"/>
          <w:position w:val="0"/>
        </w:rPr>
        <w:t>“</w:t>
      </w:r>
      <w:r>
        <w:rPr>
          <w:color w:val="000000"/>
          <w:spacing w:val="0"/>
          <w:w w:val="100"/>
          <w:position w:val="0"/>
        </w:rPr>
        <w:t>支持福建探索海峡两岸融合发展新路</w:t>
      </w:r>
      <w:r>
        <w:rPr>
          <w:rFonts w:ascii="Times New Roman" w:eastAsia="Times New Roman" w:hAnsi="Times New Roman" w:cs="Times New Roman"/>
          <w:color w:val="000000"/>
          <w:spacing w:val="0"/>
          <w:w w:val="100"/>
          <w:position w:val="0"/>
        </w:rPr>
        <w:t>”</w:t>
      </w:r>
      <w:r>
        <w:rPr>
          <w:color w:val="000000"/>
          <w:spacing w:val="0"/>
          <w:w w:val="100"/>
          <w:position w:val="0"/>
        </w:rPr>
        <w:t>，为平潭综合实验区持续探索对台融合提供了新机遇。按照规 划，平潭正积极争取离岛购物免税等重大政策落地，积极推进全域</w:t>
      </w:r>
      <w:r>
        <w:rPr>
          <w:rFonts w:ascii="Times New Roman" w:eastAsia="Times New Roman" w:hAnsi="Times New Roman" w:cs="Times New Roman"/>
          <w:color w:val="000000"/>
          <w:spacing w:val="0"/>
          <w:w w:val="100"/>
          <w:position w:val="0"/>
        </w:rPr>
        <w:t>5G</w:t>
      </w:r>
      <w:r>
        <w:rPr>
          <w:color w:val="000000"/>
          <w:spacing w:val="0"/>
          <w:w w:val="100"/>
          <w:position w:val="0"/>
        </w:rPr>
        <w:t>建设、新型智慧岛、国际旅游岛、国 家离岸数据中心、云计算专区与信息保税港等项目；积极推动健康产业超越发展，培育发展化妆品及中药 材跨境贸易、进口药品分包装、医疗器械</w:t>
      </w:r>
      <w:r>
        <w:rPr>
          <w:rFonts w:ascii="Times New Roman" w:eastAsia="Times New Roman" w:hAnsi="Times New Roman" w:cs="Times New Roman"/>
          <w:color w:val="000000"/>
          <w:spacing w:val="0"/>
          <w:w w:val="100"/>
          <w:position w:val="0"/>
        </w:rPr>
        <w:t>“</w:t>
      </w:r>
      <w:r>
        <w:rPr>
          <w:color w:val="000000"/>
          <w:spacing w:val="0"/>
          <w:w w:val="100"/>
          <w:position w:val="0"/>
        </w:rPr>
        <w:t>组配式</w:t>
      </w:r>
      <w:r>
        <w:rPr>
          <w:rFonts w:ascii="Times New Roman" w:eastAsia="Times New Roman" w:hAnsi="Times New Roman" w:cs="Times New Roman"/>
          <w:color w:val="000000"/>
          <w:spacing w:val="0"/>
          <w:w w:val="100"/>
          <w:position w:val="0"/>
        </w:rPr>
        <w:t>”</w:t>
      </w:r>
      <w:r>
        <w:rPr>
          <w:color w:val="000000"/>
          <w:spacing w:val="0"/>
          <w:w w:val="100"/>
          <w:position w:val="0"/>
        </w:rPr>
        <w:t>生产等业态，推动打造高端医疗集聚区和国际医美健康 岛；推动设立闽台医疗合作创新中心，促进台湾医养、医美等高端健康服务产业落地发展；注重以通促融、 以惠促融、以情促融，加快建设台胞台企登陆第一家园先行区。目前平潭正在大力推进国际旅游岛建设， 将医疗、养老、康复、保健等健康产业与旅游产业结合，引进台湾医疗资源，打造健康旅游新名片。</w:t>
      </w:r>
    </w:p>
    <w:p>
      <w:pPr>
        <w:pStyle w:val="Style34"/>
        <w:keepNext w:val="0"/>
        <w:keepLines w:val="0"/>
        <w:widowControl w:val="0"/>
        <w:shd w:val="clear" w:color="auto" w:fill="auto"/>
        <w:bidi w:val="0"/>
        <w:spacing w:before="0" w:after="0" w:line="312" w:lineRule="exact"/>
        <w:ind w:left="0" w:right="0" w:firstLine="440"/>
        <w:jc w:val="both"/>
      </w:pPr>
      <w:bookmarkStart w:id="230" w:name="bookmark230"/>
      <w:r>
        <w:rPr>
          <w:b/>
          <w:bCs/>
          <w:color w:val="000000"/>
          <w:spacing w:val="0"/>
          <w:w w:val="100"/>
          <w:position w:val="0"/>
        </w:rPr>
        <w:t>（</w:t>
      </w:r>
      <w:bookmarkEnd w:id="230"/>
      <w:r>
        <w:rPr>
          <w:b/>
          <w:bCs/>
          <w:color w:val="000000"/>
          <w:spacing w:val="0"/>
          <w:w w:val="100"/>
          <w:position w:val="0"/>
        </w:rPr>
        <w:t>二）</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年度经营思路</w:t>
      </w:r>
    </w:p>
    <w:p>
      <w:pPr>
        <w:pStyle w:val="Style3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年组织驱动进步与转变明显，但经营效率有待提升，组织绩效、个人绩效及各项经营指标考核合 理性提升空间较大。</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年公司将继续聚焦主业，以组织绩效为牵引，落实全面预算、围绕经营预算指标、 中长期发展规划，持续推进企业转型升级，坚定以智慧城市和智慧医疗为核心主业的公司长期发展战略， 梳理、优化现有投资项目，凭借原有的产业、渠道和技术底蕴，在平潭综合实验区的区位优势和政策红利 支持下，努力确保主业增长的同时提升公司整体价值及核心竞争力。</w:t>
      </w:r>
    </w:p>
    <w:p>
      <w:pPr>
        <w:pStyle w:val="Style34"/>
        <w:keepNext w:val="0"/>
        <w:keepLines w:val="0"/>
        <w:widowControl w:val="0"/>
        <w:shd w:val="clear" w:color="auto" w:fill="auto"/>
        <w:tabs>
          <w:tab w:pos="754" w:val="left"/>
        </w:tabs>
        <w:bidi w:val="0"/>
        <w:spacing w:before="0" w:after="0" w:line="313" w:lineRule="exact"/>
        <w:ind w:left="0" w:right="0" w:firstLine="440"/>
        <w:jc w:val="both"/>
      </w:pPr>
      <w:bookmarkStart w:id="231" w:name="bookmark231"/>
      <w:r>
        <w:rPr>
          <w:rFonts w:ascii="Times New Roman" w:eastAsia="Times New Roman" w:hAnsi="Times New Roman" w:cs="Times New Roman"/>
          <w:b/>
          <w:bCs/>
          <w:color w:val="000000"/>
          <w:spacing w:val="0"/>
          <w:w w:val="100"/>
          <w:position w:val="0"/>
        </w:rPr>
        <w:t>1</w:t>
      </w:r>
      <w:bookmarkEnd w:id="231"/>
      <w:r>
        <w:rPr>
          <w:b/>
          <w:bCs/>
          <w:color w:val="000000"/>
          <w:spacing w:val="0"/>
          <w:w w:val="100"/>
          <w:position w:val="0"/>
        </w:rPr>
        <w:t>、</w:t>
        <w:tab/>
        <w:t>完善内部管理，激发内生动力</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公司将继续发挥党组织的领导核心和政治核心作用，强化党建引领，坚持服务生产经营不偏离，深化 党业融合，持续以高质量党建推动企业高质量发展。积极贯彻党中央关于推动国企完善现代企业制度的精 神，深化企业改革，建立长效激励约束机制，完善经营层目标考核体系，积极探索经营层任期制契约化管 理。由</w:t>
      </w:r>
      <w:r>
        <w:rPr>
          <w:rFonts w:ascii="Times New Roman" w:eastAsia="Times New Roman" w:hAnsi="Times New Roman" w:cs="Times New Roman"/>
          <w:color w:val="000000"/>
          <w:spacing w:val="0"/>
          <w:w w:val="100"/>
          <w:position w:val="0"/>
        </w:rPr>
        <w:t>“</w:t>
      </w:r>
      <w:r>
        <w:rPr>
          <w:color w:val="000000"/>
          <w:spacing w:val="0"/>
          <w:w w:val="100"/>
          <w:position w:val="0"/>
        </w:rPr>
        <w:t>职能管理</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经营管理</w:t>
      </w:r>
      <w:r>
        <w:rPr>
          <w:rFonts w:ascii="Times New Roman" w:eastAsia="Times New Roman" w:hAnsi="Times New Roman" w:cs="Times New Roman"/>
          <w:color w:val="000000"/>
          <w:spacing w:val="0"/>
          <w:w w:val="100"/>
          <w:position w:val="0"/>
        </w:rPr>
        <w:t>''</w:t>
      </w:r>
      <w:r>
        <w:rPr>
          <w:color w:val="000000"/>
          <w:spacing w:val="0"/>
          <w:w w:val="100"/>
          <w:position w:val="0"/>
        </w:rPr>
        <w:t>转变，有力支撑企业战略目标、快速响应业务发展需求、持续赋能职能业 务单元；完善以全面预算管理为抓手的运行管控体系，将全部经营活动纳入预算管理；科学编制、分解预 算目标，提高管理效能；优化基于经营业绩的多元激励机制，实现个人目标、团队目标与企业目标的高度 一致，充分激活企业各经营团队，为战略目标的实现提供驱动力。</w:t>
      </w:r>
    </w:p>
    <w:p>
      <w:pPr>
        <w:pStyle w:val="Style34"/>
        <w:keepNext w:val="0"/>
        <w:keepLines w:val="0"/>
        <w:widowControl w:val="0"/>
        <w:shd w:val="clear" w:color="auto" w:fill="auto"/>
        <w:tabs>
          <w:tab w:pos="758" w:val="left"/>
        </w:tabs>
        <w:bidi w:val="0"/>
        <w:spacing w:before="0" w:after="0" w:line="313" w:lineRule="exact"/>
        <w:ind w:left="0" w:right="0" w:firstLine="440"/>
        <w:jc w:val="both"/>
      </w:pPr>
      <w:bookmarkStart w:id="232" w:name="bookmark232"/>
      <w:r>
        <w:rPr>
          <w:rFonts w:ascii="Times New Roman" w:eastAsia="Times New Roman" w:hAnsi="Times New Roman" w:cs="Times New Roman"/>
          <w:b/>
          <w:bCs/>
          <w:color w:val="000000"/>
          <w:spacing w:val="0"/>
          <w:w w:val="100"/>
          <w:position w:val="0"/>
        </w:rPr>
        <w:t>2</w:t>
      </w:r>
      <w:bookmarkEnd w:id="232"/>
      <w:r>
        <w:rPr>
          <w:b/>
          <w:bCs/>
          <w:color w:val="000000"/>
          <w:spacing w:val="0"/>
          <w:w w:val="100"/>
          <w:position w:val="0"/>
        </w:rPr>
        <w:t>、</w:t>
        <w:tab/>
        <w:t>夯实产业基础，强化战略导向</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公司将坚持以</w:t>
      </w:r>
      <w:r>
        <w:rPr>
          <w:rFonts w:ascii="Times New Roman" w:eastAsia="Times New Roman" w:hAnsi="Times New Roman" w:cs="Times New Roman"/>
          <w:color w:val="000000"/>
          <w:spacing w:val="0"/>
          <w:w w:val="100"/>
          <w:position w:val="0"/>
        </w:rPr>
        <w:t>“</w:t>
      </w:r>
      <w:r>
        <w:rPr>
          <w:color w:val="000000"/>
          <w:spacing w:val="0"/>
          <w:w w:val="100"/>
          <w:position w:val="0"/>
        </w:rPr>
        <w:t>聚焦主业</w:t>
      </w:r>
      <w:r>
        <w:rPr>
          <w:rFonts w:ascii="Times New Roman" w:eastAsia="Times New Roman" w:hAnsi="Times New Roman" w:cs="Times New Roman"/>
          <w:color w:val="000000"/>
          <w:spacing w:val="0"/>
          <w:w w:val="100"/>
          <w:position w:val="0"/>
        </w:rPr>
        <w:t>''</w:t>
      </w:r>
      <w:r>
        <w:rPr>
          <w:color w:val="000000"/>
          <w:spacing w:val="0"/>
          <w:w w:val="100"/>
          <w:position w:val="0"/>
        </w:rPr>
        <w:t>为发展原则，清晰战略目标导向，准确把握发展定位，充分利用资源优势， 做精做深做强细分领域，大力推进智慧城市、智慧医疗等核心业务板块发展。</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公司将紧跟国家核心战略布局，瞄准细分领域，以智慧、安全为核心抓手，深化在新基建、安全、社 区等领域的布局，实现在重点发展领域上质与量的突破。智慧城市业务方面，公司将以新基建、数字经济 等战略新兴产业为重要载体，在应急、消防、公安、交通、</w:t>
      </w:r>
      <w:r>
        <w:rPr>
          <w:rFonts w:ascii="Times New Roman" w:eastAsia="Times New Roman" w:hAnsi="Times New Roman" w:cs="Times New Roman"/>
          <w:color w:val="000000"/>
          <w:spacing w:val="0"/>
          <w:w w:val="100"/>
          <w:position w:val="0"/>
        </w:rPr>
        <w:t>IDC</w:t>
      </w:r>
      <w:r>
        <w:rPr>
          <w:color w:val="000000"/>
          <w:spacing w:val="0"/>
          <w:w w:val="100"/>
          <w:position w:val="0"/>
        </w:rPr>
        <w:t>等重点领域发展。同时整合产业生态资源， 升级核心技术产品，提升公司综合实力，在智慧城市、韧性城市建设上提供新思路，助力政府科学决策， 加大居民生活便利。未来公司将继续与政府、大型央企、业内领先企业等进一步合作，推进公司新业务落 地，为公司业务发展培育新动能、开辟新空间、实现新跨越打下基础。</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智慧医疗方面，公司将以福建市场为主并放眼全国，互联网诊疗服务针对</w:t>
      </w:r>
      <w:r>
        <w:rPr>
          <w:rFonts w:ascii="Times New Roman" w:eastAsia="Times New Roman" w:hAnsi="Times New Roman" w:cs="Times New Roman"/>
          <w:color w:val="000000"/>
          <w:spacing w:val="0"/>
          <w:w w:val="100"/>
          <w:position w:val="0"/>
        </w:rPr>
        <w:t>C</w:t>
      </w:r>
      <w:r>
        <w:rPr>
          <w:color w:val="000000"/>
          <w:spacing w:val="0"/>
          <w:w w:val="100"/>
          <w:position w:val="0"/>
        </w:rPr>
        <w:t>端的中产阶级，结合数字 医疗产品引进，智慧医疗产品市场通过大型渠道商的销售网络，推广到整个慢病管理市场中。同时探索发 展康养社区模式，以政府购买服务为推进，以老年人需求为引导，整合社会各类服务资源，为老年人提供 多元居家养老服务体系，形成大健康医疗产业。公司将充分利用现有互联网医院平台，引进台湾地区专业 高端人才和健康管理模式，探索对接台湾医生在互联网医院平台注册执业，为强化两岸共同家园建设提供 新的着力点。</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未来，公司将持续优化投资项目管理，最大限度协同公司主营业务的发展，适时出清非主业相关资产。</w:t>
      </w:r>
    </w:p>
    <w:p>
      <w:pPr>
        <w:pStyle w:val="Style34"/>
        <w:keepNext w:val="0"/>
        <w:keepLines w:val="0"/>
        <w:widowControl w:val="0"/>
        <w:shd w:val="clear" w:color="auto" w:fill="auto"/>
        <w:tabs>
          <w:tab w:pos="758" w:val="left"/>
        </w:tabs>
        <w:bidi w:val="0"/>
        <w:spacing w:before="0" w:after="0" w:line="313" w:lineRule="exact"/>
        <w:ind w:left="0" w:right="0" w:firstLine="440"/>
        <w:jc w:val="both"/>
      </w:pPr>
      <w:bookmarkStart w:id="233" w:name="bookmark233"/>
      <w:r>
        <w:rPr>
          <w:rFonts w:ascii="Times New Roman" w:eastAsia="Times New Roman" w:hAnsi="Times New Roman" w:cs="Times New Roman"/>
          <w:b/>
          <w:bCs/>
          <w:color w:val="000000"/>
          <w:spacing w:val="0"/>
          <w:w w:val="100"/>
          <w:position w:val="0"/>
        </w:rPr>
        <w:t>3</w:t>
      </w:r>
      <w:bookmarkEnd w:id="233"/>
      <w:r>
        <w:rPr>
          <w:b/>
          <w:bCs/>
          <w:color w:val="000000"/>
          <w:spacing w:val="0"/>
          <w:w w:val="100"/>
          <w:position w:val="0"/>
        </w:rPr>
        <w:t>、</w:t>
        <w:tab/>
        <w:t>坚持科技赋能，推动高质量发展</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公司未来将以</w:t>
      </w:r>
      <w:r>
        <w:rPr>
          <w:rFonts w:ascii="Times New Roman" w:eastAsia="Times New Roman" w:hAnsi="Times New Roman" w:cs="Times New Roman"/>
          <w:color w:val="000000"/>
          <w:spacing w:val="0"/>
          <w:w w:val="100"/>
          <w:position w:val="0"/>
        </w:rPr>
        <w:t>“</w:t>
      </w:r>
      <w:r>
        <w:rPr>
          <w:color w:val="000000"/>
          <w:spacing w:val="0"/>
          <w:w w:val="100"/>
          <w:position w:val="0"/>
        </w:rPr>
        <w:t>产品研发中心''作为支撑和引领</w:t>
      </w:r>
      <w:r>
        <w:rPr>
          <w:rFonts w:ascii="Times New Roman" w:eastAsia="Times New Roman" w:hAnsi="Times New Roman" w:cs="Times New Roman"/>
          <w:color w:val="000000"/>
          <w:spacing w:val="0"/>
          <w:w w:val="100"/>
          <w:position w:val="0"/>
        </w:rPr>
        <w:t>“</w:t>
      </w:r>
      <w:r>
        <w:rPr>
          <w:color w:val="000000"/>
          <w:spacing w:val="0"/>
          <w:w w:val="100"/>
          <w:position w:val="0"/>
        </w:rPr>
        <w:t>智慧城市''和</w:t>
      </w:r>
      <w:r>
        <w:rPr>
          <w:rFonts w:ascii="Times New Roman" w:eastAsia="Times New Roman" w:hAnsi="Times New Roman" w:cs="Times New Roman"/>
          <w:color w:val="000000"/>
          <w:spacing w:val="0"/>
          <w:w w:val="100"/>
          <w:position w:val="0"/>
        </w:rPr>
        <w:t>“</w:t>
      </w:r>
      <w:r>
        <w:rPr>
          <w:color w:val="000000"/>
          <w:spacing w:val="0"/>
          <w:w w:val="100"/>
          <w:position w:val="0"/>
        </w:rPr>
        <w:t>智慧医疗''战略性新兴产业发展的创新型 公共技术服务平台，产品研发中心将深入结合国家发展导向及产业发展需求，实现关键技术突破，牵引公 司产业升级、新业态培育、聚集赋能。</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持续坚持技术研发与业务相结合，顺应行业发展和客户市场需求，充分发挥公司三级研发体系功能， 与国内著名高等院校、科研院所和行业专家学者紧密合作，坚持前瞻性研究，重点开发基于人工智能、大 数据、云计算等技术的互联网服务平台，打造基于智慧医疗、面向广大消费者的服务平台。继续推进与浙 江大学韧性城市中心的合作，联合国内外知名院校机构，以及智慧城市行业资深技术开发运营团队，着重 在应急指挥（自然灾害、防疫突发）、智慧消防、智慧公安板块进行产品研发，通过物联网、大数据、云 计算等产品体系，打通各行业应用，实现包含城市安全、基础设施安全、社会安全、人身安全、数据安全 等在内的</w:t>
      </w:r>
      <w:r>
        <w:rPr>
          <w:rFonts w:ascii="Times New Roman" w:eastAsia="Times New Roman" w:hAnsi="Times New Roman" w:cs="Times New Roman"/>
          <w:color w:val="000000"/>
          <w:spacing w:val="0"/>
          <w:w w:val="100"/>
          <w:position w:val="0"/>
        </w:rPr>
        <w:t>“</w:t>
      </w:r>
      <w:r>
        <w:rPr>
          <w:color w:val="000000"/>
          <w:spacing w:val="0"/>
          <w:w w:val="100"/>
          <w:position w:val="0"/>
        </w:rPr>
        <w:t>大安全</w:t>
      </w:r>
      <w:r>
        <w:rPr>
          <w:rFonts w:ascii="Times New Roman" w:eastAsia="Times New Roman" w:hAnsi="Times New Roman" w:cs="Times New Roman"/>
          <w:color w:val="000000"/>
          <w:spacing w:val="0"/>
          <w:w w:val="100"/>
          <w:position w:val="0"/>
        </w:rPr>
        <w:t>”</w:t>
      </w:r>
      <w:r>
        <w:rPr>
          <w:color w:val="000000"/>
          <w:spacing w:val="0"/>
          <w:w w:val="100"/>
          <w:position w:val="0"/>
        </w:rPr>
        <w:t>业务生态系统。</w:t>
      </w:r>
    </w:p>
    <w:p>
      <w:pPr>
        <w:pStyle w:val="Style34"/>
        <w:keepNext w:val="0"/>
        <w:keepLines w:val="0"/>
        <w:widowControl w:val="0"/>
        <w:shd w:val="clear" w:color="auto" w:fill="auto"/>
        <w:tabs>
          <w:tab w:pos="758" w:val="left"/>
        </w:tabs>
        <w:bidi w:val="0"/>
        <w:spacing w:before="0" w:after="0" w:line="313" w:lineRule="exact"/>
        <w:ind w:left="0" w:right="0" w:firstLine="440"/>
        <w:jc w:val="both"/>
      </w:pPr>
      <w:bookmarkStart w:id="234" w:name="bookmark234"/>
      <w:r>
        <w:rPr>
          <w:rFonts w:ascii="Times New Roman" w:eastAsia="Times New Roman" w:hAnsi="Times New Roman" w:cs="Times New Roman"/>
          <w:b/>
          <w:bCs/>
          <w:color w:val="000000"/>
          <w:spacing w:val="0"/>
          <w:w w:val="100"/>
          <w:position w:val="0"/>
        </w:rPr>
        <w:t>4</w:t>
      </w:r>
      <w:bookmarkEnd w:id="234"/>
      <w:r>
        <w:rPr>
          <w:b/>
          <w:bCs/>
          <w:color w:val="000000"/>
          <w:spacing w:val="0"/>
          <w:w w:val="100"/>
          <w:position w:val="0"/>
        </w:rPr>
        <w:t>、</w:t>
        <w:tab/>
        <w:t>防范运营风险，稳定经营环境</w:t>
      </w:r>
    </w:p>
    <w:p>
      <w:pPr>
        <w:pStyle w:val="Style34"/>
        <w:keepNext w:val="0"/>
        <w:keepLines w:val="0"/>
        <w:widowControl w:val="0"/>
        <w:shd w:val="clear" w:color="auto" w:fill="auto"/>
        <w:bidi w:val="0"/>
        <w:spacing w:before="0" w:after="8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年公司将调整项目计划管理方式，落实资金平衡，严格审批环节。通过强化业务与财务融合，统 一协调资金调度，从业务入手，严格资金管理。同时进一步充实内部审计资源配置，加强内部审计的监督 与评价能力，不断优化风险事项报告机制，建立完善定期报告、不定期报告机制，全面及时掌握公司风险 </w:t>
      </w:r>
      <w:r>
        <w:rPr>
          <w:color w:val="000000"/>
          <w:spacing w:val="0"/>
          <w:w w:val="100"/>
          <w:position w:val="0"/>
        </w:rPr>
        <w:t>状况，建立健全事前审核、事中监测、事后监督的风险管理体制，降低公司运营风险，提高企业抗风险能 力。</w:t>
      </w:r>
    </w:p>
    <w:p>
      <w:pPr>
        <w:pStyle w:val="Style34"/>
        <w:keepNext w:val="0"/>
        <w:keepLines w:val="0"/>
        <w:widowControl w:val="0"/>
        <w:shd w:val="clear" w:color="auto" w:fill="auto"/>
        <w:bidi w:val="0"/>
        <w:spacing w:before="0" w:after="0" w:line="326" w:lineRule="auto"/>
        <w:ind w:left="0" w:right="0" w:firstLine="440"/>
        <w:jc w:val="both"/>
      </w:pPr>
      <w:bookmarkStart w:id="235" w:name="bookmark235"/>
      <w:r>
        <w:rPr>
          <w:rFonts w:ascii="Times New Roman" w:eastAsia="Times New Roman" w:hAnsi="Times New Roman" w:cs="Times New Roman"/>
          <w:b/>
          <w:bCs/>
          <w:color w:val="000000"/>
          <w:spacing w:val="0"/>
          <w:w w:val="100"/>
          <w:position w:val="0"/>
        </w:rPr>
        <w:t>5</w:t>
      </w:r>
      <w:bookmarkEnd w:id="235"/>
      <w:r>
        <w:rPr>
          <w:b/>
          <w:bCs/>
          <w:color w:val="000000"/>
          <w:spacing w:val="0"/>
          <w:w w:val="100"/>
          <w:position w:val="0"/>
        </w:rPr>
        <w:t>、依托区位优势，提升业务协同</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平潭综合实验区十四五规划和二。三五年远景目标明确了到二。三五年基本实现社会主义现代化和 </w:t>
      </w:r>
      <w:r>
        <w:rPr>
          <w:rFonts w:ascii="Times New Roman" w:eastAsia="Times New Roman" w:hAnsi="Times New Roman" w:cs="Times New Roman"/>
          <w:color w:val="000000"/>
          <w:spacing w:val="0"/>
          <w:w w:val="100"/>
          <w:position w:val="0"/>
        </w:rPr>
        <w:t>“</w:t>
      </w:r>
      <w:r>
        <w:rPr>
          <w:color w:val="000000"/>
          <w:spacing w:val="0"/>
          <w:w w:val="100"/>
          <w:position w:val="0"/>
        </w:rPr>
        <w:t>一岛两窗三区</w:t>
      </w:r>
      <w:r>
        <w:rPr>
          <w:rFonts w:ascii="Times New Roman" w:eastAsia="Times New Roman" w:hAnsi="Times New Roman" w:cs="Times New Roman"/>
          <w:color w:val="000000"/>
          <w:spacing w:val="0"/>
          <w:w w:val="100"/>
          <w:position w:val="0"/>
        </w:rPr>
        <w:t>''</w:t>
      </w:r>
      <w:r>
        <w:rPr>
          <w:color w:val="000000"/>
          <w:spacing w:val="0"/>
          <w:w w:val="100"/>
          <w:position w:val="0"/>
        </w:rPr>
        <w:t>建设的远景目标，涉及智慧城市、智慧医疗等重点领域，作为因台而设、因台而特的国家 级综合实验区，近年来紧紧围绕</w:t>
      </w:r>
      <w:r>
        <w:rPr>
          <w:rFonts w:ascii="Times New Roman" w:eastAsia="Times New Roman" w:hAnsi="Times New Roman" w:cs="Times New Roman"/>
          <w:color w:val="000000"/>
          <w:spacing w:val="0"/>
          <w:w w:val="100"/>
          <w:position w:val="0"/>
        </w:rPr>
        <w:t>“</w:t>
      </w:r>
      <w:r>
        <w:rPr>
          <w:color w:val="000000"/>
          <w:spacing w:val="0"/>
          <w:w w:val="100"/>
          <w:position w:val="0"/>
        </w:rPr>
        <w:t>推动两岸融合</w:t>
      </w:r>
      <w:r>
        <w:rPr>
          <w:rFonts w:ascii="Times New Roman" w:eastAsia="Times New Roman" w:hAnsi="Times New Roman" w:cs="Times New Roman"/>
          <w:color w:val="000000"/>
          <w:spacing w:val="0"/>
          <w:w w:val="100"/>
          <w:position w:val="0"/>
        </w:rPr>
        <w:t>''</w:t>
      </w:r>
      <w:r>
        <w:rPr>
          <w:color w:val="000000"/>
          <w:spacing w:val="0"/>
          <w:w w:val="100"/>
          <w:position w:val="0"/>
        </w:rPr>
        <w:t>谋发展，先行先试，推进建设以经济、社会、文化融合为 核心的两岸同胞共同家园。为全方位导入平潭综合实验区项目、资金等各项资源，公司将加快实现与平潭 综合实验区的业务发展协同及战略规划落地，发展台医入驻互联网医院新模式，积极探索参与平潭全域</w:t>
      </w:r>
      <w:r>
        <w:rPr>
          <w:rFonts w:ascii="Times New Roman" w:eastAsia="Times New Roman" w:hAnsi="Times New Roman" w:cs="Times New Roman"/>
          <w:color w:val="000000"/>
          <w:spacing w:val="0"/>
          <w:w w:val="100"/>
          <w:position w:val="0"/>
        </w:rPr>
        <w:t xml:space="preserve">5G </w:t>
      </w:r>
      <w:r>
        <w:rPr>
          <w:color w:val="000000"/>
          <w:spacing w:val="0"/>
          <w:w w:val="100"/>
          <w:position w:val="0"/>
        </w:rPr>
        <w:t>建设、新型智慧岛、国际旅游岛、国际医美健康岛、国家离岸数据中心、云计算专区与信息保税港等项目， 充分利用平潭综合实验区的区位优势和政策优势加速推动公司智慧城市产业的转型升级、加快智慧医疗产 业的发展壮大，助力平潭打造两岸数字经济融合发展示范区。</w:t>
      </w:r>
    </w:p>
    <w:p>
      <w:pPr>
        <w:pStyle w:val="Style34"/>
        <w:keepNext w:val="0"/>
        <w:keepLines w:val="0"/>
        <w:widowControl w:val="0"/>
        <w:shd w:val="clear" w:color="auto" w:fill="auto"/>
        <w:bidi w:val="0"/>
        <w:spacing w:before="0" w:after="80" w:line="313" w:lineRule="exact"/>
        <w:ind w:left="0" w:right="0" w:firstLine="440"/>
        <w:jc w:val="both"/>
      </w:pPr>
      <w:bookmarkStart w:id="236" w:name="bookmark236"/>
      <w:r>
        <w:rPr>
          <w:b/>
          <w:bCs/>
          <w:color w:val="000000"/>
          <w:spacing w:val="0"/>
          <w:w w:val="100"/>
          <w:position w:val="0"/>
        </w:rPr>
        <w:t>（</w:t>
      </w:r>
      <w:bookmarkEnd w:id="236"/>
      <w:r>
        <w:rPr>
          <w:b/>
          <w:bCs/>
          <w:color w:val="000000"/>
          <w:spacing w:val="0"/>
          <w:w w:val="100"/>
          <w:position w:val="0"/>
        </w:rPr>
        <w:t>三）未来发展面临的主要风险</w:t>
      </w:r>
    </w:p>
    <w:p>
      <w:pPr>
        <w:pStyle w:val="Style34"/>
        <w:keepNext w:val="0"/>
        <w:keepLines w:val="0"/>
        <w:widowControl w:val="0"/>
        <w:shd w:val="clear" w:color="auto" w:fill="auto"/>
        <w:tabs>
          <w:tab w:pos="757" w:val="left"/>
        </w:tabs>
        <w:bidi w:val="0"/>
        <w:spacing w:before="0" w:after="0" w:line="326" w:lineRule="auto"/>
        <w:ind w:left="0" w:right="0" w:firstLine="440"/>
        <w:jc w:val="both"/>
      </w:pPr>
      <w:bookmarkStart w:id="237" w:name="bookmark237"/>
      <w:r>
        <w:rPr>
          <w:rFonts w:ascii="Times New Roman" w:eastAsia="Times New Roman" w:hAnsi="Times New Roman" w:cs="Times New Roman"/>
          <w:b/>
          <w:bCs/>
          <w:color w:val="000000"/>
          <w:spacing w:val="0"/>
          <w:w w:val="100"/>
          <w:position w:val="0"/>
        </w:rPr>
        <w:t>1</w:t>
      </w:r>
      <w:bookmarkEnd w:id="237"/>
      <w:r>
        <w:rPr>
          <w:b/>
          <w:bCs/>
          <w:color w:val="000000"/>
          <w:spacing w:val="0"/>
          <w:w w:val="100"/>
          <w:position w:val="0"/>
        </w:rPr>
        <w:t>、</w:t>
        <w:tab/>
        <w:t>宏观环境波动及市场竞争风险</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智慧城市建设相关行业与国家宏观经济运行状况、行业政策密切相关，若公司无法适应宏观环境波动、 行业政策调整，将对公司业务开展及经营产生一定风险。随着智慧城市行业的不断发展，智慧城市市场容 量的不断增长，公司面临更多发展机会的同时也面临着不断加剧的竞争压力。未来公司将不断提高运营能 力，科学做好行业及市场研究预测工作，合理布局前瞻性细分领域，提高专业技术水平及市场品牌影响。</w:t>
      </w:r>
    </w:p>
    <w:p>
      <w:pPr>
        <w:pStyle w:val="Style34"/>
        <w:keepNext w:val="0"/>
        <w:keepLines w:val="0"/>
        <w:widowControl w:val="0"/>
        <w:shd w:val="clear" w:color="auto" w:fill="auto"/>
        <w:tabs>
          <w:tab w:pos="758" w:val="left"/>
        </w:tabs>
        <w:bidi w:val="0"/>
        <w:spacing w:before="0" w:after="0" w:line="326" w:lineRule="auto"/>
        <w:ind w:left="0" w:right="0" w:firstLine="440"/>
        <w:jc w:val="both"/>
      </w:pPr>
      <w:bookmarkStart w:id="238" w:name="bookmark238"/>
      <w:r>
        <w:rPr>
          <w:rFonts w:ascii="Times New Roman" w:eastAsia="Times New Roman" w:hAnsi="Times New Roman" w:cs="Times New Roman"/>
          <w:b/>
          <w:bCs/>
          <w:color w:val="000000"/>
          <w:spacing w:val="0"/>
          <w:w w:val="100"/>
          <w:position w:val="0"/>
        </w:rPr>
        <w:t>2</w:t>
      </w:r>
      <w:bookmarkEnd w:id="238"/>
      <w:r>
        <w:rPr>
          <w:b/>
          <w:bCs/>
          <w:color w:val="000000"/>
          <w:spacing w:val="0"/>
          <w:w w:val="100"/>
          <w:position w:val="0"/>
        </w:rPr>
        <w:t>、</w:t>
        <w:tab/>
        <w:t>新领域开拓风险</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为保障公司后续发展后劲，公司按照既定的发展战略继续开拓智慧医疗产业，但新业务、新领域的开 拓具有较大的不确定性，存在新业务发展不及预期的风险。未来公司将继续加强对国家政策导向的研究和 最新行业动态的跟踪，加大人才引进及研发投入，全方位考察和把握新业务开发的可行性和市场适应性， 及时调整、纠偏在新领域开拓过程中的产生的不利因素。</w:t>
      </w:r>
    </w:p>
    <w:p>
      <w:pPr>
        <w:pStyle w:val="Style34"/>
        <w:keepNext w:val="0"/>
        <w:keepLines w:val="0"/>
        <w:widowControl w:val="0"/>
        <w:shd w:val="clear" w:color="auto" w:fill="auto"/>
        <w:tabs>
          <w:tab w:pos="758" w:val="left"/>
        </w:tabs>
        <w:bidi w:val="0"/>
        <w:spacing w:before="0" w:after="0" w:line="326" w:lineRule="auto"/>
        <w:ind w:left="0" w:right="0" w:firstLine="440"/>
        <w:jc w:val="both"/>
      </w:pPr>
      <w:bookmarkStart w:id="239" w:name="bookmark239"/>
      <w:r>
        <w:rPr>
          <w:rFonts w:ascii="Times New Roman" w:eastAsia="Times New Roman" w:hAnsi="Times New Roman" w:cs="Times New Roman"/>
          <w:b/>
          <w:bCs/>
          <w:color w:val="000000"/>
          <w:spacing w:val="0"/>
          <w:w w:val="100"/>
          <w:position w:val="0"/>
        </w:rPr>
        <w:t>3</w:t>
      </w:r>
      <w:bookmarkEnd w:id="239"/>
      <w:r>
        <w:rPr>
          <w:b/>
          <w:bCs/>
          <w:color w:val="000000"/>
          <w:spacing w:val="0"/>
          <w:w w:val="100"/>
          <w:position w:val="0"/>
        </w:rPr>
        <w:t>、</w:t>
        <w:tab/>
        <w:t>投资业务风险</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公司投资项目较多，部分投资项目与公司的主业关联性较小，在增加公司未来潜在收益的同时，也存 在较大的投后管理难度。受被投资企业经营情况、资本市场、公司投资管理决策等多方面因素的影响，公 司投资业务可能存在金融资产公允价值波动风险、减值风险及投资项目退出风险，进而导致对公司利润产 生不确定性影响。未来，公司将严格执行投资管理流程，进一步规范投资决策、决策执行、投后管理、投 资退出等流程，提高投资业务的专业性及对投资业务风险把控的前瞻性。</w:t>
      </w:r>
    </w:p>
    <w:p>
      <w:pPr>
        <w:pStyle w:val="Style34"/>
        <w:keepNext w:val="0"/>
        <w:keepLines w:val="0"/>
        <w:widowControl w:val="0"/>
        <w:shd w:val="clear" w:color="auto" w:fill="auto"/>
        <w:tabs>
          <w:tab w:pos="758" w:val="left"/>
        </w:tabs>
        <w:bidi w:val="0"/>
        <w:spacing w:before="0" w:after="0" w:line="326" w:lineRule="auto"/>
        <w:ind w:left="0" w:right="0" w:firstLine="440"/>
        <w:jc w:val="both"/>
      </w:pPr>
      <w:bookmarkStart w:id="240" w:name="bookmark240"/>
      <w:r>
        <w:rPr>
          <w:rFonts w:ascii="Times New Roman" w:eastAsia="Times New Roman" w:hAnsi="Times New Roman" w:cs="Times New Roman"/>
          <w:b/>
          <w:bCs/>
          <w:color w:val="000000"/>
          <w:spacing w:val="0"/>
          <w:w w:val="100"/>
          <w:position w:val="0"/>
        </w:rPr>
        <w:t>4</w:t>
      </w:r>
      <w:bookmarkEnd w:id="240"/>
      <w:r>
        <w:rPr>
          <w:b/>
          <w:bCs/>
          <w:color w:val="000000"/>
          <w:spacing w:val="0"/>
          <w:w w:val="100"/>
          <w:position w:val="0"/>
        </w:rPr>
        <w:t>、</w:t>
        <w:tab/>
        <w:t>应收账款风险</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公司应收款项主要系智慧城市项目款，主要客户为政府或大型企业，应收账款回款较有保障。账龄较 长的应收账款增加，将会降低资金周转速度与运营效率，公司可能面临一定的坏账损失及现金流动性较差 的风险。为加强应收账款的管理，公司将从风险控制的角度，调整优化公司的业务策略，加强合同执行全 流程中应收账款的管理和监控，加强应收账款追款责任制实施力度、加大对业务部门销售回款率的考核力 度，完善对账期较长的应收账款的催收和清理流程，逐步降低应收账款发生坏账损失的风险。</w:t>
      </w:r>
    </w:p>
    <w:p>
      <w:pPr>
        <w:pStyle w:val="Style34"/>
        <w:keepNext w:val="0"/>
        <w:keepLines w:val="0"/>
        <w:widowControl w:val="0"/>
        <w:shd w:val="clear" w:color="auto" w:fill="auto"/>
        <w:tabs>
          <w:tab w:pos="758" w:val="left"/>
        </w:tabs>
        <w:bidi w:val="0"/>
        <w:spacing w:before="0" w:after="0" w:line="326" w:lineRule="auto"/>
        <w:ind w:left="0" w:right="0" w:firstLine="440"/>
        <w:jc w:val="both"/>
      </w:pPr>
      <w:bookmarkStart w:id="241" w:name="bookmark241"/>
      <w:r>
        <w:rPr>
          <w:rFonts w:ascii="Times New Roman" w:eastAsia="Times New Roman" w:hAnsi="Times New Roman" w:cs="Times New Roman"/>
          <w:b/>
          <w:bCs/>
          <w:color w:val="000000"/>
          <w:spacing w:val="0"/>
          <w:w w:val="100"/>
          <w:position w:val="0"/>
        </w:rPr>
        <w:t>5</w:t>
      </w:r>
      <w:bookmarkEnd w:id="241"/>
      <w:r>
        <w:rPr>
          <w:b/>
          <w:bCs/>
          <w:color w:val="000000"/>
          <w:spacing w:val="0"/>
          <w:w w:val="100"/>
          <w:position w:val="0"/>
        </w:rPr>
        <w:t>、</w:t>
        <w:tab/>
        <w:t>人才竞争及流失风险</w:t>
      </w:r>
    </w:p>
    <w:p>
      <w:pPr>
        <w:pStyle w:val="Style3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人力资源是企业生存和发展的重要因素，核心技术与销售人员、优质领导团队是维持和提高公司核心 竞争力的基石。随着公司业务的不断扩大及行业竞争的不断日益加剧，存在核心研发人员及管理人员流失 的风险。公司将通过创造良好的内部工作氛围、制定合理的晋升机制、采取富有竞争力的薪酬体系，不断 吸引高素质人才加盟公司，建立稳定、高效的人才队伍，更好满足企业发展对人才的需求。</w:t>
      </w:r>
      <w:r>
        <w:br w:type="page"/>
      </w:r>
    </w:p>
    <w:p>
      <w:pPr>
        <w:pStyle w:val="Style25"/>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十、接待调研、沟通、采访等活动登记表</w:t>
      </w:r>
      <w:bookmarkEnd w:id="242"/>
      <w:bookmarkEnd w:id="243"/>
      <w:bookmarkEnd w:id="244"/>
    </w:p>
    <w:p>
      <w:pPr>
        <w:pStyle w:val="Style31"/>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、报告期内接待调研、沟通、采访等活动登记表</w:t>
      </w:r>
      <w:bookmarkEnd w:id="245"/>
      <w:bookmarkEnd w:id="246"/>
      <w:bookmarkEnd w:id="24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27"/>
        <w:gridCol w:w="955"/>
        <w:gridCol w:w="854"/>
        <w:gridCol w:w="1699"/>
        <w:gridCol w:w="1670"/>
        <w:gridCol w:w="181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长城国瑞证券、太平 洋证券、远洋资产、 富国基金、民生证券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、公司战略规划；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智慧城市发展规划；</w:t>
            </w:r>
          </w:p>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、智慧医疗领域的 发展规划及目标；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平潭给公司带来的 协同效应情况。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日在巨潮资讯网 披露的《汉鼎宇佑互联 网股份有限公司投资 者关系活动记录表》</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长城国瑞证券、国泰 君安证券、财通证券、 兴业证券、华夏幸福 基业、巨牛投资、如 山资本、上海金港投 资、钱投金融、来源 开展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、公司战略规划；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智慧城市发展规划；</w:t>
            </w:r>
          </w:p>
          <w:p>
            <w:pPr>
              <w:pStyle w:val="Style6"/>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、智慧医疗领域的 发展规划及目标；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公司未来在平潭可 获取订单情况。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 披露的《汉鼎宇佑互联 网股份有限公司投资 者关系活动记录表》</w:t>
            </w:r>
          </w:p>
        </w:tc>
      </w:tr>
    </w:tbl>
    <w:p>
      <w:pPr>
        <w:sectPr>
          <w:footnotePr>
            <w:pos w:val="pageBottom"/>
            <w:numFmt w:val="decimal"/>
            <w:numRestart w:val="continuous"/>
          </w:footnotePr>
          <w:pgSz w:w="11900" w:h="16840"/>
          <w:pgMar w:top="1378" w:right="1036" w:bottom="1436" w:left="1072" w:header="0" w:footer="3" w:gutter="0"/>
          <w:cols w:space="720"/>
          <w:noEndnote/>
          <w:rtlGutter w:val="0"/>
          <w:docGrid w:linePitch="360"/>
        </w:sectPr>
      </w:pPr>
    </w:p>
    <w:p>
      <w:pPr>
        <w:pStyle w:val="Style16"/>
        <w:keepNext/>
        <w:keepLines/>
        <w:widowControl w:val="0"/>
        <w:shd w:val="clear" w:color="auto" w:fill="auto"/>
        <w:bidi w:val="0"/>
        <w:spacing w:before="560" w:after="52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25"/>
        <w:keepNext/>
        <w:keepLines/>
        <w:widowControl w:val="0"/>
        <w:shd w:val="clear" w:color="auto" w:fill="auto"/>
        <w:bidi w:val="0"/>
        <w:spacing w:before="0" w:after="380" w:line="240" w:lineRule="auto"/>
        <w:ind w:left="0" w:right="0" w:firstLine="0"/>
        <w:jc w:val="left"/>
      </w:pPr>
      <w:bookmarkStart w:id="252" w:name="bookmark252"/>
      <w:bookmarkStart w:id="253" w:name="bookmark253"/>
      <w:bookmarkStart w:id="254" w:name="bookmark254"/>
      <w:bookmarkStart w:id="255" w:name="bookmark255"/>
      <w:bookmarkStart w:id="256" w:name="bookmark256"/>
      <w:r>
        <w:rPr>
          <w:color w:val="000000"/>
          <w:spacing w:val="0"/>
          <w:w w:val="100"/>
          <w:position w:val="0"/>
          <w:sz w:val="24"/>
          <w:szCs w:val="24"/>
        </w:rPr>
        <w:t>一</w:t>
      </w:r>
      <w:bookmarkEnd w:id="255"/>
      <w:r>
        <w:rPr>
          <w:color w:val="000000"/>
          <w:spacing w:val="0"/>
          <w:w w:val="100"/>
          <w:position w:val="0"/>
          <w:sz w:val="24"/>
          <w:szCs w:val="24"/>
        </w:rPr>
        <w:t>、公司普通股利润分配及资本公积金转增股本情况</w:t>
      </w:r>
      <w:bookmarkEnd w:id="253"/>
      <w:bookmarkEnd w:id="254"/>
      <w:bookmarkEnd w:id="256"/>
      <w:bookmarkEnd w:id="25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15,396,723.56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15,396,723.56</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年度利润分配预案为：结合公司目前的实际经营发展需要，拟不派发现金红利，不送红股，不以资本公积金转增股本。</w:t>
            </w:r>
          </w:p>
        </w:tc>
      </w:tr>
    </w:tbl>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0" w:lineRule="exact"/>
        <w:ind w:left="0" w:right="0" w:firstLine="0"/>
        <w:jc w:val="left"/>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年度利润分配预案为：结合公司目前的实际经营发展需要，拟不派发现金红利，不送红股，不以资本公积金转增股 本。</w:t>
      </w:r>
    </w:p>
    <w:p>
      <w:pPr>
        <w:pStyle w:val="Style27"/>
        <w:keepNext w:val="0"/>
        <w:keepLines w:val="0"/>
        <w:widowControl w:val="0"/>
        <w:shd w:val="clear" w:color="auto" w:fill="auto"/>
        <w:bidi w:val="0"/>
        <w:spacing w:before="0" w:after="0" w:line="310" w:lineRule="exact"/>
        <w:ind w:left="0" w:right="0" w:firstLine="0"/>
        <w:jc w:val="left"/>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年度利润分配预案为：结合公司目前的实际经营发展需要，拟不派发现金红利，不送红股，不以资本公积金转增股 本。</w:t>
      </w:r>
    </w:p>
    <w:p>
      <w:pPr>
        <w:pStyle w:val="Style27"/>
        <w:keepNext w:val="0"/>
        <w:keepLines w:val="0"/>
        <w:widowControl w:val="0"/>
        <w:shd w:val="clear" w:color="auto" w:fill="auto"/>
        <w:bidi w:val="0"/>
        <w:spacing w:before="0" w:after="340" w:line="310" w:lineRule="exact"/>
        <w:ind w:left="0" w:right="0" w:firstLine="0"/>
        <w:jc w:val="left"/>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683,136,428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元人民币（含税）， 合计派发现金</w:t>
      </w:r>
      <w:r>
        <w:rPr>
          <w:rFonts w:ascii="Times New Roman" w:eastAsia="Times New Roman" w:hAnsi="Times New Roman" w:cs="Times New Roman"/>
          <w:color w:val="000000"/>
          <w:spacing w:val="0"/>
          <w:w w:val="100"/>
          <w:position w:val="0"/>
          <w:sz w:val="18"/>
          <w:szCs w:val="18"/>
        </w:rPr>
        <w:t>13,662,728.56</w:t>
      </w:r>
      <w:r>
        <w:rPr>
          <w:color w:val="000000"/>
          <w:spacing w:val="0"/>
          <w:w w:val="100"/>
          <w:position w:val="0"/>
        </w:rPr>
        <w:t xml:space="preserve">元（含税），本年度不以资本公积金转增股本，不送红股，剩余未分配利润结转以后年度。截至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日，上述权益分派方案已全部实施完毕。</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1464"/>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-588,788,805.84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15,396,723.56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15,396,723.56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-793,295,024.47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17,996,196.31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17,996,196.31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13,662,728.56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124,307,511.26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13,662,728.56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、承诺事项履行情况</w:t>
      </w:r>
      <w:bookmarkEnd w:id="260"/>
      <w:bookmarkEnd w:id="261"/>
      <w:bookmarkEnd w:id="263"/>
    </w:p>
    <w:p>
      <w:pPr>
        <w:pStyle w:val="Style31"/>
        <w:keepNext/>
        <w:keepLines/>
        <w:widowControl w:val="0"/>
        <w:shd w:val="clear" w:color="auto" w:fill="auto"/>
        <w:bidi w:val="0"/>
        <w:spacing w:before="0" w:after="340" w:line="307" w:lineRule="exact"/>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、公司实际控制人、股东、关联方、收购人以及公司等承诺相关方在报告期内履行完毕及截至报告期末 尚未履行完毕的承诺事项</w:t>
      </w:r>
      <w:bookmarkEnd w:id="264"/>
      <w:bookmarkEnd w:id="265"/>
      <w:bookmarkEnd w:id="267"/>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277"/>
        <w:gridCol w:w="1133"/>
        <w:gridCol w:w="2520"/>
        <w:gridCol w:w="994"/>
        <w:gridCol w:w="994"/>
        <w:gridCol w:w="96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58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平潭创新股权 投资合伙企业</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权益变动报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告书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本次交易权益变动后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内，不转让本次权益变动所获得 的股份，目前不存在明确的未来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个月内增持上市公司股份的 计划，若未来发生相关权益变动 事项，将严格按照相关法律法规 的要求，依法履行信息披露义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平潭创新股权 投资合伙企业</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告书</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一、</w:t>
              <w:tab/>
              <w:t>关于避免同业竞争的承诺；</w:t>
            </w:r>
          </w:p>
          <w:p>
            <w:pPr>
              <w:pStyle w:val="Style6"/>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rPr>
              <w:t>二、</w:t>
              <w:tab/>
              <w:t>关于减少和规范关联交易的 承诺；三、保持上市公司独立性 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吴艳、王麒诚、 汉鼎宇佑集团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一、避免同业竞争的承诺；二、 汉鼎宇佑集团有限公司避免同 业竞争的承诺；三、避免关联交 易及相关的承诺。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33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公司承诺不为激励对象因股权 激励计划获取有关权益提供贷 款以及其他任何形式的财务资 助，包括为其贷款提供担保。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w:t>
            </w:r>
          </w:p>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性股票激励 计划有效期 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根据《上市公司股权激励管理办 法》的相关规定，本次公司终止 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 划经公司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东大会审议通过后，公司承诺自 股东大会审议通过后三个月内， 不再审议股权激励计划。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自股东大会 审议通过后 三个月内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31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因通过大宗交易减持公司股份， 吴艳女士承诺自本次减持之日 起连续六个月内通过证券交易 系统出售的股份低于公司股份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tbl>
      <w:tblPr>
        <w:tblOverlap w:val="never"/>
        <w:jc w:val="center"/>
        <w:tblLayout w:type="fixed"/>
      </w:tblPr>
      <w:tblGrid>
        <w:gridCol w:w="1704"/>
        <w:gridCol w:w="1277"/>
        <w:gridCol w:w="1133"/>
        <w:gridCol w:w="2520"/>
        <w:gridCol w:w="994"/>
        <w:gridCol w:w="994"/>
        <w:gridCol w:w="960"/>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因通过大宗交易减持公司股份， 吴艳女士承诺自本次减持之日 起连续六个月内通过证券交易 系统出售的股份低于公司股份 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因通过大宗交易减持公司股份， 吴艳女士承诺自本次减持之日 起连续六个月内通过证券交易 系统出售的股份低于公司股份 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因通过大宗交易减持公司股份， 吴艳女士承诺自本次减持之日 起连续六个月内通过证券交易 系统出售的股份低于公司股份 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9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如承诺超期未履行完毕的，应当详细说明未完成履行 的具体原因及下一步的工作计划</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1"/>
        <w:keepNext/>
        <w:keepLines/>
        <w:widowControl w:val="0"/>
        <w:shd w:val="clear" w:color="auto" w:fill="auto"/>
        <w:bidi w:val="0"/>
        <w:spacing w:before="0" w:line="322" w:lineRule="exact"/>
        <w:ind w:left="180" w:right="0" w:firstLine="2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、公司资产或项目存在盈利预测，且报告期仍处在盈利预测期间，公司就资产或项目达到原盈利预测及 其原因做出说明</w:t>
      </w:r>
      <w:bookmarkEnd w:id="268"/>
      <w:bookmarkEnd w:id="269"/>
      <w:bookmarkEnd w:id="271"/>
    </w:p>
    <w:p>
      <w:pPr>
        <w:pStyle w:val="Style27"/>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697" w:val="left"/>
        </w:tabs>
        <w:bidi w:val="0"/>
        <w:spacing w:before="0" w:line="240" w:lineRule="auto"/>
        <w:ind w:left="0" w:right="0" w:firstLine="18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w:t>
        <w:tab/>
        <w:t>控股股东及其关联方对上市公司的非经营性占用资金情况</w:t>
      </w:r>
      <w:bookmarkEnd w:id="272"/>
      <w:bookmarkEnd w:id="273"/>
      <w:bookmarkEnd w:id="275"/>
    </w:p>
    <w:p>
      <w:pPr>
        <w:pStyle w:val="Style27"/>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697" w:val="left"/>
        </w:tabs>
        <w:bidi w:val="0"/>
        <w:spacing w:before="0" w:line="240" w:lineRule="auto"/>
        <w:ind w:left="0" w:right="0" w:firstLine="180"/>
        <w:jc w:val="left"/>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6"/>
      <w:bookmarkEnd w:id="277"/>
      <w:bookmarkEnd w:id="279"/>
    </w:p>
    <w:p>
      <w:pPr>
        <w:pStyle w:val="Style27"/>
        <w:keepNext w:val="0"/>
        <w:keepLines w:val="0"/>
        <w:widowControl w:val="0"/>
        <w:shd w:val="clear" w:color="auto" w:fill="auto"/>
        <w:bidi w:val="0"/>
        <w:spacing w:before="0" w:after="360" w:line="240" w:lineRule="auto"/>
        <w:ind w:left="0" w:right="0" w:firstLine="1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697" w:val="left"/>
        </w:tabs>
        <w:bidi w:val="0"/>
        <w:spacing w:before="0" w:line="240" w:lineRule="auto"/>
        <w:ind w:left="0" w:right="0" w:firstLine="180"/>
        <w:jc w:val="both"/>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0"/>
      <w:bookmarkEnd w:id="281"/>
      <w:bookmarkEnd w:id="283"/>
    </w:p>
    <w:p>
      <w:pPr>
        <w:pStyle w:val="Style27"/>
        <w:keepNext w:val="0"/>
        <w:keepLines w:val="0"/>
        <w:widowControl w:val="0"/>
        <w:shd w:val="clear" w:color="auto" w:fill="auto"/>
        <w:bidi w:val="0"/>
        <w:spacing w:before="0" w:after="360" w:line="240" w:lineRule="auto"/>
        <w:ind w:left="0" w:right="0" w:firstLine="1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697" w:val="left"/>
        </w:tabs>
        <w:bidi w:val="0"/>
        <w:spacing w:before="0" w:line="240" w:lineRule="auto"/>
        <w:ind w:left="0" w:right="0" w:firstLine="180"/>
        <w:jc w:val="left"/>
      </w:pPr>
      <w:bookmarkStart w:id="284" w:name="bookmark284"/>
      <w:bookmarkStart w:id="285" w:name="bookmark285"/>
      <w:bookmarkStart w:id="286" w:name="bookmark286"/>
      <w:bookmarkStart w:id="287" w:name="bookmark287"/>
      <w:r>
        <w:rPr>
          <w:color w:val="000000"/>
          <w:spacing w:val="0"/>
          <w:w w:val="100"/>
          <w:position w:val="0"/>
          <w:sz w:val="24"/>
          <w:szCs w:val="24"/>
        </w:rPr>
        <w:t>六</w:t>
      </w:r>
      <w:bookmarkEnd w:id="286"/>
      <w:r>
        <w:rPr>
          <w:color w:val="000000"/>
          <w:spacing w:val="0"/>
          <w:w w:val="100"/>
          <w:position w:val="0"/>
          <w:sz w:val="24"/>
          <w:szCs w:val="24"/>
        </w:rPr>
        <w:t>、</w:t>
        <w:tab/>
        <w:t>董事会关于报告期会计政策、会计估计变更或重大会计差错更正的说明</w:t>
      </w:r>
      <w:bookmarkEnd w:id="284"/>
      <w:bookmarkEnd w:id="285"/>
      <w:bookmarkEnd w:id="287"/>
    </w:p>
    <w:p>
      <w:pPr>
        <w:pStyle w:val="Style27"/>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620"/>
        <w:jc w:val="left"/>
      </w:pPr>
      <w:bookmarkStart w:id="288" w:name="bookmark288"/>
      <w:r>
        <w:rPr>
          <w:rFonts w:ascii="Times New Roman" w:eastAsia="Times New Roman" w:hAnsi="Times New Roman" w:cs="Times New Roman"/>
          <w:color w:val="000000"/>
          <w:spacing w:val="0"/>
          <w:w w:val="100"/>
          <w:position w:val="0"/>
          <w:sz w:val="18"/>
          <w:szCs w:val="18"/>
        </w:rPr>
        <w:t>1</w:t>
      </w:r>
      <w:bookmarkEnd w:id="288"/>
      <w:r>
        <w:rPr>
          <w:color w:val="000000"/>
          <w:spacing w:val="0"/>
          <w:w w:val="100"/>
          <w:position w:val="0"/>
        </w:rPr>
        <w:t>、会计政策变更</w:t>
      </w:r>
    </w:p>
    <w:p>
      <w:pPr>
        <w:pStyle w:val="Style27"/>
        <w:keepNext w:val="0"/>
        <w:keepLines w:val="0"/>
        <w:widowControl w:val="0"/>
        <w:shd w:val="clear" w:color="auto" w:fill="auto"/>
        <w:bidi w:val="0"/>
        <w:spacing w:before="0" w:line="240" w:lineRule="auto"/>
        <w:ind w:left="0" w:right="0" w:firstLine="620"/>
        <w:jc w:val="left"/>
      </w:pPr>
      <w:r>
        <w:rPr>
          <w:color w:val="000000"/>
          <w:spacing w:val="0"/>
          <w:w w:val="100"/>
          <w:position w:val="0"/>
        </w:rPr>
        <w:t>根据财政部修订的《企业会计准则第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收入》，将现行收入和建造合同两项准则纳入统一的收入确认模型；以控 </w:t>
      </w:r>
      <w:r>
        <w:rPr>
          <w:color w:val="000000"/>
          <w:spacing w:val="0"/>
          <w:w w:val="100"/>
          <w:position w:val="0"/>
        </w:rPr>
        <w:t>制权转移替代风险报酬转移作为收入确认时点的判断标准；对于包含多重交易安排的合同的会计处理提供了更明确的指引； 对于某些特定交易（或事项）的收入确认和计量给出了明确规定。根据新旧准则转换的衔接规定，新收入准则自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日起施行，公司根据首次执行该准则的累积影响数调整期初留存收益及财务报表其他相关项目金额，对可比期间信息不予调 整。本次会计政策的变更系根据财政部修订的最新会计准则进行的相应变更，变更后的会计政策能够客观、公允地反映公司 的财务状况和经营成果，符合相关法律法规的规定和公司实际情况。本次会计政策变更不会对公司财务状况、经营成果和现 金流量产生重大影响，亦不存在损害公司及股东利益的情况。</w:t>
      </w:r>
    </w:p>
    <w:p>
      <w:pPr>
        <w:pStyle w:val="Style27"/>
        <w:keepNext w:val="0"/>
        <w:keepLines w:val="0"/>
        <w:widowControl w:val="0"/>
        <w:shd w:val="clear" w:color="auto" w:fill="auto"/>
        <w:bidi w:val="0"/>
        <w:spacing w:before="0" w:after="0" w:line="360" w:lineRule="auto"/>
        <w:ind w:left="0" w:right="0" w:firstLine="440"/>
        <w:jc w:val="left"/>
      </w:pPr>
      <w:bookmarkStart w:id="289" w:name="bookmark289"/>
      <w:r>
        <w:rPr>
          <w:rFonts w:ascii="Times New Roman" w:eastAsia="Times New Roman" w:hAnsi="Times New Roman" w:cs="Times New Roman"/>
          <w:color w:val="000000"/>
          <w:spacing w:val="0"/>
          <w:w w:val="100"/>
          <w:position w:val="0"/>
          <w:sz w:val="18"/>
          <w:szCs w:val="18"/>
        </w:rPr>
        <w:t>2</w:t>
      </w:r>
      <w:bookmarkEnd w:id="289"/>
      <w:r>
        <w:rPr>
          <w:color w:val="000000"/>
          <w:spacing w:val="0"/>
          <w:w w:val="100"/>
          <w:position w:val="0"/>
        </w:rPr>
        <w:t>、会计估计变更</w:t>
      </w:r>
    </w:p>
    <w:p>
      <w:pPr>
        <w:pStyle w:val="Style27"/>
        <w:keepNext w:val="0"/>
        <w:keepLines w:val="0"/>
        <w:widowControl w:val="0"/>
        <w:shd w:val="clear" w:color="auto" w:fill="auto"/>
        <w:bidi w:val="0"/>
        <w:spacing w:before="0" w:after="360" w:line="311" w:lineRule="exact"/>
        <w:ind w:left="0" w:right="0" w:firstLine="440"/>
        <w:jc w:val="left"/>
      </w:pPr>
      <w:r>
        <w:rPr>
          <w:color w:val="000000"/>
          <w:spacing w:val="0"/>
          <w:w w:val="100"/>
          <w:position w:val="0"/>
        </w:rPr>
        <w:t>本报告期主要会计估计未发生变更。</w:t>
      </w:r>
    </w:p>
    <w:p>
      <w:pPr>
        <w:pStyle w:val="Style25"/>
        <w:keepNext/>
        <w:keepLines/>
        <w:widowControl w:val="0"/>
        <w:shd w:val="clear" w:color="auto" w:fill="auto"/>
        <w:tabs>
          <w:tab w:pos="587"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七</w:t>
      </w:r>
      <w:bookmarkEnd w:id="292"/>
      <w:r>
        <w:rPr>
          <w:color w:val="000000"/>
          <w:spacing w:val="0"/>
          <w:w w:val="100"/>
          <w:position w:val="0"/>
          <w:sz w:val="24"/>
          <w:szCs w:val="24"/>
        </w:rPr>
        <w:t>、</w:t>
        <w:tab/>
        <w:t>与上年度财务报告相比，合并报表范围发生变化的情况说明</w:t>
      </w:r>
      <w:bookmarkEnd w:id="290"/>
      <w:bookmarkEnd w:id="291"/>
      <w:bookmarkEnd w:id="293"/>
    </w:p>
    <w:p>
      <w:pPr>
        <w:pStyle w:val="Style27"/>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14" w:val="left"/>
        </w:tabs>
        <w:bidi w:val="0"/>
        <w:spacing w:before="0" w:after="0" w:line="360" w:lineRule="auto"/>
        <w:ind w:left="0" w:right="0" w:firstLine="380"/>
        <w:jc w:val="both"/>
      </w:pPr>
      <w:bookmarkStart w:id="294" w:name="bookmark294"/>
      <w:r>
        <w:rPr>
          <w:rFonts w:ascii="Times New Roman" w:eastAsia="Times New Roman" w:hAnsi="Times New Roman" w:cs="Times New Roman"/>
          <w:color w:val="000000"/>
          <w:spacing w:val="0"/>
          <w:w w:val="100"/>
          <w:position w:val="0"/>
          <w:sz w:val="18"/>
          <w:szCs w:val="18"/>
        </w:rPr>
        <w:t>1</w:t>
      </w:r>
      <w:bookmarkEnd w:id="294"/>
      <w:r>
        <w:rPr>
          <w:color w:val="000000"/>
          <w:spacing w:val="0"/>
          <w:w w:val="100"/>
          <w:position w:val="0"/>
        </w:rPr>
        <w:t>、</w:t>
        <w:tab/>
        <w:t>注销子公司</w:t>
      </w:r>
    </w:p>
    <w:p>
      <w:pPr>
        <w:pStyle w:val="Style27"/>
        <w:keepNext w:val="0"/>
        <w:keepLines w:val="0"/>
        <w:widowControl w:val="0"/>
        <w:shd w:val="clear" w:color="auto" w:fill="auto"/>
        <w:bidi w:val="0"/>
        <w:spacing w:before="0" w:line="315" w:lineRule="exact"/>
        <w:ind w:left="0" w:right="0" w:firstLine="380"/>
        <w:jc w:val="both"/>
      </w:pPr>
      <w:r>
        <w:rPr>
          <w:color w:val="000000"/>
          <w:spacing w:val="0"/>
          <w:w w:val="100"/>
          <w:position w:val="0"/>
        </w:rPr>
        <w:t>报告期内注销子公司霍尔果斯吉良先道信息科技有限公司、浙江汉鼎宇佑智慧医疗服务有限公司。注销孙子公司杭州宇 佑电子商务有限公司、杭州医利智能科技有限公司、杭州星影电影院有限公司、乐清时代电影放映有限公司。</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295" w:name="bookmark295"/>
      <w:r>
        <w:rPr>
          <w:rFonts w:ascii="Times New Roman" w:eastAsia="Times New Roman" w:hAnsi="Times New Roman" w:cs="Times New Roman"/>
          <w:color w:val="000000"/>
          <w:spacing w:val="0"/>
          <w:w w:val="100"/>
          <w:position w:val="0"/>
          <w:sz w:val="18"/>
          <w:szCs w:val="18"/>
        </w:rPr>
        <w:t>2</w:t>
      </w:r>
      <w:bookmarkEnd w:id="295"/>
      <w:r>
        <w:rPr>
          <w:color w:val="000000"/>
          <w:spacing w:val="0"/>
          <w:w w:val="100"/>
          <w:position w:val="0"/>
        </w:rPr>
        <w:t>、</w:t>
        <w:tab/>
        <w:t>对子公司好医友医疗科技集团有限公司丧失控制权并不再纳入合并报表范围</w:t>
      </w:r>
    </w:p>
    <w:p>
      <w:pPr>
        <w:pStyle w:val="Style27"/>
        <w:keepNext w:val="0"/>
        <w:keepLines w:val="0"/>
        <w:widowControl w:val="0"/>
        <w:shd w:val="clear" w:color="auto" w:fill="auto"/>
        <w:bidi w:val="0"/>
        <w:spacing w:before="0" w:line="315" w:lineRule="exact"/>
        <w:ind w:left="0" w:right="0" w:firstLine="380"/>
        <w:jc w:val="both"/>
      </w:pPr>
      <w:r>
        <w:rPr>
          <w:color w:val="000000"/>
          <w:spacing w:val="0"/>
          <w:w w:val="100"/>
          <w:position w:val="0"/>
        </w:rPr>
        <w:t>公司直接持有好医友医疗科技集团有限公司（以下简称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好医友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的股权，本公司的关联方汉鼎宇佑集团有限公司 持有好医友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月汉鼎宇佑集团有限公司与本公司签订《表决权委托协议》，将其对好医友的股东权利委 托本公司行使，故本公司对好医友的表决权比例为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，同时好医友董事会三名成员中本公司派有两名，形成控制；</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月本公司与汉鼎宇佑集团有限公司签订《解除协议》，原《表决权委托协议》项下的权利义务立即终止。在汉鼎宇佑集 团有限公司解除表决权委托后，本公司可实际控制的好医友股权比例为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，可委派到好医友董事会人数为一名。在汉鼎宇 佑集团有限公司解除表决权委托后，本公司持有好医友的股权比例不足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，无法独立行使在好医友股东会和董事会中的超 半数表决权，公司将丧失对好医友的控制权并不再将好医友纳入公司合并报表范围。</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296" w:name="bookmark296"/>
      <w:r>
        <w:rPr>
          <w:rFonts w:ascii="Times New Roman" w:eastAsia="Times New Roman" w:hAnsi="Times New Roman" w:cs="Times New Roman"/>
          <w:color w:val="000000"/>
          <w:spacing w:val="0"/>
          <w:w w:val="100"/>
          <w:position w:val="0"/>
          <w:sz w:val="18"/>
          <w:szCs w:val="18"/>
        </w:rPr>
        <w:t>3</w:t>
      </w:r>
      <w:bookmarkEnd w:id="296"/>
      <w:r>
        <w:rPr>
          <w:color w:val="000000"/>
          <w:spacing w:val="0"/>
          <w:w w:val="100"/>
          <w:position w:val="0"/>
        </w:rPr>
        <w:t>、</w:t>
        <w:tab/>
        <w:t>设立子公司</w:t>
      </w:r>
    </w:p>
    <w:p>
      <w:pPr>
        <w:pStyle w:val="Style27"/>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报告期内设立子公司好医友互联网医院（平潭）有限公司、浙江海峡创新科技有限公司、贵阳市海峡创新科技有限公司。</w:t>
      </w:r>
    </w:p>
    <w:p>
      <w:pPr>
        <w:pStyle w:val="Style25"/>
        <w:keepNext/>
        <w:keepLines/>
        <w:widowControl w:val="0"/>
        <w:shd w:val="clear" w:color="auto" w:fill="auto"/>
        <w:tabs>
          <w:tab w:pos="587" w:val="left"/>
        </w:tabs>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八</w:t>
      </w:r>
      <w:bookmarkEnd w:id="299"/>
      <w:r>
        <w:rPr>
          <w:color w:val="000000"/>
          <w:spacing w:val="0"/>
          <w:w w:val="100"/>
          <w:position w:val="0"/>
          <w:sz w:val="24"/>
          <w:szCs w:val="24"/>
        </w:rPr>
        <w:t>、</w:t>
        <w:tab/>
        <w:t>聘任、解聘会计师事务所情况</w:t>
      </w:r>
      <w:bookmarkEnd w:id="297"/>
      <w:bookmarkEnd w:id="298"/>
      <w:bookmarkEnd w:id="300"/>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李赟莘、肖俊龙</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李赟莘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年，肖俊龙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九</w:t>
      </w:r>
      <w:bookmarkEnd w:id="303"/>
      <w:r>
        <w:rPr>
          <w:color w:val="000000"/>
          <w:spacing w:val="0"/>
          <w:w w:val="100"/>
          <w:position w:val="0"/>
          <w:sz w:val="24"/>
          <w:szCs w:val="24"/>
        </w:rPr>
        <w:t>、年度报告披露后面临退市情况</w:t>
      </w:r>
      <w:bookmarkEnd w:id="301"/>
      <w:bookmarkEnd w:id="302"/>
      <w:bookmarkEnd w:id="30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05" w:name="bookmark305"/>
      <w:bookmarkStart w:id="306" w:name="bookmark306"/>
      <w:bookmarkStart w:id="307" w:name="bookmark307"/>
      <w:r>
        <w:rPr>
          <w:color w:val="000000"/>
          <w:spacing w:val="0"/>
          <w:w w:val="100"/>
          <w:position w:val="0"/>
          <w:sz w:val="24"/>
          <w:szCs w:val="24"/>
        </w:rPr>
        <w:t>十、破产重整相关事项</w:t>
      </w:r>
      <w:bookmarkEnd w:id="305"/>
      <w:bookmarkEnd w:id="306"/>
      <w:bookmarkEnd w:id="30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both"/>
      </w:pPr>
      <w:bookmarkStart w:id="308" w:name="bookmark308"/>
      <w:bookmarkStart w:id="309" w:name="bookmark309"/>
      <w:bookmarkStart w:id="310" w:name="bookmark310"/>
      <w:r>
        <w:rPr>
          <w:color w:val="000000"/>
          <w:spacing w:val="0"/>
          <w:w w:val="100"/>
          <w:position w:val="0"/>
          <w:sz w:val="24"/>
          <w:szCs w:val="24"/>
        </w:rPr>
        <w:t>十一、重大诉讼、仲裁事项</w:t>
      </w:r>
      <w:bookmarkEnd w:id="308"/>
      <w:bookmarkEnd w:id="309"/>
      <w:bookmarkEnd w:id="31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4"/>
        <w:gridCol w:w="1090"/>
        <w:gridCol w:w="1262"/>
        <w:gridCol w:w="955"/>
        <w:gridCol w:w="1392"/>
        <w:gridCol w:w="1262"/>
        <w:gridCol w:w="1080"/>
        <w:gridCol w:w="10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公司作为原告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13,030.57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公司作为被告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2,051.77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311" w:name="bookmark311"/>
      <w:bookmarkStart w:id="312" w:name="bookmark312"/>
      <w:bookmarkStart w:id="313" w:name="bookmark313"/>
      <w:r>
        <w:rPr>
          <w:color w:val="000000"/>
          <w:spacing w:val="0"/>
          <w:w w:val="100"/>
          <w:position w:val="0"/>
          <w:sz w:val="24"/>
          <w:szCs w:val="24"/>
        </w:rPr>
        <w:t>十二、处罚及整改情况</w:t>
      </w:r>
      <w:bookmarkEnd w:id="311"/>
      <w:bookmarkEnd w:id="312"/>
      <w:bookmarkEnd w:id="313"/>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after="280" w:line="240" w:lineRule="auto"/>
        <w:ind w:left="0" w:right="0" w:firstLine="0"/>
        <w:jc w:val="both"/>
      </w:pPr>
      <w:bookmarkStart w:id="314" w:name="bookmark314"/>
      <w:bookmarkStart w:id="315" w:name="bookmark315"/>
      <w:bookmarkStart w:id="316" w:name="bookmark316"/>
      <w:r>
        <w:rPr>
          <w:color w:val="000000"/>
          <w:spacing w:val="0"/>
          <w:w w:val="100"/>
          <w:position w:val="0"/>
          <w:sz w:val="24"/>
          <w:szCs w:val="24"/>
        </w:rPr>
        <w:t>十三、公司及其控股股东、实际控制人的诚信状况</w:t>
      </w:r>
      <w:bookmarkEnd w:id="314"/>
      <w:bookmarkEnd w:id="315"/>
      <w:bookmarkEnd w:id="316"/>
    </w:p>
    <w:p>
      <w:pPr>
        <w:pStyle w:val="Style27"/>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317" w:name="bookmark317"/>
      <w:bookmarkStart w:id="318" w:name="bookmark318"/>
      <w:bookmarkStart w:id="319" w:name="bookmark319"/>
      <w:r>
        <w:rPr>
          <w:color w:val="000000"/>
          <w:spacing w:val="0"/>
          <w:w w:val="100"/>
          <w:position w:val="0"/>
          <w:sz w:val="24"/>
          <w:szCs w:val="24"/>
        </w:rPr>
        <w:t>十四、公司股权激励计划、员工持股计划或其他员工激励措施的实施情况</w:t>
      </w:r>
      <w:bookmarkEnd w:id="317"/>
      <w:bookmarkEnd w:id="318"/>
      <w:bookmarkEnd w:id="319"/>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440"/>
        <w:jc w:val="both"/>
      </w:pPr>
      <w:bookmarkStart w:id="320" w:name="bookmark320"/>
      <w:r>
        <w:rPr>
          <w:rFonts w:ascii="Times New Roman" w:eastAsia="Times New Roman" w:hAnsi="Times New Roman" w:cs="Times New Roman"/>
          <w:color w:val="000000"/>
          <w:spacing w:val="0"/>
          <w:w w:val="100"/>
          <w:position w:val="0"/>
          <w:sz w:val="18"/>
          <w:szCs w:val="18"/>
        </w:rPr>
        <w:t>1</w:t>
      </w:r>
      <w:bookmarkEnd w:id="32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日，公司第三届董事会第四十次会议，会议审议通过了《关于回购注销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 分限制性股票的议案》。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年第二次临时股东大会审议通过该议案。公司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 划授予的部分激励对象马桔英等十九名员工因个人原因离职，已不符合激励条件，根据公司《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的有关规定，由公司按照限制性股票授予价格回购注销，取消离职人员的激励对象资格并回购注销其已获授权但尚未解锁的 全部限制性股票。本次回购涉及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人，</w:t>
      </w:r>
      <w:r>
        <w:rPr>
          <w:color w:val="000000"/>
          <w:spacing w:val="0"/>
          <w:w w:val="100"/>
          <w:position w:val="0"/>
        </w:rPr>
        <w:t>回购限制性股票数量为</w:t>
      </w:r>
      <w:r>
        <w:rPr>
          <w:rFonts w:ascii="Times New Roman" w:eastAsia="Times New Roman" w:hAnsi="Times New Roman" w:cs="Times New Roman"/>
          <w:color w:val="000000"/>
          <w:spacing w:val="0"/>
          <w:w w:val="100"/>
          <w:position w:val="0"/>
          <w:sz w:val="18"/>
          <w:szCs w:val="18"/>
        </w:rPr>
        <w:t>1,375,852</w:t>
      </w:r>
      <w:r>
        <w:rPr>
          <w:color w:val="000000"/>
          <w:spacing w:val="0"/>
          <w:w w:val="100"/>
          <w:position w:val="0"/>
        </w:rPr>
        <w:t>股。经中国证券 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w:t>
      </w:r>
    </w:p>
    <w:p>
      <w:pPr>
        <w:pStyle w:val="Style27"/>
        <w:keepNext w:val="0"/>
        <w:keepLines w:val="0"/>
        <w:widowControl w:val="0"/>
        <w:shd w:val="clear" w:color="auto" w:fill="auto"/>
        <w:bidi w:val="0"/>
        <w:spacing w:before="0" w:after="360" w:line="312" w:lineRule="exact"/>
        <w:ind w:left="0" w:right="0" w:firstLine="440"/>
        <w:jc w:val="both"/>
      </w:pPr>
      <w:bookmarkStart w:id="321" w:name="bookmark321"/>
      <w:r>
        <w:rPr>
          <w:rFonts w:ascii="Times New Roman" w:eastAsia="Times New Roman" w:hAnsi="Times New Roman" w:cs="Times New Roman"/>
          <w:color w:val="000000"/>
          <w:spacing w:val="0"/>
          <w:w w:val="100"/>
          <w:position w:val="0"/>
          <w:sz w:val="18"/>
          <w:szCs w:val="18"/>
        </w:rPr>
        <w:t>2</w:t>
      </w:r>
      <w:bookmarkEnd w:id="32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并回购注销限制性股票的议案》。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年第一次临时股东大会审议通过该议案。公司董事会决定回购注 销徐晗等四名已离职员工所持有已获授但尚未解除限售的限制性股票</w:t>
      </w:r>
      <w:r>
        <w:rPr>
          <w:rFonts w:ascii="Times New Roman" w:eastAsia="Times New Roman" w:hAnsi="Times New Roman" w:cs="Times New Roman"/>
          <w:color w:val="000000"/>
          <w:spacing w:val="0"/>
          <w:w w:val="100"/>
          <w:position w:val="0"/>
          <w:sz w:val="18"/>
          <w:szCs w:val="18"/>
        </w:rPr>
        <w:t>545,891</w:t>
      </w:r>
      <w:r>
        <w:rPr>
          <w:color w:val="000000"/>
          <w:spacing w:val="0"/>
          <w:w w:val="100"/>
          <w:position w:val="0"/>
        </w:rPr>
        <w:t>股。公司预计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年度的业绩将无 法达到《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年限制性股票激励计划》规定的解除限售期解锁条件，董事会决定终止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年限制性股票激励计划。董事会决 定对激励对象所持有已获授但尚未解除限售的限制性股票</w:t>
      </w:r>
      <w:r>
        <w:rPr>
          <w:rFonts w:ascii="Times New Roman" w:eastAsia="Times New Roman" w:hAnsi="Times New Roman" w:cs="Times New Roman"/>
          <w:color w:val="000000"/>
          <w:spacing w:val="0"/>
          <w:w w:val="100"/>
          <w:position w:val="0"/>
          <w:sz w:val="18"/>
          <w:szCs w:val="18"/>
        </w:rPr>
        <w:t>7,173,066</w:t>
      </w:r>
      <w:r>
        <w:rPr>
          <w:color w:val="000000"/>
          <w:spacing w:val="0"/>
          <w:w w:val="100"/>
          <w:position w:val="0"/>
        </w:rPr>
        <w:t>股进行回购注销，涉及激励对象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名（包括四名离职激励 对象）。经中国证券登记结算有限责任公司深圳分公司审核确认，公司本次回购股票注销事宜已于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日办理完成。</w:t>
      </w:r>
    </w:p>
    <w:p>
      <w:pPr>
        <w:pStyle w:val="Style25"/>
        <w:keepNext/>
        <w:keepLines/>
        <w:widowControl w:val="0"/>
        <w:shd w:val="clear" w:color="auto" w:fill="auto"/>
        <w:bidi w:val="0"/>
        <w:spacing w:before="0" w:line="240" w:lineRule="auto"/>
        <w:ind w:left="0" w:right="0" w:firstLine="0"/>
        <w:jc w:val="both"/>
      </w:pPr>
      <w:bookmarkStart w:id="322" w:name="bookmark322"/>
      <w:bookmarkStart w:id="323" w:name="bookmark323"/>
      <w:bookmarkStart w:id="324" w:name="bookmark324"/>
      <w:r>
        <w:rPr>
          <w:color w:val="000000"/>
          <w:spacing w:val="0"/>
          <w:w w:val="100"/>
          <w:position w:val="0"/>
          <w:sz w:val="24"/>
          <w:szCs w:val="24"/>
        </w:rPr>
        <w:t>十五、重大关联交易</w:t>
      </w:r>
      <w:bookmarkEnd w:id="322"/>
      <w:bookmarkEnd w:id="323"/>
      <w:bookmarkEnd w:id="324"/>
    </w:p>
    <w:p>
      <w:pPr>
        <w:pStyle w:val="Style31"/>
        <w:keepNext/>
        <w:keepLines/>
        <w:widowControl w:val="0"/>
        <w:shd w:val="clear" w:color="auto" w:fill="auto"/>
        <w:bidi w:val="0"/>
        <w:spacing w:before="0" w:after="280" w:line="240" w:lineRule="auto"/>
        <w:ind w:left="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、与日常经营相关的关联交易</w:t>
      </w:r>
      <w:bookmarkEnd w:id="325"/>
      <w:bookmarkEnd w:id="326"/>
      <w:bookmarkEnd w:id="328"/>
    </w:p>
    <w:p>
      <w:pPr>
        <w:pStyle w:val="Style27"/>
        <w:keepNext w:val="0"/>
        <w:keepLines w:val="0"/>
        <w:widowControl w:val="0"/>
        <w:shd w:val="clear" w:color="auto" w:fill="auto"/>
        <w:bidi w:val="0"/>
        <w:spacing w:before="0" w:after="2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738"/>
        <w:gridCol w:w="816"/>
        <w:gridCol w:w="1099"/>
        <w:gridCol w:w="1349"/>
        <w:gridCol w:w="1349"/>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被投资企业的主营业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 业的注册 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的总资产（万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平潭综合实 验区金融创 新服务中心 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东平潭创投 的控股股东 平潭金控之 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好医友互联 网医院（平 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综合医院，医学研究 和试验发展</w:t>
            </w:r>
            <w:r>
              <w:rPr>
                <w:color w:val="000000"/>
                <w:spacing w:val="0"/>
                <w:w w:val="100"/>
                <w:position w:val="0"/>
                <w:sz w:val="18"/>
                <w:szCs w:val="18"/>
              </w:rPr>
              <w:t>，</w:t>
            </w:r>
            <w:r>
              <w:rPr>
                <w:color w:val="000000"/>
                <w:spacing w:val="0"/>
                <w:w w:val="100"/>
                <w:position w:val="0"/>
              </w:rPr>
              <w:t>生物技术 推广服务</w:t>
            </w:r>
            <w:r>
              <w:rPr>
                <w:color w:val="000000"/>
                <w:spacing w:val="0"/>
                <w:w w:val="100"/>
                <w:position w:val="0"/>
                <w:sz w:val="18"/>
                <w:szCs w:val="18"/>
              </w:rPr>
              <w:t>，</w:t>
            </w:r>
            <w:r>
              <w:rPr>
                <w:color w:val="000000"/>
                <w:spacing w:val="0"/>
                <w:w w:val="100"/>
                <w:position w:val="0"/>
              </w:rPr>
              <w:t>互联网和相 关服务</w:t>
            </w:r>
            <w:r>
              <w:rPr>
                <w:color w:val="000000"/>
                <w:spacing w:val="0"/>
                <w:w w:val="100"/>
                <w:position w:val="0"/>
                <w:sz w:val="18"/>
                <w:szCs w:val="18"/>
              </w:rPr>
              <w:t>，</w:t>
            </w:r>
            <w:r>
              <w:rPr>
                <w:color w:val="000000"/>
                <w:spacing w:val="0"/>
                <w:w w:val="100"/>
                <w:position w:val="0"/>
              </w:rPr>
              <w:t>医药及医疗器 材批发</w:t>
            </w:r>
            <w:r>
              <w:rPr>
                <w:color w:val="000000"/>
                <w:spacing w:val="0"/>
                <w:w w:val="100"/>
                <w:position w:val="0"/>
                <w:sz w:val="18"/>
                <w:szCs w:val="18"/>
              </w:rPr>
              <w:t>，</w:t>
            </w:r>
            <w:r>
              <w:rPr>
                <w:color w:val="000000"/>
                <w:spacing w:val="0"/>
                <w:w w:val="100"/>
                <w:position w:val="0"/>
              </w:rPr>
              <w:t>药品零售</w:t>
            </w:r>
            <w:r>
              <w:rPr>
                <w:color w:val="000000"/>
                <w:spacing w:val="0"/>
                <w:w w:val="100"/>
                <w:position w:val="0"/>
                <w:sz w:val="18"/>
                <w:szCs w:val="18"/>
              </w:rPr>
              <w:t>，</w:t>
            </w:r>
            <w:r>
              <w:rPr>
                <w:color w:val="000000"/>
                <w:spacing w:val="0"/>
                <w:w w:val="100"/>
                <w:position w:val="0"/>
              </w:rPr>
              <w:t>第 一类医疗器械零售</w:t>
            </w:r>
            <w:r>
              <w:rPr>
                <w:color w:val="000000"/>
                <w:spacing w:val="0"/>
                <w:w w:val="100"/>
                <w:position w:val="0"/>
                <w:sz w:val="18"/>
                <w:szCs w:val="18"/>
              </w:rPr>
              <w:t>，</w:t>
            </w:r>
            <w:r>
              <w:rPr>
                <w:color w:val="000000"/>
                <w:spacing w:val="0"/>
                <w:w w:val="100"/>
                <w:position w:val="0"/>
              </w:rPr>
              <w:t>第 二类医疗器械零售</w:t>
            </w:r>
            <w:r>
              <w:rPr>
                <w:color w:val="000000"/>
                <w:spacing w:val="0"/>
                <w:w w:val="100"/>
                <w:position w:val="0"/>
                <w:sz w:val="18"/>
                <w:szCs w:val="18"/>
              </w:rPr>
              <w:t>，</w:t>
            </w:r>
            <w:r>
              <w:rPr>
                <w:color w:val="000000"/>
                <w:spacing w:val="0"/>
                <w:w w:val="100"/>
                <w:position w:val="0"/>
              </w:rPr>
              <w:t>第 三类医疗器械零售</w:t>
            </w:r>
            <w:r>
              <w:rPr>
                <w:color w:val="000000"/>
                <w:spacing w:val="0"/>
                <w:w w:val="100"/>
                <w:position w:val="0"/>
                <w:sz w:val="18"/>
                <w:szCs w:val="18"/>
              </w:rPr>
              <w:t>，</w:t>
            </w:r>
            <w:r>
              <w:rPr>
                <w:color w:val="000000"/>
                <w:spacing w:val="0"/>
                <w:w w:val="100"/>
                <w:position w:val="0"/>
              </w:rPr>
              <w:t>互 联网销售</w:t>
            </w:r>
            <w:r>
              <w:rPr>
                <w:color w:val="000000"/>
                <w:spacing w:val="0"/>
                <w:w w:val="100"/>
                <w:position w:val="0"/>
                <w:sz w:val="18"/>
                <w:szCs w:val="18"/>
              </w:rPr>
              <w:t>，</w:t>
            </w:r>
            <w:r>
              <w:rPr>
                <w:color w:val="000000"/>
                <w:spacing w:val="0"/>
                <w:w w:val="100"/>
                <w:position w:val="0"/>
              </w:rPr>
              <w:t>信息技术咨 询服务</w:t>
            </w:r>
            <w:r>
              <w:rPr>
                <w:color w:val="000000"/>
                <w:spacing w:val="0"/>
                <w:w w:val="100"/>
                <w:position w:val="0"/>
                <w:sz w:val="18"/>
                <w:szCs w:val="18"/>
              </w:rPr>
              <w:t>，</w:t>
            </w:r>
            <w:r>
              <w:rPr>
                <w:color w:val="000000"/>
                <w:spacing w:val="0"/>
                <w:w w:val="100"/>
                <w:position w:val="0"/>
              </w:rPr>
              <w:t>其他专业咨 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 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、关联债权债务往来</w:t>
      </w:r>
      <w:bookmarkEnd w:id="337"/>
      <w:bookmarkEnd w:id="338"/>
      <w:bookmarkEnd w:id="34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公司报告期不存在非经营性关联债权债务往来。</w:t>
      </w:r>
    </w:p>
    <w:p>
      <w:pPr>
        <w:pStyle w:val="Style31"/>
        <w:keepNext/>
        <w:keepLines/>
        <w:widowControl w:val="0"/>
        <w:shd w:val="clear" w:color="auto" w:fill="auto"/>
        <w:bidi w:val="0"/>
        <w:spacing w:before="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5</w:t>
      </w:r>
      <w:bookmarkEnd w:id="343"/>
      <w:r>
        <w:rPr>
          <w:color w:val="000000"/>
          <w:spacing w:val="0"/>
          <w:w w:val="100"/>
          <w:position w:val="0"/>
        </w:rPr>
        <w:t>、其他重大关联交易</w:t>
      </w:r>
      <w:bookmarkEnd w:id="341"/>
      <w:bookmarkEnd w:id="342"/>
      <w:bookmarkEnd w:id="34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十六、重大合同及其履行情况</w:t>
      </w:r>
      <w:bookmarkEnd w:id="345"/>
      <w:bookmarkEnd w:id="346"/>
      <w:bookmarkEnd w:id="347"/>
    </w:p>
    <w:p>
      <w:pPr>
        <w:pStyle w:val="Style31"/>
        <w:keepNext/>
        <w:keepLines/>
        <w:widowControl w:val="0"/>
        <w:shd w:val="clear" w:color="auto" w:fill="auto"/>
        <w:tabs>
          <w:tab w:pos="36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托管、承包、租赁事项情况</w:t>
      </w:r>
      <w:bookmarkEnd w:id="348"/>
      <w:bookmarkEnd w:id="349"/>
      <w:bookmarkEnd w:id="351"/>
    </w:p>
    <w:p>
      <w:pPr>
        <w:pStyle w:val="Style44"/>
        <w:keepNext/>
        <w:keepLines/>
        <w:widowControl w:val="0"/>
        <w:shd w:val="clear" w:color="auto" w:fill="auto"/>
        <w:tabs>
          <w:tab w:pos="493"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2"/>
      <w:bookmarkEnd w:id="353"/>
      <w:bookmarkEnd w:id="355"/>
    </w:p>
    <w:p>
      <w:pPr>
        <w:pStyle w:val="Style27"/>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6"/>
      <w:bookmarkEnd w:id="357"/>
      <w:bookmarkEnd w:id="359"/>
    </w:p>
    <w:p>
      <w:pPr>
        <w:pStyle w:val="Style27"/>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0"/>
      <w:bookmarkEnd w:id="361"/>
      <w:bookmarkEnd w:id="363"/>
    </w:p>
    <w:p>
      <w:pPr>
        <w:pStyle w:val="Style27"/>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140" w:line="360" w:lineRule="exact"/>
        <w:ind w:left="0" w:right="0" w:firstLine="0"/>
        <w:jc w:val="left"/>
      </w:pPr>
      <w:r>
        <w:rPr>
          <w:color w:val="000000"/>
          <w:spacing w:val="0"/>
          <w:w w:val="100"/>
          <w:position w:val="0"/>
        </w:rPr>
        <w:t>报告期内，公司发生的出租事项主要为对外出租闲置办公用房；承租事项主要为租赁影院经营场所及办公场所等。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重大担保</w:t>
      </w:r>
      <w:bookmarkEnd w:id="364"/>
      <w:bookmarkEnd w:id="365"/>
      <w:bookmarkEnd w:id="367"/>
    </w:p>
    <w:p>
      <w:pPr>
        <w:pStyle w:val="Style27"/>
        <w:keepNext w:val="0"/>
        <w:keepLines w:val="0"/>
        <w:widowControl w:val="0"/>
        <w:shd w:val="clear" w:color="auto" w:fill="auto"/>
        <w:bidi w:val="0"/>
        <w:spacing w:before="0" w:after="24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8"/>
      <w:bookmarkEnd w:id="369"/>
      <w:bookmarkEnd w:id="3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1"/>
        <w:gridCol w:w="1224"/>
        <w:gridCol w:w="917"/>
        <w:gridCol w:w="1296"/>
        <w:gridCol w:w="816"/>
        <w:gridCol w:w="854"/>
        <w:gridCol w:w="1382"/>
        <w:gridCol w:w="888"/>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9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杭州汉鼎俏星商 业发展有限公司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11,199.17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11,199.17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6,199.1688 </w:t>
            </w:r>
            <w:r>
              <w:rPr>
                <w:color w:val="000000"/>
                <w:spacing w:val="0"/>
                <w:w w:val="100"/>
                <w:position w:val="0"/>
              </w:rPr>
              <w:t>万元 担保金额期限为 自四方协议签署 之日至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万元担保金额期 限为自四方协议 签署之日至</w:t>
            </w: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21"/>
        <w:gridCol w:w="1214"/>
        <w:gridCol w:w="926"/>
        <w:gridCol w:w="1296"/>
        <w:gridCol w:w="816"/>
        <w:gridCol w:w="854"/>
        <w:gridCol w:w="1382"/>
        <w:gridCol w:w="888"/>
        <w:gridCol w:w="787"/>
      </w:tblGrid>
      <w:tr>
        <w:trPr>
          <w:trHeight w:val="103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报告期内对外担保 实际发生额合计</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杭州超象娱乐管 理有限公司、合肥 市汉鼎宇佑电影 院有限责任公司、 淳安县汉鼎宇佑 电影有限公司、西 安华昕影院有限 公司、宁波镇海宇 佑互动电影院有 限公司、山西镁乐 文化传媒有限公 司、江油市辉煌影 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自合同签署之日 始至租赁合同项 下主债务履行期 届满之日起满两 年的期间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3,308.86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报告期内对子公司担保实际发生额合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3,308.86</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3,308.86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报告期末对子公司实际担保余额合计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3,173.45</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报告期内对子公司担保实际发生额合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报告期末对子公司实际担保余额合计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3,308.86</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3,308.86</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14,508.03</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14,372.62</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spacing w:lineRule="exact" w:line="1"/>
        <w:rPr>
          <w:sz w:val="2"/>
          <w:szCs w:val="2"/>
        </w:rPr>
      </w:pPr>
      <w:r>
        <w:br w:type="page"/>
      </w:r>
    </w:p>
    <w:tbl>
      <w:tblPr>
        <w:tblOverlap w:val="never"/>
        <w:jc w:val="center"/>
        <w:tblLayout w:type="fixed"/>
      </w:tblPr>
      <w:tblGrid>
        <w:gridCol w:w="4858"/>
        <w:gridCol w:w="47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2,025.12</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由于杭州市下城区国有房产管理有限公司与杭州汉鼎俏星 商业发展有限公司之间存在房屋租赁合同纠纷，公司存在对 上述债务承担连带责任的风险，可能对公司利润产生一定影 响。详情请参见公司于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日在巨潮资讯网披露 的《关于对外担保涉及诉讼的公告》和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 露的《关于对外担保涉及诉讼事项的更正公告》。</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2"/>
      <w:bookmarkEnd w:id="373"/>
      <w:bookmarkEnd w:id="37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、日常经营重大合同</w:t>
      </w:r>
      <w:bookmarkEnd w:id="376"/>
      <w:bookmarkEnd w:id="377"/>
      <w:bookmarkEnd w:id="3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0"/>
        <w:gridCol w:w="1066"/>
        <w:gridCol w:w="1061"/>
        <w:gridCol w:w="1061"/>
        <w:gridCol w:w="1066"/>
        <w:gridCol w:w="1061"/>
        <w:gridCol w:w="1066"/>
        <w:gridCol w:w="1061"/>
        <w:gridCol w:w="1075"/>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影响重大合 同履行的各 项条件是否 发生重大变</w:t>
            </w:r>
          </w:p>
          <w:p>
            <w:pPr>
              <w:pStyle w:val="Style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是否存在合 同无法履行 的重大风险</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海峡创新互 联网股份有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金交恒通有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未开工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海峡创新互 联网股份有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中国五冶集 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15,058.69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汉鼎信息科 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新民市人民 政府办公室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8,448.12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汉鼎信息科 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新民市公安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汉鼎宇佑互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联网股份有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浙江易健生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物制品有限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070"/>
        <w:gridCol w:w="1066"/>
        <w:gridCol w:w="1061"/>
        <w:gridCol w:w="1061"/>
        <w:gridCol w:w="1066"/>
        <w:gridCol w:w="1061"/>
        <w:gridCol w:w="1066"/>
        <w:gridCol w:w="1061"/>
        <w:gridCol w:w="1075"/>
      </w:tblGrid>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w:t>
        <w:tab/>
        <w:t>委托他人进行现金资产管理情况</w:t>
      </w:r>
      <w:bookmarkEnd w:id="380"/>
      <w:bookmarkEnd w:id="381"/>
      <w:bookmarkEnd w:id="383"/>
    </w:p>
    <w:p>
      <w:pPr>
        <w:pStyle w:val="Style44"/>
        <w:keepNext/>
        <w:keepLines/>
        <w:widowControl w:val="0"/>
        <w:shd w:val="clear" w:color="auto" w:fill="auto"/>
        <w:tabs>
          <w:tab w:pos="493" w:val="left"/>
        </w:tabs>
        <w:bidi w:val="0"/>
        <w:spacing w:before="0" w:after="26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4"/>
      <w:bookmarkEnd w:id="385"/>
      <w:bookmarkEnd w:id="387"/>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公司报告期不存在委托理财。</w:t>
      </w:r>
    </w:p>
    <w:p>
      <w:pPr>
        <w:pStyle w:val="Style44"/>
        <w:keepNext/>
        <w:keepLines/>
        <w:widowControl w:val="0"/>
        <w:shd w:val="clear" w:color="auto" w:fill="auto"/>
        <w:tabs>
          <w:tab w:pos="493" w:val="left"/>
        </w:tabs>
        <w:bidi w:val="0"/>
        <w:spacing w:before="0" w:after="26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8"/>
      <w:bookmarkEnd w:id="389"/>
      <w:bookmarkEnd w:id="391"/>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5</w:t>
      </w:r>
      <w:bookmarkEnd w:id="394"/>
      <w:r>
        <w:rPr>
          <w:color w:val="000000"/>
          <w:spacing w:val="0"/>
          <w:w w:val="100"/>
          <w:position w:val="0"/>
        </w:rPr>
        <w:t>、</w:t>
        <w:tab/>
        <w:t>其他重大合同</w:t>
      </w:r>
      <w:bookmarkEnd w:id="392"/>
      <w:bookmarkEnd w:id="393"/>
      <w:bookmarkEnd w:id="395"/>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十七、社会责任情况</w:t>
      </w:r>
      <w:bookmarkEnd w:id="396"/>
      <w:bookmarkEnd w:id="397"/>
      <w:bookmarkEnd w:id="398"/>
    </w:p>
    <w:p>
      <w:pPr>
        <w:pStyle w:val="Style31"/>
        <w:keepNext/>
        <w:keepLines/>
        <w:widowControl w:val="0"/>
        <w:shd w:val="clear" w:color="auto" w:fill="auto"/>
        <w:tabs>
          <w:tab w:pos="368" w:val="left"/>
        </w:tabs>
        <w:bidi w:val="0"/>
        <w:spacing w:before="0" w:after="2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w:t>
        <w:tab/>
        <w:t>履行社会责任情况</w:t>
      </w:r>
      <w:bookmarkEnd w:id="399"/>
      <w:bookmarkEnd w:id="400"/>
      <w:bookmarkEnd w:id="402"/>
    </w:p>
    <w:p>
      <w:pPr>
        <w:pStyle w:val="Style2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公司始终坚持回报社会的理念，以高度的企业责任感和社会爱心，热心社会公益事业，促进企业与社会、国家、自然 的协调、和谐发展，为落实科学发展观、构建社会主义和谐社会做出贡献。</w:t>
      </w:r>
    </w:p>
    <w:p>
      <w:pPr>
        <w:pStyle w:val="Style27"/>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新冠疫情期间，公司向武汉市慈善总会捐赠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万元人民币，助力抗击疫情。公司积极发挥远程医疗优势，开展新冠肺 炎相关线上公益活动，从专家库为疑难重症新冠肺炎患者免费提供中美专家公益会诊。为全国医疗机构和患者提供新冠肺炎 远程影像公益服务，对疑难患者提供远程影像会诊公益服务。</w:t>
      </w:r>
    </w:p>
    <w:p>
      <w:pPr>
        <w:pStyle w:val="Style31"/>
        <w:keepNext/>
        <w:keepLines/>
        <w:widowControl w:val="0"/>
        <w:shd w:val="clear" w:color="auto" w:fill="auto"/>
        <w:tabs>
          <w:tab w:pos="378" w:val="left"/>
        </w:tabs>
        <w:bidi w:val="0"/>
        <w:spacing w:before="0" w:after="2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w:t>
        <w:tab/>
        <w:t>履行精准扶贫社会责任情况</w:t>
      </w:r>
      <w:bookmarkEnd w:id="403"/>
      <w:bookmarkEnd w:id="404"/>
      <w:bookmarkEnd w:id="406"/>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tabs>
          <w:tab w:pos="378" w:val="left"/>
        </w:tabs>
        <w:bidi w:val="0"/>
        <w:spacing w:before="0" w:after="2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环境保护相关的情况</w:t>
      </w:r>
      <w:bookmarkEnd w:id="407"/>
      <w:bookmarkEnd w:id="408"/>
      <w:bookmarkEnd w:id="410"/>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公司及子公司不属于环境保护部门公布的重点排污单位。</w:t>
      </w:r>
    </w:p>
    <w:p>
      <w:pPr>
        <w:pStyle w:val="Style25"/>
        <w:keepNext/>
        <w:keepLines/>
        <w:widowControl w:val="0"/>
        <w:shd w:val="clear" w:color="auto" w:fill="auto"/>
        <w:bidi w:val="0"/>
        <w:spacing w:before="0" w:after="2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十八、其他重大事项的说明</w:t>
      </w:r>
      <w:bookmarkEnd w:id="411"/>
      <w:bookmarkEnd w:id="412"/>
      <w:bookmarkEnd w:id="413"/>
    </w:p>
    <w:p>
      <w:pPr>
        <w:pStyle w:val="Style27"/>
        <w:keepNext w:val="0"/>
        <w:keepLines w:val="0"/>
        <w:widowControl w:val="0"/>
        <w:shd w:val="clear" w:color="auto" w:fill="auto"/>
        <w:bidi w:val="0"/>
        <w:spacing w:before="0" w:after="6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085"/>
        <w:gridCol w:w="6000"/>
        <w:gridCol w:w="1387"/>
      </w:tblGrid>
      <w:tr>
        <w:trPr>
          <w:trHeight w:val="37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刊登日期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重大事项披露情况</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003"/>
        <w:gridCol w:w="1085"/>
        <w:gridCol w:w="6000"/>
        <w:gridCol w:w="1387"/>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关于高级管理人员变动的公告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关于对外投资设立互联网医院子公司暨关联交易的公告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关于补选董事长、董事会专门委员会委员及变更公司法定代表人的公告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关于深圳证券交易所关注函回复的公告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关于部分限制性股票回购注销完成的公告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关于高级管理人员变动的公告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年限制性股票激励计划并回购注销限制性股票的公告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《公司章程》修改对照表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关于回购注销限制性股票的减资公告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年度资产减值准备和信用减值准备的公告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关于前期会计差错更正及追溯调整的公告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股票交易异常波动及风险提示公告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关于深圳证券交易所年报问询函回复的公告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关于重大合同的进展公告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关于公司高级管理人员计划增持公司股份的公告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关于签署战略合作协议的公告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关于股东部分股份司法冻结的公告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关于收到浙江证监局警示函的公告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关于限制性股票回购注销完成的公告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关于公司控股股东计划增持公司股份的公告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关于深圳证券交易所问询函回复的公告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关于聘任公司副总经理的公告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关于公司高级管理人员计划增持公司股份的公告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关于金融资产存在公允价值变动的提示性公告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关于拟变更公司名称及证券简称的公告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关于拟变更公司经营范围的公告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关于股东部分股份司法冻结的公告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关于公司办公地址变更的公告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关于为下属公司提供担保的公告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关于选举第四届监事会职工代表监事的公告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第三届监事会第三十二次会议决议公告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关于董事会换届选举的公告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关于监事会换届选举的公告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关于续聘会计师事务所的公告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关于股东股份减持计划的预披露公告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关于公司高级管理人员增持股份计划完成的公告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关于股份回购期限届满的公告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关于合并报表范围发生变化暨表决权委托协议进展的公告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tbl>
      <w:tblPr>
        <w:tblOverlap w:val="never"/>
        <w:jc w:val="center"/>
        <w:tblLayout w:type="fixed"/>
      </w:tblPr>
      <w:tblGrid>
        <w:gridCol w:w="1003"/>
        <w:gridCol w:w="1085"/>
        <w:gridCol w:w="6000"/>
        <w:gridCol w:w="1387"/>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第四届监事会第一次会议决议公告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关于签订高速智慧交通信息化建设合同的公告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关于控股股东增持股份计划期限届满暨增持完成的公告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关于拟变更公司注册地址的公告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关于签订成都市环城生态修复综合项目合同的公告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619" w:line="1" w:lineRule="exact"/>
      </w:pPr>
    </w:p>
    <w:p>
      <w:pPr>
        <w:pStyle w:val="Style25"/>
        <w:keepNext/>
        <w:keepLines/>
        <w:widowControl w:val="0"/>
        <w:shd w:val="clear" w:color="auto" w:fill="auto"/>
        <w:bidi w:val="0"/>
        <w:spacing w:before="0" w:after="34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十九、公司子公司重大事项</w:t>
      </w:r>
      <w:bookmarkEnd w:id="414"/>
      <w:bookmarkEnd w:id="415"/>
      <w:bookmarkEnd w:id="416"/>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994"/>
        <w:gridCol w:w="6091"/>
        <w:gridCol w:w="1387"/>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公告编号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刊登日期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重大事项披露情况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关于对外投资设立互联网医院子公司暨关联交易的公告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日，公司召开总经理办公会议，审议通过了《关于撤回微贷网董事的议案》，会议同意王艳女士辞去 其担任的微贷网董事职务，同时考虑到公司发展需要，不再向微贷网派驻新董事。</w:t>
      </w:r>
    </w:p>
    <w:p>
      <w:pPr>
        <w:pStyle w:val="Style27"/>
        <w:keepNext w:val="0"/>
        <w:keepLines w:val="0"/>
        <w:widowControl w:val="0"/>
        <w:shd w:val="clear" w:color="auto" w:fill="auto"/>
        <w:bidi w:val="0"/>
        <w:spacing w:before="0" w:after="0"/>
        <w:ind w:left="0" w:right="0" w:firstLine="400"/>
        <w:jc w:val="both"/>
      </w:pPr>
      <w:bookmarkStart w:id="417" w:name="bookmark417"/>
      <w:r>
        <w:rPr>
          <w:rFonts w:ascii="Times New Roman" w:eastAsia="Times New Roman" w:hAnsi="Times New Roman" w:cs="Times New Roman"/>
          <w:color w:val="000000"/>
          <w:spacing w:val="0"/>
          <w:w w:val="100"/>
          <w:position w:val="0"/>
          <w:sz w:val="18"/>
          <w:szCs w:val="18"/>
        </w:rPr>
        <w:t>2</w:t>
      </w:r>
      <w:bookmarkEnd w:id="41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日，公司召开总经理办公会议，审议通过了《关于变更会计核算方法的议案》，因公司不再拥有微贷网 董事会席位，且公司不参与微贷网实际经营，公司对微贷网丧失了重大影响，根据《企业会计准则第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 的规定，会议同意公司对微贷网长期股权投资，自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日起，由按权益法进行计量变更为按公允价值进行计量。本次 会计核算方法变更预计影响公司当期投资收益约为</w:t>
      </w:r>
      <w:r>
        <w:rPr>
          <w:rFonts w:ascii="Times New Roman" w:eastAsia="Times New Roman" w:hAnsi="Times New Roman" w:cs="Times New Roman"/>
          <w:color w:val="000000"/>
          <w:spacing w:val="0"/>
          <w:w w:val="100"/>
          <w:position w:val="0"/>
          <w:sz w:val="18"/>
          <w:szCs w:val="18"/>
        </w:rPr>
        <w:t>-4,300.26</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年度经审计净利润的</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。会议审议通过了《关 于终止合作的议案》，鉴于公司战略发展需要，会议同意授权公司孙公司杭州医利智能科技有限公司与杭州嘉楠区块链科技 有限公司办理终止合作相关事宜;授权公司子公司浙江汉鼎宇佑金融服务有限公司与浙江炬链科技股份有限公司办理终止合 作相关事宜。会议审议并通过了《关于全资子公司变更经营范围及修订公司章程的议案》，鉴于业务开展需要，会议同意公 司全资子公司汉鼎宇佑信息产业有限公司变更营业范围并相应修订其公司章程。</w:t>
      </w:r>
    </w:p>
    <w:p>
      <w:pPr>
        <w:pStyle w:val="Style27"/>
        <w:keepNext w:val="0"/>
        <w:keepLines w:val="0"/>
        <w:widowControl w:val="0"/>
        <w:shd w:val="clear" w:color="auto" w:fill="auto"/>
        <w:bidi w:val="0"/>
        <w:spacing w:before="0" w:after="0"/>
        <w:ind w:left="0" w:right="0" w:firstLine="400"/>
        <w:jc w:val="both"/>
      </w:pPr>
      <w:bookmarkStart w:id="418" w:name="bookmark418"/>
      <w:r>
        <w:rPr>
          <w:rFonts w:ascii="Times New Roman" w:eastAsia="Times New Roman" w:hAnsi="Times New Roman" w:cs="Times New Roman"/>
          <w:color w:val="000000"/>
          <w:spacing w:val="0"/>
          <w:w w:val="100"/>
          <w:position w:val="0"/>
          <w:sz w:val="18"/>
          <w:szCs w:val="18"/>
        </w:rPr>
        <w:t>3</w:t>
      </w:r>
      <w:bookmarkEnd w:id="41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日，公司召开总经理办公会议，会议审议并通过了《关于对外投资设立韧性城市子公司的议案》，因 业务拓展需要，会议同意设立浙江汉鼎韧性科技有限公司，公司控股</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。会议授权公司相关部门与交易对方联系洽谈签署 合作协议并办理合资公司设立手续及其他相关事宜。</w:t>
      </w:r>
    </w:p>
    <w:p>
      <w:pPr>
        <w:pStyle w:val="Style27"/>
        <w:keepNext w:val="0"/>
        <w:keepLines w:val="0"/>
        <w:widowControl w:val="0"/>
        <w:shd w:val="clear" w:color="auto" w:fill="auto"/>
        <w:bidi w:val="0"/>
        <w:spacing w:before="0" w:after="0"/>
        <w:ind w:left="0" w:right="0" w:firstLine="400"/>
        <w:jc w:val="both"/>
      </w:pPr>
      <w:bookmarkStart w:id="419" w:name="bookmark419"/>
      <w:r>
        <w:rPr>
          <w:rFonts w:ascii="Times New Roman" w:eastAsia="Times New Roman" w:hAnsi="Times New Roman" w:cs="Times New Roman"/>
          <w:color w:val="000000"/>
          <w:spacing w:val="0"/>
          <w:w w:val="100"/>
          <w:position w:val="0"/>
          <w:sz w:val="18"/>
          <w:szCs w:val="18"/>
        </w:rPr>
        <w:t>4</w:t>
      </w:r>
      <w:bookmarkEnd w:id="41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日，公司召开总经理办公会议，审议通过《关于极光大数据减持的议案》</w:t>
      </w:r>
      <w:r>
        <w:rPr>
          <w:color w:val="000000"/>
          <w:spacing w:val="0"/>
          <w:w w:val="100"/>
          <w:position w:val="0"/>
          <w:sz w:val="18"/>
          <w:szCs w:val="18"/>
        </w:rPr>
        <w:t>，</w:t>
      </w:r>
      <w:r>
        <w:rPr>
          <w:color w:val="000000"/>
          <w:spacing w:val="0"/>
          <w:w w:val="100"/>
          <w:position w:val="0"/>
        </w:rPr>
        <w:t>同意通过美国二级市场择机进 行减持公司所持有的股份。</w:t>
      </w:r>
    </w:p>
    <w:p>
      <w:pPr>
        <w:pStyle w:val="Style27"/>
        <w:keepNext w:val="0"/>
        <w:keepLines w:val="0"/>
        <w:widowControl w:val="0"/>
        <w:shd w:val="clear" w:color="auto" w:fill="auto"/>
        <w:bidi w:val="0"/>
        <w:spacing w:before="0" w:after="0"/>
        <w:ind w:left="0" w:right="0" w:firstLine="400"/>
        <w:jc w:val="both"/>
      </w:pPr>
      <w:bookmarkStart w:id="420" w:name="bookmark420"/>
      <w:r>
        <w:rPr>
          <w:rFonts w:ascii="Times New Roman" w:eastAsia="Times New Roman" w:hAnsi="Times New Roman" w:cs="Times New Roman"/>
          <w:color w:val="000000"/>
          <w:spacing w:val="0"/>
          <w:w w:val="100"/>
          <w:position w:val="0"/>
          <w:sz w:val="18"/>
          <w:szCs w:val="18"/>
        </w:rPr>
        <w:t>5</w:t>
      </w:r>
      <w:bookmarkEnd w:id="42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日，公司召开总经理办公会议，审议通过《拟注销上海汉鼎信息技术有限公司、杭州宇佑电子商务有 限公司、浙江汉鼎宇佑智慧医疗服务有限公司、杭州医利智能科技有限公司的议案》，并授权相关职能部门办理。</w:t>
      </w:r>
    </w:p>
    <w:p>
      <w:pPr>
        <w:pStyle w:val="Style27"/>
        <w:keepNext w:val="0"/>
        <w:keepLines w:val="0"/>
        <w:widowControl w:val="0"/>
        <w:shd w:val="clear" w:color="auto" w:fill="auto"/>
        <w:bidi w:val="0"/>
        <w:spacing w:before="0" w:after="0"/>
        <w:ind w:left="0" w:right="0" w:firstLine="400"/>
        <w:jc w:val="both"/>
      </w:pPr>
      <w:bookmarkStart w:id="421" w:name="bookmark421"/>
      <w:r>
        <w:rPr>
          <w:rFonts w:ascii="Times New Roman" w:eastAsia="Times New Roman" w:hAnsi="Times New Roman" w:cs="Times New Roman"/>
          <w:color w:val="000000"/>
          <w:spacing w:val="0"/>
          <w:w w:val="100"/>
          <w:position w:val="0"/>
          <w:sz w:val="18"/>
          <w:szCs w:val="18"/>
        </w:rPr>
        <w:t>6</w:t>
      </w:r>
      <w:bookmarkEnd w:id="42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日，公司召开总经理办公会议，审议通过《关于变更公司下属公司名称及经营范围的议案》、《对全资 子公司增资的议案》，同意将相应下属公司名称及经营范围进行对应修改并授权相关职能部门办理。公司拟变更的下属公 司名称及经营范围最终以工商行政管理机关核准登记的名称为准；同意对全资子公司汉鼎宇佑信息产业有限公司增资</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万元，对全资子公司杭州汉鼎宇佑互联网技术有限公司增资</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w:t>
      </w:r>
    </w:p>
    <w:p>
      <w:pPr>
        <w:pStyle w:val="Style27"/>
        <w:keepNext w:val="0"/>
        <w:keepLines w:val="0"/>
        <w:widowControl w:val="0"/>
        <w:shd w:val="clear" w:color="auto" w:fill="auto"/>
        <w:tabs>
          <w:tab w:pos="644" w:val="left"/>
        </w:tabs>
        <w:bidi w:val="0"/>
        <w:spacing w:before="0" w:after="0"/>
        <w:ind w:left="0" w:right="0" w:firstLine="400"/>
        <w:jc w:val="both"/>
      </w:pPr>
      <w:bookmarkStart w:id="422" w:name="bookmark422"/>
      <w:r>
        <w:rPr>
          <w:rFonts w:ascii="Times New Roman" w:eastAsia="Times New Roman" w:hAnsi="Times New Roman" w:cs="Times New Roman"/>
          <w:color w:val="000000"/>
          <w:spacing w:val="0"/>
          <w:w w:val="100"/>
          <w:position w:val="0"/>
          <w:sz w:val="18"/>
          <w:szCs w:val="18"/>
        </w:rPr>
        <w:t>7</w:t>
      </w:r>
      <w:bookmarkEnd w:id="42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日，公司召开总经理办公会议，审议通过《关于合并报表范围发生变化暨表决权委托协议进展的议案》 和《关于设立全资子公司贵阳市海峡创新科技有限公司的议案》。同意公司与汉鼎宇佑集团有限公司签订解除协议，汉鼎宇 佑集团有限公司解除所持有的好医友医疗科技集团有限公司（以下简称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好医友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注册资本对应的全部表决权委托给公 司，公司丧失对好医友的控制权，并不再将好医友纳入公司合并报表范围；同意在贵州设立全资子公司一贵阳市海峡创新 科技有限公司。</w:t>
      </w:r>
      <w:r>
        <w:br w:type="page"/>
      </w:r>
    </w:p>
    <w:p>
      <w:pPr>
        <w:pStyle w:val="Style16"/>
        <w:keepNext/>
        <w:keepLines/>
        <w:widowControl w:val="0"/>
        <w:shd w:val="clear" w:color="auto" w:fill="auto"/>
        <w:bidi w:val="0"/>
        <w:spacing w:before="0" w:after="520" w:line="240" w:lineRule="auto"/>
        <w:ind w:left="0" w:right="0" w:firstLine="0"/>
        <w:jc w:val="center"/>
      </w:pPr>
      <w:bookmarkStart w:id="423" w:name="bookmark423"/>
      <w:bookmarkStart w:id="424" w:name="bookmark424"/>
      <w:bookmarkStart w:id="425" w:name="bookmark425"/>
      <w:r>
        <w:rPr>
          <w:color w:val="000000"/>
          <w:spacing w:val="0"/>
          <w:w w:val="100"/>
          <w:position w:val="0"/>
        </w:rPr>
        <w:t>第六节股份变动及股东情况</w:t>
      </w:r>
      <w:bookmarkEnd w:id="423"/>
      <w:bookmarkEnd w:id="424"/>
      <w:bookmarkEnd w:id="425"/>
    </w:p>
    <w:p>
      <w:pPr>
        <w:pStyle w:val="Style25"/>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、股份变动情况</w:t>
      </w:r>
      <w:bookmarkEnd w:id="427"/>
      <w:bookmarkEnd w:id="428"/>
      <w:bookmarkEnd w:id="430"/>
      <w:bookmarkEnd w:id="426"/>
    </w:p>
    <w:p>
      <w:pPr>
        <w:pStyle w:val="Style31"/>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、股份变动情况</w:t>
      </w:r>
      <w:bookmarkEnd w:id="431"/>
      <w:bookmarkEnd w:id="432"/>
      <w:bookmarkEnd w:id="43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850"/>
        <w:gridCol w:w="571"/>
        <w:gridCol w:w="566"/>
        <w:gridCol w:w="706"/>
        <w:gridCol w:w="854"/>
        <w:gridCol w:w="989"/>
        <w:gridCol w:w="994"/>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8,595,866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8,595,866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8,595,866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671,349,962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671,170,521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671,349,962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671,170,521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679,945,828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671,396,910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71" w:val="left"/>
        </w:tabs>
        <w:bidi w:val="0"/>
        <w:spacing w:before="0" w:after="0" w:line="314" w:lineRule="exact"/>
        <w:ind w:left="0" w:right="0" w:firstLine="440"/>
        <w:jc w:val="both"/>
      </w:pPr>
      <w:bookmarkStart w:id="435" w:name="bookmark435"/>
      <w:r>
        <w:rPr>
          <w:rFonts w:ascii="Times New Roman" w:eastAsia="Times New Roman" w:hAnsi="Times New Roman" w:cs="Times New Roman"/>
          <w:color w:val="000000"/>
          <w:spacing w:val="0"/>
          <w:w w:val="100"/>
          <w:position w:val="0"/>
          <w:sz w:val="18"/>
          <w:szCs w:val="18"/>
        </w:rPr>
        <w:t>1</w:t>
      </w:r>
      <w:bookmarkEnd w:id="4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日，公司第三届董事会第四十次会议，会议审议通过了《关于回购注销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 分限制性股票的议案》。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年第二次临时股东大会审议通过该议案。公司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 划授予的部分激励对象马桔英等十九名员工因个人原因离职，已不符合激励条件，根据公司《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的有关规定，由公司按照限制性股票授予价格回购注销，取消离职人员的激励对象资格并回购注销其已获授权但尚未解锁的 全部限制性股票。本次回购涉及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人，回购限制性股票数量为</w:t>
      </w:r>
      <w:r>
        <w:rPr>
          <w:rFonts w:ascii="Times New Roman" w:eastAsia="Times New Roman" w:hAnsi="Times New Roman" w:cs="Times New Roman"/>
          <w:color w:val="000000"/>
          <w:spacing w:val="0"/>
          <w:w w:val="100"/>
          <w:position w:val="0"/>
          <w:sz w:val="18"/>
          <w:szCs w:val="18"/>
        </w:rPr>
        <w:t>1,375,852</w:t>
      </w:r>
      <w:r>
        <w:rPr>
          <w:color w:val="000000"/>
          <w:spacing w:val="0"/>
          <w:w w:val="100"/>
          <w:position w:val="0"/>
        </w:rPr>
        <w:t>股。经中国证券 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日办理完成。公司已依法办理相 关的工商变更登记手续。</w:t>
      </w:r>
    </w:p>
    <w:p>
      <w:pPr>
        <w:pStyle w:val="Style27"/>
        <w:keepNext w:val="0"/>
        <w:keepLines w:val="0"/>
        <w:widowControl w:val="0"/>
        <w:shd w:val="clear" w:color="auto" w:fill="auto"/>
        <w:tabs>
          <w:tab w:pos="766" w:val="left"/>
        </w:tabs>
        <w:bidi w:val="0"/>
        <w:spacing w:before="0" w:after="0" w:line="314" w:lineRule="exact"/>
        <w:ind w:left="0" w:right="0" w:firstLine="440"/>
        <w:jc w:val="both"/>
      </w:pPr>
      <w:bookmarkStart w:id="436" w:name="bookmark436"/>
      <w:r>
        <w:rPr>
          <w:rFonts w:ascii="Times New Roman" w:eastAsia="Times New Roman" w:hAnsi="Times New Roman" w:cs="Times New Roman"/>
          <w:color w:val="000000"/>
          <w:spacing w:val="0"/>
          <w:w w:val="100"/>
          <w:position w:val="0"/>
          <w:sz w:val="18"/>
          <w:szCs w:val="18"/>
        </w:rPr>
        <w:t>2</w:t>
      </w:r>
      <w:bookmarkEnd w:id="4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并回购注销限制性股票的议案》。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年第一次临时股东大会审议通过该议案。公司董事会决定回购注 </w:t>
      </w:r>
      <w:r>
        <w:rPr>
          <w:color w:val="000000"/>
          <w:spacing w:val="0"/>
          <w:w w:val="100"/>
          <w:position w:val="0"/>
        </w:rPr>
        <w:t>销徐晗等四名已离职员工所持有已获授但尚未解除限售的限制性股票</w:t>
      </w:r>
      <w:r>
        <w:rPr>
          <w:rFonts w:ascii="Times New Roman" w:eastAsia="Times New Roman" w:hAnsi="Times New Roman" w:cs="Times New Roman"/>
          <w:color w:val="000000"/>
          <w:spacing w:val="0"/>
          <w:w w:val="100"/>
          <w:position w:val="0"/>
          <w:sz w:val="18"/>
          <w:szCs w:val="18"/>
        </w:rPr>
        <w:t>545,891</w:t>
      </w:r>
      <w:r>
        <w:rPr>
          <w:color w:val="000000"/>
          <w:spacing w:val="0"/>
          <w:w w:val="100"/>
          <w:position w:val="0"/>
        </w:rPr>
        <w:t>股。公司预计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年度的业绩将无 法达到《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年限制性股票激励计划》规定的解除限售期解锁条件，董事会决定终止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年限制性股票激励计划。董事会决 定对激励对象所持有已获授但尚未解除限售的限制性股票</w:t>
      </w:r>
      <w:r>
        <w:rPr>
          <w:rFonts w:ascii="Times New Roman" w:eastAsia="Times New Roman" w:hAnsi="Times New Roman" w:cs="Times New Roman"/>
          <w:color w:val="000000"/>
          <w:spacing w:val="0"/>
          <w:w w:val="100"/>
          <w:position w:val="0"/>
          <w:sz w:val="18"/>
          <w:szCs w:val="18"/>
        </w:rPr>
        <w:t>7,173,066</w:t>
      </w:r>
      <w:r>
        <w:rPr>
          <w:color w:val="000000"/>
          <w:spacing w:val="0"/>
          <w:w w:val="100"/>
          <w:position w:val="0"/>
        </w:rPr>
        <w:t>股进行回购注销，涉及激励对象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名（包括四名离职激励 对象）。经中国证券登记结算有限责任公司深圳分公司审核确认，公司本次回购股票注销事宜已于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日办理完成。 公司已依法办理相关的工商变更登记手续。</w:t>
      </w:r>
    </w:p>
    <w:p>
      <w:pPr>
        <w:pStyle w:val="Style27"/>
        <w:keepNext w:val="0"/>
        <w:keepLines w:val="0"/>
        <w:widowControl w:val="0"/>
        <w:shd w:val="clear" w:color="auto" w:fill="auto"/>
        <w:bidi w:val="0"/>
        <w:spacing w:before="0" w:after="0" w:line="316" w:lineRule="exact"/>
        <w:ind w:left="0" w:right="0" w:firstLine="440"/>
        <w:jc w:val="both"/>
      </w:pPr>
      <w:bookmarkStart w:id="437" w:name="bookmark437"/>
      <w:r>
        <w:rPr>
          <w:rFonts w:ascii="Times New Roman" w:eastAsia="Times New Roman" w:hAnsi="Times New Roman" w:cs="Times New Roman"/>
          <w:color w:val="000000"/>
          <w:spacing w:val="0"/>
          <w:w w:val="100"/>
          <w:position w:val="0"/>
          <w:sz w:val="18"/>
          <w:szCs w:val="18"/>
        </w:rPr>
        <w:t>3</w:t>
      </w:r>
      <w:bookmarkEnd w:id="437"/>
      <w:r>
        <w:rPr>
          <w:color w:val="000000"/>
          <w:spacing w:val="0"/>
          <w:w w:val="100"/>
          <w:position w:val="0"/>
        </w:rPr>
        <w:t>、现任董监高股份每年按照其上年末持有总数的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予以锁定；报告期内，公司离任高管所持股份按照规定锁定或解 锁。</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440"/>
        <w:jc w:val="both"/>
      </w:pP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日，公司第三届董事会第四十次会议，会议审议通过了《关于回购注销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 分限制性股票的议案》。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年第二次临时股东大会审议通过该议案。</w:t>
      </w:r>
    </w:p>
    <w:p>
      <w:pPr>
        <w:pStyle w:val="Style27"/>
        <w:keepNext w:val="0"/>
        <w:keepLines w:val="0"/>
        <w:widowControl w:val="0"/>
        <w:shd w:val="clear" w:color="auto" w:fill="auto"/>
        <w:tabs>
          <w:tab w:pos="706" w:val="left"/>
        </w:tabs>
        <w:bidi w:val="0"/>
        <w:spacing w:before="0" w:after="0" w:line="312" w:lineRule="exact"/>
        <w:ind w:left="0" w:right="0" w:firstLine="440"/>
        <w:jc w:val="both"/>
      </w:pPr>
      <w:bookmarkStart w:id="439" w:name="bookmark439"/>
      <w:r>
        <w:rPr>
          <w:rFonts w:ascii="Times New Roman" w:eastAsia="Times New Roman" w:hAnsi="Times New Roman" w:cs="Times New Roman"/>
          <w:color w:val="000000"/>
          <w:spacing w:val="0"/>
          <w:w w:val="100"/>
          <w:position w:val="0"/>
          <w:sz w:val="18"/>
          <w:szCs w:val="18"/>
        </w:rPr>
        <w:t>2</w:t>
      </w:r>
      <w:bookmarkEnd w:id="4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并回购注销限制性股票的议案》。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年第一次临时股东大会审议通过该议案。</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8" w:lineRule="exact"/>
        <w:ind w:left="0" w:right="0" w:firstLine="440"/>
        <w:jc w:val="both"/>
      </w:pPr>
      <w:bookmarkStart w:id="440" w:name="bookmark440"/>
      <w:r>
        <w:rPr>
          <w:rFonts w:ascii="Times New Roman" w:eastAsia="Times New Roman" w:hAnsi="Times New Roman" w:cs="Times New Roman"/>
          <w:color w:val="000000"/>
          <w:spacing w:val="0"/>
          <w:w w:val="100"/>
          <w:position w:val="0"/>
          <w:sz w:val="18"/>
          <w:szCs w:val="18"/>
        </w:rPr>
        <w:t>1</w:t>
      </w:r>
      <w:bookmarkEnd w:id="44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日，公司第三届董事会第四十次会议，会议审议通过了《关于回购注销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 分限制性股票的议案》。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年第二次临时股东大会审议通过该议案。公司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 划授予的部分激励对象马桔英等十九名员工因个人原因离职，已不符合激励条件，根据公司《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的有关规定，由公司按照限制性股票授予价格回购注销，取消离职人员的激励对象资格并回购注销其已获授权但尚未解锁的 全部限制性股票。本次回购涉及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人，回购限制性股票数量为</w:t>
      </w:r>
      <w:r>
        <w:rPr>
          <w:rFonts w:ascii="Times New Roman" w:eastAsia="Times New Roman" w:hAnsi="Times New Roman" w:cs="Times New Roman"/>
          <w:color w:val="000000"/>
          <w:spacing w:val="0"/>
          <w:w w:val="100"/>
          <w:position w:val="0"/>
          <w:sz w:val="18"/>
          <w:szCs w:val="18"/>
        </w:rPr>
        <w:t>1,375,852</w:t>
      </w:r>
      <w:r>
        <w:rPr>
          <w:color w:val="000000"/>
          <w:spacing w:val="0"/>
          <w:w w:val="100"/>
          <w:position w:val="0"/>
        </w:rPr>
        <w:t>股。经中国证券 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w:t>
      </w:r>
    </w:p>
    <w:p>
      <w:pPr>
        <w:pStyle w:val="Style27"/>
        <w:keepNext w:val="0"/>
        <w:keepLines w:val="0"/>
        <w:widowControl w:val="0"/>
        <w:shd w:val="clear" w:color="auto" w:fill="auto"/>
        <w:tabs>
          <w:tab w:pos="711" w:val="left"/>
        </w:tabs>
        <w:bidi w:val="0"/>
        <w:spacing w:before="0" w:after="140" w:line="318" w:lineRule="exact"/>
        <w:ind w:left="0" w:right="0" w:firstLine="440"/>
        <w:jc w:val="both"/>
      </w:pPr>
      <w:bookmarkStart w:id="441" w:name="bookmark441"/>
      <w:r>
        <w:rPr>
          <w:rFonts w:ascii="Times New Roman" w:eastAsia="Times New Roman" w:hAnsi="Times New Roman" w:cs="Times New Roman"/>
          <w:color w:val="000000"/>
          <w:spacing w:val="0"/>
          <w:w w:val="100"/>
          <w:position w:val="0"/>
          <w:sz w:val="18"/>
          <w:szCs w:val="18"/>
        </w:rPr>
        <w:t>2</w:t>
      </w:r>
      <w:bookmarkEnd w:id="4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并回购注销限制性股票的议案》。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年第一次临时股东大会审议通过该议案。公司董事会决定回购注 销徐晗等四名已离职员工所持有已获授但尚未解除限售的限制性股票</w:t>
      </w:r>
      <w:r>
        <w:rPr>
          <w:rFonts w:ascii="Times New Roman" w:eastAsia="Times New Roman" w:hAnsi="Times New Roman" w:cs="Times New Roman"/>
          <w:color w:val="000000"/>
          <w:spacing w:val="0"/>
          <w:w w:val="100"/>
          <w:position w:val="0"/>
          <w:sz w:val="18"/>
          <w:szCs w:val="18"/>
        </w:rPr>
        <w:t>545,891</w:t>
      </w:r>
      <w:r>
        <w:rPr>
          <w:color w:val="000000"/>
          <w:spacing w:val="0"/>
          <w:w w:val="100"/>
          <w:position w:val="0"/>
        </w:rPr>
        <w:t>股。公司预计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年度的业绩将无 法达到《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年限制性股票激励计划》规定的解除限售期解锁条件，董事会决定终止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年限制性股票激励计划。董事会决 定对激励对象所持有已获授但尚未解除限售的限制性股票</w:t>
      </w:r>
      <w:r>
        <w:rPr>
          <w:rFonts w:ascii="Times New Roman" w:eastAsia="Times New Roman" w:hAnsi="Times New Roman" w:cs="Times New Roman"/>
          <w:color w:val="000000"/>
          <w:spacing w:val="0"/>
          <w:w w:val="100"/>
          <w:position w:val="0"/>
          <w:sz w:val="18"/>
          <w:szCs w:val="18"/>
        </w:rPr>
        <w:t>7,173,066</w:t>
      </w:r>
      <w:r>
        <w:rPr>
          <w:color w:val="000000"/>
          <w:spacing w:val="0"/>
          <w:w w:val="100"/>
          <w:position w:val="0"/>
        </w:rPr>
        <w:t>股进行回购注销，涉及激励对象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名（包括四名离职激励 对象）。经中国证券登记结算有限责任公司深圳分公司审核确认，公司本次回购股票注销事宜已于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日办理完成。 股份回购的实施进展情况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公司召开第三届董事会第三十九次会议，审议通过了《关于回购公司股份的议案》，公司计划使用自 有资金以集中竞价交易的方式回购公司部分社会公众股份，本次回购股份的用途为实施员工持股计划或股权激励计划。本次 回购资金总额不低于人民币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万元（含），不超过人民币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万元（含），回购股份的价格不超过人民币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 股份实施期限为自公司董事会审议通过本次回购股份方案之日起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日披露了《关于回购公司股份的报 告书》（公告编号：</w:t>
      </w:r>
      <w:r>
        <w:rPr>
          <w:rFonts w:ascii="Times New Roman" w:eastAsia="Times New Roman" w:hAnsi="Times New Roman" w:cs="Times New Roman"/>
          <w:color w:val="000000"/>
          <w:spacing w:val="0"/>
          <w:w w:val="100"/>
          <w:position w:val="0"/>
          <w:sz w:val="18"/>
          <w:szCs w:val="18"/>
        </w:rPr>
        <w:t>2019-100</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日，公司通过股票回购专用证券账户以集中竞价交易方式累计回购公司 股份</w:t>
      </w:r>
      <w:r>
        <w:rPr>
          <w:rFonts w:ascii="Times New Roman" w:eastAsia="Times New Roman" w:hAnsi="Times New Roman" w:cs="Times New Roman"/>
          <w:color w:val="000000"/>
          <w:spacing w:val="0"/>
          <w:w w:val="100"/>
          <w:position w:val="0"/>
          <w:sz w:val="18"/>
          <w:szCs w:val="18"/>
        </w:rPr>
        <w:t>4,549,848</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9.507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5.68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股，成交总金额为人民币 </w:t>
      </w:r>
      <w:r>
        <w:rPr>
          <w:rFonts w:ascii="Times New Roman" w:eastAsia="Times New Roman" w:hAnsi="Times New Roman" w:cs="Times New Roman"/>
          <w:color w:val="000000"/>
          <w:spacing w:val="0"/>
          <w:w w:val="100"/>
          <w:position w:val="0"/>
          <w:sz w:val="18"/>
          <w:szCs w:val="18"/>
        </w:rPr>
        <w:t>33,392,919.87</w:t>
      </w:r>
      <w:r>
        <w:rPr>
          <w:color w:val="000000"/>
          <w:spacing w:val="0"/>
          <w:w w:val="100"/>
          <w:position w:val="0"/>
        </w:rPr>
        <w:t>元（不含手续费）。</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报告期内，公司办理了部分限制性股票回购注销手续，导致公司总股本减少，相关变动增厚每股净资产，同时增厚基 本每股收益和稀释每股收益。</w:t>
      </w:r>
      <w:r>
        <w:br w:type="page"/>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、限售股份变动情况</w:t>
      </w:r>
      <w:bookmarkEnd w:id="442"/>
      <w:bookmarkEnd w:id="443"/>
      <w:bookmarkEnd w:id="445"/>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1133"/>
        <w:gridCol w:w="1138"/>
        <w:gridCol w:w="1272"/>
        <w:gridCol w:w="1421"/>
        <w:gridCol w:w="248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及预留部分授予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bl>
    <w:tbl>
      <w:tblPr>
        <w:tblOverlap w:val="never"/>
        <w:jc w:val="center"/>
        <w:tblLayout w:type="fixed"/>
      </w:tblPr>
      <w:tblGrid>
        <w:gridCol w:w="854"/>
        <w:gridCol w:w="1277"/>
        <w:gridCol w:w="1133"/>
        <w:gridCol w:w="1138"/>
        <w:gridCol w:w="1272"/>
        <w:gridCol w:w="1421"/>
        <w:gridCol w:w="2486"/>
      </w:tblGrid>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及预留部分授予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5,855,508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5,676,067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及预留部分授予、 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日终止，激励 对象已获授但尚未解除限售的 限制性股票将予以回购注销； 高管锁定股每年的第一个交易 日，按照上年末持有股份数量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8,595,866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8,416,425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二</w:t>
      </w:r>
      <w:bookmarkEnd w:id="448"/>
      <w:r>
        <w:rPr>
          <w:color w:val="000000"/>
          <w:spacing w:val="0"/>
          <w:w w:val="100"/>
          <w:position w:val="0"/>
          <w:sz w:val="24"/>
          <w:szCs w:val="24"/>
        </w:rPr>
        <w:t>、证券发行与上市情况</w:t>
      </w:r>
      <w:bookmarkEnd w:id="446"/>
      <w:bookmarkEnd w:id="447"/>
      <w:bookmarkEnd w:id="449"/>
    </w:p>
    <w:p>
      <w:pPr>
        <w:pStyle w:val="Style31"/>
        <w:keepNext/>
        <w:keepLines/>
        <w:widowControl w:val="0"/>
        <w:shd w:val="clear" w:color="auto" w:fill="auto"/>
        <w:tabs>
          <w:tab w:pos="317" w:val="left"/>
        </w:tabs>
        <w:bidi w:val="0"/>
        <w:spacing w:before="0" w:after="2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w:t>
        <w:tab/>
        <w:t>报告期内证券发行（不含优先股）情况</w:t>
      </w:r>
      <w:bookmarkEnd w:id="450"/>
      <w:bookmarkEnd w:id="451"/>
      <w:bookmarkEnd w:id="453"/>
    </w:p>
    <w:p>
      <w:pPr>
        <w:pStyle w:val="Style2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18" w:val="left"/>
        </w:tabs>
        <w:bidi w:val="0"/>
        <w:spacing w:before="0" w:after="2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公司股份总数及股东结构的变动、公司资产和负债结构的变动情况说明</w:t>
      </w:r>
      <w:bookmarkEnd w:id="454"/>
      <w:bookmarkEnd w:id="455"/>
      <w:bookmarkEnd w:id="457"/>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314" w:lineRule="exact"/>
        <w:ind w:left="0" w:right="0" w:firstLine="440"/>
        <w:jc w:val="both"/>
      </w:pPr>
      <w:bookmarkStart w:id="458" w:name="bookmark458"/>
      <w:r>
        <w:rPr>
          <w:rFonts w:ascii="Times New Roman" w:eastAsia="Times New Roman" w:hAnsi="Times New Roman" w:cs="Times New Roman"/>
          <w:color w:val="000000"/>
          <w:spacing w:val="0"/>
          <w:w w:val="100"/>
          <w:position w:val="0"/>
          <w:sz w:val="18"/>
          <w:szCs w:val="18"/>
        </w:rPr>
        <w:t>1</w:t>
      </w:r>
      <w:bookmarkEnd w:id="45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日，公司第三届董事会第四十次会议，会议审议通过了《关于回购注销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 分限制性股票的议案》。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年第二次临时股东大会审议通过该议案。公司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 划授予的部分激励对象马桔英等十九名员工因个人原因离职，已不符合激励条件，根据公司《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的有关规定，由公司按照限制性股票授予价格回购注销，取消离职人员的激励对象资格并回购注销其已获授权但尚未解锁的 全部限制性股票。本次回购涉及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人，回购限制性股票数量为</w:t>
      </w:r>
      <w:r>
        <w:rPr>
          <w:rFonts w:ascii="Times New Roman" w:eastAsia="Times New Roman" w:hAnsi="Times New Roman" w:cs="Times New Roman"/>
          <w:color w:val="000000"/>
          <w:spacing w:val="0"/>
          <w:w w:val="100"/>
          <w:position w:val="0"/>
          <w:sz w:val="18"/>
          <w:szCs w:val="18"/>
        </w:rPr>
        <w:t>1,375,852</w:t>
      </w:r>
      <w:r>
        <w:rPr>
          <w:color w:val="000000"/>
          <w:spacing w:val="0"/>
          <w:w w:val="100"/>
          <w:position w:val="0"/>
        </w:rPr>
        <w:t>股。经中国证券 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日办理完成。公司已依法办理相 关的工商变更登记手续。</w:t>
      </w:r>
    </w:p>
    <w:p>
      <w:pPr>
        <w:pStyle w:val="Style27"/>
        <w:keepNext w:val="0"/>
        <w:keepLines w:val="0"/>
        <w:widowControl w:val="0"/>
        <w:shd w:val="clear" w:color="auto" w:fill="auto"/>
        <w:bidi w:val="0"/>
        <w:spacing w:before="0" w:after="280" w:line="314" w:lineRule="exact"/>
        <w:ind w:left="0" w:right="0" w:firstLine="440"/>
        <w:jc w:val="both"/>
      </w:pPr>
      <w:bookmarkStart w:id="459" w:name="bookmark459"/>
      <w:r>
        <w:rPr>
          <w:rFonts w:ascii="Times New Roman" w:eastAsia="Times New Roman" w:hAnsi="Times New Roman" w:cs="Times New Roman"/>
          <w:color w:val="000000"/>
          <w:spacing w:val="0"/>
          <w:w w:val="100"/>
          <w:position w:val="0"/>
          <w:sz w:val="18"/>
          <w:szCs w:val="18"/>
        </w:rPr>
        <w:t>2</w:t>
      </w:r>
      <w:bookmarkEnd w:id="45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并回购注销限制性股票的议案》。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年第一次临时股东大会审议通过该议案。公司董事会决定回购注 销徐晗等四名已离职员工所持有已获授但尚未解除限售的限制性股票</w:t>
      </w:r>
      <w:r>
        <w:rPr>
          <w:rFonts w:ascii="Times New Roman" w:eastAsia="Times New Roman" w:hAnsi="Times New Roman" w:cs="Times New Roman"/>
          <w:color w:val="000000"/>
          <w:spacing w:val="0"/>
          <w:w w:val="100"/>
          <w:position w:val="0"/>
          <w:sz w:val="18"/>
          <w:szCs w:val="18"/>
        </w:rPr>
        <w:t>545,891</w:t>
      </w:r>
      <w:r>
        <w:rPr>
          <w:color w:val="000000"/>
          <w:spacing w:val="0"/>
          <w:w w:val="100"/>
          <w:position w:val="0"/>
        </w:rPr>
        <w:t>股。公司预计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年度的业绩将无 法达到《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年限制性股票激励计划》规定的解除限售期解锁条件，董事会决定终止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年限制性股票激励计划。董事会决 定对激励对象所持有已获授但尚未解除限售的限制性股票</w:t>
      </w:r>
      <w:r>
        <w:rPr>
          <w:rFonts w:ascii="Times New Roman" w:eastAsia="Times New Roman" w:hAnsi="Times New Roman" w:cs="Times New Roman"/>
          <w:color w:val="000000"/>
          <w:spacing w:val="0"/>
          <w:w w:val="100"/>
          <w:position w:val="0"/>
          <w:sz w:val="18"/>
          <w:szCs w:val="18"/>
        </w:rPr>
        <w:t>7,173,066</w:t>
      </w:r>
      <w:r>
        <w:rPr>
          <w:color w:val="000000"/>
          <w:spacing w:val="0"/>
          <w:w w:val="100"/>
          <w:position w:val="0"/>
        </w:rPr>
        <w:t>股进行回购注销，涉及激励对象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名（包括四名离职激励 对象）。经中国证券登记结算有限责任公司深圳分公司审核确认，公司本次回购股票注销事宜已于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日办理完成。 公司已依法办理相关的工商变更登记手续。</w:t>
      </w:r>
      <w:r>
        <w:br w:type="page"/>
      </w:r>
    </w:p>
    <w:p>
      <w:pPr>
        <w:pStyle w:val="Style31"/>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3</w:t>
      </w:r>
      <w:bookmarkEnd w:id="462"/>
      <w:r>
        <w:rPr>
          <w:color w:val="000000"/>
          <w:spacing w:val="0"/>
          <w:w w:val="100"/>
          <w:position w:val="0"/>
        </w:rPr>
        <w:t>、现存的内部职工股情况</w:t>
      </w:r>
      <w:bookmarkEnd w:id="460"/>
      <w:bookmarkEnd w:id="461"/>
      <w:bookmarkEnd w:id="46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三</w:t>
      </w:r>
      <w:bookmarkEnd w:id="466"/>
      <w:r>
        <w:rPr>
          <w:color w:val="000000"/>
          <w:spacing w:val="0"/>
          <w:w w:val="100"/>
          <w:position w:val="0"/>
          <w:sz w:val="24"/>
          <w:szCs w:val="24"/>
        </w:rPr>
        <w:t>、股东和实际控制人情况</w:t>
      </w:r>
      <w:bookmarkEnd w:id="464"/>
      <w:bookmarkEnd w:id="465"/>
      <w:bookmarkEnd w:id="467"/>
    </w:p>
    <w:p>
      <w:pPr>
        <w:pStyle w:val="Style31"/>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、公司股东数量及持股情况</w:t>
      </w:r>
      <w:bookmarkEnd w:id="468"/>
      <w:bookmarkEnd w:id="469"/>
      <w:bookmarkEnd w:id="4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926"/>
        <w:gridCol w:w="427"/>
        <w:gridCol w:w="773"/>
        <w:gridCol w:w="1210"/>
        <w:gridCol w:w="1133"/>
        <w:gridCol w:w="254"/>
        <w:gridCol w:w="614"/>
        <w:gridCol w:w="1118"/>
        <w:gridCol w:w="854"/>
        <w:gridCol w:w="1070"/>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32,857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29,122</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 xml:space="preserve">年度报告披露日前上一 月末表决权恢复的优先 </w:t>
            </w:r>
            <w:r>
              <w:rPr>
                <w:rFonts w:ascii="Times New Roman" w:eastAsia="Times New Roman" w:hAnsi="Times New Roman" w:cs="Times New Roman"/>
                <w:color w:val="000000"/>
                <w:spacing w:val="0"/>
                <w:w w:val="100"/>
                <w:position w:val="0"/>
                <w:sz w:val="18"/>
                <w:szCs w:val="18"/>
              </w:rPr>
              <w:t>0</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股股东总数（如有）（参</w:t>
            </w:r>
          </w:p>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平潭创新股权 投资合伙企业</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106,689,174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4,697,300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106,689,174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85,463,560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-18,851,335</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85,463,560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67,165,378</w:t>
            </w:r>
          </w:p>
        </w:tc>
      </w:tr>
      <w:tr>
        <w:trPr>
          <w:trHeight w:val="403"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49,937,523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汉鼎宇佑集团 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30,309,653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-18,914,141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30,309,653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22,301,763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5,404,500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杭州新安实业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8,306,100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浙江福士达集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4,847,526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4,847,526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塔娜</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3,178,000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浙江鑫丰实业 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3,141,855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3,141,855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孙洪亮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2,625,269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2,625,269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陈少普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2,581,079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2,581,079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2,581,079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）吴艳与汉鼎宇佑集团有限公司的实际控制人王麒诚先生系夫妻关系；（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杭州新安实业投资有限公司、施玮属于一致行动人；（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）其余股东之间，未知是否存在关 联，也未知是否属于一致行动人。</w:t>
            </w:r>
          </w:p>
        </w:tc>
      </w:tr>
      <w:tr>
        <w:trPr>
          <w:trHeight w:val="998"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日，公司控股股东变更为平潭创新股权投资合伙企业（有限合伙），公司 实际控制人由吴艳变更为平潭综合实验区国有资产管理局。本次协议转让完成后，吴艳女 士持有公司</w:t>
            </w:r>
            <w:r>
              <w:rPr>
                <w:rFonts w:ascii="Times New Roman" w:eastAsia="Times New Roman" w:hAnsi="Times New Roman" w:cs="Times New Roman"/>
                <w:color w:val="000000"/>
                <w:spacing w:val="0"/>
                <w:w w:val="100"/>
                <w:position w:val="0"/>
                <w:sz w:val="18"/>
                <w:szCs w:val="18"/>
              </w:rPr>
              <w:t>104,314,895</w:t>
            </w:r>
            <w:r>
              <w:rPr>
                <w:color w:val="000000"/>
                <w:spacing w:val="0"/>
                <w:w w:val="100"/>
                <w:position w:val="0"/>
              </w:rPr>
              <w:t>股股份，占公司当时股本总额的</w:t>
            </w:r>
            <w:r>
              <w:rPr>
                <w:rFonts w:ascii="Times New Roman" w:eastAsia="Times New Roman" w:hAnsi="Times New Roman" w:cs="Times New Roman"/>
                <w:color w:val="000000"/>
                <w:spacing w:val="0"/>
                <w:w w:val="100"/>
                <w:position w:val="0"/>
                <w:sz w:val="18"/>
                <w:szCs w:val="18"/>
              </w:rPr>
              <w:t xml:space="preserve">15.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，并无条件且不可撤销地</w:t>
            </w:r>
          </w:p>
        </w:tc>
      </w:tr>
    </w:tbl>
    <w:p>
      <w:pPr>
        <w:spacing w:lineRule="exact" w:line="1"/>
        <w:rPr>
          <w:sz w:val="2"/>
          <w:szCs w:val="2"/>
        </w:rPr>
      </w:pPr>
      <w:r>
        <w:br w:type="page"/>
      </w:r>
    </w:p>
    <w:tbl>
      <w:tblPr>
        <w:tblOverlap w:val="never"/>
        <w:jc w:val="center"/>
        <w:tblLayout w:type="fixed"/>
      </w:tblPr>
      <w:tblGrid>
        <w:gridCol w:w="2558"/>
        <w:gridCol w:w="4253"/>
        <w:gridCol w:w="1704"/>
        <w:gridCol w:w="1070"/>
      </w:tblGrid>
      <w:tr>
        <w:trPr>
          <w:trHeight w:val="1301"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放弃行使其对应的表决权，亦不委托任何其他方行使该等股份的表决权。吴艳女士的一致 行动人汉鼎宇佑集团有限公司将其所持公司股份总数的</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49,223,794</w:t>
            </w:r>
            <w:r>
              <w:rPr>
                <w:color w:val="000000"/>
                <w:spacing w:val="0"/>
                <w:w w:val="100"/>
                <w:position w:val="0"/>
              </w:rPr>
              <w:t>股股份对应 的表决权不可撤销地予以放弃。（上述比例均以协议转让时的公司总股本</w:t>
            </w:r>
            <w:r>
              <w:rPr>
                <w:rFonts w:ascii="Times New Roman" w:eastAsia="Times New Roman" w:hAnsi="Times New Roman" w:cs="Times New Roman"/>
                <w:color w:val="000000"/>
                <w:spacing w:val="0"/>
                <w:w w:val="100"/>
                <w:position w:val="0"/>
                <w:sz w:val="18"/>
                <w:szCs w:val="18"/>
              </w:rPr>
              <w:t>679,945,828</w:t>
            </w:r>
            <w:r>
              <w:rPr>
                <w:color w:val="000000"/>
                <w:spacing w:val="0"/>
                <w:w w:val="100"/>
                <w:position w:val="0"/>
              </w:rPr>
              <w:t>股为 准）</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平潭创新股权投资合伙企业（有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106,689,174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106,689,174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85,463,560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85,463,560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30,309,653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30,309,653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10,470,000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杭州新安实业投资有限公司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浙江福士达集团有限公司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4,847,526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塔娜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浙江鑫丰实业有限公司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孙洪亮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陈少普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2,581,079</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）吴艳与汉鼎宇佑集团有限公司的实际控制人王麒诚先生系夫妻关系；（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杭州新安实业投资有限公司、施玮属于一致行动人；（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）其余无限售流通股股东之间，未 知是否存在关联，也未知是否属于一致行动人。</w:t>
            </w:r>
          </w:p>
        </w:tc>
      </w:tr>
      <w:tr>
        <w:trPr>
          <w:trHeight w:val="384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、公司股东施玮通过普通证券账户持有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股，通过国信证券股份有限公司客户信用交易 担保证券账户持有</w:t>
            </w:r>
            <w:r>
              <w:rPr>
                <w:rFonts w:ascii="Times New Roman" w:eastAsia="Times New Roman" w:hAnsi="Times New Roman" w:cs="Times New Roman"/>
                <w:color w:val="000000"/>
                <w:spacing w:val="0"/>
                <w:w w:val="100"/>
                <w:position w:val="0"/>
                <w:sz w:val="18"/>
                <w:szCs w:val="18"/>
              </w:rPr>
              <w:t>10,470,000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10,470,000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、公司股东杭州新安实业投 资有限公司通过普通证券账户持有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股，通过国信证券股份有限公司客户信用交易担保证 券账户持有</w:t>
            </w:r>
            <w:r>
              <w:rPr>
                <w:rFonts w:ascii="Times New Roman" w:eastAsia="Times New Roman" w:hAnsi="Times New Roman" w:cs="Times New Roman"/>
                <w:color w:val="000000"/>
                <w:spacing w:val="0"/>
                <w:w w:val="100"/>
                <w:position w:val="0"/>
                <w:sz w:val="18"/>
                <w:szCs w:val="18"/>
              </w:rPr>
              <w:t>8,306,100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8,306,100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、公司股东汉鼎宇佑集团有限公司通 过普通证券账户持有</w:t>
            </w:r>
            <w:r>
              <w:rPr>
                <w:rFonts w:ascii="Times New Roman" w:eastAsia="Times New Roman" w:hAnsi="Times New Roman" w:cs="Times New Roman"/>
                <w:color w:val="000000"/>
                <w:spacing w:val="0"/>
                <w:w w:val="100"/>
                <w:position w:val="0"/>
                <w:sz w:val="18"/>
                <w:szCs w:val="18"/>
              </w:rPr>
              <w:t>22,309,653</w:t>
            </w:r>
            <w:r>
              <w:rPr>
                <w:color w:val="000000"/>
                <w:spacing w:val="0"/>
                <w:w w:val="100"/>
                <w:position w:val="0"/>
              </w:rPr>
              <w:t>股，通过东北证券股份有限公司客户信用交易担保证券账 户持有</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30,309,653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、公司股东浙江鑫丰实业有限公司通过普 通证券账户持有</w:t>
            </w:r>
            <w:r>
              <w:rPr>
                <w:rFonts w:ascii="Times New Roman" w:eastAsia="Times New Roman" w:hAnsi="Times New Roman" w:cs="Times New Roman"/>
                <w:color w:val="000000"/>
                <w:spacing w:val="0"/>
                <w:w w:val="100"/>
                <w:position w:val="0"/>
                <w:sz w:val="18"/>
                <w:szCs w:val="18"/>
              </w:rPr>
              <w:t>8,626</w:t>
            </w:r>
            <w:r>
              <w:rPr>
                <w:color w:val="000000"/>
                <w:spacing w:val="0"/>
                <w:w w:val="100"/>
                <w:position w:val="0"/>
              </w:rPr>
              <w:t xml:space="preserve">股，通过华西证券股份有限公司客户信用交易担保证券账户 </w:t>
            </w:r>
            <w:r>
              <w:rPr>
                <w:rFonts w:ascii="Times New Roman" w:eastAsia="Times New Roman" w:hAnsi="Times New Roman" w:cs="Times New Roman"/>
                <w:color w:val="000000"/>
                <w:spacing w:val="0"/>
                <w:w w:val="100"/>
                <w:position w:val="0"/>
                <w:sz w:val="18"/>
                <w:szCs w:val="18"/>
              </w:rPr>
              <w:t>3,133,229</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3,141,855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、公司股东陈少普通过普通证券账户持有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 通过安信证券股份有限公司客户信用交易担保证券账户持有</w:t>
            </w:r>
            <w:r>
              <w:rPr>
                <w:rFonts w:ascii="Times New Roman" w:eastAsia="Times New Roman" w:hAnsi="Times New Roman" w:cs="Times New Roman"/>
                <w:color w:val="000000"/>
                <w:spacing w:val="0"/>
                <w:w w:val="100"/>
                <w:position w:val="0"/>
                <w:sz w:val="18"/>
                <w:szCs w:val="18"/>
              </w:rPr>
              <w:t>2,581,079</w:t>
            </w:r>
            <w:r>
              <w:rPr>
                <w:color w:val="000000"/>
                <w:spacing w:val="0"/>
                <w:w w:val="100"/>
                <w:position w:val="0"/>
              </w:rPr>
              <w:t xml:space="preserve">股，合计持有 </w:t>
            </w:r>
            <w:r>
              <w:rPr>
                <w:rFonts w:ascii="Times New Roman" w:eastAsia="Times New Roman" w:hAnsi="Times New Roman" w:cs="Times New Roman"/>
                <w:color w:val="000000"/>
                <w:spacing w:val="0"/>
                <w:w w:val="100"/>
                <w:position w:val="0"/>
                <w:sz w:val="18"/>
                <w:szCs w:val="18"/>
              </w:rPr>
              <w:t>2,581,079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、公司股东浙江福士达集团有限公司通过普通证券账户持有</w:t>
            </w:r>
            <w:r>
              <w:rPr>
                <w:rFonts w:ascii="Times New Roman" w:eastAsia="Times New Roman" w:hAnsi="Times New Roman" w:cs="Times New Roman"/>
                <w:color w:val="000000"/>
                <w:spacing w:val="0"/>
                <w:w w:val="100"/>
                <w:position w:val="0"/>
                <w:sz w:val="18"/>
                <w:szCs w:val="18"/>
              </w:rPr>
              <w:t>3,681,385</w:t>
            </w:r>
            <w:r>
              <w:rPr>
                <w:color w:val="000000"/>
                <w:spacing w:val="0"/>
                <w:w w:val="100"/>
                <w:position w:val="0"/>
              </w:rPr>
              <w:t>股， 通过海通证券股份有限公司客户信用交易担保证券账户持有</w:t>
            </w:r>
            <w:r>
              <w:rPr>
                <w:rFonts w:ascii="Times New Roman" w:eastAsia="Times New Roman" w:hAnsi="Times New Roman" w:cs="Times New Roman"/>
                <w:color w:val="000000"/>
                <w:spacing w:val="0"/>
                <w:w w:val="100"/>
                <w:position w:val="0"/>
                <w:sz w:val="18"/>
                <w:szCs w:val="18"/>
              </w:rPr>
              <w:t>1,166,141</w:t>
            </w:r>
            <w:r>
              <w:rPr>
                <w:color w:val="000000"/>
                <w:spacing w:val="0"/>
                <w:w w:val="100"/>
                <w:position w:val="0"/>
              </w:rPr>
              <w:t xml:space="preserve">股，合计持有 </w:t>
            </w:r>
            <w:r>
              <w:rPr>
                <w:rFonts w:ascii="Times New Roman" w:eastAsia="Times New Roman" w:hAnsi="Times New Roman" w:cs="Times New Roman"/>
                <w:color w:val="000000"/>
                <w:spacing w:val="0"/>
                <w:w w:val="100"/>
                <w:position w:val="0"/>
                <w:sz w:val="18"/>
                <w:szCs w:val="18"/>
              </w:rPr>
              <w:t xml:space="preserve">4,847,526 </w:t>
            </w:r>
            <w:r>
              <w:rPr>
                <w:color w:val="000000"/>
                <w:spacing w:val="0"/>
                <w:w w:val="100"/>
                <w:position w:val="0"/>
              </w:rPr>
              <w:t>股。</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1"/>
        <w:keepNext/>
        <w:keepLines/>
        <w:widowControl w:val="0"/>
        <w:shd w:val="clear" w:color="auto" w:fill="auto"/>
        <w:bidi w:val="0"/>
        <w:spacing w:before="0" w:after="40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、公司控股股东情况</w:t>
      </w:r>
      <w:bookmarkEnd w:id="472"/>
      <w:bookmarkEnd w:id="473"/>
      <w:bookmarkEnd w:id="47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平潭创新股权投资合伙企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91350128MA33B679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依法从事对非公开交易的企 业股权进行投资以及相关咨 询服务（以上均不含金融、 证券、保险、期货等需审批 的项目）</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40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3</w:t>
      </w:r>
      <w:bookmarkEnd w:id="478"/>
      <w:r>
        <w:rPr>
          <w:color w:val="000000"/>
          <w:spacing w:val="0"/>
          <w:w w:val="100"/>
          <w:position w:val="0"/>
        </w:rPr>
        <w:t>、公司实际控制人及其一致行动人</w:t>
      </w:r>
      <w:bookmarkEnd w:id="476"/>
      <w:bookmarkEnd w:id="477"/>
      <w:bookmarkEnd w:id="47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3"/>
        <w:gridCol w:w="1454"/>
        <w:gridCol w:w="994"/>
        <w:gridCol w:w="1277"/>
        <w:gridCol w:w="365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平潭综合实验区国有资产 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1135012831077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贯彻执行国家和省关于国有资产监督管理的 法律法规和政策，起草实验区有关规范性文件 和政策并组织实施。根据区管委会授权，依法 履行出资人职责，以管资本为主加强所监管企 业国有资产监管。承担监督所监管企业国有资 产保值增值、维护国有资产出资人合法权益的 责任。</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8588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pic:blipFill>
                  <pic:spPr>
                    <a:xfrm>
                      <a:ext cx="4596130" cy="3858895"/>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0"/>
      <w:bookmarkEnd w:id="481"/>
      <w:bookmarkEnd w:id="48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5</w:t>
      </w:r>
      <w:bookmarkEnd w:id="486"/>
      <w:r>
        <w:rPr>
          <w:color w:val="000000"/>
          <w:spacing w:val="0"/>
          <w:w w:val="100"/>
          <w:position w:val="0"/>
        </w:rPr>
        <w:t>、</w:t>
        <w:tab/>
        <w:t>控股股东、实际控制人、重组方及其他承诺主体股份限制减持情况</w:t>
      </w:r>
      <w:bookmarkEnd w:id="484"/>
      <w:bookmarkEnd w:id="485"/>
      <w:bookmarkEnd w:id="487"/>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64" w:right="1058" w:bottom="1455"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9" name="Shape 1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第七节优先股相关情况</w:t>
                            </w:r>
                            <w:bookmarkEnd w:id="488"/>
                            <w:bookmarkEnd w:id="489"/>
                            <w:bookmarkEnd w:id="490"/>
                          </w:p>
                        </w:txbxContent>
                      </wps:txbx>
                      <wps:bodyPr wrap="none" lIns="0" tIns="0" rIns="0" bIns="0">
                        <a:noAutoFit/>
                      </wps:bodyPr>
                    </wps:wsp>
                  </a:graphicData>
                </a:graphic>
              </wp:anchor>
            </w:drawing>
          </mc:Choice>
          <mc:Fallback>
            <w:pict>
              <v:shape id="_x0000_s1045"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第七节优先股相关情况</w:t>
                      </w:r>
                      <w:bookmarkEnd w:id="488"/>
                      <w:bookmarkEnd w:id="489"/>
                      <w:bookmarkEnd w:id="490"/>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491" w:name="bookmark49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1"/>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40" w:after="560" w:line="240" w:lineRule="auto"/>
        <w:ind w:left="0" w:right="0" w:firstLine="0"/>
        <w:jc w:val="center"/>
      </w:pPr>
      <w:bookmarkStart w:id="492" w:name="bookmark492"/>
      <w:bookmarkStart w:id="493" w:name="bookmark493"/>
      <w:bookmarkStart w:id="494" w:name="bookmark494"/>
      <w:r>
        <w:rPr>
          <w:color w:val="000000"/>
          <w:spacing w:val="0"/>
          <w:w w:val="100"/>
          <w:position w:val="0"/>
        </w:rPr>
        <w:t>第八节可转换公司债券相关情况</w:t>
      </w:r>
      <w:bookmarkEnd w:id="492"/>
      <w:bookmarkEnd w:id="493"/>
      <w:bookmarkEnd w:id="494"/>
    </w:p>
    <w:p>
      <w:pPr>
        <w:pStyle w:val="Style27"/>
        <w:keepNext w:val="0"/>
        <w:keepLines w:val="0"/>
        <w:widowControl w:val="0"/>
        <w:shd w:val="clear" w:color="auto" w:fill="auto"/>
        <w:bidi w:val="0"/>
        <w:spacing w:before="0" w:line="240" w:lineRule="auto"/>
        <w:ind w:left="0" w:right="0" w:firstLine="0"/>
        <w:jc w:val="left"/>
      </w:pPr>
      <w:bookmarkStart w:id="495" w:name="bookmark49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5"/>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00" w:line="240" w:lineRule="auto"/>
        <w:ind w:left="0" w:right="0" w:firstLine="0"/>
        <w:jc w:val="center"/>
      </w:pPr>
      <w:bookmarkStart w:id="496" w:name="bookmark496"/>
      <w:bookmarkStart w:id="497" w:name="bookmark497"/>
      <w:bookmarkStart w:id="498" w:name="bookmark498"/>
      <w:r>
        <w:rPr>
          <w:color w:val="000000"/>
          <w:spacing w:val="0"/>
          <w:w w:val="100"/>
          <w:position w:val="0"/>
        </w:rPr>
        <w:t>第九节 董事、监事、高级管理人员和员工情况</w:t>
      </w:r>
      <w:bookmarkEnd w:id="496"/>
      <w:bookmarkEnd w:id="497"/>
      <w:bookmarkEnd w:id="498"/>
    </w:p>
    <w:p>
      <w:pPr>
        <w:pStyle w:val="Style25"/>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bookmarkStart w:id="503" w:name="bookmark503"/>
      <w:r>
        <w:rPr>
          <w:color w:val="000000"/>
          <w:spacing w:val="0"/>
          <w:w w:val="100"/>
          <w:position w:val="0"/>
          <w:sz w:val="24"/>
          <w:szCs w:val="24"/>
        </w:rPr>
        <w:t>一</w:t>
      </w:r>
      <w:bookmarkEnd w:id="502"/>
      <w:r>
        <w:rPr>
          <w:color w:val="000000"/>
          <w:spacing w:val="0"/>
          <w:w w:val="100"/>
          <w:position w:val="0"/>
          <w:sz w:val="24"/>
          <w:szCs w:val="24"/>
        </w:rPr>
        <w:t>、董事、监事和高级管理人员持股变动</w:t>
      </w:r>
      <w:bookmarkEnd w:id="500"/>
      <w:bookmarkEnd w:id="501"/>
      <w:bookmarkEnd w:id="503"/>
      <w:bookmarkEnd w:id="499"/>
    </w:p>
    <w:tbl>
      <w:tblPr>
        <w:tblOverlap w:val="never"/>
        <w:jc w:val="center"/>
        <w:tblLayout w:type="fixed"/>
      </w:tblPr>
      <w:tblGrid>
        <w:gridCol w:w="715"/>
        <w:gridCol w:w="845"/>
        <w:gridCol w:w="706"/>
        <w:gridCol w:w="432"/>
        <w:gridCol w:w="566"/>
        <w:gridCol w:w="1138"/>
        <w:gridCol w:w="1186"/>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 事长、代 行总经理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林向阳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谢家清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财务总 监、董事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方笑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章怡雯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李音昱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叶兴波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bl>
    <w:p>
      <w:pPr>
        <w:spacing w:lineRule="exact" w:line="1"/>
        <w:rPr>
          <w:sz w:val="2"/>
          <w:szCs w:val="2"/>
        </w:rPr>
      </w:pPr>
      <w:r>
        <w:br w:type="page"/>
      </w:r>
    </w:p>
    <w:tbl>
      <w:tblPr>
        <w:tblOverlap w:val="never"/>
        <w:jc w:val="center"/>
        <w:tblLayout w:type="fixed"/>
      </w:tblPr>
      <w:tblGrid>
        <w:gridCol w:w="715"/>
        <w:gridCol w:w="845"/>
        <w:gridCol w:w="706"/>
        <w:gridCol w:w="432"/>
        <w:gridCol w:w="566"/>
        <w:gridCol w:w="1138"/>
        <w:gridCol w:w="1186"/>
        <w:gridCol w:w="797"/>
        <w:gridCol w:w="797"/>
        <w:gridCol w:w="802"/>
        <w:gridCol w:w="797"/>
        <w:gridCol w:w="806"/>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55,936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112,319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Henry</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L.Huang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 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裘学初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477,769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292,855</w:t>
            </w:r>
          </w:p>
        </w:tc>
      </w:tr>
    </w:tbl>
    <w:p>
      <w:pPr>
        <w:widowControl w:val="0"/>
        <w:spacing w:after="299" w:line="1" w:lineRule="exact"/>
      </w:pPr>
    </w:p>
    <w:p>
      <w:pPr>
        <w:pStyle w:val="Style25"/>
        <w:keepNext/>
        <w:keepLines/>
        <w:widowControl w:val="0"/>
        <w:shd w:val="clear" w:color="auto" w:fill="auto"/>
        <w:bidi w:val="0"/>
        <w:spacing w:before="0" w:after="3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二</w:t>
      </w:r>
      <w:bookmarkEnd w:id="506"/>
      <w:r>
        <w:rPr>
          <w:color w:val="000000"/>
          <w:spacing w:val="0"/>
          <w:w w:val="100"/>
          <w:position w:val="0"/>
          <w:sz w:val="24"/>
          <w:szCs w:val="24"/>
        </w:rPr>
        <w:t>、公司董事、监事、高级管理人员变动情况</w:t>
      </w:r>
      <w:bookmarkEnd w:id="504"/>
      <w:bookmarkEnd w:id="505"/>
      <w:bookmarkEnd w:id="507"/>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963"/>
        <w:gridCol w:w="362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李音昱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代行总经理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bl>
    <w:tbl>
      <w:tblPr>
        <w:tblOverlap w:val="never"/>
        <w:jc w:val="center"/>
        <w:tblLayout w:type="fixed"/>
      </w:tblPr>
      <w:tblGrid>
        <w:gridCol w:w="1334"/>
        <w:gridCol w:w="1330"/>
        <w:gridCol w:w="1330"/>
        <w:gridCol w:w="1963"/>
        <w:gridCol w:w="362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裘学初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 Huang</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三</w:t>
      </w:r>
      <w:bookmarkEnd w:id="510"/>
      <w:r>
        <w:rPr>
          <w:color w:val="000000"/>
          <w:spacing w:val="0"/>
          <w:w w:val="100"/>
          <w:position w:val="0"/>
          <w:sz w:val="24"/>
          <w:szCs w:val="24"/>
        </w:rPr>
        <w:t>、任职情况</w:t>
      </w:r>
      <w:bookmarkEnd w:id="508"/>
      <w:bookmarkEnd w:id="509"/>
      <w:bookmarkEnd w:id="511"/>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60" w:lineRule="auto"/>
        <w:ind w:left="0" w:right="0" w:firstLine="240"/>
        <w:jc w:val="both"/>
      </w:pPr>
      <w:bookmarkStart w:id="512" w:name="bookmark512"/>
      <w:r>
        <w:rPr>
          <w:rFonts w:ascii="Times New Roman" w:eastAsia="Times New Roman" w:hAnsi="Times New Roman" w:cs="Times New Roman"/>
          <w:color w:val="000000"/>
          <w:spacing w:val="0"/>
          <w:w w:val="100"/>
          <w:position w:val="0"/>
          <w:sz w:val="18"/>
          <w:szCs w:val="18"/>
        </w:rPr>
        <w:t>1</w:t>
      </w:r>
      <w:bookmarkEnd w:id="512"/>
      <w:r>
        <w:rPr>
          <w:color w:val="000000"/>
          <w:spacing w:val="0"/>
          <w:w w:val="100"/>
          <w:position w:val="0"/>
        </w:rPr>
        <w:t>、董事：</w:t>
      </w:r>
    </w:p>
    <w:p>
      <w:pPr>
        <w:pStyle w:val="Style27"/>
        <w:keepNext w:val="0"/>
        <w:keepLines w:val="0"/>
        <w:widowControl w:val="0"/>
        <w:shd w:val="clear" w:color="auto" w:fill="auto"/>
        <w:bidi w:val="0"/>
        <w:spacing w:before="0" w:after="0" w:line="316" w:lineRule="exact"/>
        <w:ind w:left="0" w:right="0" w:firstLine="44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曹阳，男，</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月出生，中国国籍，无境外永久居留权，硕士学历。曾任恒丰银行福建省分行业务经理、福 建省中科芯源光科技有限公司经理、福建省投资开发集团有限公司项目主管、平潭综合实验区麒麟股权投资管理有限公司总 经理（挂职）；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年至今任平潭综合实验区麒麟股权投资管理有限公司董事；现任公司董事长、代行总经理职责。</w:t>
      </w:r>
    </w:p>
    <w:p>
      <w:pPr>
        <w:pStyle w:val="Style27"/>
        <w:keepNext w:val="0"/>
        <w:keepLines w:val="0"/>
        <w:widowControl w:val="0"/>
        <w:shd w:val="clear" w:color="auto" w:fill="auto"/>
        <w:bidi w:val="0"/>
        <w:spacing w:before="0" w:after="0" w:line="316" w:lineRule="exact"/>
        <w:ind w:left="0" w:right="0" w:firstLine="440"/>
        <w:jc w:val="both"/>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林向阳，男，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月出生，中国国籍，无境外永久居留权，博士研究生学历。曾任福州大学生物工程研究所 助理研究员、食品科学与工程教授，莆田市人民政府发改委副主任（挂职），福建自贸试验区闽投投资发展有限公司总经理 等职务；现任平潭综合实验区金融控股集团有限公司党委书记、董事长，公司董事。</w:t>
      </w:r>
    </w:p>
    <w:p>
      <w:pPr>
        <w:pStyle w:val="Style27"/>
        <w:keepNext w:val="0"/>
        <w:keepLines w:val="0"/>
        <w:widowControl w:val="0"/>
        <w:shd w:val="clear" w:color="auto" w:fill="auto"/>
        <w:bidi w:val="0"/>
        <w:spacing w:before="0" w:after="0" w:line="316" w:lineRule="exact"/>
        <w:ind w:left="0" w:right="0" w:firstLine="44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谢家清，男，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月出生，中国国籍，无境外永久居留权，本科学历，高级会计师，总会计师。曾任福州市 公安局闽侯分局主办会计、福建路桥建设有限公司会计、福州路先贸易有限公司长乐路晟沥青储运有限公司财务部经理、福 建路桥建设有限公司财务部经理、福建高速公路有限责任公司会计师、福建省高速公路养护工程有限公司财务部经理、福建 交通一卡通有限公司综合部经理；现任平潭综合实验区金融控股集团有限公司常务副总经理、董事，公司董事。</w:t>
      </w:r>
    </w:p>
    <w:p>
      <w:pPr>
        <w:pStyle w:val="Style27"/>
        <w:keepNext w:val="0"/>
        <w:keepLines w:val="0"/>
        <w:widowControl w:val="0"/>
        <w:shd w:val="clear" w:color="auto" w:fill="auto"/>
        <w:bidi w:val="0"/>
        <w:spacing w:before="0" w:after="0" w:line="316" w:lineRule="exact"/>
        <w:ind w:left="0" w:right="0" w:firstLine="44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倪晨勋，男，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月出生，中国国籍，无境外永久居留权，本科学历，二级理财规划师资格。曾任中国农业 银行马尾支行客户经理、中国农业银行福州鼓楼支行会计、中国农业银行福建省分行个人金融部零售业务培训师、中国农业 银行福州鼓屏支行客户部主管、中国农业银行福州治山支行行长、中国民生银行福州分行企业金融二部总经理、中国民生银 行福州中亭街支行副行长、中国民生银行福州温泉支行副行长、平潭综合实验区金融控股集团有限公司战略投资部副经理（主 持工作）；现任平潭综合实验区金融控股集团有限公司风险合规部副经理（主持工作）、董事，公司董事。</w:t>
      </w:r>
    </w:p>
    <w:p>
      <w:pPr>
        <w:pStyle w:val="Style27"/>
        <w:keepNext w:val="0"/>
        <w:keepLines w:val="0"/>
        <w:widowControl w:val="0"/>
        <w:shd w:val="clear" w:color="auto" w:fill="auto"/>
        <w:bidi w:val="0"/>
        <w:spacing w:before="0" w:after="0" w:line="316" w:lineRule="exact"/>
        <w:ind w:left="0" w:right="0" w:firstLine="44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李童童，男，</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月出生，中国国籍，无境外永久居留权，本科学历，中级经济师。曾任福建平潭华兴小额 贷款股份有限公司客户经理及风控负责人、平潭综合实验区金融控股集团有限公司风险控制部副经理及风险控制部经理、平 潭综合实验区麒麟股权投资管理有限公司风控总监；现任平潭综合实验区麒麟股权投资管理有限公司董事长，公司董事。</w:t>
      </w:r>
    </w:p>
    <w:p>
      <w:pPr>
        <w:pStyle w:val="Style27"/>
        <w:keepNext w:val="0"/>
        <w:keepLines w:val="0"/>
        <w:widowControl w:val="0"/>
        <w:shd w:val="clear" w:color="auto" w:fill="auto"/>
        <w:tabs>
          <w:tab w:pos="903" w:val="left"/>
        </w:tabs>
        <w:bidi w:val="0"/>
        <w:spacing w:before="0" w:after="0" w:line="316" w:lineRule="exact"/>
        <w:ind w:left="0" w:right="0" w:firstLine="44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曾志勇，男，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月出生，中国国籍，无境外永久居留权，本科学历，高级会计师，注册税务师。曾任福建 金山医药集团财务总监，南威软件股份有限公司财务总经理、财务总监，杭州回水科技股份有限公司财务总监、董事会秘书； 现任公司财务总监、董事。</w:t>
      </w:r>
    </w:p>
    <w:p>
      <w:pPr>
        <w:pStyle w:val="Style27"/>
        <w:keepNext w:val="0"/>
        <w:keepLines w:val="0"/>
        <w:widowControl w:val="0"/>
        <w:shd w:val="clear" w:color="auto" w:fill="auto"/>
        <w:bidi w:val="0"/>
        <w:spacing w:before="0" w:after="280" w:line="316" w:lineRule="exact"/>
        <w:ind w:left="0" w:right="0" w:firstLine="44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周亚力，男，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月出生，中国国籍，无境外永久居留权，本科学历，中国注册会计师。曾任浙江国华会计 事务所注册会计师，香港何铁文会计师行交流审计员，浙江工商大学助教、讲师、副教授。现任浙江工商大学硕士生导师、 顺发恒业股份有限公司独立董事、浙江健盛集团股份有限公司独立董事、浙江仙通橡塑股份有限公司独立董事、浙江优全护 理用品科技股份有限公司独立董事、公司独立董事。</w:t>
      </w:r>
    </w:p>
    <w:p>
      <w:pPr>
        <w:pStyle w:val="Style27"/>
        <w:keepNext w:val="0"/>
        <w:keepLines w:val="0"/>
        <w:widowControl w:val="0"/>
        <w:shd w:val="clear" w:color="auto" w:fill="auto"/>
        <w:bidi w:val="0"/>
        <w:spacing w:before="0" w:after="0" w:line="316" w:lineRule="exact"/>
        <w:ind w:left="0" w:right="0" w:firstLine="44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刘建忠，男，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月出生，中国国籍，无境外永久居留权，本科学历，主任医师，博士生导师，享受国务院 政府特殊津贴专家。曾任福建省建瓯市立医院医师、建瓯市卫生局副局长、南平地区医院副院长、南平市中医院院长、南平 市第一医院院长、南平市卫生局副局长、福建省卫生厅调研员、福建省卫生厅项目办常务副主任、福建省人民医院院长及福 建省康复医院院长；现任福建中医药大学附属人民医院主任医师、博士生导师，福建省康复产业研究院院长及福建省康复技 术重点实验室主任，海峡两岸医药交流协会常务理事，中国中西医结合学会理事，中华中医药学会理事，中国医院协会常务 理事，福建省中医药学会会长，福建省医师协会副会长。现任公司独立董事。</w:t>
      </w:r>
    </w:p>
    <w:p>
      <w:pPr>
        <w:pStyle w:val="Style27"/>
        <w:keepNext w:val="0"/>
        <w:keepLines w:val="0"/>
        <w:widowControl w:val="0"/>
        <w:shd w:val="clear" w:color="auto" w:fill="auto"/>
        <w:tabs>
          <w:tab w:pos="919" w:val="left"/>
        </w:tabs>
        <w:bidi w:val="0"/>
        <w:spacing w:before="0" w:after="0" w:line="316" w:lineRule="exact"/>
        <w:ind w:left="0" w:right="0" w:firstLine="44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张梅，女，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月出生，中国国籍，无境外永久居留权，研究生学历，中国注册会计师、注册资产评估师。 福州大学经管学院、福建农林大学经管学院会计专业硕士生导师，福建江夏学院会计学院教授，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年入选福建省高等学校 新世纪优秀人才支持计划，福建省人社厅高校毕业生创业导师，福建省商务厅外贸实务导师，福建省财政厅高级会计师和正 高级会计师专家评委，福建省科技厅项目评审专家。现任江西赣能股份有限公司、福建博思软件股份有限公司、福建南平太 阳电缆股份有限公司、福建省安溪县农村商业银行独立董事。现任公司独立董事。</w:t>
      </w:r>
    </w:p>
    <w:p>
      <w:pPr>
        <w:pStyle w:val="Style27"/>
        <w:keepNext w:val="0"/>
        <w:keepLines w:val="0"/>
        <w:widowControl w:val="0"/>
        <w:shd w:val="clear" w:color="auto" w:fill="auto"/>
        <w:tabs>
          <w:tab w:pos="750" w:val="left"/>
        </w:tabs>
        <w:bidi w:val="0"/>
        <w:spacing w:before="0" w:after="0" w:line="316" w:lineRule="exact"/>
        <w:ind w:left="0" w:right="0" w:firstLine="440"/>
        <w:jc w:val="both"/>
      </w:pPr>
      <w:bookmarkStart w:id="522" w:name="bookmark522"/>
      <w:r>
        <w:rPr>
          <w:rFonts w:ascii="Times New Roman" w:eastAsia="Times New Roman" w:hAnsi="Times New Roman" w:cs="Times New Roman"/>
          <w:color w:val="000000"/>
          <w:spacing w:val="0"/>
          <w:w w:val="100"/>
          <w:position w:val="0"/>
          <w:sz w:val="18"/>
          <w:szCs w:val="18"/>
        </w:rPr>
        <w:t>2</w:t>
      </w:r>
      <w:bookmarkEnd w:id="522"/>
      <w:r>
        <w:rPr>
          <w:color w:val="000000"/>
          <w:spacing w:val="0"/>
          <w:w w:val="100"/>
          <w:position w:val="0"/>
        </w:rPr>
        <w:t>、</w:t>
        <w:tab/>
        <w:t>监事：</w:t>
      </w:r>
    </w:p>
    <w:p>
      <w:pPr>
        <w:pStyle w:val="Style27"/>
        <w:keepNext w:val="0"/>
        <w:keepLines w:val="0"/>
        <w:widowControl w:val="0"/>
        <w:shd w:val="clear" w:color="auto" w:fill="auto"/>
        <w:bidi w:val="0"/>
        <w:spacing w:before="0" w:after="0" w:line="316" w:lineRule="exact"/>
        <w:ind w:left="0" w:right="0" w:firstLine="44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方笑，女，中国国籍，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月出生，本科学历。曾任江南布衣服饰有限公司法务专员，现任公司法务部高级 经理。现任公司监事会主席。</w:t>
      </w:r>
    </w:p>
    <w:p>
      <w:pPr>
        <w:pStyle w:val="Style27"/>
        <w:keepNext w:val="0"/>
        <w:keepLines w:val="0"/>
        <w:widowControl w:val="0"/>
        <w:shd w:val="clear" w:color="auto" w:fill="auto"/>
        <w:tabs>
          <w:tab w:pos="924" w:val="left"/>
        </w:tabs>
        <w:bidi w:val="0"/>
        <w:spacing w:before="0" w:after="0" w:line="316" w:lineRule="exact"/>
        <w:ind w:left="0" w:right="0" w:firstLine="440"/>
        <w:jc w:val="both"/>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章怡雯，女，中国国籍，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月出生，本科学历，中级经济师，曾任本公司人力资源中心员工关系专员，现 任人力资源中心薪酬主管。现任公司监事。</w:t>
      </w:r>
    </w:p>
    <w:p>
      <w:pPr>
        <w:pStyle w:val="Style27"/>
        <w:keepNext w:val="0"/>
        <w:keepLines w:val="0"/>
        <w:widowControl w:val="0"/>
        <w:shd w:val="clear" w:color="auto" w:fill="auto"/>
        <w:bidi w:val="0"/>
        <w:spacing w:before="0" w:after="0" w:line="316" w:lineRule="exact"/>
        <w:ind w:left="0" w:right="0" w:firstLine="44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李音昱，女，中国国籍，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月出生，本科学历，中级会计师，注册会计师。曾任职于立信会计师事务所（特 殊普通合伙）高级审计员、杭州大搜车汽车服务有限公司财务报表审计专家，现任公司财务管理中心核算经理。现任公司监 事。</w:t>
      </w:r>
    </w:p>
    <w:p>
      <w:pPr>
        <w:pStyle w:val="Style27"/>
        <w:keepNext w:val="0"/>
        <w:keepLines w:val="0"/>
        <w:widowControl w:val="0"/>
        <w:shd w:val="clear" w:color="auto" w:fill="auto"/>
        <w:tabs>
          <w:tab w:pos="750" w:val="left"/>
        </w:tabs>
        <w:bidi w:val="0"/>
        <w:spacing w:before="0" w:after="0" w:line="316" w:lineRule="exact"/>
        <w:ind w:left="0" w:right="0" w:firstLine="440"/>
        <w:jc w:val="both"/>
      </w:pPr>
      <w:bookmarkStart w:id="526" w:name="bookmark526"/>
      <w:r>
        <w:rPr>
          <w:rFonts w:ascii="Times New Roman" w:eastAsia="Times New Roman" w:hAnsi="Times New Roman" w:cs="Times New Roman"/>
          <w:color w:val="000000"/>
          <w:spacing w:val="0"/>
          <w:w w:val="100"/>
          <w:position w:val="0"/>
          <w:sz w:val="18"/>
          <w:szCs w:val="18"/>
        </w:rPr>
        <w:t>3</w:t>
      </w:r>
      <w:bookmarkEnd w:id="526"/>
      <w:r>
        <w:rPr>
          <w:color w:val="000000"/>
          <w:spacing w:val="0"/>
          <w:w w:val="100"/>
          <w:position w:val="0"/>
        </w:rPr>
        <w:t>、</w:t>
        <w:tab/>
        <w:t>高级管理人员：</w:t>
      </w:r>
    </w:p>
    <w:p>
      <w:pPr>
        <w:pStyle w:val="Style27"/>
        <w:keepNext w:val="0"/>
        <w:keepLines w:val="0"/>
        <w:widowControl w:val="0"/>
        <w:shd w:val="clear" w:color="auto" w:fill="auto"/>
        <w:tabs>
          <w:tab w:pos="855" w:val="left"/>
        </w:tabs>
        <w:bidi w:val="0"/>
        <w:spacing w:before="0" w:after="0" w:line="316" w:lineRule="exact"/>
        <w:ind w:left="0" w:right="0" w:firstLine="44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曹阳（参见董事简历）</w:t>
      </w:r>
    </w:p>
    <w:p>
      <w:pPr>
        <w:pStyle w:val="Style27"/>
        <w:keepNext w:val="0"/>
        <w:keepLines w:val="0"/>
        <w:widowControl w:val="0"/>
        <w:shd w:val="clear" w:color="auto" w:fill="auto"/>
        <w:tabs>
          <w:tab w:pos="855" w:val="left"/>
        </w:tabs>
        <w:bidi w:val="0"/>
        <w:spacing w:before="0" w:after="0" w:line="316" w:lineRule="exact"/>
        <w:ind w:left="0" w:right="0" w:firstLine="440"/>
        <w:jc w:val="both"/>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曾志勇（参见董事简历）</w:t>
      </w:r>
    </w:p>
    <w:p>
      <w:pPr>
        <w:pStyle w:val="Style27"/>
        <w:keepNext w:val="0"/>
        <w:keepLines w:val="0"/>
        <w:widowControl w:val="0"/>
        <w:shd w:val="clear" w:color="auto" w:fill="auto"/>
        <w:tabs>
          <w:tab w:pos="919" w:val="left"/>
        </w:tabs>
        <w:bidi w:val="0"/>
        <w:spacing w:before="0" w:after="0" w:line="316" w:lineRule="exact"/>
        <w:ind w:left="0" w:right="0" w:firstLine="440"/>
        <w:jc w:val="both"/>
      </w:pPr>
      <w:bookmarkStart w:id="529" w:name="bookmark529"/>
      <w:r>
        <w:rPr>
          <w:color w:val="000000"/>
          <w:spacing w:val="0"/>
          <w:w w:val="100"/>
          <w:position w:val="0"/>
        </w:rPr>
        <w:t>（</w:t>
      </w:r>
      <w:bookmarkEnd w:id="5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叶兴波，男，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月出生，中国国籍，无境外永久居留权，博士研究生学历，拥有深交所董秘资格证。曾任 浙江盾安人工环境股份有限公司证券投资部部长。现任公司副总经理、董事会秘书。</w:t>
      </w:r>
    </w:p>
    <w:p>
      <w:pPr>
        <w:pStyle w:val="Style27"/>
        <w:keepNext w:val="0"/>
        <w:keepLines w:val="0"/>
        <w:widowControl w:val="0"/>
        <w:shd w:val="clear" w:color="auto" w:fill="auto"/>
        <w:bidi w:val="0"/>
        <w:spacing w:before="0" w:after="0" w:line="316" w:lineRule="exact"/>
        <w:ind w:left="0" w:right="0" w:firstLine="440"/>
        <w:jc w:val="both"/>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王维山，男，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月出生，中国国籍，无境外永久居留权，本科学历，高级工程师。曾任海峡创新互联网股 份有限公司副总经理、总经理助理、汉鼎宇佑集团有限公司副总经理。现任公司副总经理。</w:t>
      </w:r>
    </w:p>
    <w:p>
      <w:pPr>
        <w:pStyle w:val="Style27"/>
        <w:keepNext w:val="0"/>
        <w:keepLines w:val="0"/>
        <w:widowControl w:val="0"/>
        <w:shd w:val="clear" w:color="auto" w:fill="auto"/>
        <w:tabs>
          <w:tab w:pos="919" w:val="left"/>
        </w:tabs>
        <w:bidi w:val="0"/>
        <w:spacing w:before="0" w:after="0" w:line="316" w:lineRule="exact"/>
        <w:ind w:left="0" w:right="0" w:firstLine="440"/>
        <w:jc w:val="both"/>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俞晶，男，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月生，中国国籍，无境外永久居留权，博士学历。曾任杭州市机电设备有限公司常务副总经 理、浙江游宇集智能科技有限公司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浙江网新华嬴科技有限公司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现任公司副总经理。</w:t>
      </w:r>
    </w:p>
    <w:p>
      <w:pPr>
        <w:pStyle w:val="Style27"/>
        <w:keepNext w:val="0"/>
        <w:keepLines w:val="0"/>
        <w:widowControl w:val="0"/>
        <w:shd w:val="clear" w:color="auto" w:fill="auto"/>
        <w:bidi w:val="0"/>
        <w:spacing w:before="0" w:after="0" w:line="316" w:lineRule="exact"/>
        <w:ind w:left="0" w:right="0" w:firstLine="440"/>
        <w:jc w:val="both"/>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林庆华，男，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月出生，中国国籍，无境外永久居留权，本科学历，曾任太平洋（香港）医院投资管理有 限公司副总裁、博生医疗投资股份有限公司医院总经理、福建隆德集团有限公司董事长助理兼董事会办公室主任、和美医疗 管理咨询有限公司事业发展部总经理、中关村联创医学工程转化中心福建项目总经理、公司总经理。现任好医友互联网医院</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（平潭）有限公司董事、经理，公司副总经理。</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6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7"/>
        <w:gridCol w:w="1272"/>
        <w:gridCol w:w="1560"/>
        <w:gridCol w:w="994"/>
        <w:gridCol w:w="13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平潭综合实验区麒麟股权投资管理有限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林向阳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平潭综合实验区金融控股集团有限公司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林向阳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平潭综合实验区产业服务有限公司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谢家清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平潭综合实验区金融控股集团有限公司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谢家清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平潭综合实验区信平融资担保有限责任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7"/>
        <w:gridCol w:w="1272"/>
        <w:gridCol w:w="1560"/>
        <w:gridCol w:w="994"/>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平潭综合实验区麒麟股权投资管理有限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平潭综合实验区产业服务有限公司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i/>
                <w:iCs/>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海峡股权交易中心（福建）有限公司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平潭综合实验区金融控股集团有限公司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董事，风险合规 部副经理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平潭综合实验区金融控股集团有限公司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平潭综合实验区麒麟股权投资管理有限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平潭发展基金合伙企业（有限合伙）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 人委派代表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平潭两岸创新创业股权投资合伙企业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 人委派代表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平潭创新股权投资合伙企业（有限合伙）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 人委派代表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李童童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平潭麒麟一号航运一号股权投资合伙企 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 人委派代表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770"/>
        <w:gridCol w:w="1133"/>
        <w:gridCol w:w="1560"/>
        <w:gridCol w:w="1560"/>
        <w:gridCol w:w="135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浙江海峡创新科技有限公司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好医友互联网医院（平潭）有限公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海峡创新信息产业有限公司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顺发恒业股份公司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浙江健盛集团股份有限公司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浙江优全护理用品科技股份有限公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浙江仙通橡塑股份有限公司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江西赣能股份有限公司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福建南平太阳电缆股份有限公司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福建省安溪县农村商业银行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刘建忠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福建中医药大学附属人民医院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主任医师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2770"/>
        <w:gridCol w:w="1133"/>
        <w:gridCol w:w="1560"/>
        <w:gridCol w:w="1560"/>
        <w:gridCol w:w="1354"/>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奥明医疗管理有限公司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福建区域院 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福建中医药大学国医堂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主任医师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贵阳市海峡创新科技有限公司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浙江海峡创新科技有限公司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海峡创新信息产业有限公司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好医友互联网医院（平潭）有限公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浙江海峡创新科技有限公司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、董事、监事、高级管理人员报酬情况</w:t>
      </w:r>
      <w:bookmarkEnd w:id="533"/>
      <w:bookmarkEnd w:id="534"/>
      <w:bookmarkEnd w:id="536"/>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766" w:val="left"/>
        </w:tabs>
        <w:bidi w:val="0"/>
        <w:spacing w:before="0" w:line="317" w:lineRule="exact"/>
        <w:ind w:left="0" w:right="0" w:firstLine="440"/>
        <w:jc w:val="both"/>
      </w:pPr>
      <w:bookmarkStart w:id="537" w:name="bookmark537"/>
      <w:r>
        <w:rPr>
          <w:rFonts w:ascii="Times New Roman" w:eastAsia="Times New Roman" w:hAnsi="Times New Roman" w:cs="Times New Roman"/>
          <w:color w:val="000000"/>
          <w:spacing w:val="0"/>
          <w:w w:val="100"/>
          <w:position w:val="0"/>
          <w:sz w:val="18"/>
          <w:szCs w:val="18"/>
        </w:rPr>
        <w:t>1</w:t>
      </w:r>
      <w:bookmarkEnd w:id="537"/>
      <w:r>
        <w:rPr>
          <w:color w:val="000000"/>
          <w:spacing w:val="0"/>
          <w:w w:val="100"/>
          <w:position w:val="0"/>
        </w:rPr>
        <w:t>、</w:t>
        <w:tab/>
        <w:t>董事、监事、高级管理人员报酬的决策程序：董事、监事、高级管理人员报酬根据公司董事、监事、高级管理人员 津贴、薪酬管理制度确定，由提名、薪酬和考核委员会考核。独立董事报酬由股东大会确定。</w:t>
      </w:r>
    </w:p>
    <w:p>
      <w:pPr>
        <w:pStyle w:val="Style27"/>
        <w:keepNext w:val="0"/>
        <w:keepLines w:val="0"/>
        <w:widowControl w:val="0"/>
        <w:shd w:val="clear" w:color="auto" w:fill="auto"/>
        <w:tabs>
          <w:tab w:pos="794" w:val="left"/>
        </w:tabs>
        <w:bidi w:val="0"/>
        <w:spacing w:before="0" w:after="0" w:line="360" w:lineRule="auto"/>
        <w:ind w:left="0" w:right="0" w:firstLine="440"/>
        <w:jc w:val="left"/>
      </w:pPr>
      <w:bookmarkStart w:id="538" w:name="bookmark538"/>
      <w:r>
        <w:rPr>
          <w:rFonts w:ascii="Times New Roman" w:eastAsia="Times New Roman" w:hAnsi="Times New Roman" w:cs="Times New Roman"/>
          <w:color w:val="000000"/>
          <w:spacing w:val="0"/>
          <w:w w:val="100"/>
          <w:position w:val="0"/>
          <w:sz w:val="18"/>
          <w:szCs w:val="18"/>
        </w:rPr>
        <w:t>2</w:t>
      </w:r>
      <w:bookmarkEnd w:id="538"/>
      <w:r>
        <w:rPr>
          <w:color w:val="000000"/>
          <w:spacing w:val="0"/>
          <w:w w:val="100"/>
          <w:position w:val="0"/>
        </w:rPr>
        <w:t>、</w:t>
        <w:tab/>
        <w:t>董事、监事、高级管理人员报酬确定依据：董事、监事、高级管理人员津贴、薪酬管理制度。</w:t>
      </w:r>
    </w:p>
    <w:p>
      <w:pPr>
        <w:pStyle w:val="Style27"/>
        <w:keepNext w:val="0"/>
        <w:keepLines w:val="0"/>
        <w:widowControl w:val="0"/>
        <w:shd w:val="clear" w:color="auto" w:fill="auto"/>
        <w:tabs>
          <w:tab w:pos="794" w:val="left"/>
        </w:tabs>
        <w:bidi w:val="0"/>
        <w:spacing w:before="0" w:after="0" w:line="360" w:lineRule="auto"/>
        <w:ind w:left="0" w:right="0" w:firstLine="440"/>
        <w:jc w:val="left"/>
      </w:pPr>
      <w:bookmarkStart w:id="539" w:name="bookmark539"/>
      <w:r>
        <w:rPr>
          <w:rFonts w:ascii="Times New Roman" w:eastAsia="Times New Roman" w:hAnsi="Times New Roman" w:cs="Times New Roman"/>
          <w:color w:val="000000"/>
          <w:spacing w:val="0"/>
          <w:w w:val="100"/>
          <w:position w:val="0"/>
          <w:sz w:val="18"/>
          <w:szCs w:val="18"/>
        </w:rPr>
        <w:t>3</w:t>
      </w:r>
      <w:bookmarkEnd w:id="539"/>
      <w:r>
        <w:rPr>
          <w:color w:val="000000"/>
          <w:spacing w:val="0"/>
          <w:w w:val="100"/>
          <w:position w:val="0"/>
        </w:rPr>
        <w:t>、</w:t>
        <w:tab/>
        <w:t>董事、监事和高级管理人员报酬的实际支付情况：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年度公司董监高工资合计</w:t>
      </w:r>
      <w:r>
        <w:rPr>
          <w:rFonts w:ascii="Times New Roman" w:eastAsia="Times New Roman" w:hAnsi="Times New Roman" w:cs="Times New Roman"/>
          <w:color w:val="000000"/>
          <w:spacing w:val="0"/>
          <w:w w:val="100"/>
          <w:position w:val="0"/>
          <w:sz w:val="18"/>
          <w:szCs w:val="18"/>
        </w:rPr>
        <w:t>331.38</w:t>
      </w:r>
      <w:r>
        <w:rPr>
          <w:color w:val="000000"/>
          <w:spacing w:val="0"/>
          <w:w w:val="100"/>
          <w:position w:val="0"/>
        </w:rPr>
        <w:t>万元。</w:t>
      </w:r>
    </w:p>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董事长、代行总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林向阳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谢家清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倪晨勋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李童童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章怡雯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李音昱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叶兴波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林庆华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裘学初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 Huang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 已行权股</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报告期新 授予限制 性股票数</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期末持有 限制性股 票数量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日，公司第三届董事会第四十次会议，会议审议通过了《关于回购注销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激励计划部分限制性股票的议案》。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年第二次临时股东大会审议通过该议案。公 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年限制性股票激励计划授予的部分激励对象马桔英等十九名员工因个人原因离职，已不符合激励条件， 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年限制性股票激励计划》的有关规定，由公司按照限制性股票授予价格回购注销，取消离职人 员的激励对象资格并回购注销其已获授权但尚未解锁的全部限制性股票。本次回购涉及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 计划激励对象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人，回购限制性股票数量为</w:t>
            </w:r>
            <w:r>
              <w:rPr>
                <w:rFonts w:ascii="Times New Roman" w:eastAsia="Times New Roman" w:hAnsi="Times New Roman" w:cs="Times New Roman"/>
                <w:color w:val="000000"/>
                <w:spacing w:val="0"/>
                <w:w w:val="100"/>
                <w:position w:val="0"/>
                <w:sz w:val="18"/>
                <w:szCs w:val="18"/>
              </w:rPr>
              <w:t>1,375,852</w:t>
            </w:r>
            <w:r>
              <w:rPr>
                <w:color w:val="000000"/>
                <w:spacing w:val="0"/>
                <w:w w:val="100"/>
                <w:position w:val="0"/>
              </w:rPr>
              <w:t>股。经中国证券登记结算有限责任公司深圳分公司审核 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日办理完成。公司已依法办理相关的工商变更登记手续。</w:t>
            </w:r>
          </w:p>
          <w:p>
            <w:pPr>
              <w:pStyle w:val="Style6"/>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票激励计划并回购注销限制性股票的议案》。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年第一次临时股东大会审议通过该议 案。公司董事会决定回购注销徐晗等四名已离职员工所持有已获授但尚未解除限售的限制性股票</w:t>
            </w:r>
            <w:r>
              <w:rPr>
                <w:rFonts w:ascii="Times New Roman" w:eastAsia="Times New Roman" w:hAnsi="Times New Roman" w:cs="Times New Roman"/>
                <w:color w:val="000000"/>
                <w:spacing w:val="0"/>
                <w:w w:val="100"/>
                <w:position w:val="0"/>
                <w:sz w:val="18"/>
                <w:szCs w:val="18"/>
              </w:rPr>
              <w:t>545,891</w:t>
            </w:r>
            <w:r>
              <w:rPr>
                <w:color w:val="000000"/>
                <w:spacing w:val="0"/>
                <w:w w:val="100"/>
                <w:position w:val="0"/>
              </w:rPr>
              <w:t>股。 公司预计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年度的业绩将无法达到《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年限制性股票激励计划》规定的解除限售期解锁条件， 董事会决定终止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年限制性股票激励计划。董事会决定对激励对象所持有已获授但尚未解除限售的限制性股</w:t>
            </w:r>
          </w:p>
        </w:tc>
      </w:tr>
    </w:tbl>
    <w:p>
      <w:pPr>
        <w:spacing w:lineRule="exact" w:line="1"/>
        <w:rPr>
          <w:sz w:val="2"/>
          <w:szCs w:val="2"/>
        </w:rPr>
      </w:pPr>
      <w:r>
        <w:br w:type="page"/>
      </w:r>
    </w:p>
    <w:tbl>
      <w:tblPr>
        <w:tblOverlap w:val="never"/>
        <w:jc w:val="center"/>
        <w:tblLayout w:type="fixed"/>
      </w:tblPr>
      <w:tblGrid>
        <w:gridCol w:w="869"/>
        <w:gridCol w:w="8707"/>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票</w:t>
            </w:r>
            <w:r>
              <w:rPr>
                <w:rFonts w:ascii="Times New Roman" w:eastAsia="Times New Roman" w:hAnsi="Times New Roman" w:cs="Times New Roman"/>
                <w:color w:val="000000"/>
                <w:spacing w:val="0"/>
                <w:w w:val="100"/>
                <w:position w:val="0"/>
                <w:sz w:val="18"/>
                <w:szCs w:val="18"/>
              </w:rPr>
              <w:t>7,173,066</w:t>
            </w:r>
            <w:r>
              <w:rPr>
                <w:color w:val="000000"/>
                <w:spacing w:val="0"/>
                <w:w w:val="100"/>
                <w:position w:val="0"/>
              </w:rPr>
              <w:t>股进行回购注销，涉及激励对象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名（包括四名离职激励对象）。经中国证券登记结算有限责任公 司深圳分公司审核确认，公司本次回购股票注销事宜已于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日办理完成。公司已依法办理相关的 工商变更登记手续。</w:t>
            </w:r>
          </w:p>
        </w:tc>
      </w:tr>
    </w:tbl>
    <w:p>
      <w:pPr>
        <w:widowControl w:val="0"/>
        <w:spacing w:after="639" w:line="1" w:lineRule="exact"/>
      </w:pPr>
    </w:p>
    <w:p>
      <w:pPr>
        <w:pStyle w:val="Style25"/>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五</w:t>
      </w:r>
      <w:bookmarkEnd w:id="542"/>
      <w:r>
        <w:rPr>
          <w:color w:val="000000"/>
          <w:spacing w:val="0"/>
          <w:w w:val="100"/>
          <w:position w:val="0"/>
          <w:sz w:val="24"/>
          <w:szCs w:val="24"/>
        </w:rPr>
        <w:t>、公司员工情况</w:t>
      </w:r>
      <w:bookmarkEnd w:id="540"/>
      <w:bookmarkEnd w:id="541"/>
      <w:bookmarkEnd w:id="543"/>
    </w:p>
    <w:p>
      <w:pPr>
        <w:pStyle w:val="Style31"/>
        <w:keepNext/>
        <w:keepLines/>
        <w:widowControl w:val="0"/>
        <w:shd w:val="clear" w:color="auto" w:fill="auto"/>
        <w:bidi w:val="0"/>
        <w:spacing w:before="0" w:after="32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、员工数量、专业构成及教育程度</w:t>
      </w:r>
      <w:bookmarkEnd w:id="544"/>
      <w:bookmarkEnd w:id="545"/>
      <w:bookmarkEnd w:id="54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、薪酬政策</w:t>
      </w:r>
      <w:bookmarkEnd w:id="548"/>
      <w:bookmarkEnd w:id="549"/>
      <w:bookmarkEnd w:id="551"/>
    </w:p>
    <w:p>
      <w:pPr>
        <w:pStyle w:val="Style27"/>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公司严格按照《中华人民共和国劳动法》和有关劳动法律法规的规定，向员工提供稳定且在行业内具备竞争优势的薪 酬，以维持员工队伍的凝聚力及向心力，并充分调动员工工作的积极性和创造性。公司严格执行国家用工制度、劳动保护制 度、社会保障制度和医疗保障制度，按照国家规定为员工缴纳医疗保险金、养老保险、失业保险、工伤保险、生育保险、住 房公积金。</w:t>
      </w:r>
    </w:p>
    <w:p>
      <w:pPr>
        <w:pStyle w:val="Style31"/>
        <w:keepNext/>
        <w:keepLines/>
        <w:widowControl w:val="0"/>
        <w:shd w:val="clear" w:color="auto" w:fill="auto"/>
        <w:tabs>
          <w:tab w:pos="378" w:val="left"/>
        </w:tabs>
        <w:bidi w:val="0"/>
        <w:spacing w:before="0" w:after="26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培训计划</w:t>
      </w:r>
      <w:bookmarkEnd w:id="552"/>
      <w:bookmarkEnd w:id="553"/>
      <w:bookmarkEnd w:id="555"/>
    </w:p>
    <w:p>
      <w:pPr>
        <w:pStyle w:val="Style27"/>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公司将培训工作作为公司长期战略的重要组成部分。通过年度发展计划、岗位职责和绩效改进的需要，以及员工自身 能力差距和职业发展的需求，使员工的学习和发展既能促进公司整体目标的实现，又能满足员工个人能力和职业发展的需求， 实现公司和个人的双赢。公司培训内容以内部培训、外部培训及在职培训等多种形式开展。</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4</w:t>
      </w:r>
      <w:bookmarkEnd w:id="558"/>
      <w:r>
        <w:rPr>
          <w:color w:val="000000"/>
          <w:spacing w:val="0"/>
          <w:w w:val="100"/>
          <w:position w:val="0"/>
        </w:rPr>
        <w:t>、</w:t>
        <w:tab/>
        <w:t>劳务外包情况</w:t>
      </w:r>
      <w:bookmarkEnd w:id="556"/>
      <w:bookmarkEnd w:id="557"/>
      <w:bookmarkEnd w:id="559"/>
    </w:p>
    <w:p>
      <w:pPr>
        <w:pStyle w:val="Style27"/>
        <w:keepNext w:val="0"/>
        <w:keepLines w:val="0"/>
        <w:widowControl w:val="0"/>
        <w:shd w:val="clear" w:color="auto" w:fill="auto"/>
        <w:bidi w:val="0"/>
        <w:spacing w:before="0" w:after="320" w:line="314" w:lineRule="exact"/>
        <w:ind w:left="0" w:right="0" w:firstLine="0"/>
        <w:jc w:val="left"/>
        <w:sectPr>
          <w:footnotePr>
            <w:pos w:val="pageBottom"/>
            <w:numFmt w:val="decimal"/>
            <w:numRestart w:val="continuous"/>
          </w:footnotePr>
          <w:pgSz w:w="11900" w:h="16840"/>
          <w:pgMar w:top="1388" w:right="1063" w:bottom="1498" w:left="10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after="540" w:line="240" w:lineRule="auto"/>
        <w:ind w:left="0" w:right="0" w:firstLine="0"/>
        <w:jc w:val="center"/>
      </w:pPr>
      <w:bookmarkStart w:id="560" w:name="bookmark560"/>
      <w:bookmarkStart w:id="561" w:name="bookmark561"/>
      <w:bookmarkStart w:id="562" w:name="bookmark562"/>
      <w:r>
        <w:rPr>
          <w:color w:val="000000"/>
          <w:spacing w:val="0"/>
          <w:w w:val="100"/>
          <w:position w:val="0"/>
        </w:rPr>
        <w:t>第十节公司治理</w:t>
      </w:r>
      <w:bookmarkEnd w:id="560"/>
      <w:bookmarkEnd w:id="561"/>
      <w:bookmarkEnd w:id="562"/>
    </w:p>
    <w:p>
      <w:pPr>
        <w:pStyle w:val="Style25"/>
        <w:keepNext/>
        <w:keepLines/>
        <w:widowControl w:val="0"/>
        <w:shd w:val="clear" w:color="auto" w:fill="auto"/>
        <w:bidi w:val="0"/>
        <w:spacing w:before="0" w:after="260" w:line="240" w:lineRule="auto"/>
        <w:ind w:left="0" w:right="0" w:firstLine="0"/>
        <w:jc w:val="left"/>
      </w:pPr>
      <w:bookmarkStart w:id="563" w:name="bookmark563"/>
      <w:bookmarkStart w:id="564" w:name="bookmark564"/>
      <w:bookmarkStart w:id="565" w:name="bookmark565"/>
      <w:bookmarkStart w:id="566" w:name="bookmark566"/>
      <w:bookmarkStart w:id="567" w:name="bookmark567"/>
      <w:r>
        <w:rPr>
          <w:color w:val="000000"/>
          <w:spacing w:val="0"/>
          <w:w w:val="100"/>
          <w:position w:val="0"/>
          <w:sz w:val="24"/>
          <w:szCs w:val="24"/>
        </w:rPr>
        <w:t>一</w:t>
      </w:r>
      <w:bookmarkEnd w:id="566"/>
      <w:r>
        <w:rPr>
          <w:color w:val="000000"/>
          <w:spacing w:val="0"/>
          <w:w w:val="100"/>
          <w:position w:val="0"/>
          <w:sz w:val="24"/>
          <w:szCs w:val="24"/>
        </w:rPr>
        <w:t>、公司治理的基本状况</w:t>
      </w:r>
      <w:bookmarkEnd w:id="564"/>
      <w:bookmarkEnd w:id="565"/>
      <w:bookmarkEnd w:id="567"/>
      <w:bookmarkEnd w:id="563"/>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报告期内，公司严格按照《公司法》、《证券法》、《上市公司治理准则》、《上市公司信息披露管理办法》、《深 圳证券交易所创业板股票上市规则》、《深圳证券交易所创业板上市公司规范运作指引》等法律、法规和中国证监会有关法 律法规的要求，不断完善公司的法人治理结构，建立健全公司内部管理和控制制度，持续深入开展公司治理活动，促进公司 规范运作，提高公司治理水平。截至报告期末，公司治理的实际状况符合《上市公司治理准则》和《深圳证券交易所创业 板上市公司规范运作指引》等要求。</w:t>
      </w:r>
    </w:p>
    <w:p>
      <w:pPr>
        <w:pStyle w:val="Style27"/>
        <w:keepNext w:val="0"/>
        <w:keepLines w:val="0"/>
        <w:widowControl w:val="0"/>
        <w:shd w:val="clear" w:color="auto" w:fill="auto"/>
        <w:tabs>
          <w:tab w:pos="716" w:val="left"/>
        </w:tabs>
        <w:bidi w:val="0"/>
        <w:spacing w:before="0" w:after="0" w:line="313" w:lineRule="exact"/>
        <w:ind w:left="0" w:right="0" w:firstLine="440"/>
        <w:jc w:val="both"/>
      </w:pPr>
      <w:bookmarkStart w:id="568" w:name="bookmark568"/>
      <w:r>
        <w:rPr>
          <w:rFonts w:ascii="Times New Roman" w:eastAsia="Times New Roman" w:hAnsi="Times New Roman" w:cs="Times New Roman"/>
          <w:color w:val="000000"/>
          <w:spacing w:val="0"/>
          <w:w w:val="100"/>
          <w:position w:val="0"/>
          <w:sz w:val="18"/>
          <w:szCs w:val="18"/>
        </w:rPr>
        <w:t>1</w:t>
      </w:r>
      <w:bookmarkEnd w:id="568"/>
      <w:r>
        <w:rPr>
          <w:color w:val="000000"/>
          <w:spacing w:val="0"/>
          <w:w w:val="100"/>
          <w:position w:val="0"/>
        </w:rPr>
        <w:t>、</w:t>
        <w:tab/>
        <w:t>关于股东和股东大会</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报告期内，公司召开股东大会四次，其中召开年度股东大会一次。公司严格按照《上市公司股东大会规则》、《公司 章程》、《股东大会议事规则》等规定和要求，规范股东大会召集、召开、表决程序，切实保护中小股东的权益，会议记录 完整、会议决议及时完整披露。聘请律师列席股东大会并对股东大会的召开和表决程序出具法律意见书。公司召开的股东大 会不存在违反《上市公司股东大会规则》的情形，公司未发生单独或合并持有公司有表决权股份总数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 开临时股东大会的情形，也无应监事会提议召开的股东大会。按照《公司章程》规定应由股东大会审议的重大事项，本公司 均通过股东大会审议，不存在绕过股东大会的情况，也不存在先实施后审议的情况。公司平等对待所有股东，并采用网络投 票的方式为股东参加股东大会提供便利，确保全体股东特别是中小股东享有平等地位，充分尊重和维护全体股东的合法权益。</w:t>
      </w:r>
    </w:p>
    <w:p>
      <w:pPr>
        <w:pStyle w:val="Style27"/>
        <w:keepNext w:val="0"/>
        <w:keepLines w:val="0"/>
        <w:widowControl w:val="0"/>
        <w:shd w:val="clear" w:color="auto" w:fill="auto"/>
        <w:tabs>
          <w:tab w:pos="735" w:val="left"/>
        </w:tabs>
        <w:bidi w:val="0"/>
        <w:spacing w:before="0" w:after="0" w:line="313" w:lineRule="exact"/>
        <w:ind w:left="0" w:right="0" w:firstLine="440"/>
        <w:jc w:val="both"/>
      </w:pPr>
      <w:bookmarkStart w:id="569" w:name="bookmark569"/>
      <w:r>
        <w:rPr>
          <w:rFonts w:ascii="Times New Roman" w:eastAsia="Times New Roman" w:hAnsi="Times New Roman" w:cs="Times New Roman"/>
          <w:color w:val="000000"/>
          <w:spacing w:val="0"/>
          <w:w w:val="100"/>
          <w:position w:val="0"/>
          <w:sz w:val="18"/>
          <w:szCs w:val="18"/>
        </w:rPr>
        <w:t>2</w:t>
      </w:r>
      <w:bookmarkEnd w:id="569"/>
      <w:r>
        <w:rPr>
          <w:color w:val="000000"/>
          <w:spacing w:val="0"/>
          <w:w w:val="100"/>
          <w:position w:val="0"/>
        </w:rPr>
        <w:t>、</w:t>
        <w:tab/>
        <w:t>关于董事和董事会</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名，独立董事人数达到董事会人数的三分之一，且人员构成符合法律、法规和 《公司章程》的要求。公司董事能够依据《深圳证券交易所创业板上市公司规范运作指引》、《公司章程》、《董事会议事 规则》、《独立董事工作制度》等开展工作，出席董事会会议和股东大会会议，忠实、诚信、勤勉履行职责和义务。</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报告期内，董事会召开会议十次。董事会的召集和召开程序符合《公司法》、《公司章程》、《董事会议事规则》的 相关规定，会议记录完整，会议决议及时充分披露。董事会各成员都能勤勉尽责，认真履行《公司章程》赋予的职权，并积 极参加公司历次董事会，对公司董事会的科学决策、促进公司的良性发展起到了积极的作用。董事会下设的专门委员会，各 尽其责，提高了董事会的决策效率。</w:t>
      </w:r>
    </w:p>
    <w:p>
      <w:pPr>
        <w:pStyle w:val="Style27"/>
        <w:keepNext w:val="0"/>
        <w:keepLines w:val="0"/>
        <w:widowControl w:val="0"/>
        <w:shd w:val="clear" w:color="auto" w:fill="auto"/>
        <w:tabs>
          <w:tab w:pos="735" w:val="left"/>
        </w:tabs>
        <w:bidi w:val="0"/>
        <w:spacing w:before="0" w:after="0" w:line="313" w:lineRule="exact"/>
        <w:ind w:left="0" w:right="0" w:firstLine="440"/>
        <w:jc w:val="both"/>
      </w:pPr>
      <w:bookmarkStart w:id="570" w:name="bookmark570"/>
      <w:r>
        <w:rPr>
          <w:rFonts w:ascii="Times New Roman" w:eastAsia="Times New Roman" w:hAnsi="Times New Roman" w:cs="Times New Roman"/>
          <w:color w:val="000000"/>
          <w:spacing w:val="0"/>
          <w:w w:val="100"/>
          <w:position w:val="0"/>
          <w:sz w:val="18"/>
          <w:szCs w:val="18"/>
        </w:rPr>
        <w:t>3</w:t>
      </w:r>
      <w:bookmarkEnd w:id="570"/>
      <w:r>
        <w:rPr>
          <w:color w:val="000000"/>
          <w:spacing w:val="0"/>
          <w:w w:val="100"/>
          <w:position w:val="0"/>
        </w:rPr>
        <w:t>、</w:t>
        <w:tab/>
        <w:t>关于监事和监事会</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公司监事会设立监事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名，监事会的人数及人员构成符合法律、法规和《公司章程》的要求。 各位监事能够按照公司《监事会议事规则》的要求，认真履行自己的职责。</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报告期内，监事会召开会议七次。各位监事能够按照公司《监事会议事规则》的要求，认真履行职责，对公司重大事 项、关联交易、财务状况以及董事、高级管理人员履行职责的合法合规性进行监督，并发表专项核查意见。</w:t>
      </w:r>
    </w:p>
    <w:p>
      <w:pPr>
        <w:pStyle w:val="Style27"/>
        <w:keepNext w:val="0"/>
        <w:keepLines w:val="0"/>
        <w:widowControl w:val="0"/>
        <w:shd w:val="clear" w:color="auto" w:fill="auto"/>
        <w:tabs>
          <w:tab w:pos="735" w:val="left"/>
        </w:tabs>
        <w:bidi w:val="0"/>
        <w:spacing w:before="0" w:after="0" w:line="313" w:lineRule="exact"/>
        <w:ind w:left="0" w:right="0" w:firstLine="440"/>
        <w:jc w:val="both"/>
      </w:pPr>
      <w:bookmarkStart w:id="571" w:name="bookmark571"/>
      <w:r>
        <w:rPr>
          <w:rFonts w:ascii="Times New Roman" w:eastAsia="Times New Roman" w:hAnsi="Times New Roman" w:cs="Times New Roman"/>
          <w:color w:val="000000"/>
          <w:spacing w:val="0"/>
          <w:w w:val="100"/>
          <w:position w:val="0"/>
          <w:sz w:val="18"/>
          <w:szCs w:val="18"/>
        </w:rPr>
        <w:t>4</w:t>
      </w:r>
      <w:bookmarkEnd w:id="571"/>
      <w:r>
        <w:rPr>
          <w:color w:val="000000"/>
          <w:spacing w:val="0"/>
          <w:w w:val="100"/>
          <w:position w:val="0"/>
        </w:rPr>
        <w:t>、</w:t>
        <w:tab/>
        <w:t>关于公司与控股股东及实际控制人</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公司实际控制人为平潭国资局，控股股东为平潭创投。公司拥有独立的业务和经营自主能力，在业务、人员、资产、 机构、财务上独立于控股股东，公司董事会、监事会和内部机构独立运作。公司现控股股东及实际控制人均严格规范自己的 行为，没有超越公司股东大会直接或间接干预公司的决策和经营活动的行为。</w:t>
      </w:r>
    </w:p>
    <w:p>
      <w:pPr>
        <w:pStyle w:val="Style27"/>
        <w:keepNext w:val="0"/>
        <w:keepLines w:val="0"/>
        <w:widowControl w:val="0"/>
        <w:shd w:val="clear" w:color="auto" w:fill="auto"/>
        <w:tabs>
          <w:tab w:pos="735" w:val="left"/>
        </w:tabs>
        <w:bidi w:val="0"/>
        <w:spacing w:before="0" w:after="0" w:line="313" w:lineRule="exact"/>
        <w:ind w:left="0" w:right="0" w:firstLine="440"/>
        <w:jc w:val="both"/>
      </w:pPr>
      <w:bookmarkStart w:id="572" w:name="bookmark572"/>
      <w:r>
        <w:rPr>
          <w:rFonts w:ascii="Times New Roman" w:eastAsia="Times New Roman" w:hAnsi="Times New Roman" w:cs="Times New Roman"/>
          <w:color w:val="000000"/>
          <w:spacing w:val="0"/>
          <w:w w:val="100"/>
          <w:position w:val="0"/>
          <w:sz w:val="18"/>
          <w:szCs w:val="18"/>
        </w:rPr>
        <w:t>5</w:t>
      </w:r>
      <w:bookmarkEnd w:id="572"/>
      <w:r>
        <w:rPr>
          <w:color w:val="000000"/>
          <w:spacing w:val="0"/>
          <w:w w:val="100"/>
          <w:position w:val="0"/>
        </w:rPr>
        <w:t>、</w:t>
        <w:tab/>
        <w:t>关于信息披露与透明度</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公司严格按照有关法律法规以及《信息披露管理制度》、《投资者关系管理制度》的要求，真实、准确、及时、公平、 完整地披露有关信息。为规范公司的内幕信息管理，防范内幕信息知情人员滥用知情权，泄露内幕信息，进行内幕交易，损 害广大投资者的合法权益，根据《公司法》、《证券法》、《上市公司信息披露管理办法》、《深圳证券交易所创业板股票 上市规则》等有关法律、法规和《公司章程》、公司制定的《内幕信息知情人管理制度》等有关规定，在重要情况发生时, 公司第一时间建立内幕信息知情人档案登记。</w:t>
      </w:r>
    </w:p>
    <w:p>
      <w:pPr>
        <w:pStyle w:val="Style27"/>
        <w:keepNext w:val="0"/>
        <w:keepLines w:val="0"/>
        <w:widowControl w:val="0"/>
        <w:shd w:val="clear" w:color="auto" w:fill="auto"/>
        <w:bidi w:val="0"/>
        <w:spacing w:before="0" w:line="313" w:lineRule="exact"/>
        <w:ind w:left="0" w:right="0" w:firstLine="440"/>
        <w:jc w:val="both"/>
      </w:pPr>
      <w:r>
        <w:rPr>
          <w:color w:val="000000"/>
          <w:spacing w:val="0"/>
          <w:w w:val="100"/>
          <w:position w:val="0"/>
        </w:rPr>
        <w:t xml:space="preserve">公司指定董事会秘书全面负责信息披露工作，协调公司与投资者关系，接待股东来访，回答投资者咨询，向投资者提 供公司已披露的资料；以巨潮资讯网为信息披露网站，中国证券报、证券时报、证券日报和上海证券报作为公司定期报告披 </w:t>
      </w:r>
      <w:r>
        <w:rPr>
          <w:color w:val="000000"/>
          <w:spacing w:val="0"/>
          <w:w w:val="100"/>
          <w:position w:val="0"/>
        </w:rPr>
        <w:t>露提示性公告的指定报刊，使公司所有投资者能够平等获得公司信息；维护专线电话、专用邮箱、互动易平台等多种沟通渠 道，采取积极回复投资者咨询、接受投资者来访与调研的态度，持续重视和维护与投资者之间良好的互动关系。同时，公司 利用自有官方网站作为信息披露的补充手段,传播公司新闻和简讯，为关注公司的投资者提供多角度的信息获取通道。今后， 公司仍将不断尝试更加有效和充分的管理方式和方法，不断提高公司信息透明度，最大程度保障全体股东的合法权益。</w:t>
      </w:r>
    </w:p>
    <w:p>
      <w:pPr>
        <w:pStyle w:val="Style27"/>
        <w:keepNext w:val="0"/>
        <w:keepLines w:val="0"/>
        <w:widowControl w:val="0"/>
        <w:shd w:val="clear" w:color="auto" w:fill="auto"/>
        <w:tabs>
          <w:tab w:pos="789" w:val="left"/>
        </w:tabs>
        <w:bidi w:val="0"/>
        <w:spacing w:before="0" w:after="0" w:line="360" w:lineRule="auto"/>
        <w:ind w:left="0" w:right="0" w:firstLine="440"/>
        <w:jc w:val="left"/>
      </w:pPr>
      <w:bookmarkStart w:id="573" w:name="bookmark573"/>
      <w:r>
        <w:rPr>
          <w:rFonts w:ascii="Times New Roman" w:eastAsia="Times New Roman" w:hAnsi="Times New Roman" w:cs="Times New Roman"/>
          <w:color w:val="000000"/>
          <w:spacing w:val="0"/>
          <w:w w:val="100"/>
          <w:position w:val="0"/>
          <w:sz w:val="18"/>
          <w:szCs w:val="18"/>
        </w:rPr>
        <w:t>6</w:t>
      </w:r>
      <w:bookmarkEnd w:id="573"/>
      <w:r>
        <w:rPr>
          <w:color w:val="000000"/>
          <w:spacing w:val="0"/>
          <w:w w:val="100"/>
          <w:position w:val="0"/>
        </w:rPr>
        <w:t>、</w:t>
        <w:tab/>
        <w:t>关于绩效评价和激励约束</w:t>
      </w:r>
    </w:p>
    <w:p>
      <w:pPr>
        <w:pStyle w:val="Style27"/>
        <w:keepNext w:val="0"/>
        <w:keepLines w:val="0"/>
        <w:widowControl w:val="0"/>
        <w:shd w:val="clear" w:color="auto" w:fill="auto"/>
        <w:bidi w:val="0"/>
        <w:spacing w:before="0" w:line="312" w:lineRule="exact"/>
        <w:ind w:left="0" w:right="0" w:firstLine="440"/>
        <w:jc w:val="both"/>
      </w:pPr>
      <w:r>
        <w:rPr>
          <w:color w:val="000000"/>
          <w:spacing w:val="0"/>
          <w:w w:val="100"/>
          <w:position w:val="0"/>
        </w:rPr>
        <w:t>公司制定董事、监事、高级管理人员津贴、薪酬管理制度，正逐步建立和完善公正、透明的董事、监事和高级管理人 员的绩效评价标准。高级管理人员的聘任公开、透明，符合法律、法规的规定。</w:t>
      </w:r>
    </w:p>
    <w:p>
      <w:pPr>
        <w:pStyle w:val="Style27"/>
        <w:keepNext w:val="0"/>
        <w:keepLines w:val="0"/>
        <w:widowControl w:val="0"/>
        <w:shd w:val="clear" w:color="auto" w:fill="auto"/>
        <w:tabs>
          <w:tab w:pos="789" w:val="left"/>
        </w:tabs>
        <w:bidi w:val="0"/>
        <w:spacing w:before="0" w:after="0" w:line="360" w:lineRule="auto"/>
        <w:ind w:left="0" w:right="0" w:firstLine="440"/>
        <w:jc w:val="left"/>
      </w:pPr>
      <w:bookmarkStart w:id="574" w:name="bookmark574"/>
      <w:r>
        <w:rPr>
          <w:rFonts w:ascii="Times New Roman" w:eastAsia="Times New Roman" w:hAnsi="Times New Roman" w:cs="Times New Roman"/>
          <w:color w:val="000000"/>
          <w:spacing w:val="0"/>
          <w:w w:val="100"/>
          <w:position w:val="0"/>
          <w:sz w:val="18"/>
          <w:szCs w:val="18"/>
        </w:rPr>
        <w:t>7</w:t>
      </w:r>
      <w:bookmarkEnd w:id="574"/>
      <w:r>
        <w:rPr>
          <w:color w:val="000000"/>
          <w:spacing w:val="0"/>
          <w:w w:val="100"/>
          <w:position w:val="0"/>
        </w:rPr>
        <w:t>、</w:t>
        <w:tab/>
        <w:t>关于相关利益者</w:t>
      </w:r>
    </w:p>
    <w:p>
      <w:pPr>
        <w:pStyle w:val="Style27"/>
        <w:keepNext w:val="0"/>
        <w:keepLines w:val="0"/>
        <w:widowControl w:val="0"/>
        <w:shd w:val="clear" w:color="auto" w:fill="auto"/>
        <w:bidi w:val="0"/>
        <w:spacing w:before="0" w:line="312" w:lineRule="exact"/>
        <w:ind w:left="0" w:right="0" w:firstLine="440"/>
        <w:jc w:val="both"/>
      </w:pPr>
      <w:r>
        <w:rPr>
          <w:color w:val="000000"/>
          <w:spacing w:val="0"/>
          <w:w w:val="100"/>
          <w:position w:val="0"/>
        </w:rPr>
        <w:t>公司充分尊重和维护相关利益者的合法权益，实现投资者、客户、供应商、员工及社会等各方利益的协调平衡，共同 推动公司持续、健康发展。</w:t>
      </w:r>
    </w:p>
    <w:p>
      <w:pPr>
        <w:pStyle w:val="Style27"/>
        <w:keepNext w:val="0"/>
        <w:keepLines w:val="0"/>
        <w:widowControl w:val="0"/>
        <w:shd w:val="clear" w:color="auto" w:fill="auto"/>
        <w:tabs>
          <w:tab w:pos="789" w:val="left"/>
        </w:tabs>
        <w:bidi w:val="0"/>
        <w:spacing w:before="0" w:after="0" w:line="360" w:lineRule="auto"/>
        <w:ind w:left="0" w:right="0" w:firstLine="440"/>
        <w:jc w:val="left"/>
      </w:pPr>
      <w:bookmarkStart w:id="575" w:name="bookmark575"/>
      <w:r>
        <w:rPr>
          <w:rFonts w:ascii="Times New Roman" w:eastAsia="Times New Roman" w:hAnsi="Times New Roman" w:cs="Times New Roman"/>
          <w:color w:val="000000"/>
          <w:spacing w:val="0"/>
          <w:w w:val="100"/>
          <w:position w:val="0"/>
          <w:sz w:val="18"/>
          <w:szCs w:val="18"/>
        </w:rPr>
        <w:t>8</w:t>
      </w:r>
      <w:bookmarkEnd w:id="575"/>
      <w:r>
        <w:rPr>
          <w:color w:val="000000"/>
          <w:spacing w:val="0"/>
          <w:w w:val="100"/>
          <w:position w:val="0"/>
        </w:rPr>
        <w:t>、</w:t>
        <w:tab/>
        <w:t>关于内部审计</w:t>
      </w:r>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公司董事会下设审计委员会，主要负责公司内部审计与外部审计之间进行沟通，并监督公司内部审计制度的实施，审 查公司内部控制制度的执行情况，审查公司的财务信息等。审计委员会下设独立的审计部，审计部对公司的内部控制、项目 运行及财务状况等进行审计和监督，对审计委员会负责及报告工作。加强了公司内部监督和风险控制，保障公司财务管理、 会计核算等符合国家各项法律法规要求。</w:t>
      </w:r>
    </w:p>
    <w:p>
      <w:pPr>
        <w:pStyle w:val="Style27"/>
        <w:keepNext w:val="0"/>
        <w:keepLines w:val="0"/>
        <w:widowControl w:val="0"/>
        <w:shd w:val="clear" w:color="auto" w:fill="auto"/>
        <w:bidi w:val="0"/>
        <w:spacing w:before="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w:t>
        <w:tab/>
        <w:t>公司相对于控股股东在业务、人员、资产、机构、财务等方面的独立情况</w:t>
      </w:r>
      <w:bookmarkEnd w:id="576"/>
      <w:bookmarkEnd w:id="577"/>
      <w:bookmarkEnd w:id="579"/>
    </w:p>
    <w:p>
      <w:pPr>
        <w:pStyle w:val="Style27"/>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公司与控股股东相互独立，具有独立完整的业务及自主经营能力。</w:t>
      </w:r>
    </w:p>
    <w:p>
      <w:pPr>
        <w:pStyle w:val="Style27"/>
        <w:keepNext w:val="0"/>
        <w:keepLines w:val="0"/>
        <w:widowControl w:val="0"/>
        <w:shd w:val="clear" w:color="auto" w:fill="auto"/>
        <w:tabs>
          <w:tab w:pos="766" w:val="left"/>
        </w:tabs>
        <w:bidi w:val="0"/>
        <w:spacing w:before="0" w:after="0" w:line="318" w:lineRule="exact"/>
        <w:ind w:left="0" w:right="0" w:firstLine="440"/>
        <w:jc w:val="both"/>
      </w:pPr>
      <w:bookmarkStart w:id="580" w:name="bookmark580"/>
      <w:r>
        <w:rPr>
          <w:rFonts w:ascii="Times New Roman" w:eastAsia="Times New Roman" w:hAnsi="Times New Roman" w:cs="Times New Roman"/>
          <w:color w:val="000000"/>
          <w:spacing w:val="0"/>
          <w:w w:val="100"/>
          <w:position w:val="0"/>
          <w:sz w:val="18"/>
          <w:szCs w:val="18"/>
        </w:rPr>
        <w:t>1</w:t>
      </w:r>
      <w:bookmarkEnd w:id="580"/>
      <w:r>
        <w:rPr>
          <w:color w:val="000000"/>
          <w:spacing w:val="0"/>
          <w:w w:val="100"/>
          <w:position w:val="0"/>
        </w:rPr>
        <w:t>、</w:t>
        <w:tab/>
        <w:t>业务方面：公司业务独立于控股股东及其下属单位，拥有独立完整的供应、生产和销售系统，独立开展业务，不依 赖于股东或其它任何关联方。</w:t>
      </w:r>
    </w:p>
    <w:p>
      <w:pPr>
        <w:pStyle w:val="Style27"/>
        <w:keepNext w:val="0"/>
        <w:keepLines w:val="0"/>
        <w:widowControl w:val="0"/>
        <w:shd w:val="clear" w:color="auto" w:fill="auto"/>
        <w:tabs>
          <w:tab w:pos="766" w:val="left"/>
        </w:tabs>
        <w:bidi w:val="0"/>
        <w:spacing w:before="0" w:after="0" w:line="318" w:lineRule="exact"/>
        <w:ind w:left="0" w:right="0" w:firstLine="440"/>
        <w:jc w:val="both"/>
      </w:pPr>
      <w:bookmarkStart w:id="581" w:name="bookmark581"/>
      <w:r>
        <w:rPr>
          <w:rFonts w:ascii="Times New Roman" w:eastAsia="Times New Roman" w:hAnsi="Times New Roman" w:cs="Times New Roman"/>
          <w:color w:val="000000"/>
          <w:spacing w:val="0"/>
          <w:w w:val="100"/>
          <w:position w:val="0"/>
          <w:sz w:val="18"/>
          <w:szCs w:val="18"/>
        </w:rPr>
        <w:t>2</w:t>
      </w:r>
      <w:bookmarkEnd w:id="581"/>
      <w:r>
        <w:rPr>
          <w:color w:val="000000"/>
          <w:spacing w:val="0"/>
          <w:w w:val="100"/>
          <w:position w:val="0"/>
        </w:rPr>
        <w:t>、</w:t>
        <w:tab/>
        <w:t>人员方面：公司董事、监事和高级管理人员均按照《公司法》、《公司章程》的有关规定产生，公司在劳动、人事、 薪酬管理等方面均完全独立。</w:t>
      </w:r>
    </w:p>
    <w:p>
      <w:pPr>
        <w:pStyle w:val="Style27"/>
        <w:keepNext w:val="0"/>
        <w:keepLines w:val="0"/>
        <w:widowControl w:val="0"/>
        <w:shd w:val="clear" w:color="auto" w:fill="auto"/>
        <w:tabs>
          <w:tab w:pos="776" w:val="left"/>
        </w:tabs>
        <w:bidi w:val="0"/>
        <w:spacing w:before="0" w:line="318" w:lineRule="exact"/>
        <w:ind w:left="0" w:right="0" w:firstLine="440"/>
        <w:jc w:val="both"/>
      </w:pPr>
      <w:bookmarkStart w:id="582" w:name="bookmark582"/>
      <w:r>
        <w:rPr>
          <w:rFonts w:ascii="Times New Roman" w:eastAsia="Times New Roman" w:hAnsi="Times New Roman" w:cs="Times New Roman"/>
          <w:color w:val="000000"/>
          <w:spacing w:val="0"/>
          <w:w w:val="100"/>
          <w:position w:val="0"/>
          <w:sz w:val="18"/>
          <w:szCs w:val="18"/>
        </w:rPr>
        <w:t>3</w:t>
      </w:r>
      <w:bookmarkEnd w:id="582"/>
      <w:r>
        <w:rPr>
          <w:color w:val="000000"/>
          <w:spacing w:val="0"/>
          <w:w w:val="100"/>
          <w:position w:val="0"/>
        </w:rPr>
        <w:t>、</w:t>
        <w:tab/>
        <w:t>资产方面：公司拥有独立于控股股东的经营场所，拥有独立完整的资产结构，房屋所有权等资产，拥有独立的采购 和销售系统。</w:t>
      </w:r>
    </w:p>
    <w:p>
      <w:pPr>
        <w:pStyle w:val="Style27"/>
        <w:keepNext w:val="0"/>
        <w:keepLines w:val="0"/>
        <w:widowControl w:val="0"/>
        <w:shd w:val="clear" w:color="auto" w:fill="auto"/>
        <w:tabs>
          <w:tab w:pos="794" w:val="left"/>
        </w:tabs>
        <w:bidi w:val="0"/>
        <w:spacing w:before="0" w:after="0" w:line="360" w:lineRule="auto"/>
        <w:ind w:left="0" w:right="0" w:firstLine="440"/>
        <w:jc w:val="left"/>
      </w:pPr>
      <w:bookmarkStart w:id="583" w:name="bookmark583"/>
      <w:r>
        <w:rPr>
          <w:rFonts w:ascii="Times New Roman" w:eastAsia="Times New Roman" w:hAnsi="Times New Roman" w:cs="Times New Roman"/>
          <w:color w:val="000000"/>
          <w:spacing w:val="0"/>
          <w:w w:val="100"/>
          <w:position w:val="0"/>
          <w:sz w:val="18"/>
          <w:szCs w:val="18"/>
        </w:rPr>
        <w:t>4</w:t>
      </w:r>
      <w:bookmarkEnd w:id="583"/>
      <w:r>
        <w:rPr>
          <w:color w:val="000000"/>
          <w:spacing w:val="0"/>
          <w:w w:val="100"/>
          <w:position w:val="0"/>
        </w:rPr>
        <w:t>、</w:t>
        <w:tab/>
        <w:t>机构方面：公司设立了健全的组织机构体系，独立运作，不存在与控股股东或其职能部门之间的从属关系。</w:t>
      </w:r>
    </w:p>
    <w:p>
      <w:pPr>
        <w:pStyle w:val="Style27"/>
        <w:keepNext w:val="0"/>
        <w:keepLines w:val="0"/>
        <w:widowControl w:val="0"/>
        <w:shd w:val="clear" w:color="auto" w:fill="auto"/>
        <w:tabs>
          <w:tab w:pos="776" w:val="left"/>
        </w:tabs>
        <w:bidi w:val="0"/>
        <w:spacing w:before="0" w:after="360" w:line="318" w:lineRule="exact"/>
        <w:ind w:left="0" w:right="0" w:firstLine="440"/>
        <w:jc w:val="both"/>
      </w:pPr>
      <w:bookmarkStart w:id="584" w:name="bookmark584"/>
      <w:r>
        <w:rPr>
          <w:rFonts w:ascii="Times New Roman" w:eastAsia="Times New Roman" w:hAnsi="Times New Roman" w:cs="Times New Roman"/>
          <w:color w:val="000000"/>
          <w:spacing w:val="0"/>
          <w:w w:val="100"/>
          <w:position w:val="0"/>
          <w:sz w:val="18"/>
          <w:szCs w:val="18"/>
        </w:rPr>
        <w:t>5</w:t>
      </w:r>
      <w:bookmarkEnd w:id="584"/>
      <w:r>
        <w:rPr>
          <w:color w:val="000000"/>
          <w:spacing w:val="0"/>
          <w:w w:val="100"/>
          <w:position w:val="0"/>
        </w:rPr>
        <w:t>、</w:t>
        <w:tab/>
        <w:t>财务方面：公司有独立的财务会计部门，建立了独立的会计核算体系和财务管理制度，独立进行财务决策。公司独 立开设银行账户，独立纳税。</w:t>
      </w:r>
    </w:p>
    <w:p>
      <w:pPr>
        <w:pStyle w:val="Style25"/>
        <w:keepNext/>
        <w:keepLines/>
        <w:widowControl w:val="0"/>
        <w:shd w:val="clear" w:color="auto" w:fill="auto"/>
        <w:tabs>
          <w:tab w:pos="517" w:val="left"/>
        </w:tabs>
        <w:bidi w:val="0"/>
        <w:spacing w:before="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三</w:t>
      </w:r>
      <w:bookmarkEnd w:id="587"/>
      <w:r>
        <w:rPr>
          <w:color w:val="000000"/>
          <w:spacing w:val="0"/>
          <w:w w:val="100"/>
          <w:position w:val="0"/>
          <w:sz w:val="24"/>
          <w:szCs w:val="24"/>
        </w:rPr>
        <w:t>、</w:t>
        <w:tab/>
        <w:t>同业竞争情况</w:t>
      </w:r>
      <w:bookmarkEnd w:id="585"/>
      <w:bookmarkEnd w:id="586"/>
      <w:bookmarkEnd w:id="588"/>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四</w:t>
      </w:r>
      <w:bookmarkEnd w:id="591"/>
      <w:r>
        <w:rPr>
          <w:color w:val="000000"/>
          <w:spacing w:val="0"/>
          <w:w w:val="100"/>
          <w:position w:val="0"/>
          <w:sz w:val="24"/>
          <w:szCs w:val="24"/>
        </w:rPr>
        <w:t>、</w:t>
        <w:tab/>
        <w:t>报告期内召开的年度股东大会和临时股东大会的有关情况</w:t>
      </w:r>
      <w:bookmarkEnd w:id="589"/>
      <w:bookmarkEnd w:id="590"/>
      <w:bookmarkEnd w:id="592"/>
    </w:p>
    <w:p>
      <w:pPr>
        <w:pStyle w:val="Style31"/>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、本报告期股东大会情况</w:t>
      </w:r>
      <w:bookmarkEnd w:id="593"/>
      <w:bookmarkEnd w:id="594"/>
      <w:bookmarkEnd w:id="596"/>
    </w:p>
    <w:tbl>
      <w:tblPr>
        <w:tblOverlap w:val="never"/>
        <w:jc w:val="center"/>
        <w:tblLayout w:type="fixed"/>
      </w:tblPr>
      <w:tblGrid>
        <w:gridCol w:w="1603"/>
        <w:gridCol w:w="1238"/>
        <w:gridCol w:w="1133"/>
        <w:gridCol w:w="1565"/>
        <w:gridCol w:w="1555"/>
        <w:gridCol w:w="248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详见披露于巨潮资讯网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2020</w:t>
            </w:r>
          </w:p>
        </w:tc>
      </w:tr>
    </w:tbl>
    <w:p>
      <w:pPr>
        <w:spacing w:lineRule="exact" w:line="1"/>
        <w:rPr>
          <w:sz w:val="2"/>
          <w:szCs w:val="2"/>
        </w:rPr>
      </w:pPr>
      <w:r>
        <w:br w:type="page"/>
      </w:r>
    </w:p>
    <w:tbl>
      <w:tblPr>
        <w:tblOverlap w:val="never"/>
        <w:jc w:val="center"/>
        <w:tblLayout w:type="fixed"/>
      </w:tblPr>
      <w:tblGrid>
        <w:gridCol w:w="1603"/>
        <w:gridCol w:w="1238"/>
        <w:gridCol w:w="1133"/>
        <w:gridCol w:w="1560"/>
        <w:gridCol w:w="1560"/>
        <w:gridCol w:w="2486"/>
      </w:tblGrid>
      <w:tr>
        <w:trPr>
          <w:trHeight w:val="67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年第一次临时股东大会决议公 告》（公告编号：</w:t>
            </w:r>
            <w:r>
              <w:rPr>
                <w:rFonts w:ascii="Times New Roman" w:eastAsia="Times New Roman" w:hAnsi="Times New Roman" w:cs="Times New Roman"/>
                <w:color w:val="000000"/>
                <w:spacing w:val="0"/>
                <w:w w:val="100"/>
                <w:position w:val="0"/>
                <w:sz w:val="18"/>
                <w:szCs w:val="18"/>
              </w:rPr>
              <w:t>2020-034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详见披露于巨潮资讯网</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2 019 </w:t>
            </w:r>
            <w:r>
              <w:rPr>
                <w:color w:val="000000"/>
                <w:spacing w:val="0"/>
                <w:w w:val="100"/>
                <w:position w:val="0"/>
              </w:rPr>
              <w:t>年度股东大会决议公告》（公告 编号：</w:t>
            </w:r>
            <w:r>
              <w:rPr>
                <w:rFonts w:ascii="Times New Roman" w:eastAsia="Times New Roman" w:hAnsi="Times New Roman" w:cs="Times New Roman"/>
                <w:color w:val="000000"/>
                <w:spacing w:val="0"/>
                <w:w w:val="100"/>
                <w:position w:val="0"/>
                <w:sz w:val="18"/>
                <w:szCs w:val="18"/>
              </w:rPr>
              <w:t>2020-060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详见披露于巨潮资讯网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年第二次临时股东大会决议公 告》（公告编号：</w:t>
            </w:r>
            <w:r>
              <w:rPr>
                <w:rFonts w:ascii="Times New Roman" w:eastAsia="Times New Roman" w:hAnsi="Times New Roman" w:cs="Times New Roman"/>
                <w:color w:val="000000"/>
                <w:spacing w:val="0"/>
                <w:w w:val="100"/>
                <w:position w:val="0"/>
                <w:sz w:val="18"/>
                <w:szCs w:val="18"/>
              </w:rPr>
              <w:t>2020-098</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详见披露于巨潮资讯网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年第三次临时股东大会决议公 告》（公告编号：</w:t>
            </w:r>
            <w:r>
              <w:rPr>
                <w:rFonts w:ascii="Times New Roman" w:eastAsia="Times New Roman" w:hAnsi="Times New Roman" w:cs="Times New Roman"/>
                <w:color w:val="000000"/>
                <w:spacing w:val="0"/>
                <w:w w:val="100"/>
                <w:position w:val="0"/>
                <w:sz w:val="18"/>
                <w:szCs w:val="18"/>
              </w:rPr>
              <w:t>2020-125</w:t>
            </w: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、表决权恢复的优先股股东请求召开临时股东大会</w:t>
      </w:r>
      <w:bookmarkEnd w:id="597"/>
      <w:bookmarkEnd w:id="598"/>
      <w:bookmarkEnd w:id="600"/>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both"/>
      </w:pPr>
      <w:bookmarkStart w:id="601" w:name="bookmark601"/>
      <w:bookmarkStart w:id="602" w:name="bookmark602"/>
      <w:bookmarkStart w:id="603" w:name="bookmark603"/>
      <w:bookmarkStart w:id="604" w:name="bookmark604"/>
      <w:r>
        <w:rPr>
          <w:color w:val="000000"/>
          <w:spacing w:val="0"/>
          <w:w w:val="100"/>
          <w:position w:val="0"/>
          <w:sz w:val="24"/>
          <w:szCs w:val="24"/>
        </w:rPr>
        <w:t>五</w:t>
      </w:r>
      <w:bookmarkEnd w:id="603"/>
      <w:r>
        <w:rPr>
          <w:color w:val="000000"/>
          <w:spacing w:val="0"/>
          <w:w w:val="100"/>
          <w:position w:val="0"/>
          <w:sz w:val="24"/>
          <w:szCs w:val="24"/>
        </w:rPr>
        <w:t>、报告期内独立董事履行职责的情况</w:t>
      </w:r>
      <w:bookmarkEnd w:id="601"/>
      <w:bookmarkEnd w:id="602"/>
      <w:bookmarkEnd w:id="604"/>
    </w:p>
    <w:p>
      <w:pPr>
        <w:pStyle w:val="Style31"/>
        <w:keepNext/>
        <w:keepLines/>
        <w:widowControl w:val="0"/>
        <w:shd w:val="clear" w:color="auto" w:fill="auto"/>
        <w:bidi w:val="0"/>
        <w:spacing w:before="0" w:after="34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、独立董事出席董事会及股东大会的情况</w:t>
      </w:r>
      <w:bookmarkEnd w:id="605"/>
      <w:bookmarkEnd w:id="606"/>
      <w:bookmarkEnd w:id="608"/>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连续两次未亲自出席董事会的说明</w:t>
      </w:r>
    </w:p>
    <w:p>
      <w:pPr>
        <w:pStyle w:val="Style31"/>
        <w:keepNext/>
        <w:keepLines/>
        <w:widowControl w:val="0"/>
        <w:shd w:val="clear" w:color="auto" w:fill="auto"/>
        <w:bidi w:val="0"/>
        <w:spacing w:before="0" w:after="40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、独立董事对公司有关事项提出异议的情况</w:t>
      </w:r>
      <w:bookmarkEnd w:id="609"/>
      <w:bookmarkEnd w:id="610"/>
      <w:bookmarkEnd w:id="612"/>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26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、独立董事履行职责的其他说明</w:t>
      </w:r>
      <w:bookmarkEnd w:id="613"/>
      <w:bookmarkEnd w:id="614"/>
      <w:bookmarkEnd w:id="616"/>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报告期内，公司独立董事勤勉尽责，严格按照中国证监会的相关规定及《公司章程》、《董事会议事规则》和《独立 董事制度》开展工作，认真履行了独立董事的职责，利用各自的专业优势，对公司内部控制建设、管理体系建设和重大决策 等方面提出了很多宝贵的专业性建议，对公司财务及经营活动进行了有效监督，提高了公司决策的科学性，为完善公司监督 机制，维护公司和全体股东的合法权益发挥了积极的作用。</w:t>
      </w:r>
    </w:p>
    <w:p>
      <w:pPr>
        <w:pStyle w:val="Style27"/>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独立董事对公司重大事项根据《深圳证券交易所创业板股票上市交易规则》、《深圳证券交易所创业板上市公司规范 运作指引》等相关规定发表了事前认可或独立意见，对此意见，公司均予以采纳。</w:t>
      </w:r>
    </w:p>
    <w:p>
      <w:pPr>
        <w:pStyle w:val="Style25"/>
        <w:keepNext/>
        <w:keepLines/>
        <w:widowControl w:val="0"/>
        <w:shd w:val="clear" w:color="auto" w:fill="auto"/>
        <w:tabs>
          <w:tab w:pos="514"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六</w:t>
      </w:r>
      <w:bookmarkEnd w:id="619"/>
      <w:r>
        <w:rPr>
          <w:color w:val="000000"/>
          <w:spacing w:val="0"/>
          <w:w w:val="100"/>
          <w:position w:val="0"/>
          <w:sz w:val="24"/>
          <w:szCs w:val="24"/>
        </w:rPr>
        <w:t>、</w:t>
        <w:tab/>
        <w:t>董事会下设专门委员会在报告期内履行职责情况</w:t>
      </w:r>
      <w:bookmarkEnd w:id="617"/>
      <w:bookmarkEnd w:id="618"/>
      <w:bookmarkEnd w:id="620"/>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公司董事会设立了战略与投资委员会、审计委员会和提名、薪酬和考核委员会，并制定了专门委员会工作细则。各专 门委员会的人员组成符合《上市公司治理准则》、《深圳证券交易所创业板上市公司规范运作指引》、《公司章程》以及各 专门委员会工作细则的相关规定。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年度，各专门委员会本着勤勉尽责的原则，按照有关法律、法规、规范性文件及公司 各专门委员会工作细则的规定开展相关工作。</w:t>
      </w:r>
    </w:p>
    <w:p>
      <w:pPr>
        <w:pStyle w:val="Style27"/>
        <w:keepNext w:val="0"/>
        <w:keepLines w:val="0"/>
        <w:widowControl w:val="0"/>
        <w:shd w:val="clear" w:color="auto" w:fill="auto"/>
        <w:tabs>
          <w:tab w:pos="772" w:val="left"/>
        </w:tabs>
        <w:bidi w:val="0"/>
        <w:spacing w:before="0" w:after="0"/>
        <w:ind w:left="0" w:right="0" w:firstLine="440"/>
        <w:jc w:val="both"/>
      </w:pPr>
      <w:bookmarkStart w:id="621" w:name="bookmark621"/>
      <w:r>
        <w:rPr>
          <w:rFonts w:ascii="Times New Roman" w:eastAsia="Times New Roman" w:hAnsi="Times New Roman" w:cs="Times New Roman"/>
          <w:color w:val="000000"/>
          <w:spacing w:val="0"/>
          <w:w w:val="100"/>
          <w:position w:val="0"/>
          <w:sz w:val="18"/>
          <w:szCs w:val="18"/>
        </w:rPr>
        <w:t>1</w:t>
      </w:r>
      <w:bookmarkEnd w:id="621"/>
      <w:r>
        <w:rPr>
          <w:color w:val="000000"/>
          <w:spacing w:val="0"/>
          <w:w w:val="100"/>
          <w:position w:val="0"/>
        </w:rPr>
        <w:t>、</w:t>
        <w:tab/>
        <w:t>战略与投资委员会履职情况</w:t>
      </w:r>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在报告期内，公司战略委员会依照相关法规及《公司章程》及《董事会战略委员会工作细则》的规定，报告期内对公 司战略执行情况进行回顾总结，并对公司的发展战略提出了合理的建议。</w:t>
      </w:r>
    </w:p>
    <w:p>
      <w:pPr>
        <w:pStyle w:val="Style27"/>
        <w:keepNext w:val="0"/>
        <w:keepLines w:val="0"/>
        <w:widowControl w:val="0"/>
        <w:shd w:val="clear" w:color="auto" w:fill="auto"/>
        <w:tabs>
          <w:tab w:pos="791" w:val="left"/>
        </w:tabs>
        <w:bidi w:val="0"/>
        <w:spacing w:before="0" w:after="0"/>
        <w:ind w:left="0" w:right="0" w:firstLine="440"/>
        <w:jc w:val="both"/>
      </w:pPr>
      <w:bookmarkStart w:id="622" w:name="bookmark622"/>
      <w:r>
        <w:rPr>
          <w:rFonts w:ascii="Times New Roman" w:eastAsia="Times New Roman" w:hAnsi="Times New Roman" w:cs="Times New Roman"/>
          <w:color w:val="000000"/>
          <w:spacing w:val="0"/>
          <w:w w:val="100"/>
          <w:position w:val="0"/>
          <w:sz w:val="18"/>
          <w:szCs w:val="18"/>
        </w:rPr>
        <w:t>2</w:t>
      </w:r>
      <w:bookmarkEnd w:id="622"/>
      <w:r>
        <w:rPr>
          <w:color w:val="000000"/>
          <w:spacing w:val="0"/>
          <w:w w:val="100"/>
          <w:position w:val="0"/>
        </w:rPr>
        <w:t>、</w:t>
        <w:tab/>
        <w:t>审计委员会履职情况</w:t>
      </w:r>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审计委员会根据《公司法》、《证券法》、《上市公司治理准则》、《审计委员会工作细则》及《内部审计制度》等 有关规定，积极履行职责。报告期内，审计委员会审查了公司内部控制制度及执行情况，审核了公司所有重要的会计政策， 定期了解公司财务状况和经营情况，督促和指导内审部门对公司财务管理运行情况进行定期和不定期的检查和评估，委员会 认为公司内控制度体系符合法律、法规及《公司章程》的要求，适应当前公司经营实际情况的需要，并能够得到有效的执行。</w:t>
      </w:r>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报告期内，公司共召开了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次董事会审计委员会，分别审议了年度财务报表、审计工作总结、工作计划、变更会计政策、 聘任审计机构等事项，各委员均对各项议案提出合理建议及改进意见。</w:t>
      </w:r>
    </w:p>
    <w:p>
      <w:pPr>
        <w:pStyle w:val="Style27"/>
        <w:keepNext w:val="0"/>
        <w:keepLines w:val="0"/>
        <w:widowControl w:val="0"/>
        <w:shd w:val="clear" w:color="auto" w:fill="auto"/>
        <w:tabs>
          <w:tab w:pos="791" w:val="left"/>
        </w:tabs>
        <w:bidi w:val="0"/>
        <w:spacing w:before="0" w:after="0"/>
        <w:ind w:left="0" w:right="0" w:firstLine="440"/>
        <w:jc w:val="both"/>
      </w:pPr>
      <w:bookmarkStart w:id="623" w:name="bookmark623"/>
      <w:r>
        <w:rPr>
          <w:rFonts w:ascii="Times New Roman" w:eastAsia="Times New Roman" w:hAnsi="Times New Roman" w:cs="Times New Roman"/>
          <w:color w:val="000000"/>
          <w:spacing w:val="0"/>
          <w:w w:val="100"/>
          <w:position w:val="0"/>
          <w:sz w:val="18"/>
          <w:szCs w:val="18"/>
        </w:rPr>
        <w:t>3</w:t>
      </w:r>
      <w:bookmarkEnd w:id="623"/>
      <w:r>
        <w:rPr>
          <w:color w:val="000000"/>
          <w:spacing w:val="0"/>
          <w:w w:val="100"/>
          <w:position w:val="0"/>
        </w:rPr>
        <w:t>、</w:t>
        <w:tab/>
        <w:t>提名、薪酬和考核委员会履职情况</w:t>
      </w:r>
    </w:p>
    <w:p>
      <w:pPr>
        <w:pStyle w:val="Style27"/>
        <w:keepNext w:val="0"/>
        <w:keepLines w:val="0"/>
        <w:widowControl w:val="0"/>
        <w:shd w:val="clear" w:color="auto" w:fill="auto"/>
        <w:bidi w:val="0"/>
        <w:spacing w:before="0" w:after="360" w:line="302" w:lineRule="exact"/>
        <w:ind w:left="0" w:right="0" w:firstLine="300"/>
        <w:jc w:val="both"/>
      </w:pPr>
      <w:r>
        <w:rPr>
          <w:color w:val="000000"/>
          <w:spacing w:val="0"/>
          <w:w w:val="100"/>
          <w:position w:val="0"/>
        </w:rPr>
        <w:t>报告期内，提名、薪酬和考核委员会认真学习相关制度规定，根据公司的实际情况履行提名委员会的职责和义务。期间， 公司共召开了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次提名、薪酬和考核委员会，委员会审核并同意了相关董事候选人、高级管理人员聘任及变更的议案。</w:t>
      </w:r>
    </w:p>
    <w:p>
      <w:pPr>
        <w:pStyle w:val="Style25"/>
        <w:keepNext/>
        <w:keepLines/>
        <w:widowControl w:val="0"/>
        <w:shd w:val="clear" w:color="auto" w:fill="auto"/>
        <w:tabs>
          <w:tab w:pos="519" w:val="left"/>
        </w:tabs>
        <w:bidi w:val="0"/>
        <w:spacing w:before="0" w:after="2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七</w:t>
      </w:r>
      <w:bookmarkEnd w:id="626"/>
      <w:r>
        <w:rPr>
          <w:color w:val="000000"/>
          <w:spacing w:val="0"/>
          <w:w w:val="100"/>
          <w:position w:val="0"/>
          <w:sz w:val="24"/>
          <w:szCs w:val="24"/>
        </w:rPr>
        <w:t>、</w:t>
        <w:tab/>
        <w:t>监事会工作情况</w:t>
      </w:r>
      <w:bookmarkEnd w:id="624"/>
      <w:bookmarkEnd w:id="625"/>
      <w:bookmarkEnd w:id="627"/>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5"/>
        <w:keepNext/>
        <w:keepLines/>
        <w:widowControl w:val="0"/>
        <w:shd w:val="clear" w:color="auto" w:fill="auto"/>
        <w:tabs>
          <w:tab w:pos="519" w:val="left"/>
        </w:tabs>
        <w:bidi w:val="0"/>
        <w:spacing w:before="0" w:after="2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八</w:t>
      </w:r>
      <w:bookmarkEnd w:id="630"/>
      <w:r>
        <w:rPr>
          <w:color w:val="000000"/>
          <w:spacing w:val="0"/>
          <w:w w:val="100"/>
          <w:position w:val="0"/>
          <w:sz w:val="24"/>
          <w:szCs w:val="24"/>
        </w:rPr>
        <w:t>、</w:t>
        <w:tab/>
        <w:t>高级管理人员的考评及激励情况</w:t>
      </w:r>
      <w:bookmarkEnd w:id="628"/>
      <w:bookmarkEnd w:id="629"/>
      <w:bookmarkEnd w:id="631"/>
    </w:p>
    <w:p>
      <w:pPr>
        <w:pStyle w:val="Style27"/>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报告期内，本公司高级管理人员能够严格按照《公司法》、《公司章程》等法律法规，认真履行职责。董事会提名、 薪酬和考核委员会根据公司主要经营指标完成情况,对高级管理人员的履职情况、工作能力、责任目标完成情况等进行考核， 并结合考核办法的实际运行情况，不断完善高管人员的考核机制和激励机制。</w:t>
      </w:r>
      <w:r>
        <w:br w:type="page"/>
      </w:r>
    </w:p>
    <w:p>
      <w:pPr>
        <w:pStyle w:val="Style25"/>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九</w:t>
      </w:r>
      <w:bookmarkEnd w:id="634"/>
      <w:r>
        <w:rPr>
          <w:color w:val="000000"/>
          <w:spacing w:val="0"/>
          <w:w w:val="100"/>
          <w:position w:val="0"/>
          <w:sz w:val="24"/>
          <w:szCs w:val="24"/>
        </w:rPr>
        <w:t>、内部控制评价报告</w:t>
      </w:r>
      <w:bookmarkEnd w:id="632"/>
      <w:bookmarkEnd w:id="633"/>
      <w:bookmarkEnd w:id="635"/>
    </w:p>
    <w:p>
      <w:pPr>
        <w:pStyle w:val="Style31"/>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、报告期内发现的内部控制重大缺陷的具体情况</w:t>
      </w:r>
      <w:bookmarkEnd w:id="636"/>
      <w:bookmarkEnd w:id="637"/>
      <w:bookmarkEnd w:id="63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、内控自我评价报告</w:t>
      </w:r>
      <w:bookmarkEnd w:id="640"/>
      <w:bookmarkEnd w:id="641"/>
      <w:bookmarkEnd w:id="643"/>
    </w:p>
    <w:tbl>
      <w:tblPr>
        <w:tblOverlap w:val="never"/>
        <w:jc w:val="center"/>
        <w:tblLayout w:type="fixed"/>
      </w:tblPr>
      <w:tblGrid>
        <w:gridCol w:w="3240"/>
        <w:gridCol w:w="3370"/>
        <w:gridCol w:w="310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日刊登在巨潮资讯网的《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 报告》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）财务报告重大缺陷的迹象包括：①控 制环境无效；②公司董事、监事和高级管 理人员的舞弊行为；③注册会计师发现的 却未被公司内部控制识别的当期财务报告 中的重大错报；④审计委员会和审计部门 对公司的对外财务报告和财务报告内部控 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）财务报告重要缺陷的迹 象包括：①未依照公认会计准则选择和应 用会计政策；②未建立反舞弊程序和控制 措施；③对于非常规或特殊交易的账务处 理没有建立相应的控制机制或没有实施且 没有相应的补偿性控制；④对于期末财务 报告过程的控制存在一项或多项缺陷且不 能合理保证编制的财务报表达到真实、完 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 缺陷、重要缺陷之外的其他控制缺陷。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）非财务报告重大缺陷的迹象包括： 违反国家法律法规或规范性文件、重大 决策程序不科学、制度缺失可能导致内 部控制系统性失效、重大或重要缺陷未 得到整改、其他对公司负面影响重大的 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）非财务报告重要缺陷的迹象 包括：①重要业务制度或流程存在的缺 陷；②决策程序出现重大失误；③关键 岗位人员流失严重；④内部控制内部监 督发现的重要缺陷未及时整改；⑤其他 对公司产生较大负面影响的情形。（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非财务报告一般缺陷是指除上述重大 缺陷、重要缺陷之外的其他控制缺陷。</w:t>
            </w:r>
          </w:p>
        </w:tc>
      </w:tr>
      <w:tr>
        <w:trPr>
          <w:trHeight w:val="287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则认定为一般缺陷；如果超过营业收入的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，则为重要缺陷；如果超过 营业收入的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，则认定为重大缺陷。内 部控制缺陷可能导致或导致的损失与资产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240"/>
        <w:gridCol w:w="3370"/>
        <w:gridCol w:w="310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管理相关的，以资产总额指标衡量。如果 该缺陷单独或连同其他缺陷可能导致的财 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,则 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认定为重要缺陷；如果超过 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400" w:line="240" w:lineRule="auto"/>
        <w:ind w:left="0" w:right="0" w:firstLine="0"/>
        <w:jc w:val="left"/>
      </w:pPr>
      <w:bookmarkStart w:id="644" w:name="bookmark644"/>
      <w:bookmarkStart w:id="645" w:name="bookmark645"/>
      <w:bookmarkStart w:id="646" w:name="bookmark646"/>
      <w:r>
        <w:rPr>
          <w:color w:val="000000"/>
          <w:spacing w:val="0"/>
          <w:w w:val="100"/>
          <w:position w:val="0"/>
          <w:sz w:val="24"/>
          <w:szCs w:val="24"/>
        </w:rPr>
        <w:t>十、内部控制审计报告或鉴证报告</w:t>
      </w:r>
      <w:bookmarkEnd w:id="644"/>
      <w:bookmarkEnd w:id="645"/>
      <w:bookmarkEnd w:id="646"/>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41" w:bottom="1474" w:left="1087"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47" w:name="bookmark647"/>
      <w:bookmarkStart w:id="648" w:name="bookmark648"/>
      <w:bookmarkStart w:id="649" w:name="bookmark649"/>
      <w:r>
        <w:rPr>
          <w:color w:val="000000"/>
          <w:spacing w:val="0"/>
          <w:w w:val="100"/>
          <w:position w:val="0"/>
        </w:rPr>
        <w:t>第十一节公司债券相关情况</w:t>
      </w:r>
      <w:bookmarkEnd w:id="647"/>
      <w:bookmarkEnd w:id="648"/>
      <w:bookmarkEnd w:id="649"/>
    </w:p>
    <w:p>
      <w:pPr>
        <w:pStyle w:val="Style2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064" w:bottom="1926" w:left="1112" w:header="0" w:footer="3" w:gutter="0"/>
          <w:cols w:space="720"/>
          <w:noEndnote/>
          <w:rtlGutter w:val="0"/>
          <w:docGrid w:linePitch="360"/>
        </w:sectPr>
      </w:pPr>
      <w:bookmarkStart w:id="650" w:name="bookmark650"/>
      <w:r>
        <w:rPr>
          <w:color w:val="000000"/>
          <w:spacing w:val="0"/>
          <w:w w:val="100"/>
          <w:position w:val="0"/>
        </w:rPr>
        <w:t>公司是否存在公开发行并在证券交易所上市，且在年度报告批准报出日未到期或到期未能全额兑付的公司债券 否</w:t>
      </w:r>
      <w:bookmarkEnd w:id="650"/>
    </w:p>
    <w:p>
      <w:pPr>
        <w:pStyle w:val="Style16"/>
        <w:keepNext/>
        <w:keepLines/>
        <w:widowControl w:val="0"/>
        <w:shd w:val="clear" w:color="auto" w:fill="auto"/>
        <w:bidi w:val="0"/>
        <w:spacing w:before="560" w:after="520" w:line="240" w:lineRule="auto"/>
        <w:ind w:left="0" w:right="0" w:firstLine="0"/>
        <w:jc w:val="center"/>
      </w:pPr>
      <w:bookmarkStart w:id="651" w:name="bookmark651"/>
      <w:bookmarkStart w:id="652" w:name="bookmark652"/>
      <w:bookmarkStart w:id="653" w:name="bookmark653"/>
      <w:r>
        <w:rPr>
          <w:color w:val="000000"/>
          <w:spacing w:val="0"/>
          <w:w w:val="100"/>
          <w:position w:val="0"/>
        </w:rPr>
        <w:t>第十二节财务报告</w:t>
      </w:r>
      <w:bookmarkEnd w:id="651"/>
      <w:bookmarkEnd w:id="652"/>
      <w:bookmarkEnd w:id="653"/>
    </w:p>
    <w:p>
      <w:pPr>
        <w:pStyle w:val="Style25"/>
        <w:keepNext/>
        <w:keepLines/>
        <w:widowControl w:val="0"/>
        <w:shd w:val="clear" w:color="auto" w:fill="auto"/>
        <w:bidi w:val="0"/>
        <w:spacing w:before="0" w:after="320" w:line="240" w:lineRule="auto"/>
        <w:ind w:left="0" w:right="0" w:firstLine="260"/>
        <w:jc w:val="both"/>
      </w:pPr>
      <w:bookmarkStart w:id="654" w:name="bookmark654"/>
      <w:bookmarkStart w:id="655" w:name="bookmark655"/>
      <w:bookmarkStart w:id="656" w:name="bookmark656"/>
      <w:bookmarkStart w:id="657" w:name="bookmark657"/>
      <w:r>
        <w:rPr>
          <w:color w:val="000000"/>
          <w:spacing w:val="0"/>
          <w:w w:val="100"/>
          <w:position w:val="0"/>
          <w:sz w:val="24"/>
          <w:szCs w:val="24"/>
        </w:rPr>
        <w:t>、审计报告</w:t>
      </w:r>
      <w:bookmarkEnd w:id="655"/>
      <w:bookmarkEnd w:id="656"/>
      <w:bookmarkEnd w:id="657"/>
      <w:bookmarkEnd w:id="65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4-10078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李赟莘，肖俊龙</w:t>
            </w:r>
          </w:p>
        </w:tc>
      </w:tr>
    </w:tbl>
    <w:p>
      <w:pPr>
        <w:pStyle w:val="Style3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79" w:line="1" w:lineRule="exact"/>
      </w:pPr>
    </w:p>
    <w:p>
      <w:pPr>
        <w:pStyle w:val="Style53"/>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8"/>
        <w:keepNext w:val="0"/>
        <w:keepLines w:val="0"/>
        <w:widowControl w:val="0"/>
        <w:shd w:val="clear" w:color="auto" w:fill="auto"/>
        <w:bidi w:val="0"/>
        <w:spacing w:before="0" w:after="140" w:line="314" w:lineRule="exact"/>
        <w:ind w:left="0" w:right="0" w:firstLine="0"/>
        <w:jc w:val="left"/>
        <w:rPr>
          <w:sz w:val="24"/>
          <w:szCs w:val="24"/>
        </w:rPr>
      </w:pPr>
      <w:r>
        <w:rPr>
          <w:color w:val="000000"/>
          <w:spacing w:val="0"/>
          <w:w w:val="100"/>
          <w:position w:val="0"/>
          <w:sz w:val="24"/>
          <w:szCs w:val="24"/>
        </w:rPr>
        <w:t>海峡创新互联网股份有限公司全体股东：</w:t>
      </w:r>
    </w:p>
    <w:p>
      <w:pPr>
        <w:pStyle w:val="Style18"/>
        <w:keepNext w:val="0"/>
        <w:keepLines w:val="0"/>
        <w:widowControl w:val="0"/>
        <w:shd w:val="clear" w:color="auto" w:fill="auto"/>
        <w:bidi w:val="0"/>
        <w:spacing w:before="0" w:after="0" w:line="310" w:lineRule="exact"/>
        <w:ind w:left="0" w:right="0" w:firstLine="440"/>
        <w:jc w:val="both"/>
        <w:rPr>
          <w:sz w:val="24"/>
          <w:szCs w:val="24"/>
        </w:rPr>
      </w:pPr>
      <w:bookmarkStart w:id="658" w:name="bookmark658"/>
      <w:r>
        <w:rPr>
          <w:b w:val="0"/>
          <w:bCs w:val="0"/>
          <w:color w:val="000000"/>
          <w:spacing w:val="0"/>
          <w:w w:val="100"/>
          <w:position w:val="0"/>
          <w:sz w:val="24"/>
          <w:szCs w:val="24"/>
        </w:rPr>
        <w:t>一</w:t>
      </w:r>
      <w:bookmarkEnd w:id="658"/>
      <w:r>
        <w:rPr>
          <w:b w:val="0"/>
          <w:bCs w:val="0"/>
          <w:color w:val="000000"/>
          <w:spacing w:val="0"/>
          <w:w w:val="100"/>
          <w:position w:val="0"/>
          <w:sz w:val="24"/>
          <w:szCs w:val="24"/>
        </w:rPr>
        <w:t>、审计意见</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我们审计了海峡创新互联网股份有限公司（以下简称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 东权益变动表，以及财务报表附注。</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18"/>
        <w:keepNext w:val="0"/>
        <w:keepLines w:val="0"/>
        <w:widowControl w:val="0"/>
        <w:shd w:val="clear" w:color="auto" w:fill="auto"/>
        <w:tabs>
          <w:tab w:pos="947" w:val="left"/>
        </w:tabs>
        <w:bidi w:val="0"/>
        <w:spacing w:before="0" w:after="0" w:line="314" w:lineRule="exact"/>
        <w:ind w:left="0" w:right="0" w:firstLine="440"/>
        <w:jc w:val="both"/>
        <w:rPr>
          <w:sz w:val="24"/>
          <w:szCs w:val="24"/>
        </w:rPr>
      </w:pPr>
      <w:bookmarkStart w:id="659" w:name="bookmark659"/>
      <w:r>
        <w:rPr>
          <w:b w:val="0"/>
          <w:bCs w:val="0"/>
          <w:color w:val="000000"/>
          <w:spacing w:val="0"/>
          <w:w w:val="100"/>
          <w:position w:val="0"/>
          <w:sz w:val="24"/>
          <w:szCs w:val="24"/>
        </w:rPr>
        <w:t>二</w:t>
      </w:r>
      <w:bookmarkEnd w:id="659"/>
      <w:r>
        <w:rPr>
          <w:b w:val="0"/>
          <w:bCs w:val="0"/>
          <w:color w:val="000000"/>
          <w:spacing w:val="0"/>
          <w:w w:val="100"/>
          <w:position w:val="0"/>
          <w:sz w:val="24"/>
          <w:szCs w:val="24"/>
        </w:rPr>
        <w:t>、</w:t>
        <w:tab/>
        <w:t>形成审计意见的基础</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部分进一步阐述了我们在这些准则下的责任。按照中国注册会计师职业道德守则，我们独立于贵 公司，并履行了职业道德方面的其他责任。</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我们相信，我们获取的审计证据是充分、适当的，为发表审计意见提供了基础。</w:t>
      </w:r>
    </w:p>
    <w:p>
      <w:pPr>
        <w:pStyle w:val="Style18"/>
        <w:keepNext w:val="0"/>
        <w:keepLines w:val="0"/>
        <w:widowControl w:val="0"/>
        <w:shd w:val="clear" w:color="auto" w:fill="auto"/>
        <w:tabs>
          <w:tab w:pos="952" w:val="left"/>
        </w:tabs>
        <w:bidi w:val="0"/>
        <w:spacing w:before="0" w:after="0" w:line="314" w:lineRule="exact"/>
        <w:ind w:left="0" w:right="0" w:firstLine="440"/>
        <w:jc w:val="both"/>
        <w:rPr>
          <w:sz w:val="24"/>
          <w:szCs w:val="24"/>
        </w:rPr>
      </w:pPr>
      <w:bookmarkStart w:id="660" w:name="bookmark660"/>
      <w:r>
        <w:rPr>
          <w:b w:val="0"/>
          <w:bCs w:val="0"/>
          <w:color w:val="000000"/>
          <w:spacing w:val="0"/>
          <w:w w:val="100"/>
          <w:position w:val="0"/>
          <w:sz w:val="24"/>
          <w:szCs w:val="24"/>
        </w:rPr>
        <w:t>三</w:t>
      </w:r>
      <w:bookmarkEnd w:id="660"/>
      <w:r>
        <w:rPr>
          <w:b w:val="0"/>
          <w:bCs w:val="0"/>
          <w:color w:val="000000"/>
          <w:spacing w:val="0"/>
          <w:w w:val="100"/>
          <w:position w:val="0"/>
          <w:sz w:val="24"/>
          <w:szCs w:val="24"/>
        </w:rPr>
        <w:t>、</w:t>
        <w:tab/>
        <w:t>关键审计事项</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4"/>
        <w:keepNext w:val="0"/>
        <w:keepLines w:val="0"/>
        <w:widowControl w:val="0"/>
        <w:shd w:val="clear" w:color="auto" w:fill="auto"/>
        <w:bidi w:val="0"/>
        <w:spacing w:before="0" w:after="0" w:line="316" w:lineRule="exact"/>
        <w:ind w:left="0" w:right="0" w:firstLine="440"/>
        <w:jc w:val="left"/>
      </w:pPr>
      <w:bookmarkStart w:id="661" w:name="bookmark661"/>
      <w:r>
        <w:rPr>
          <w:color w:val="000000"/>
          <w:spacing w:val="0"/>
          <w:w w:val="100"/>
          <w:position w:val="0"/>
        </w:rPr>
        <w:t>（</w:t>
      </w:r>
      <w:bookmarkEnd w:id="661"/>
      <w:r>
        <w:rPr>
          <w:color w:val="000000"/>
          <w:spacing w:val="0"/>
          <w:w w:val="100"/>
          <w:position w:val="0"/>
        </w:rPr>
        <w:t>一）建造合同收入的确认</w:t>
      </w:r>
    </w:p>
    <w:p>
      <w:pPr>
        <w:pStyle w:val="Style34"/>
        <w:keepNext w:val="0"/>
        <w:keepLines w:val="0"/>
        <w:widowControl w:val="0"/>
        <w:numPr>
          <w:ilvl w:val="0"/>
          <w:numId w:val="5"/>
        </w:numPr>
        <w:shd w:val="clear" w:color="auto" w:fill="auto"/>
        <w:tabs>
          <w:tab w:pos="755" w:val="left"/>
        </w:tabs>
        <w:bidi w:val="0"/>
        <w:spacing w:before="0" w:after="0" w:line="316" w:lineRule="exact"/>
        <w:ind w:left="0" w:right="0" w:firstLine="440"/>
        <w:jc w:val="left"/>
      </w:pPr>
      <w:bookmarkStart w:id="662" w:name="bookmark662"/>
      <w:bookmarkEnd w:id="662"/>
      <w:r>
        <w:rPr>
          <w:color w:val="000000"/>
          <w:spacing w:val="0"/>
          <w:w w:val="100"/>
          <w:position w:val="0"/>
        </w:rPr>
        <w:t>事项描述</w:t>
      </w:r>
    </w:p>
    <w:p>
      <w:pPr>
        <w:pStyle w:val="Style34"/>
        <w:keepNext w:val="0"/>
        <w:keepLines w:val="0"/>
        <w:widowControl w:val="0"/>
        <w:shd w:val="clear" w:color="auto" w:fill="auto"/>
        <w:bidi w:val="0"/>
        <w:spacing w:before="0" w:after="0" w:line="316" w:lineRule="exact"/>
        <w:ind w:left="0" w:right="0" w:firstLine="440"/>
        <w:jc w:val="left"/>
      </w:pPr>
      <w:r>
        <w:rPr>
          <w:color w:val="000000"/>
          <w:spacing w:val="0"/>
          <w:w w:val="100"/>
          <w:position w:val="0"/>
        </w:rPr>
        <w:t>相关信息披露请参阅财务报告附注五（</w:t>
      </w:r>
      <w:r>
        <w:rPr>
          <w:rFonts w:ascii="Times New Roman" w:eastAsia="Times New Roman" w:hAnsi="Times New Roman" w:cs="Times New Roman"/>
          <w:color w:val="000000"/>
          <w:spacing w:val="0"/>
          <w:w w:val="100"/>
          <w:position w:val="0"/>
        </w:rPr>
        <w:t>39</w:t>
      </w:r>
      <w:r>
        <w:rPr>
          <w:color w:val="000000"/>
          <w:spacing w:val="0"/>
          <w:w w:val="100"/>
          <w:position w:val="0"/>
        </w:rPr>
        <w:t>）和附注五七（</w:t>
      </w:r>
      <w:r>
        <w:rPr>
          <w:rFonts w:ascii="Times New Roman" w:eastAsia="Times New Roman" w:hAnsi="Times New Roman" w:cs="Times New Roman"/>
          <w:color w:val="000000"/>
          <w:spacing w:val="0"/>
          <w:w w:val="100"/>
          <w:position w:val="0"/>
        </w:rPr>
        <w:t>61</w:t>
      </w:r>
      <w:r>
        <w:rPr>
          <w:color w:val="000000"/>
          <w:spacing w:val="0"/>
          <w:w w:val="100"/>
          <w:position w:val="0"/>
        </w:rPr>
        <w:t>）。</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贵公司于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日起执行新收入准则，营业收入主要来源于建造合同收入，根据新收入准则及贵 公司的会计政策，建造合同属于在某一时段内履行的履约义务，在合同期内按照履约进度确认收入。履约 进度的确定需要管理层在初始阶段对合同总成本作出合理估计，并在建造合同的执行过程中持续评估和修 订，涉及管理层的重大判断和估计。因此我们将建造合同收入的确认作为关键审计事项。</w:t>
      </w:r>
    </w:p>
    <w:p>
      <w:pPr>
        <w:pStyle w:val="Style34"/>
        <w:keepNext w:val="0"/>
        <w:keepLines w:val="0"/>
        <w:widowControl w:val="0"/>
        <w:numPr>
          <w:ilvl w:val="0"/>
          <w:numId w:val="5"/>
        </w:numPr>
        <w:shd w:val="clear" w:color="auto" w:fill="auto"/>
        <w:tabs>
          <w:tab w:pos="774" w:val="left"/>
        </w:tabs>
        <w:bidi w:val="0"/>
        <w:spacing w:before="0" w:after="0" w:line="316" w:lineRule="exact"/>
        <w:ind w:left="0" w:right="0" w:firstLine="440"/>
        <w:jc w:val="both"/>
      </w:pPr>
      <w:bookmarkStart w:id="663" w:name="bookmark663"/>
      <w:bookmarkEnd w:id="663"/>
      <w:r>
        <w:rPr>
          <w:color w:val="000000"/>
          <w:spacing w:val="0"/>
          <w:w w:val="100"/>
          <w:position w:val="0"/>
        </w:rPr>
        <w:t>审计应对</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我们针对建造合同收入确认执行的审计程序主要包括：</w:t>
      </w:r>
    </w:p>
    <w:p>
      <w:pPr>
        <w:pStyle w:val="Style34"/>
        <w:keepNext w:val="0"/>
        <w:keepLines w:val="0"/>
        <w:widowControl w:val="0"/>
        <w:shd w:val="clear" w:color="auto" w:fill="auto"/>
        <w:tabs>
          <w:tab w:pos="928" w:val="left"/>
        </w:tabs>
        <w:bidi w:val="0"/>
        <w:spacing w:before="0" w:after="0" w:line="316" w:lineRule="exact"/>
        <w:ind w:left="0" w:right="0" w:firstLine="44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1</w:t>
      </w:r>
      <w:r>
        <w:rPr>
          <w:color w:val="000000"/>
          <w:spacing w:val="0"/>
          <w:w w:val="100"/>
          <w:position w:val="0"/>
        </w:rPr>
        <w:t>）</w:t>
        <w:tab/>
        <w:t>评价和测试与建造合同收入确认相关的关键内部控制的设计和运行有效性；</w:t>
      </w:r>
    </w:p>
    <w:p>
      <w:pPr>
        <w:pStyle w:val="Style34"/>
        <w:keepNext w:val="0"/>
        <w:keepLines w:val="0"/>
        <w:widowControl w:val="0"/>
        <w:shd w:val="clear" w:color="auto" w:fill="auto"/>
        <w:tabs>
          <w:tab w:pos="488" w:val="left"/>
        </w:tabs>
        <w:bidi w:val="0"/>
        <w:spacing w:before="0" w:after="120" w:line="316" w:lineRule="exact"/>
        <w:ind w:left="0" w:right="0" w:firstLine="44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获取建造合同项目清单，查验重大建造合同并复核关键合同条款，评价收入确认会计政策的合 </w:t>
      </w:r>
      <w:r>
        <w:rPr>
          <w:color w:val="000000"/>
          <w:spacing w:val="0"/>
          <w:w w:val="100"/>
          <w:position w:val="0"/>
        </w:rPr>
        <w:t>理性;</w:t>
      </w:r>
    </w:p>
    <w:p>
      <w:pPr>
        <w:pStyle w:val="Style34"/>
        <w:keepNext w:val="0"/>
        <w:keepLines w:val="0"/>
        <w:widowControl w:val="0"/>
        <w:shd w:val="clear" w:color="auto" w:fill="auto"/>
        <w:tabs>
          <w:tab w:pos="1006" w:val="left"/>
        </w:tabs>
        <w:bidi w:val="0"/>
        <w:spacing w:before="0" w:after="0" w:line="319" w:lineRule="exact"/>
        <w:ind w:left="0" w:right="0" w:firstLine="44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w:t>
        <w:tab/>
        <w:t>选取合同样本，检查预计总收入和预计总成本所依据的建造合同和成本预算资料，评价管理层 的估计是否充分合理；重新计算建造合同的履约进度；</w:t>
      </w:r>
    </w:p>
    <w:p>
      <w:pPr>
        <w:pStyle w:val="Style34"/>
        <w:keepNext w:val="0"/>
        <w:keepLines w:val="0"/>
        <w:widowControl w:val="0"/>
        <w:shd w:val="clear" w:color="auto" w:fill="auto"/>
        <w:tabs>
          <w:tab w:pos="1016" w:val="left"/>
        </w:tabs>
        <w:bidi w:val="0"/>
        <w:spacing w:before="0" w:after="0" w:line="319" w:lineRule="exact"/>
        <w:ind w:left="0" w:right="0" w:firstLine="44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选取合同样本，查验已发生合同履约成本的支持性文件；执行截止性测试程序，检查相关合同 履约成本是否被记录在恰当的会计期间；</w:t>
      </w:r>
    </w:p>
    <w:p>
      <w:pPr>
        <w:pStyle w:val="Style34"/>
        <w:keepNext w:val="0"/>
        <w:keepLines w:val="0"/>
        <w:widowControl w:val="0"/>
        <w:shd w:val="clear" w:color="auto" w:fill="auto"/>
        <w:tabs>
          <w:tab w:pos="1016" w:val="left"/>
        </w:tabs>
        <w:bidi w:val="0"/>
        <w:spacing w:before="0" w:after="0" w:line="319" w:lineRule="exact"/>
        <w:ind w:left="0" w:right="0" w:firstLine="44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5</w:t>
      </w:r>
      <w:r>
        <w:rPr>
          <w:color w:val="000000"/>
          <w:spacing w:val="0"/>
          <w:w w:val="100"/>
          <w:position w:val="0"/>
        </w:rPr>
        <w:t>）</w:t>
        <w:tab/>
        <w:t>选取合同样本，与工程管理部门讨论确认工程的完工程度，并与账面记录进行比较，评估工程 完工进度的合理性；</w:t>
      </w:r>
    </w:p>
    <w:p>
      <w:pPr>
        <w:pStyle w:val="Style34"/>
        <w:keepNext w:val="0"/>
        <w:keepLines w:val="0"/>
        <w:widowControl w:val="0"/>
        <w:shd w:val="clear" w:color="auto" w:fill="auto"/>
        <w:tabs>
          <w:tab w:pos="1006" w:val="left"/>
        </w:tabs>
        <w:bidi w:val="0"/>
        <w:spacing w:before="0" w:after="0" w:line="319" w:lineRule="exact"/>
        <w:ind w:left="0" w:right="0" w:firstLine="44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6</w:t>
      </w:r>
      <w:r>
        <w:rPr>
          <w:color w:val="000000"/>
          <w:spacing w:val="0"/>
          <w:w w:val="100"/>
          <w:position w:val="0"/>
        </w:rPr>
        <w:t>）</w:t>
        <w:tab/>
        <w:t>选取合同样本，对工程形象进度进行现场查看，并访谈工程监理方或合同甲方，评估工程的实 际完工进度；收集与甲方的结算资料并就合同关键条款和合同执行情况向甲方函证；</w:t>
      </w:r>
    </w:p>
    <w:p>
      <w:pPr>
        <w:pStyle w:val="Style34"/>
        <w:keepNext w:val="0"/>
        <w:keepLines w:val="0"/>
        <w:widowControl w:val="0"/>
        <w:shd w:val="clear" w:color="auto" w:fill="auto"/>
        <w:tabs>
          <w:tab w:pos="928" w:val="left"/>
        </w:tabs>
        <w:bidi w:val="0"/>
        <w:spacing w:before="0" w:after="0" w:line="319" w:lineRule="exact"/>
        <w:ind w:left="0" w:right="0" w:firstLine="44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7</w:t>
      </w:r>
      <w:r>
        <w:rPr>
          <w:color w:val="000000"/>
          <w:spacing w:val="0"/>
          <w:w w:val="100"/>
          <w:position w:val="0"/>
        </w:rPr>
        <w:t>）</w:t>
        <w:tab/>
        <w:t>对主要合同的毛利率进行分析性复核。</w:t>
      </w:r>
    </w:p>
    <w:p>
      <w:pPr>
        <w:pStyle w:val="Style34"/>
        <w:keepNext w:val="0"/>
        <w:keepLines w:val="0"/>
        <w:widowControl w:val="0"/>
        <w:shd w:val="clear" w:color="auto" w:fill="auto"/>
        <w:bidi w:val="0"/>
        <w:spacing w:before="0" w:after="80" w:line="319" w:lineRule="exact"/>
        <w:ind w:left="0" w:right="0" w:firstLine="440"/>
        <w:jc w:val="left"/>
      </w:pPr>
      <w:bookmarkStart w:id="671" w:name="bookmark671"/>
      <w:r>
        <w:rPr>
          <w:color w:val="000000"/>
          <w:spacing w:val="0"/>
          <w:w w:val="100"/>
          <w:position w:val="0"/>
        </w:rPr>
        <w:t>（</w:t>
      </w:r>
      <w:bookmarkEnd w:id="671"/>
      <w:r>
        <w:rPr>
          <w:color w:val="000000"/>
          <w:spacing w:val="0"/>
          <w:w w:val="100"/>
          <w:position w:val="0"/>
        </w:rPr>
        <w:t>二）非交易性权益工具投资公允价值变动损失</w:t>
      </w:r>
    </w:p>
    <w:p>
      <w:pPr>
        <w:pStyle w:val="Style34"/>
        <w:keepNext w:val="0"/>
        <w:keepLines w:val="0"/>
        <w:widowControl w:val="0"/>
        <w:numPr>
          <w:ilvl w:val="0"/>
          <w:numId w:val="7"/>
        </w:numPr>
        <w:shd w:val="clear" w:color="auto" w:fill="auto"/>
        <w:tabs>
          <w:tab w:pos="755" w:val="left"/>
        </w:tabs>
        <w:bidi w:val="0"/>
        <w:spacing w:before="0" w:after="0" w:line="334" w:lineRule="auto"/>
        <w:ind w:left="0" w:right="0" w:firstLine="440"/>
        <w:jc w:val="left"/>
      </w:pPr>
      <w:bookmarkStart w:id="672" w:name="bookmark672"/>
      <w:bookmarkEnd w:id="672"/>
      <w:r>
        <w:rPr>
          <w:color w:val="000000"/>
          <w:spacing w:val="0"/>
          <w:w w:val="100"/>
          <w:position w:val="0"/>
        </w:rPr>
        <w:t>事项描述</w:t>
      </w:r>
    </w:p>
    <w:p>
      <w:pPr>
        <w:pStyle w:val="Style34"/>
        <w:keepNext w:val="0"/>
        <w:keepLines w:val="0"/>
        <w:widowControl w:val="0"/>
        <w:shd w:val="clear" w:color="auto" w:fill="auto"/>
        <w:bidi w:val="0"/>
        <w:spacing w:before="0" w:after="0" w:line="319" w:lineRule="exact"/>
        <w:ind w:left="0" w:right="0" w:firstLine="440"/>
        <w:jc w:val="left"/>
      </w:pPr>
      <w:r>
        <w:rPr>
          <w:color w:val="000000"/>
          <w:spacing w:val="0"/>
          <w:w w:val="100"/>
          <w:position w:val="0"/>
        </w:rPr>
        <w:t>相关信息披露请参阅财务报表附注五（</w:t>
      </w:r>
      <w:r>
        <w:rPr>
          <w:rFonts w:ascii="Times New Roman" w:eastAsia="Times New Roman" w:hAnsi="Times New Roman" w:cs="Times New Roman"/>
          <w:color w:val="000000"/>
          <w:spacing w:val="0"/>
          <w:w w:val="100"/>
          <w:position w:val="0"/>
        </w:rPr>
        <w:t>10</w:t>
      </w:r>
      <w:r>
        <w:rPr>
          <w:color w:val="000000"/>
          <w:spacing w:val="0"/>
          <w:w w:val="100"/>
          <w:position w:val="0"/>
        </w:rPr>
        <w:t>）和附注七（</w:t>
      </w:r>
      <w:r>
        <w:rPr>
          <w:rFonts w:ascii="Times New Roman" w:eastAsia="Times New Roman" w:hAnsi="Times New Roman" w:cs="Times New Roman"/>
          <w:color w:val="000000"/>
          <w:spacing w:val="0"/>
          <w:w w:val="100"/>
          <w:position w:val="0"/>
        </w:rPr>
        <w:t>19</w:t>
      </w:r>
      <w:r>
        <w:rPr>
          <w:color w:val="000000"/>
          <w:spacing w:val="0"/>
          <w:w w:val="100"/>
          <w:position w:val="0"/>
        </w:rPr>
        <w:t>）、（</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34"/>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贵公司对非交易性权益工具投资以公允价值计量，其变动计入当期损益。本期对非交易性权益工具投 资确认公允价值变动损失</w:t>
      </w:r>
      <w:r>
        <w:rPr>
          <w:rFonts w:ascii="Times New Roman" w:eastAsia="Times New Roman" w:hAnsi="Times New Roman" w:cs="Times New Roman"/>
          <w:color w:val="000000"/>
          <w:spacing w:val="0"/>
          <w:w w:val="100"/>
          <w:position w:val="0"/>
        </w:rPr>
        <w:t>21,609.8</w:t>
      </w:r>
      <w:r>
        <w:rPr>
          <w:rFonts w:ascii="Times New Roman" w:eastAsia="Times New Roman" w:hAnsi="Times New Roman" w:cs="Times New Roman"/>
          <w:color w:val="000000"/>
          <w:spacing w:val="0"/>
          <w:w w:val="100"/>
          <w:position w:val="0"/>
        </w:rPr>
        <w:t>2</w:t>
      </w:r>
      <w:r>
        <w:rPr>
          <w:color w:val="000000"/>
          <w:spacing w:val="0"/>
          <w:w w:val="100"/>
          <w:position w:val="0"/>
        </w:rPr>
        <w:t>万元，其中</w:t>
      </w:r>
      <w:r>
        <w:rPr>
          <w:rFonts w:ascii="Times New Roman" w:eastAsia="Times New Roman" w:hAnsi="Times New Roman" w:cs="Times New Roman"/>
          <w:color w:val="000000"/>
          <w:spacing w:val="0"/>
          <w:w w:val="100"/>
          <w:position w:val="0"/>
        </w:rPr>
        <w:t>MacArthur Court Acquisition Corp.</w:t>
      </w:r>
      <w:r>
        <w:rPr>
          <w:color w:val="000000"/>
          <w:spacing w:val="0"/>
          <w:w w:val="100"/>
          <w:position w:val="0"/>
        </w:rPr>
        <w:t xml:space="preserve">确认公允价值变动损失 </w:t>
      </w:r>
      <w:r>
        <w:rPr>
          <w:rFonts w:ascii="Times New Roman" w:eastAsia="Times New Roman" w:hAnsi="Times New Roman" w:cs="Times New Roman"/>
          <w:color w:val="000000"/>
          <w:spacing w:val="0"/>
          <w:w w:val="100"/>
          <w:position w:val="0"/>
        </w:rPr>
        <w:t>10,226.99</w:t>
      </w:r>
      <w:r>
        <w:rPr>
          <w:color w:val="000000"/>
          <w:spacing w:val="0"/>
          <w:w w:val="100"/>
          <w:position w:val="0"/>
        </w:rPr>
        <w:t>万元，对海润影视制作有限公司确认公允价值变动损失</w:t>
      </w:r>
      <w:r>
        <w:rPr>
          <w:rFonts w:ascii="Times New Roman" w:eastAsia="Times New Roman" w:hAnsi="Times New Roman" w:cs="Times New Roman"/>
          <w:color w:val="000000"/>
          <w:spacing w:val="0"/>
          <w:w w:val="100"/>
          <w:position w:val="0"/>
        </w:rPr>
        <w:t>8,750.06</w:t>
      </w:r>
      <w:r>
        <w:rPr>
          <w:color w:val="000000"/>
          <w:spacing w:val="0"/>
          <w:w w:val="100"/>
          <w:position w:val="0"/>
        </w:rPr>
        <w:t>万元。对于前述非交易性权益工 具投资公允价值的评估，估值技术使用存在主观性，且估值中应用了大量的假设，选择不同的估值技术和 假设可能对公允价值评估结果造成重大影响。该事项对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年度财务报表影响较大，我们将该事项确定为 关键审计事项。</w:t>
      </w:r>
    </w:p>
    <w:p>
      <w:pPr>
        <w:pStyle w:val="Style34"/>
        <w:keepNext w:val="0"/>
        <w:keepLines w:val="0"/>
        <w:widowControl w:val="0"/>
        <w:numPr>
          <w:ilvl w:val="0"/>
          <w:numId w:val="7"/>
        </w:numPr>
        <w:shd w:val="clear" w:color="auto" w:fill="auto"/>
        <w:tabs>
          <w:tab w:pos="774" w:val="left"/>
        </w:tabs>
        <w:bidi w:val="0"/>
        <w:spacing w:before="0" w:after="0" w:line="334" w:lineRule="auto"/>
        <w:ind w:left="0" w:right="0" w:firstLine="440"/>
        <w:jc w:val="both"/>
      </w:pPr>
      <w:bookmarkStart w:id="673" w:name="bookmark673"/>
      <w:bookmarkEnd w:id="673"/>
      <w:r>
        <w:rPr>
          <w:color w:val="000000"/>
          <w:spacing w:val="0"/>
          <w:w w:val="100"/>
          <w:position w:val="0"/>
        </w:rPr>
        <w:t>审计应对</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我们针对非交易性权益工具投资的公允价值变动损失执行的审计程序主要包括：</w:t>
      </w:r>
    </w:p>
    <w:p>
      <w:pPr>
        <w:pStyle w:val="Style34"/>
        <w:keepNext w:val="0"/>
        <w:keepLines w:val="0"/>
        <w:widowControl w:val="0"/>
        <w:shd w:val="clear" w:color="auto" w:fill="auto"/>
        <w:tabs>
          <w:tab w:pos="1016" w:val="left"/>
        </w:tabs>
        <w:bidi w:val="0"/>
        <w:spacing w:before="0" w:after="0" w:line="312" w:lineRule="exact"/>
        <w:ind w:left="0" w:right="0" w:firstLine="44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1</w:t>
      </w:r>
      <w:r>
        <w:rPr>
          <w:color w:val="000000"/>
          <w:spacing w:val="0"/>
          <w:w w:val="100"/>
          <w:position w:val="0"/>
        </w:rPr>
        <w:t>）</w:t>
        <w:tab/>
        <w:t>了解管理层对非交易性权益工具投资进行管理的业务目标，评估管理层管理非交易性权益工具 投资的业务模式以及合同现金流量特征，确定其分类是否恰当；</w:t>
      </w:r>
    </w:p>
    <w:p>
      <w:pPr>
        <w:pStyle w:val="Style34"/>
        <w:keepNext w:val="0"/>
        <w:keepLines w:val="0"/>
        <w:widowControl w:val="0"/>
        <w:shd w:val="clear" w:color="auto" w:fill="auto"/>
        <w:tabs>
          <w:tab w:pos="1021" w:val="left"/>
        </w:tabs>
        <w:bidi w:val="0"/>
        <w:spacing w:before="0" w:after="0" w:line="312" w:lineRule="exact"/>
        <w:ind w:left="0" w:right="0" w:firstLine="44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对非交易性权益工具投资的被投资单位所处行业及行业环境进行了解，分析其公允价值变动的 合理性；</w:t>
      </w:r>
    </w:p>
    <w:p>
      <w:pPr>
        <w:pStyle w:val="Style34"/>
        <w:keepNext w:val="0"/>
        <w:keepLines w:val="0"/>
        <w:widowControl w:val="0"/>
        <w:shd w:val="clear" w:color="auto" w:fill="auto"/>
        <w:tabs>
          <w:tab w:pos="928" w:val="left"/>
        </w:tabs>
        <w:bidi w:val="0"/>
        <w:spacing w:before="0" w:after="0" w:line="312" w:lineRule="exact"/>
        <w:ind w:left="0" w:right="0" w:firstLine="440"/>
        <w:jc w:val="left"/>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3</w:t>
      </w:r>
      <w:r>
        <w:rPr>
          <w:color w:val="000000"/>
          <w:spacing w:val="0"/>
          <w:w w:val="100"/>
          <w:position w:val="0"/>
        </w:rPr>
        <w:t>）</w:t>
        <w:tab/>
        <w:t>复核了管理层所采用的估值方法，评估所使用估值技术的恰当性、输入值的合理性；</w:t>
      </w:r>
    </w:p>
    <w:p>
      <w:pPr>
        <w:pStyle w:val="Style34"/>
        <w:keepNext w:val="0"/>
        <w:keepLines w:val="0"/>
        <w:widowControl w:val="0"/>
        <w:shd w:val="clear" w:color="auto" w:fill="auto"/>
        <w:tabs>
          <w:tab w:pos="928" w:val="left"/>
        </w:tabs>
        <w:bidi w:val="0"/>
        <w:spacing w:before="0" w:after="0" w:line="312" w:lineRule="exact"/>
        <w:ind w:left="0" w:right="0" w:firstLine="440"/>
        <w:jc w:val="left"/>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4</w:t>
      </w:r>
      <w:r>
        <w:rPr>
          <w:color w:val="000000"/>
          <w:spacing w:val="0"/>
          <w:w w:val="100"/>
          <w:position w:val="0"/>
        </w:rPr>
        <w:t>）</w:t>
        <w:tab/>
        <w:t>评价管理层委聘的外部估值专家的胜任能力、专业素质和客观性。</w:t>
      </w:r>
    </w:p>
    <w:p>
      <w:pPr>
        <w:pStyle w:val="Style18"/>
        <w:keepNext w:val="0"/>
        <w:keepLines w:val="0"/>
        <w:widowControl w:val="0"/>
        <w:shd w:val="clear" w:color="auto" w:fill="auto"/>
        <w:tabs>
          <w:tab w:pos="933" w:val="left"/>
        </w:tabs>
        <w:bidi w:val="0"/>
        <w:spacing w:before="0" w:after="0" w:line="315" w:lineRule="exact"/>
        <w:ind w:left="0" w:right="0" w:firstLine="440"/>
        <w:jc w:val="both"/>
        <w:rPr>
          <w:sz w:val="24"/>
          <w:szCs w:val="24"/>
        </w:rPr>
      </w:pPr>
      <w:bookmarkStart w:id="678" w:name="bookmark678"/>
      <w:r>
        <w:rPr>
          <w:b w:val="0"/>
          <w:bCs w:val="0"/>
          <w:color w:val="000000"/>
          <w:spacing w:val="0"/>
          <w:w w:val="100"/>
          <w:position w:val="0"/>
          <w:sz w:val="24"/>
          <w:szCs w:val="24"/>
        </w:rPr>
        <w:t>四</w:t>
      </w:r>
      <w:bookmarkEnd w:id="678"/>
      <w:r>
        <w:rPr>
          <w:b w:val="0"/>
          <w:bCs w:val="0"/>
          <w:color w:val="000000"/>
          <w:spacing w:val="0"/>
          <w:w w:val="100"/>
          <w:position w:val="0"/>
          <w:sz w:val="24"/>
          <w:szCs w:val="24"/>
        </w:rPr>
        <w:t>、</w:t>
        <w:tab/>
        <w:t>其他信息</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 息，但不包括财务报表和我们的审计报告。</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我们对财务报表发表的审计意见并不涵盖其他信息，我们也不对其他信息发表任何形式的鉴证结论。</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8"/>
        <w:keepNext w:val="0"/>
        <w:keepLines w:val="0"/>
        <w:widowControl w:val="0"/>
        <w:shd w:val="clear" w:color="auto" w:fill="auto"/>
        <w:tabs>
          <w:tab w:pos="947" w:val="left"/>
        </w:tabs>
        <w:bidi w:val="0"/>
        <w:spacing w:before="0" w:after="0" w:line="315" w:lineRule="exact"/>
        <w:ind w:left="0" w:right="0" w:firstLine="440"/>
        <w:jc w:val="both"/>
        <w:rPr>
          <w:sz w:val="24"/>
          <w:szCs w:val="24"/>
        </w:rPr>
      </w:pPr>
      <w:bookmarkStart w:id="679" w:name="bookmark679"/>
      <w:r>
        <w:rPr>
          <w:b w:val="0"/>
          <w:bCs w:val="0"/>
          <w:color w:val="000000"/>
          <w:spacing w:val="0"/>
          <w:w w:val="100"/>
          <w:position w:val="0"/>
          <w:sz w:val="24"/>
          <w:szCs w:val="24"/>
        </w:rPr>
        <w:t>五</w:t>
      </w:r>
      <w:bookmarkEnd w:id="679"/>
      <w:r>
        <w:rPr>
          <w:b w:val="0"/>
          <w:bCs w:val="0"/>
          <w:color w:val="000000"/>
          <w:spacing w:val="0"/>
          <w:w w:val="100"/>
          <w:position w:val="0"/>
          <w:sz w:val="24"/>
          <w:szCs w:val="24"/>
        </w:rPr>
        <w:t>、</w:t>
        <w:tab/>
        <w:t>管理层和治理层对财务报表的责任</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治理层负责监督贵公司的财务报告过程。</w:t>
      </w:r>
    </w:p>
    <w:p>
      <w:pPr>
        <w:pStyle w:val="Style18"/>
        <w:keepNext w:val="0"/>
        <w:keepLines w:val="0"/>
        <w:widowControl w:val="0"/>
        <w:shd w:val="clear" w:color="auto" w:fill="auto"/>
        <w:bidi w:val="0"/>
        <w:spacing w:before="0" w:after="0" w:line="315" w:lineRule="exact"/>
        <w:ind w:left="0" w:right="0" w:firstLine="440"/>
        <w:jc w:val="left"/>
        <w:rPr>
          <w:sz w:val="24"/>
          <w:szCs w:val="24"/>
        </w:rPr>
      </w:pPr>
      <w:bookmarkStart w:id="680" w:name="bookmark680"/>
      <w:r>
        <w:rPr>
          <w:b w:val="0"/>
          <w:bCs w:val="0"/>
          <w:color w:val="000000"/>
          <w:spacing w:val="0"/>
          <w:w w:val="100"/>
          <w:position w:val="0"/>
          <w:sz w:val="24"/>
          <w:szCs w:val="24"/>
        </w:rPr>
        <w:t>六</w:t>
      </w:r>
      <w:bookmarkEnd w:id="680"/>
      <w:r>
        <w:rPr>
          <w:b w:val="0"/>
          <w:bCs w:val="0"/>
          <w:color w:val="000000"/>
          <w:spacing w:val="0"/>
          <w:w w:val="100"/>
          <w:position w:val="0"/>
          <w:sz w:val="24"/>
          <w:szCs w:val="24"/>
        </w:rPr>
        <w:t>、注册会计师对财务报表审计的责任</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w:t>
      </w:r>
      <w:r>
        <w:rPr>
          <w:color w:val="000000"/>
          <w:spacing w:val="0"/>
          <w:w w:val="100"/>
          <w:position w:val="0"/>
        </w:rPr>
        <w:t>用者依据财务报表作出的经济决策，则通常认为错报是重大的。</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4"/>
        <w:keepNext w:val="0"/>
        <w:keepLines w:val="0"/>
        <w:widowControl w:val="0"/>
        <w:shd w:val="clear" w:color="auto" w:fill="auto"/>
        <w:tabs>
          <w:tab w:pos="1120" w:val="left"/>
        </w:tabs>
        <w:bidi w:val="0"/>
        <w:spacing w:before="0" w:after="0" w:line="313" w:lineRule="exact"/>
        <w:ind w:left="0" w:right="0" w:firstLine="440"/>
        <w:jc w:val="both"/>
      </w:pPr>
      <w:bookmarkStart w:id="681" w:name="bookmark681"/>
      <w:r>
        <w:rPr>
          <w:color w:val="000000"/>
          <w:spacing w:val="0"/>
          <w:w w:val="100"/>
          <w:position w:val="0"/>
        </w:rPr>
        <w:t>（</w:t>
      </w:r>
      <w:bookmarkEnd w:id="681"/>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4"/>
        <w:keepNext w:val="0"/>
        <w:keepLines w:val="0"/>
        <w:widowControl w:val="0"/>
        <w:shd w:val="clear" w:color="auto" w:fill="auto"/>
        <w:tabs>
          <w:tab w:pos="1116" w:val="left"/>
        </w:tabs>
        <w:bidi w:val="0"/>
        <w:spacing w:before="0" w:after="0" w:line="313"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二）</w:t>
        <w:tab/>
        <w:t>了解与审计相关的内部控制，以设计恰当的审计程序，但目的并非对内部控制的有效性发表意 见。</w:t>
      </w:r>
    </w:p>
    <w:p>
      <w:pPr>
        <w:pStyle w:val="Style34"/>
        <w:keepNext w:val="0"/>
        <w:keepLines w:val="0"/>
        <w:widowControl w:val="0"/>
        <w:shd w:val="clear" w:color="auto" w:fill="auto"/>
        <w:tabs>
          <w:tab w:pos="1028" w:val="left"/>
        </w:tabs>
        <w:bidi w:val="0"/>
        <w:spacing w:before="0" w:after="0" w:line="313" w:lineRule="exact"/>
        <w:ind w:left="0" w:right="0" w:firstLine="440"/>
        <w:jc w:val="both"/>
      </w:pPr>
      <w:bookmarkStart w:id="683" w:name="bookmark683"/>
      <w:r>
        <w:rPr>
          <w:color w:val="000000"/>
          <w:spacing w:val="0"/>
          <w:w w:val="100"/>
          <w:position w:val="0"/>
        </w:rPr>
        <w:t>（</w:t>
      </w:r>
      <w:bookmarkEnd w:id="683"/>
      <w:r>
        <w:rPr>
          <w:color w:val="000000"/>
          <w:spacing w:val="0"/>
          <w:w w:val="100"/>
          <w:position w:val="0"/>
        </w:rPr>
        <w:t>三）</w:t>
        <w:tab/>
        <w:t>评价管理层选用会计政策的恰当性和作出会计估计及相关披露的合理性。</w:t>
      </w:r>
    </w:p>
    <w:p>
      <w:pPr>
        <w:pStyle w:val="Style34"/>
        <w:keepNext w:val="0"/>
        <w:keepLines w:val="0"/>
        <w:widowControl w:val="0"/>
        <w:shd w:val="clear" w:color="auto" w:fill="auto"/>
        <w:tabs>
          <w:tab w:pos="1120" w:val="left"/>
        </w:tabs>
        <w:bidi w:val="0"/>
        <w:spacing w:before="0" w:after="0" w:line="313" w:lineRule="exact"/>
        <w:ind w:left="0" w:right="0" w:firstLine="440"/>
        <w:jc w:val="both"/>
      </w:pPr>
      <w:bookmarkStart w:id="684" w:name="bookmark684"/>
      <w:r>
        <w:rPr>
          <w:color w:val="000000"/>
          <w:spacing w:val="0"/>
          <w:w w:val="100"/>
          <w:position w:val="0"/>
        </w:rPr>
        <w:t>（</w:t>
      </w:r>
      <w:bookmarkEnd w:id="684"/>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34"/>
        <w:keepNext w:val="0"/>
        <w:keepLines w:val="0"/>
        <w:widowControl w:val="0"/>
        <w:shd w:val="clear" w:color="auto" w:fill="auto"/>
        <w:tabs>
          <w:tab w:pos="1028" w:val="left"/>
        </w:tabs>
        <w:bidi w:val="0"/>
        <w:spacing w:before="0" w:after="0" w:line="313" w:lineRule="exact"/>
        <w:ind w:left="0" w:right="0" w:firstLine="440"/>
        <w:jc w:val="both"/>
      </w:pPr>
      <w:bookmarkStart w:id="685" w:name="bookmark685"/>
      <w:r>
        <w:rPr>
          <w:color w:val="000000"/>
          <w:spacing w:val="0"/>
          <w:w w:val="100"/>
          <w:position w:val="0"/>
        </w:rPr>
        <w:t>（</w:t>
      </w:r>
      <w:bookmarkEnd w:id="685"/>
      <w:r>
        <w:rPr>
          <w:color w:val="000000"/>
          <w:spacing w:val="0"/>
          <w:w w:val="100"/>
          <w:position w:val="0"/>
        </w:rPr>
        <w:t>五）</w:t>
        <w:tab/>
        <w:t>评价财务报表的总体列报、结构和内容，并评价财务报表是否公允反映相关交易和事项。</w:t>
      </w:r>
    </w:p>
    <w:p>
      <w:pPr>
        <w:pStyle w:val="Style34"/>
        <w:keepNext w:val="0"/>
        <w:keepLines w:val="0"/>
        <w:widowControl w:val="0"/>
        <w:shd w:val="clear" w:color="auto" w:fill="auto"/>
        <w:tabs>
          <w:tab w:pos="1116" w:val="left"/>
        </w:tabs>
        <w:bidi w:val="0"/>
        <w:spacing w:before="0" w:after="0" w:line="313" w:lineRule="exact"/>
        <w:ind w:left="0" w:right="0" w:firstLine="440"/>
        <w:jc w:val="both"/>
      </w:pPr>
      <w:bookmarkStart w:id="686" w:name="bookmark686"/>
      <w:r>
        <w:rPr>
          <w:color w:val="000000"/>
          <w:spacing w:val="0"/>
          <w:w w:val="100"/>
          <w:position w:val="0"/>
        </w:rPr>
        <w:t>（</w:t>
      </w:r>
      <w:bookmarkEnd w:id="686"/>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34"/>
        <w:keepNext w:val="0"/>
        <w:keepLines w:val="0"/>
        <w:widowControl w:val="0"/>
        <w:shd w:val="clear" w:color="auto" w:fill="auto"/>
        <w:bidi w:val="0"/>
        <w:spacing w:before="0" w:after="1020" w:line="313"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4"/>
        <w:keepNext w:val="0"/>
        <w:keepLines w:val="0"/>
        <w:widowControl w:val="0"/>
        <w:shd w:val="clear" w:color="auto" w:fill="auto"/>
        <w:tabs>
          <w:tab w:pos="4813" w:val="left"/>
        </w:tabs>
        <w:bidi w:val="0"/>
        <w:spacing w:before="0" w:after="80" w:line="240" w:lineRule="auto"/>
        <w:ind w:left="0" w:right="0" w:firstLine="440"/>
        <w:jc w:val="both"/>
      </w:pPr>
      <w:r>
        <w:rPr>
          <w:color w:val="000000"/>
          <w:spacing w:val="0"/>
          <w:w w:val="100"/>
          <w:position w:val="0"/>
        </w:rPr>
        <w:t>大信会计师事务所（特殊普通合伙）</w:t>
        <w:tab/>
        <w:t>中国注册会计师：</w:t>
      </w:r>
    </w:p>
    <w:p>
      <w:pPr>
        <w:pStyle w:val="Style34"/>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（项目合伙人）</w:t>
      </w:r>
    </w:p>
    <w:p>
      <w:pPr>
        <w:pStyle w:val="Style34"/>
        <w:keepNext w:val="0"/>
        <w:keepLines w:val="0"/>
        <w:widowControl w:val="0"/>
        <w:shd w:val="clear" w:color="auto" w:fill="auto"/>
        <w:tabs>
          <w:tab w:pos="4376" w:val="left"/>
        </w:tabs>
        <w:bidi w:val="0"/>
        <w:spacing w:before="0" w:after="680" w:line="240" w:lineRule="auto"/>
        <w:ind w:left="128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r>
    </w:p>
    <w:p>
      <w:pPr>
        <w:pStyle w:val="Style34"/>
        <w:keepNext w:val="0"/>
        <w:keepLines w:val="0"/>
        <w:widowControl w:val="0"/>
        <w:shd w:val="clear" w:color="auto" w:fill="auto"/>
        <w:bidi w:val="0"/>
        <w:spacing w:before="0" w:after="40" w:line="240" w:lineRule="auto"/>
        <w:ind w:left="0" w:right="0" w:firstLine="0"/>
        <w:jc w:val="right"/>
      </w:pPr>
      <w:r>
        <w:rPr>
          <w:color w:val="000000"/>
          <w:spacing w:val="0"/>
          <w:w w:val="100"/>
          <w:position w:val="0"/>
        </w:rPr>
        <w:t>二</w:t>
      </w:r>
      <w:r>
        <w:rPr>
          <w:color w:val="000000"/>
          <w:spacing w:val="0"/>
          <w:w w:val="100"/>
          <w:position w:val="0"/>
        </w:rPr>
        <w:t>。</w:t>
      </w:r>
      <w:r>
        <w:rPr>
          <w:color w:val="000000"/>
          <w:spacing w:val="0"/>
          <w:w w:val="100"/>
          <w:position w:val="0"/>
        </w:rPr>
        <w:t>二一年四月二十七日</w:t>
      </w:r>
      <w:r>
        <w:br w:type="page"/>
      </w:r>
    </w:p>
    <w:p>
      <w:pPr>
        <w:pStyle w:val="Style25"/>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r>
        <w:rPr>
          <w:color w:val="000000"/>
          <w:spacing w:val="0"/>
          <w:w w:val="100"/>
          <w:position w:val="0"/>
          <w:sz w:val="24"/>
          <w:szCs w:val="24"/>
        </w:rPr>
        <w:t>二、财务报表</w:t>
      </w:r>
      <w:bookmarkEnd w:id="687"/>
      <w:bookmarkEnd w:id="688"/>
      <w:bookmarkEnd w:id="68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、合并资产负债表</w:t>
      </w:r>
      <w:bookmarkEnd w:id="690"/>
      <w:bookmarkEnd w:id="691"/>
      <w:bookmarkEnd w:id="69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编制单位：海峡创新互联网股份有限公司</w:t>
      </w:r>
    </w:p>
    <w:p>
      <w:pPr>
        <w:pStyle w:val="Style5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201,955,831.05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187,620,365.92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91,306,266.05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152,523,919.74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161,818,448.98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15,243,168.44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24,945,492.15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33,198,498.86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67,115,104.83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407,971,267.93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274,337,628.45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38,761,644.42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127,485,134.14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20,132,143.52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21,196,643.66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945,978,385.96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1,090,428,723.66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157,349,653.87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275,649,541.50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521,891,975.94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151,918,310.78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181,951,821.88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173,765,020.53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180,050,688.32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1,075,660.98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7,905,931.52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40,011,067.19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58,943,843.44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80,157,375.89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78,558,026.96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899,366,922.74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1,368,825,602.20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1,845,345,308.70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2,459,254,325.86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490,802,530.19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28,724,490.12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367,738,393.58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323,094,592.71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35,335,901.83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24,614,963.41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9,512,071.29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10,314,021.20</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6,035,344.00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6,146,051.94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75,278,334.50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24,486,147.86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2,435,435.79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903,188,745.62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969,695,922.49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23,468,590.31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32,272,043.67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935,460,789.29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969,874,804.15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679,945,828.00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1,033,793,939.92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1,070,543,657.65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72,306,229.27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-2,708,068.32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16,788,640.43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-796,533,722.99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-207,871,951.91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909,408,273.81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1,523,952,079.97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-34,572,558.26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909,884,519.41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1,489,379,521.71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1,845,345,308.70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2,459,254,325.86</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0" behindDoc="0" locked="0" layoutInCell="1" allowOverlap="1">
                <wp:simplePos x="0" y="0"/>
                <wp:positionH relativeFrom="page">
                  <wp:posOffset>697865</wp:posOffset>
                </wp:positionH>
                <wp:positionV relativeFrom="margin">
                  <wp:posOffset>2054225</wp:posOffset>
                </wp:positionV>
                <wp:extent cx="941705" cy="149225"/>
                <wp:wrapTopAndBottom/>
                <wp:docPr id="21" name="Shape 2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法定代表人：曹阳</w:t>
                            </w:r>
                          </w:p>
                        </w:txbxContent>
                      </wps:txbx>
                      <wps:bodyPr wrap="none" lIns="0" tIns="0" rIns="0" bIns="0">
                        <a:noAutoFit/>
                      </wps:bodyPr>
                    </wps:wsp>
                  </a:graphicData>
                </a:graphic>
              </wp:anchor>
            </w:drawing>
          </mc:Choice>
          <mc:Fallback>
            <w:pict>
              <v:shape id="_x0000_s1047" type="#_x0000_t202" style="position:absolute;margin-left:54.950000000000003pt;margin-top:161.75pt;width:74.150000000000006pt;height:11.75pt;z-index:-125829373;mso-wrap-distance-left:9.pt;mso-wrap-distance-top:12.pt;mso-wrap-distance-right:414.35000000000002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法定代表人：曹阳</w:t>
                      </w:r>
                    </w:p>
                  </w:txbxContent>
                </v:textbox>
                <w10:wrap type="topAndBottom" anchorx="page" anchory="margin"/>
              </v:shape>
            </w:pict>
          </mc:Fallback>
        </mc:AlternateContent>
      </w:r>
      <w:r>
        <mc:AlternateContent>
          <mc:Choice Requires="wps">
            <w:drawing>
              <wp:anchor distT="152400" distB="3175" distL="2232660" distR="2576830" simplePos="0" relativeHeight="125829382" behindDoc="0" locked="0" layoutInCell="1" allowOverlap="1">
                <wp:simplePos x="0" y="0"/>
                <wp:positionH relativeFrom="page">
                  <wp:posOffset>2816225</wp:posOffset>
                </wp:positionH>
                <wp:positionV relativeFrom="margin">
                  <wp:posOffset>2054225</wp:posOffset>
                </wp:positionV>
                <wp:extent cx="1508760" cy="146050"/>
                <wp:wrapTopAndBottom/>
                <wp:docPr id="23" name="Shape 2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主管会计工作负责人：曾志勇</w:t>
                            </w:r>
                          </w:p>
                        </w:txbxContent>
                      </wps:txbx>
                      <wps:bodyPr wrap="none" lIns="0" tIns="0" rIns="0" bIns="0">
                        <a:noAutoFit/>
                      </wps:bodyPr>
                    </wps:wsp>
                  </a:graphicData>
                </a:graphic>
              </wp:anchor>
            </w:drawing>
          </mc:Choice>
          <mc:Fallback>
            <w:pict>
              <v:shape id="_x0000_s1049" type="#_x0000_t202" style="position:absolute;margin-left:221.75pt;margin-top:161.75pt;width:118.8pt;height:11.5pt;z-index:-125829371;mso-wrap-distance-left:175.80000000000001pt;mso-wrap-distance-top:12.pt;mso-wrap-distance-right:202.90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主管会计工作负责人：曾志勇</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5501640</wp:posOffset>
                </wp:positionH>
                <wp:positionV relativeFrom="margin">
                  <wp:posOffset>2054225</wp:posOffset>
                </wp:positionV>
                <wp:extent cx="1286510" cy="149225"/>
                <wp:wrapTopAndBottom/>
                <wp:docPr id="25" name="Shape 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会计机构负责人：王鸿博</w:t>
                            </w:r>
                          </w:p>
                        </w:txbxContent>
                      </wps:txbx>
                      <wps:bodyPr wrap="none" lIns="0" tIns="0" rIns="0" bIns="0">
                        <a:noAutoFit/>
                      </wps:bodyPr>
                    </wps:wsp>
                  </a:graphicData>
                </a:graphic>
              </wp:anchor>
            </w:drawing>
          </mc:Choice>
          <mc:Fallback>
            <w:pict>
              <v:shape id="_x0000_s1051" type="#_x0000_t202" style="position:absolute;margin-left:433.19999999999999pt;margin-top:161.75pt;width:101.3pt;height:11.75pt;z-index:-125829369;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会计机构负责人：王鸿博</w:t>
                      </w:r>
                    </w:p>
                  </w:txbxContent>
                </v:textbox>
                <w10:wrap type="topAndBottom" anchorx="page" anchory="margin"/>
              </v:shape>
            </w:pict>
          </mc:Fallback>
        </mc:AlternateContent>
      </w: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、母公司资产负债表</w:t>
      </w:r>
      <w:bookmarkEnd w:id="694"/>
      <w:bookmarkEnd w:id="695"/>
      <w:bookmarkEnd w:id="6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44,085,316.60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81,117,775.36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5,534,734.29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12,217,824.38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106,591,594.42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130,114,476.55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11,416,219.82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16,013,971.27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506,789,710.38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630,554,354.47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109,371,645.05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388,927,980.47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273,898,364.07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6,253,028.31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5,312,448.65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1,067,320,791.06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1,265,228,831.15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1,349,047,347.88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1,358,942,824.94</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39,874,054.38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56,581,992.73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18,045,133.36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55,352,872.93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86,280,039.70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55,084,017.22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742,777.59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4,872,702.63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1,669,423.82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86,756,172.70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62,711,404.37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1,585,591,897.14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1,591,085,313.60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2,652,912,688.20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2,856,314,144.75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490,802,530.19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28,724,490.12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328,841,330.83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283,736,468.27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15,615,395.19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17,026,885.75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5,851,340.38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5,966,834.06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2,074,509.36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2,071,978.97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294,388,321.08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290,377,035.49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8,281,878.76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1,934,716.63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1,100,723,669.57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1,117,294,732.29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7,938,402.05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16,741,855.41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1,117,465,524.98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1,117,473,613.95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679,945,828.00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1,031,980,595.90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1,072,047,401.21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72,306,229.27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36,852,135.07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-170,349,410.35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23,420,842.79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1,535,447,163.22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1,738,840,530.80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2,652,912,688.20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2,856,314,144.75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、合并利润表</w:t>
      </w:r>
      <w:bookmarkEnd w:id="698"/>
      <w:bookmarkEnd w:id="699"/>
      <w:bookmarkEnd w:id="70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451,533,912.02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451,533,912.02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480,199,053.90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564,911,804.78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347,147,255.14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399,558,266.63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3,508,987.07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4,694,276.40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15,103,344.17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50,848,246.92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57,586,085.90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58,343,465.00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25,986,600.76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23,101,501.93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30,866,780.86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28,366,047.90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26,437,518.32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28,931,650.82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910,778.24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8,953,754.81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6,327,981.21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-72,068,938.29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68,815,630.48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-8,431,912.07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71,284,163.00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-244,808,498.93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100,356,501.33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-92,651,761.62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-103,639,511.78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-60,547,290.71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-795,365,310.82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1,581,392.71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-586,141,557.62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-836,882,602.34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3,521,579.27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3,089,381.80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14,162,711.63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10,706,221.90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-596,782,689.98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-844,499,442.44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-2,908,587.93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-35,883,764.57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-593,874,102.05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-808,615,677.87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-593,874,102.05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-808,615,677.87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-588,788,805.84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-793,295,024.47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-5,085,296.21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-15,320,653.40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-19,496,708.75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9,480,218.35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-19,496,708.75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9,480,218.35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-19,496,708.75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9,480,218.35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-282,191.75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-19,214,517.00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10,599,665.35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-613,370,810.80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-799,135,459.52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-608,285,514.59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-783,814,806.12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-5,085,296.21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-15,320,653.40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7"/>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法定代表人：曹阳</w:t>
        <w:tab/>
        <w:t>主管会计工作负责人：曾志勇</w:t>
        <w:tab/>
        <w:t>会计机构负责人：王鸿博</w:t>
      </w:r>
    </w:p>
    <w:p>
      <w:pPr>
        <w:pStyle w:val="Style31"/>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4</w:t>
      </w:r>
      <w:bookmarkEnd w:id="704"/>
      <w:r>
        <w:rPr>
          <w:color w:val="000000"/>
          <w:spacing w:val="0"/>
          <w:w w:val="100"/>
          <w:position w:val="0"/>
        </w:rPr>
        <w:t>、母公司利润表</w:t>
      </w:r>
      <w:bookmarkEnd w:id="702"/>
      <w:bookmarkEnd w:id="703"/>
      <w:bookmarkEnd w:id="7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292,130,999.32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300,469,649.05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276,458,553.21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290,014,013.70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1,890,314.04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2,032,730.26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6,200,241.28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10,733,864.53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31,237,035.62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26,598,264.93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15,381,376.30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12,721,014.61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32,181,208.16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27,141,149.27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28,726,270.84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28,349,623.77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492,726.97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396,446.60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708,823.84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992,251.00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9,692,611.30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6,521,454.63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8,813,205.82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11,509,919.87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以摊余成本计量的金融资产终止确认收益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-23,391,028.44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1,192,544.38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-69,849,435.65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-67,141,451.98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-38,033,517.67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-75,548,454.37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1,493,758.16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-190,596,517.75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-202,755,044.59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784,754.25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106,855.46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12,580,624.99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5,662,059.03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-202,392,388.49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-208,310,248.16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-24,075,127.12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-31,382,518.37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-178,317,261.37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-176,927,729.79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-178,317,261.37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-176,927,729.79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-178,237,961.90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-178,047,176.79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5</w:t>
      </w:r>
      <w:bookmarkEnd w:id="708"/>
      <w:r>
        <w:rPr>
          <w:color w:val="000000"/>
          <w:spacing w:val="0"/>
          <w:w w:val="100"/>
          <w:position w:val="0"/>
        </w:rPr>
        <w:t>、合并现金流量表</w:t>
      </w:r>
      <w:bookmarkEnd w:id="706"/>
      <w:bookmarkEnd w:id="707"/>
      <w:bookmarkEnd w:id="70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405,271,175.28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505,737,182.09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3,588,158.25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2,215,202.91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74,516,259.21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44,043,883.67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483,375,592.74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551,996,268.67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347,787,768.23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368,596,903.44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48,549,832.71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62,463,134.39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9,696,828.09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23,204,716.91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102,166,793.08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149,715,914.66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508,201,222.11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603,980,669.40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-24,825,629.37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-51,984,400.73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58,767,631.72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32,898,400.00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处置固定资产、无形资产和其他长期资产收回的现金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2,472,799.64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-7,637,761.60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90,642,434.33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152,919,395.58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144,245,104.09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186,452,795.58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6,732,086.73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15,899,676.94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16,289,878.48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1,327,976.49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7,402,086.73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33,517,531.91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136,843,017.36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152,935,263.67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7,022,680.20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599,970,000.00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606,992,680.20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493,013,225.39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652,161,529.69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26,526,402.90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42,830,820.00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63,567,059.76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124,964,019.90</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583,106,688.05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819,956,369.59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-92,136,688.05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-212,963,689.39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673,787.79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-268,756.90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20,554,487.73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-112,281,583.35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159,998,170.04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272,279,753.39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180,552,657.77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159,998,170.04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、母公司现金流量表</w:t>
      </w:r>
      <w:bookmarkEnd w:id="710"/>
      <w:bookmarkEnd w:id="711"/>
      <w:bookmarkEnd w:id="7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324,166,108.28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333,031,623.87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311,325,309.78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349,885,286.88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635,491,418.06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682,916,910.75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282,975,229.48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279,653,326.75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23,528,843.48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23,234,226.18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6,176,291.13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6,962,767.54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221,572,694.75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229,159,235.61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534,253,058.84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539,009,556.08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101,238,359.22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143,907,354.67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处置固定资产、无形资产和其他长期资产收回的现金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2,302,836.64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3,295,316.05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4,961,788.43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2,154,730.77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8,961,788.43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32,654,730.77</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-5,666,472.38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-32,654,730.77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7,022,680.20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456,881,355.00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456,881,355.00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606,992,680.20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491,661,074.19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28,813,118.98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41,851,180.29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62,754,733.53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47,402,664.91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583,228,926.70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729,223,845.20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-126,347,571.70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-122,231,165.00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-15,512.72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-30,763,436.16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-10,994,053.82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53,495,579.48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64,489,633.30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22,732,143.32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53,495,579.48</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、合并所有者权益变动表</w:t>
      </w:r>
      <w:bookmarkEnd w:id="714"/>
      <w:bookmarkEnd w:id="715"/>
      <w:bookmarkEnd w:id="71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543,65</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379,52</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r>
      <w:tr>
        <w:trPr>
          <w:trHeight w:val="31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95,002</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88,805</w:t>
            </w:r>
          </w:p>
          <w:p>
            <w:pPr>
              <w:pStyle w:val="Style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85,514</w:t>
            </w:r>
          </w:p>
          <w:p>
            <w:pPr>
              <w:pStyle w:val="Style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40,134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6"/>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46,028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066.67</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39,134</w:t>
            </w:r>
          </w:p>
        </w:tc>
      </w:tr>
      <w:tr>
        <w:trPr>
          <w:trHeight w:val="30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127,03</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8,918</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8,149.</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8,918</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9,393.</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793,93</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8,273.</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2,328,6</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377,81</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78,605.</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,207.93</w:t>
            </w: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60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-56,438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r>
      <w:tr>
        <w:trPr>
          <w:trHeight w:val="33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502.04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344.07</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705,16</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5,638</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4,624.</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39,144</w:t>
            </w:r>
          </w:p>
          <w:p>
            <w:pPr>
              <w:pStyle w:val="Style6"/>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14,806</w:t>
            </w:r>
          </w:p>
          <w:p>
            <w:pPr>
              <w:pStyle w:val="Style6"/>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5,638</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8,474.</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4,112.</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5,638</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8,474.</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,362.48</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543,65</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8</w:t>
      </w:r>
      <w:bookmarkEnd w:id="720"/>
      <w:r>
        <w:rPr>
          <w:color w:val="000000"/>
          <w:spacing w:val="0"/>
          <w:w w:val="100"/>
          <w:position w:val="0"/>
        </w:rPr>
        <w:t>、母公司所有者权益变动表</w:t>
      </w:r>
      <w:bookmarkEnd w:id="718"/>
      <w:bookmarkEnd w:id="719"/>
      <w:bookmarkEnd w:id="7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5,828.0</w:t>
            </w:r>
          </w:p>
          <w:p>
            <w:pPr>
              <w:pStyle w:val="Style6"/>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1,738,840,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72,306,2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-178,19</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0,226.6</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-187,813,3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4,745,03</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4,745,03</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-54,437,</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-14,447,45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1,031,98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88,199.</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90,840,8</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236,452,1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1,969,004,4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-2,521,3</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-22,691,7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-25,213,093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88,199.</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90,840,8</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213,760,3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1,943,791,3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-18,534,</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-204,950,80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-178,047,17</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1,726,0</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1,726,097.6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1,726,0</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1,726,097.6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-15,217,909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5,828.</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23,420,84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1,738,840,5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722" w:name="bookmark722"/>
      <w:bookmarkStart w:id="723" w:name="bookmark723"/>
      <w:bookmarkStart w:id="724" w:name="bookmark724"/>
      <w:r>
        <w:rPr>
          <w:color w:val="000000"/>
          <w:spacing w:val="0"/>
          <w:w w:val="100"/>
          <w:position w:val="0"/>
          <w:sz w:val="24"/>
          <w:szCs w:val="24"/>
        </w:rPr>
        <w:t>三、公司基本情况</w:t>
      </w:r>
      <w:bookmarkEnd w:id="722"/>
      <w:bookmarkEnd w:id="723"/>
      <w:bookmarkEnd w:id="724"/>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海峡创新互联网股份有限公司（以下简称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日在原浙江汉鼎建设有限公司基础上整体变更 设立的股份有限公司。公司统一社会信用代码为</w:t>
      </w:r>
      <w:r>
        <w:rPr>
          <w:rFonts w:ascii="Times New Roman" w:eastAsia="Times New Roman" w:hAnsi="Times New Roman" w:cs="Times New Roman"/>
          <w:color w:val="000000"/>
          <w:spacing w:val="0"/>
          <w:w w:val="100"/>
          <w:position w:val="0"/>
          <w:sz w:val="18"/>
          <w:szCs w:val="18"/>
        </w:rPr>
        <w:t>913300007441437848</w:t>
      </w:r>
      <w:r>
        <w:rPr>
          <w:color w:val="000000"/>
          <w:spacing w:val="0"/>
          <w:w w:val="100"/>
          <w:position w:val="0"/>
        </w:rPr>
        <w:t>,注册地址为福建省平潭综合实验区金井湾片区商务营 运中心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层，办公地址为杭州市西湖区天目山路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号天际大厦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层，法人代表为曹阳，注册资本为人民币</w:t>
      </w:r>
      <w:r>
        <w:rPr>
          <w:rFonts w:ascii="Times New Roman" w:eastAsia="Times New Roman" w:hAnsi="Times New Roman" w:cs="Times New Roman"/>
          <w:color w:val="000000"/>
          <w:spacing w:val="0"/>
          <w:w w:val="100"/>
          <w:position w:val="0"/>
          <w:sz w:val="18"/>
          <w:szCs w:val="18"/>
        </w:rPr>
        <w:t xml:space="preserve">671,396,910.00 </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日在深圳证券交易所创业板上市，股票简称：海峡创新，股票代码：</w:t>
      </w:r>
      <w:r>
        <w:rPr>
          <w:rFonts w:ascii="Times New Roman" w:eastAsia="Times New Roman" w:hAnsi="Times New Roman" w:cs="Times New Roman"/>
          <w:color w:val="000000"/>
          <w:spacing w:val="0"/>
          <w:w w:val="100"/>
          <w:position w:val="0"/>
          <w:sz w:val="18"/>
          <w:szCs w:val="18"/>
        </w:rPr>
        <w:t>300300</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公司所属行业为软件和信息技术服务业，主要经营业务包括对外承包工程业务、互联网信息服务、电影放映业务、远程医疗 服务。</w:t>
      </w:r>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本财务报表经公司董事会于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本公司报告期内合并范围包括母公司海峡创新互联网股份有限公司，子公司海峡创新信息产业有限公司、上海汉鼎信息技术 有限公司、浙江汉鼎宇佑金融服务有限公司及其子公司、浙江汉鼎宇佑资本管理有限公司、杭州海峡创新互动娱乐管理有限 公司及其子公司、杭州汉鼎宇佑商业发展有限公司、杭州汉鼎宇佑金控投资有限公司及其子公司、汉鼎国际发展有限公司、 汉鼎宇佑有限公司、霍尔果斯吉良先道信息科技有限公司、浙江汉鼎宇佑智慧医疗服务有限公司、杭州海峡创新互联网技术 有限公司及其子公司、好医友医疗科技集团有限公司及其子公司、好医友互联网医院（平潭）有限公司、浙江海峡创新科技 有限公司、贵阳市海峡创新科技有限公司。详见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98" w:val="left"/>
        </w:tabs>
        <w:bidi w:val="0"/>
        <w:spacing w:before="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四</w:t>
      </w:r>
      <w:bookmarkEnd w:id="727"/>
      <w:r>
        <w:rPr>
          <w:color w:val="000000"/>
          <w:spacing w:val="0"/>
          <w:w w:val="100"/>
          <w:position w:val="0"/>
          <w:sz w:val="24"/>
          <w:szCs w:val="24"/>
        </w:rPr>
        <w:t>、</w:t>
        <w:tab/>
        <w:t>财务报表的编制基础</w:t>
      </w:r>
      <w:bookmarkEnd w:id="725"/>
      <w:bookmarkEnd w:id="726"/>
      <w:bookmarkEnd w:id="728"/>
    </w:p>
    <w:p>
      <w:pPr>
        <w:pStyle w:val="Style31"/>
        <w:keepNext/>
        <w:keepLines/>
        <w:widowControl w:val="0"/>
        <w:shd w:val="clear" w:color="auto" w:fill="auto"/>
        <w:tabs>
          <w:tab w:pos="396"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编制基础</w:t>
      </w:r>
      <w:bookmarkEnd w:id="729"/>
      <w:bookmarkEnd w:id="730"/>
      <w:bookmarkEnd w:id="732"/>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基本准则》和具体会 计准则等规定（以下合称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），并基于以下所述重要会计政策、会计估计进行编制。</w:t>
      </w:r>
    </w:p>
    <w:p>
      <w:pPr>
        <w:pStyle w:val="Style31"/>
        <w:keepNext/>
        <w:keepLines/>
        <w:widowControl w:val="0"/>
        <w:shd w:val="clear" w:color="auto" w:fill="auto"/>
        <w:tabs>
          <w:tab w:pos="396"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持续经营</w:t>
      </w:r>
      <w:bookmarkEnd w:id="733"/>
      <w:bookmarkEnd w:id="734"/>
      <w:bookmarkEnd w:id="736"/>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个月不存在影响持续经营能力的重大不利事项，本财务报告以持续经营为基础编制。</w:t>
      </w:r>
    </w:p>
    <w:p>
      <w:pPr>
        <w:pStyle w:val="Style25"/>
        <w:keepNext/>
        <w:keepLines/>
        <w:widowControl w:val="0"/>
        <w:shd w:val="clear" w:color="auto" w:fill="auto"/>
        <w:tabs>
          <w:tab w:pos="517" w:val="left"/>
        </w:tabs>
        <w:bidi w:val="0"/>
        <w:spacing w:before="0" w:after="2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sz w:val="24"/>
          <w:szCs w:val="24"/>
        </w:rPr>
        <w:t>五</w:t>
      </w:r>
      <w:bookmarkEnd w:id="739"/>
      <w:r>
        <w:rPr>
          <w:color w:val="000000"/>
          <w:spacing w:val="0"/>
          <w:w w:val="100"/>
          <w:position w:val="0"/>
          <w:sz w:val="24"/>
          <w:szCs w:val="24"/>
        </w:rPr>
        <w:t>、</w:t>
        <w:tab/>
        <w:t>重要会计政策及会计估计</w:t>
      </w:r>
      <w:bookmarkEnd w:id="737"/>
      <w:bookmarkEnd w:id="738"/>
      <w:bookmarkEnd w:id="740"/>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本公司及各子公司根据实际生产经营特点针对金融工具减值、收入确认、建造合同完工百分比确定等交易或事项制定了若干 项具体会计政策和会计估计，详见本附注五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w:t>
      </w:r>
    </w:p>
    <w:p>
      <w:pPr>
        <w:pStyle w:val="Style31"/>
        <w:keepNext/>
        <w:keepLines/>
        <w:widowControl w:val="0"/>
        <w:shd w:val="clear" w:color="auto" w:fill="auto"/>
        <w:bidi w:val="0"/>
        <w:spacing w:before="0" w:after="2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、遵循企业会计准则的声明</w:t>
      </w:r>
      <w:bookmarkEnd w:id="741"/>
      <w:bookmarkEnd w:id="742"/>
      <w:bookmarkEnd w:id="744"/>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年度的 </w:t>
      </w:r>
      <w:r>
        <w:rPr>
          <w:color w:val="000000"/>
          <w:spacing w:val="0"/>
          <w:w w:val="100"/>
          <w:position w:val="0"/>
        </w:rPr>
        <w:t>经营成果和现金流量等相关信息。</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会计期间</w:t>
      </w:r>
      <w:bookmarkEnd w:id="745"/>
      <w:bookmarkEnd w:id="746"/>
      <w:bookmarkEnd w:id="748"/>
    </w:p>
    <w:p>
      <w:pPr>
        <w:pStyle w:val="Style27"/>
        <w:keepNext w:val="0"/>
        <w:keepLines w:val="0"/>
        <w:widowControl w:val="0"/>
        <w:shd w:val="clear" w:color="auto" w:fill="auto"/>
        <w:bidi w:val="0"/>
        <w:spacing w:before="0" w:after="400"/>
        <w:ind w:left="0" w:right="0" w:firstLine="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w:t>
        <w:tab/>
        <w:t>营业周期</w:t>
      </w:r>
      <w:bookmarkEnd w:id="749"/>
      <w:bookmarkEnd w:id="750"/>
      <w:bookmarkEnd w:id="752"/>
    </w:p>
    <w:p>
      <w:pPr>
        <w:pStyle w:val="Style27"/>
        <w:keepNext w:val="0"/>
        <w:keepLines w:val="0"/>
        <w:widowControl w:val="0"/>
        <w:shd w:val="clear" w:color="auto" w:fill="auto"/>
        <w:bidi w:val="0"/>
        <w:spacing w:before="0" w:after="400"/>
        <w:ind w:left="0" w:right="0" w:firstLine="0"/>
        <w:jc w:val="left"/>
      </w:pPr>
      <w:r>
        <w:rPr>
          <w:color w:val="000000"/>
          <w:spacing w:val="0"/>
          <w:w w:val="100"/>
          <w:position w:val="0"/>
        </w:rPr>
        <w:t>本公司以一年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个月作为正常营业周期，并以营业周期作为资产和负债的流动性划分标准。</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w:t>
        <w:tab/>
        <w:t>记账本位币</w:t>
      </w:r>
      <w:bookmarkEnd w:id="753"/>
      <w:bookmarkEnd w:id="754"/>
      <w:bookmarkEnd w:id="756"/>
    </w:p>
    <w:p>
      <w:pPr>
        <w:pStyle w:val="Style27"/>
        <w:keepNext w:val="0"/>
        <w:keepLines w:val="0"/>
        <w:widowControl w:val="0"/>
        <w:shd w:val="clear" w:color="auto" w:fill="auto"/>
        <w:bidi w:val="0"/>
        <w:spacing w:before="0" w:after="400"/>
        <w:ind w:left="0" w:right="0" w:firstLine="0"/>
        <w:jc w:val="left"/>
      </w:pPr>
      <w:r>
        <w:rPr>
          <w:color w:val="000000"/>
          <w:spacing w:val="0"/>
          <w:w w:val="100"/>
          <w:position w:val="0"/>
        </w:rPr>
        <w:t>本公司以人民币为记账本位币。</w:t>
      </w:r>
    </w:p>
    <w:p>
      <w:pPr>
        <w:pStyle w:val="Style31"/>
        <w:keepNext/>
        <w:keepLines/>
        <w:widowControl w:val="0"/>
        <w:shd w:val="clear" w:color="auto" w:fill="auto"/>
        <w:tabs>
          <w:tab w:pos="378" w:val="left"/>
        </w:tabs>
        <w:bidi w:val="0"/>
        <w:spacing w:before="0" w:after="40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w:t>
        <w:tab/>
        <w:t>同一控制下和非同一控制下企业合并的会计处理方法</w:t>
      </w:r>
      <w:bookmarkEnd w:id="757"/>
      <w:bookmarkEnd w:id="758"/>
      <w:bookmarkEnd w:id="760"/>
    </w:p>
    <w:p>
      <w:pPr>
        <w:pStyle w:val="Style27"/>
        <w:keepNext w:val="0"/>
        <w:keepLines w:val="0"/>
        <w:widowControl w:val="0"/>
        <w:numPr>
          <w:ilvl w:val="0"/>
          <w:numId w:val="9"/>
        </w:numPr>
        <w:shd w:val="clear" w:color="auto" w:fill="auto"/>
        <w:tabs>
          <w:tab w:pos="301" w:val="left"/>
        </w:tabs>
        <w:bidi w:val="0"/>
        <w:spacing w:before="0" w:after="0" w:line="360" w:lineRule="auto"/>
        <w:ind w:left="0" w:right="0" w:firstLine="0"/>
        <w:jc w:val="left"/>
      </w:pPr>
      <w:bookmarkStart w:id="761" w:name="bookmark761"/>
      <w:bookmarkEnd w:id="761"/>
      <w:r>
        <w:rPr>
          <w:color w:val="000000"/>
          <w:spacing w:val="0"/>
          <w:w w:val="100"/>
          <w:position w:val="0"/>
        </w:rPr>
        <w:t>同一控制下的企业合并</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同一控制下企业合并形成的长期股权投资，合并方以支付现金、转让非现金资产或承担债务方式作为合并对价的，本公司在 合并日按照被合并方所有者权益在最终控制方合并财务报表中的账面价值的份额作为长期股权投资的初始投资成本。合并方 以发行权益性工具作为合并对价的，按发行股份的面值总额作为股本。长期股权投资的初始投资成本与合并对价账面价值（或 发行股份面值总额）的差额，应当调整资本公积；资本公积不足冲减的，调整留存收益。</w:t>
      </w:r>
    </w:p>
    <w:p>
      <w:pPr>
        <w:pStyle w:val="Style27"/>
        <w:keepNext w:val="0"/>
        <w:keepLines w:val="0"/>
        <w:widowControl w:val="0"/>
        <w:numPr>
          <w:ilvl w:val="0"/>
          <w:numId w:val="9"/>
        </w:numPr>
        <w:shd w:val="clear" w:color="auto" w:fill="auto"/>
        <w:tabs>
          <w:tab w:pos="320" w:val="left"/>
        </w:tabs>
        <w:bidi w:val="0"/>
        <w:spacing w:before="0" w:after="0" w:line="360" w:lineRule="auto"/>
        <w:ind w:left="0" w:right="0" w:firstLine="0"/>
        <w:jc w:val="both"/>
      </w:pPr>
      <w:bookmarkStart w:id="762" w:name="bookmark762"/>
      <w:bookmarkEnd w:id="762"/>
      <w:r>
        <w:rPr>
          <w:color w:val="000000"/>
          <w:spacing w:val="0"/>
          <w:w w:val="100"/>
          <w:position w:val="0"/>
        </w:rPr>
        <w:t>非同一控制下的企业合并</w:t>
      </w:r>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对于非同一控制下的企业合并，合并成本为购买方在购买日为取得对被购买方的控制权而付出的资产、发生或承担的负债以 及发行的权益性证券的公允价值之和。非同一控制下企业合并中所取得的被购买方符合确认条件的可辨认资产、负债及或有 负债，在购买日以公允价值计量。购买方对合并成本大于合并中取得的被购买方可辨认净资产公允价值份额的差额，体现为 商誉价值。购买方对合并成本小于合并中取得的被购买方可辨认净资产公允价值份额的，经复核后合并成本仍小于合并中取 得的被购买方可辨认净资产公允价值份额的差额，计入当期营业外收入。</w:t>
      </w:r>
    </w:p>
    <w:p>
      <w:pPr>
        <w:pStyle w:val="Style31"/>
        <w:keepNext/>
        <w:keepLines/>
        <w:widowControl w:val="0"/>
        <w:shd w:val="clear" w:color="auto" w:fill="auto"/>
        <w:tabs>
          <w:tab w:pos="378" w:val="left"/>
        </w:tabs>
        <w:bidi w:val="0"/>
        <w:spacing w:before="0" w:after="40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6</w:t>
      </w:r>
      <w:bookmarkEnd w:id="765"/>
      <w:r>
        <w:rPr>
          <w:color w:val="000000"/>
          <w:spacing w:val="0"/>
          <w:w w:val="100"/>
          <w:position w:val="0"/>
        </w:rPr>
        <w:t>、</w:t>
        <w:tab/>
        <w:t>合并财务报表的编制方法</w:t>
      </w:r>
      <w:bookmarkEnd w:id="763"/>
      <w:bookmarkEnd w:id="764"/>
      <w:bookmarkEnd w:id="766"/>
    </w:p>
    <w:p>
      <w:pPr>
        <w:pStyle w:val="Style27"/>
        <w:keepNext w:val="0"/>
        <w:keepLines w:val="0"/>
        <w:widowControl w:val="0"/>
        <w:numPr>
          <w:ilvl w:val="0"/>
          <w:numId w:val="11"/>
        </w:numPr>
        <w:shd w:val="clear" w:color="auto" w:fill="auto"/>
        <w:tabs>
          <w:tab w:pos="301" w:val="left"/>
        </w:tabs>
        <w:bidi w:val="0"/>
        <w:spacing w:before="0" w:after="0" w:line="379" w:lineRule="auto"/>
        <w:ind w:left="0" w:right="0" w:firstLine="0"/>
        <w:jc w:val="both"/>
      </w:pPr>
      <w:bookmarkStart w:id="767" w:name="bookmark767"/>
      <w:bookmarkEnd w:id="767"/>
      <w:r>
        <w:rPr>
          <w:color w:val="000000"/>
          <w:spacing w:val="0"/>
          <w:w w:val="100"/>
          <w:position w:val="0"/>
        </w:rPr>
        <w:t>合并财务报表范围</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本公司将全部子公司（包括本公司所控制的单独主体）纳入合并财务报表范围，包括被本公司控制的企业、被投资单位中可 分割的部分以及结构化主体。</w:t>
      </w:r>
    </w:p>
    <w:p>
      <w:pPr>
        <w:pStyle w:val="Style27"/>
        <w:keepNext w:val="0"/>
        <w:keepLines w:val="0"/>
        <w:widowControl w:val="0"/>
        <w:numPr>
          <w:ilvl w:val="0"/>
          <w:numId w:val="11"/>
        </w:numPr>
        <w:shd w:val="clear" w:color="auto" w:fill="auto"/>
        <w:tabs>
          <w:tab w:pos="320" w:val="left"/>
        </w:tabs>
        <w:bidi w:val="0"/>
        <w:spacing w:before="0" w:after="0" w:line="326" w:lineRule="exact"/>
        <w:ind w:left="0" w:right="0" w:firstLine="0"/>
        <w:jc w:val="both"/>
      </w:pPr>
      <w:bookmarkStart w:id="768" w:name="bookmark768"/>
      <w:bookmarkEnd w:id="768"/>
      <w:r>
        <w:rPr>
          <w:color w:val="000000"/>
          <w:spacing w:val="0"/>
          <w:w w:val="100"/>
          <w:position w:val="0"/>
        </w:rPr>
        <w:t>统一母子公司的会计政策、统一母子公司的资产负债表日及会计期间</w:t>
      </w:r>
    </w:p>
    <w:p>
      <w:pPr>
        <w:pStyle w:val="Style27"/>
        <w:keepNext w:val="0"/>
        <w:keepLines w:val="0"/>
        <w:widowControl w:val="0"/>
        <w:shd w:val="clear" w:color="auto" w:fill="auto"/>
        <w:bidi w:val="0"/>
        <w:spacing w:before="0" w:after="100" w:line="326" w:lineRule="exact"/>
        <w:ind w:left="0" w:right="0" w:firstLine="0"/>
        <w:jc w:val="both"/>
      </w:pPr>
      <w:r>
        <w:rPr>
          <w:color w:val="000000"/>
          <w:spacing w:val="0"/>
          <w:w w:val="100"/>
          <w:position w:val="0"/>
        </w:rPr>
        <w:t>子公司与本公司采用的会计政策或会计期间不一致的，在编制合并财务报表时，按照本公司的会计政策或会计期间对子公司 财务报表进行必要的调整。</w:t>
      </w:r>
    </w:p>
    <w:p>
      <w:pPr>
        <w:pStyle w:val="Style27"/>
        <w:keepNext w:val="0"/>
        <w:keepLines w:val="0"/>
        <w:widowControl w:val="0"/>
        <w:numPr>
          <w:ilvl w:val="0"/>
          <w:numId w:val="11"/>
        </w:numPr>
        <w:shd w:val="clear" w:color="auto" w:fill="auto"/>
        <w:tabs>
          <w:tab w:pos="320" w:val="left"/>
        </w:tabs>
        <w:bidi w:val="0"/>
        <w:spacing w:before="0" w:after="0" w:line="360" w:lineRule="auto"/>
        <w:ind w:left="0" w:right="0" w:firstLine="0"/>
        <w:jc w:val="both"/>
      </w:pPr>
      <w:bookmarkStart w:id="769" w:name="bookmark769"/>
      <w:bookmarkEnd w:id="769"/>
      <w:r>
        <w:rPr>
          <w:color w:val="000000"/>
          <w:spacing w:val="0"/>
          <w:w w:val="100"/>
          <w:position w:val="0"/>
        </w:rPr>
        <w:t>合并财务报表抵销事项</w:t>
      </w:r>
    </w:p>
    <w:p>
      <w:pPr>
        <w:pStyle w:val="Style27"/>
        <w:keepNext w:val="0"/>
        <w:keepLines w:val="0"/>
        <w:widowControl w:val="0"/>
        <w:shd w:val="clear" w:color="auto" w:fill="auto"/>
        <w:bidi w:val="0"/>
        <w:spacing w:before="0" w:after="100"/>
        <w:ind w:left="0" w:right="0" w:firstLine="0"/>
        <w:jc w:val="both"/>
      </w:pPr>
      <w:r>
        <w:rPr>
          <w:color w:val="000000"/>
          <w:spacing w:val="0"/>
          <w:w w:val="100"/>
          <w:position w:val="0"/>
        </w:rPr>
        <w:t>合并财务报表以本公司和子公司的财务报表为基础，已抵销了本公司与子公司、子公司相互之间发生的内部交易。子公司所 有者权益中不属于本公司的份额，作为少数股东权益，在合并资产负债表中股东权益项目下以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 公司持有本公司的长期股权投资，视为本公司的库存股，作为股东权益的减项，在合并资产负债表中股东权益项目下以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 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7"/>
        <w:keepNext w:val="0"/>
        <w:keepLines w:val="0"/>
        <w:widowControl w:val="0"/>
        <w:numPr>
          <w:ilvl w:val="0"/>
          <w:numId w:val="11"/>
        </w:numPr>
        <w:shd w:val="clear" w:color="auto" w:fill="auto"/>
        <w:tabs>
          <w:tab w:pos="320" w:val="left"/>
        </w:tabs>
        <w:bidi w:val="0"/>
        <w:spacing w:before="0" w:after="0" w:line="360" w:lineRule="auto"/>
        <w:ind w:left="0" w:right="0" w:firstLine="0"/>
        <w:jc w:val="both"/>
      </w:pPr>
      <w:bookmarkStart w:id="770" w:name="bookmark770"/>
      <w:bookmarkEnd w:id="770"/>
      <w:r>
        <w:rPr>
          <w:color w:val="000000"/>
          <w:spacing w:val="0"/>
          <w:w w:val="100"/>
          <w:position w:val="0"/>
        </w:rPr>
        <w:t>合并取得子公司会计处理</w:t>
      </w:r>
    </w:p>
    <w:p>
      <w:pPr>
        <w:pStyle w:val="Style27"/>
        <w:keepNext w:val="0"/>
        <w:keepLines w:val="0"/>
        <w:widowControl w:val="0"/>
        <w:shd w:val="clear" w:color="auto" w:fill="auto"/>
        <w:bidi w:val="0"/>
        <w:spacing w:before="0" w:after="400"/>
        <w:ind w:left="0" w:right="0" w:firstLine="0"/>
        <w:jc w:val="both"/>
      </w:pPr>
      <w:r>
        <w:rPr>
          <w:color w:val="000000"/>
          <w:spacing w:val="0"/>
          <w:w w:val="100"/>
          <w:position w:val="0"/>
        </w:rPr>
        <w:t>对于同一控制下企业合并取得的子公司，视同该企业合并于自最终控制方开始实施控制时已经发生，从合并当期的期初起将 其资产、负债、经营成果和现金流量纳入合并财务报表；对于非同一控制下企业合并取得的子公司，在编制合并财务报表时， 以购买日可辨认净资产公允价值为基础对其个别财务报表进行调整。</w:t>
      </w:r>
    </w:p>
    <w:p>
      <w:pPr>
        <w:pStyle w:val="Style27"/>
        <w:keepNext w:val="0"/>
        <w:keepLines w:val="0"/>
        <w:widowControl w:val="0"/>
        <w:numPr>
          <w:ilvl w:val="0"/>
          <w:numId w:val="11"/>
        </w:numPr>
        <w:shd w:val="clear" w:color="auto" w:fill="auto"/>
        <w:bidi w:val="0"/>
        <w:spacing w:before="0" w:after="0" w:line="312" w:lineRule="exact"/>
        <w:ind w:left="0" w:right="0" w:firstLine="0"/>
        <w:jc w:val="both"/>
      </w:pPr>
      <w:bookmarkStart w:id="771" w:name="bookmark771"/>
      <w:bookmarkEnd w:id="771"/>
      <w:r>
        <w:rPr>
          <w:color w:val="000000"/>
          <w:spacing w:val="0"/>
          <w:w w:val="100"/>
          <w:position w:val="0"/>
        </w:rPr>
        <w:t>处置子公司的会计处理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在不丧失控制权的情况下部分处置对子公司的长期股权投资，在合并财务报表中，处置价款与处置长期股权投资相对应享有 子公司自购买日或合并日开始持续计算的净资产份额之间的差额，调整资本公积（资本溢价或股本溢价），资本公积不足冲 减的，调整留存收益。</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因处置部分股权投资等原因丧失了对被投资方的控制权的，在编制合并财务报表时，对于剩余股权，按照其在丧失控制权日 的公允价值进行重新计量。处置股权取得的对价与剩余股权公允价值之和，减去按原持股比例计算应享有原有子公司自购买 日或合并日开始持续计算的净资产的份额之间的差额，计入丧失控制权当期的投资收益，同时冲减商誉。与原有子公司股权 投资相关的其他综合收益等，在丧失控制权时转为当期投资收益。</w:t>
      </w:r>
    </w:p>
    <w:p>
      <w:pPr>
        <w:pStyle w:val="Style31"/>
        <w:keepNext/>
        <w:keepLines/>
        <w:widowControl w:val="0"/>
        <w:shd w:val="clear" w:color="auto" w:fill="auto"/>
        <w:tabs>
          <w:tab w:pos="329" w:val="left"/>
        </w:tabs>
        <w:bidi w:val="0"/>
        <w:spacing w:before="0" w:after="380" w:line="24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w:t>
        <w:tab/>
        <w:t>合营安排分类及共同经营会计处理方法</w:t>
      </w:r>
      <w:bookmarkEnd w:id="772"/>
      <w:bookmarkEnd w:id="773"/>
      <w:bookmarkEnd w:id="775"/>
    </w:p>
    <w:p>
      <w:pPr>
        <w:pStyle w:val="Style27"/>
        <w:keepNext w:val="0"/>
        <w:keepLines w:val="0"/>
        <w:widowControl w:val="0"/>
        <w:numPr>
          <w:ilvl w:val="0"/>
          <w:numId w:val="13"/>
        </w:numPr>
        <w:shd w:val="clear" w:color="auto" w:fill="auto"/>
        <w:tabs>
          <w:tab w:pos="257" w:val="left"/>
        </w:tabs>
        <w:bidi w:val="0"/>
        <w:spacing w:before="0" w:after="0" w:line="360" w:lineRule="auto"/>
        <w:ind w:left="0" w:right="0" w:firstLine="0"/>
        <w:jc w:val="both"/>
      </w:pPr>
      <w:bookmarkStart w:id="776" w:name="bookmark776"/>
      <w:bookmarkEnd w:id="776"/>
      <w:r>
        <w:rPr>
          <w:color w:val="000000"/>
          <w:spacing w:val="0"/>
          <w:w w:val="100"/>
          <w:position w:val="0"/>
        </w:rPr>
        <w:t>合营安排的分类</w:t>
      </w:r>
    </w:p>
    <w:p>
      <w:pPr>
        <w:pStyle w:val="Style27"/>
        <w:keepNext w:val="0"/>
        <w:keepLines w:val="0"/>
        <w:widowControl w:val="0"/>
        <w:shd w:val="clear" w:color="auto" w:fill="auto"/>
        <w:bidi w:val="0"/>
        <w:spacing w:before="0" w:after="100" w:line="315" w:lineRule="exact"/>
        <w:ind w:left="0" w:right="0" w:firstLine="0"/>
        <w:jc w:val="both"/>
      </w:pPr>
      <w:r>
        <w:rPr>
          <w:color w:val="000000"/>
          <w:spacing w:val="0"/>
          <w:w w:val="100"/>
          <w:position w:val="0"/>
        </w:rPr>
        <w:t>合营安排分为共同经营和合营企业。未通过单独主体达成的合营安排，划分为共同经营。单独主体，是指具有单独可辨认的 财务架构的主体，包括单独的法人主体和不具备法人主体资格但法律认可的主体。通过单独主体达成的合营安排，通常划分 为合营企业。相关事实和情况变化导致合营方在合营安排中享有的权利和承担的义务发生变化的，合营方对合营安排的分类 进行重新评估。</w:t>
      </w:r>
    </w:p>
    <w:p>
      <w:pPr>
        <w:pStyle w:val="Style27"/>
        <w:keepNext w:val="0"/>
        <w:keepLines w:val="0"/>
        <w:widowControl w:val="0"/>
        <w:numPr>
          <w:ilvl w:val="0"/>
          <w:numId w:val="13"/>
        </w:numPr>
        <w:shd w:val="clear" w:color="auto" w:fill="auto"/>
        <w:tabs>
          <w:tab w:pos="276" w:val="left"/>
        </w:tabs>
        <w:bidi w:val="0"/>
        <w:spacing w:before="0" w:after="0" w:line="360" w:lineRule="auto"/>
        <w:ind w:left="0" w:right="0" w:firstLine="0"/>
        <w:jc w:val="both"/>
      </w:pPr>
      <w:bookmarkStart w:id="777" w:name="bookmark777"/>
      <w:bookmarkEnd w:id="777"/>
      <w:r>
        <w:rPr>
          <w:color w:val="000000"/>
          <w:spacing w:val="0"/>
          <w:w w:val="100"/>
          <w:position w:val="0"/>
        </w:rPr>
        <w:t>共同经营的会计处理</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本公司为共同经营参与方，确认与共同经营中利益份额相关的下列项目，并按照相关企业会计准则的规定进行会计处理：确 认单独所持有的资产或负债，以及按份额确认共同持有的资产或负债；确认出售享有的共同经营产出份额所产生的收入；按 份额确认共同经营因出售产出所产生的收入；确认单独所发生的费用，以及按份额确认共同经营发生的费用。</w:t>
      </w:r>
    </w:p>
    <w:p>
      <w:pPr>
        <w:pStyle w:val="Style27"/>
        <w:keepNext w:val="0"/>
        <w:keepLines w:val="0"/>
        <w:widowControl w:val="0"/>
        <w:shd w:val="clear" w:color="auto" w:fill="auto"/>
        <w:bidi w:val="0"/>
        <w:spacing w:before="0" w:after="100" w:line="315" w:lineRule="exact"/>
        <w:ind w:left="0" w:right="0" w:firstLine="0"/>
        <w:jc w:val="both"/>
      </w:pPr>
      <w:r>
        <w:rPr>
          <w:color w:val="000000"/>
          <w:spacing w:val="0"/>
          <w:w w:val="100"/>
          <w:position w:val="0"/>
        </w:rPr>
        <w:t>本公司为对共同经营不享有共同控制的参与方，如果享有该共同经营相关资产且承担该共同经营相关负债，则参照共同经营 参与方的规定进行会计处理；否则，按照相关企业会计准则的规定进行会计处理。</w:t>
      </w:r>
    </w:p>
    <w:p>
      <w:pPr>
        <w:pStyle w:val="Style27"/>
        <w:keepNext w:val="0"/>
        <w:keepLines w:val="0"/>
        <w:widowControl w:val="0"/>
        <w:numPr>
          <w:ilvl w:val="0"/>
          <w:numId w:val="13"/>
        </w:numPr>
        <w:shd w:val="clear" w:color="auto" w:fill="auto"/>
        <w:tabs>
          <w:tab w:pos="276" w:val="left"/>
        </w:tabs>
        <w:bidi w:val="0"/>
        <w:spacing w:before="0" w:after="0" w:line="360" w:lineRule="auto"/>
        <w:ind w:left="0" w:right="0" w:firstLine="0"/>
        <w:jc w:val="both"/>
      </w:pPr>
      <w:bookmarkStart w:id="778" w:name="bookmark778"/>
      <w:bookmarkEnd w:id="778"/>
      <w:r>
        <w:rPr>
          <w:color w:val="000000"/>
          <w:spacing w:val="0"/>
          <w:w w:val="100"/>
          <w:position w:val="0"/>
        </w:rPr>
        <w:t>合营企业的会计处理</w:t>
      </w:r>
    </w:p>
    <w:p>
      <w:pPr>
        <w:pStyle w:val="Style2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本公司为合营企业合营方，按照《企业会计准则第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号——长期股权投资》的规定对合营企业的投资进行会计处理；本公司 为非合营方，根据对该合营企业的影响程度进行会计处理。</w:t>
      </w:r>
    </w:p>
    <w:p>
      <w:pPr>
        <w:pStyle w:val="Style31"/>
        <w:keepNext/>
        <w:keepLines/>
        <w:widowControl w:val="0"/>
        <w:shd w:val="clear" w:color="auto" w:fill="auto"/>
        <w:tabs>
          <w:tab w:pos="334" w:val="left"/>
        </w:tabs>
        <w:bidi w:val="0"/>
        <w:spacing w:before="0" w:after="2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w:t>
        <w:tab/>
        <w:t>现金及现金等价物的确定标准</w:t>
      </w:r>
      <w:bookmarkEnd w:id="779"/>
      <w:bookmarkEnd w:id="780"/>
      <w:bookmarkEnd w:id="782"/>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本公司在编制现金流量表时所确定的现金，是指本公司库存现金以及可以随时用于支付的存款。在编制现金流量表时所确定 的现金等价物，是指持有的期限短、流动性强、易于转换为已知金额现金、价值变动风险很小的投资。</w:t>
      </w:r>
    </w:p>
    <w:p>
      <w:pPr>
        <w:pStyle w:val="Style31"/>
        <w:keepNext/>
        <w:keepLines/>
        <w:widowControl w:val="0"/>
        <w:shd w:val="clear" w:color="auto" w:fill="auto"/>
        <w:tabs>
          <w:tab w:pos="334" w:val="left"/>
        </w:tabs>
        <w:bidi w:val="0"/>
        <w:spacing w:before="0" w:after="38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w:t>
        <w:tab/>
        <w:t>外币业务和外币报表折算</w:t>
      </w:r>
      <w:bookmarkEnd w:id="783"/>
      <w:bookmarkEnd w:id="784"/>
      <w:bookmarkEnd w:id="786"/>
    </w:p>
    <w:p>
      <w:pPr>
        <w:pStyle w:val="Style27"/>
        <w:keepNext w:val="0"/>
        <w:keepLines w:val="0"/>
        <w:widowControl w:val="0"/>
        <w:numPr>
          <w:ilvl w:val="0"/>
          <w:numId w:val="15"/>
        </w:numPr>
        <w:shd w:val="clear" w:color="auto" w:fill="auto"/>
        <w:tabs>
          <w:tab w:pos="257" w:val="left"/>
        </w:tabs>
        <w:bidi w:val="0"/>
        <w:spacing w:before="0" w:after="0" w:line="360" w:lineRule="auto"/>
        <w:ind w:left="0" w:right="0" w:firstLine="0"/>
        <w:jc w:val="both"/>
      </w:pPr>
      <w:bookmarkStart w:id="787" w:name="bookmark787"/>
      <w:bookmarkEnd w:id="787"/>
      <w:r>
        <w:rPr>
          <w:color w:val="000000"/>
          <w:spacing w:val="0"/>
          <w:w w:val="100"/>
          <w:position w:val="0"/>
        </w:rPr>
        <w:t>外币业务折算</w:t>
      </w:r>
    </w:p>
    <w:p>
      <w:pPr>
        <w:pStyle w:val="Style2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本公司对发生的外币交易，采用与交易发生日即期汇率折合本位币入账。资产负债表日外币货币性项目按资产负债表日即期 汇率折算，因该日的即期汇率与初始确认时或者前一资产负债表日即期汇率不同而产生的汇兑差额，除符合资本化条件的外 币专门借款的汇兑差额在资本化期间予以资本化计入相关资产的成本外，均计入当期损益。以历史成本计量的外币非货币性 项目，仍采用交易发生日的即期汇率折算，不改变其记账本位币金额。以公允价值计量的外币非货币性项目，采用公允价值 确定日的即期汇率折算，折算后的记账本位币金额与原记账本位币金额的差额，作为公允价值变动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 当期损益或确认为其他综合收益。</w:t>
      </w:r>
    </w:p>
    <w:p>
      <w:pPr>
        <w:pStyle w:val="Style27"/>
        <w:keepNext w:val="0"/>
        <w:keepLines w:val="0"/>
        <w:widowControl w:val="0"/>
        <w:numPr>
          <w:ilvl w:val="0"/>
          <w:numId w:val="15"/>
        </w:numPr>
        <w:shd w:val="clear" w:color="auto" w:fill="auto"/>
        <w:tabs>
          <w:tab w:pos="276" w:val="left"/>
        </w:tabs>
        <w:bidi w:val="0"/>
        <w:spacing w:before="0" w:after="0" w:line="360" w:lineRule="auto"/>
        <w:ind w:left="0" w:right="0" w:firstLine="0"/>
        <w:jc w:val="both"/>
      </w:pPr>
      <w:bookmarkStart w:id="788" w:name="bookmark788"/>
      <w:bookmarkEnd w:id="788"/>
      <w:r>
        <w:rPr>
          <w:color w:val="000000"/>
          <w:spacing w:val="0"/>
          <w:w w:val="100"/>
          <w:position w:val="0"/>
        </w:rPr>
        <w:t>外币财务报表折算</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本公司的子公司、合营企业、联营企业等，若采用与本公司不同的记账本位币，需对其外币财务报表折算后，再进行会计核 算及合并财务报表的编报。资产负债表中的资产和负债项目，采用资产负债表日的即期汇率折算，所有者权益项目除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 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项目外，其他项目采用发生时的即期汇率折算。利润表中的收入和费用项目，采用交易发生日的即期汇率折算。折 算产生的外币财务报表折算差额，在资产负债表中所有者权益项目其他综合收益下列示。外币现金流量应当采用现金流量发 </w:t>
      </w:r>
      <w:r>
        <w:rPr>
          <w:color w:val="000000"/>
          <w:spacing w:val="0"/>
          <w:w w:val="100"/>
          <w:position w:val="0"/>
        </w:rPr>
        <w:t>生日的即期汇率。汇率变动对现金的影响额，在现金流量表中单独列示。处置境外经营时，与该境外经营有关的外币报表折 算差额，全部或按处置该境外经营的比例转入处置当期损益。</w:t>
      </w:r>
    </w:p>
    <w:p>
      <w:pPr>
        <w:pStyle w:val="Style31"/>
        <w:keepNext/>
        <w:keepLines/>
        <w:widowControl w:val="0"/>
        <w:shd w:val="clear" w:color="auto" w:fill="auto"/>
        <w:bidi w:val="0"/>
        <w:spacing w:before="0" w:after="38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9"/>
      <w:bookmarkEnd w:id="790"/>
      <w:bookmarkEnd w:id="792"/>
    </w:p>
    <w:p>
      <w:pPr>
        <w:pStyle w:val="Style27"/>
        <w:keepNext w:val="0"/>
        <w:keepLines w:val="0"/>
        <w:widowControl w:val="0"/>
        <w:numPr>
          <w:ilvl w:val="0"/>
          <w:numId w:val="17"/>
        </w:numPr>
        <w:shd w:val="clear" w:color="auto" w:fill="auto"/>
        <w:tabs>
          <w:tab w:pos="262" w:val="left"/>
        </w:tabs>
        <w:bidi w:val="0"/>
        <w:spacing w:before="0" w:after="0" w:line="360" w:lineRule="auto"/>
        <w:ind w:left="0" w:right="0" w:firstLine="0"/>
        <w:jc w:val="both"/>
      </w:pPr>
      <w:bookmarkStart w:id="793" w:name="bookmark793"/>
      <w:bookmarkEnd w:id="793"/>
      <w:r>
        <w:rPr>
          <w:color w:val="000000"/>
          <w:spacing w:val="0"/>
          <w:w w:val="100"/>
          <w:position w:val="0"/>
        </w:rPr>
        <w:t>金融工具的分类及重分类</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金融工具，是指形成一方的金融资产并形成其他方的金融负债或权益工具的合同。</w:t>
      </w:r>
    </w:p>
    <w:p>
      <w:pPr>
        <w:pStyle w:val="Style27"/>
        <w:keepNext w:val="0"/>
        <w:keepLines w:val="0"/>
        <w:widowControl w:val="0"/>
        <w:shd w:val="clear" w:color="auto" w:fill="auto"/>
        <w:tabs>
          <w:tab w:pos="406" w:val="left"/>
        </w:tabs>
        <w:bidi w:val="0"/>
        <w:spacing w:before="0" w:after="0" w:line="311" w:lineRule="exact"/>
        <w:ind w:left="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本公司将同时符合下列条件的金融资产分类为以摊余成本计量的金融资产:①本公司管理金融资产的业务模式是以收取合同 现金流量为目标；②该金融资产的合同条款规定，在特定日期产生的现金流量仅为对本金和以未偿付本金金额为基础的利息 的支付。</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本公司将同时符合下列条件的金融资产分类为以公允价值计量且其变动计入其他综合收益的金融资产:①本公司管理金融资 产的业务模式既以收取合同现金流量又以出售该金融资产为目标；②该金融资产的合同条款规定，在特定日期产生的现金流 量，仅为对本金和以未偿付本金金额为基础的利息的支付。</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对于非交易性权益工具投资，本公司可在初始确认时将其不可撤销地指定为以公允价值计量且其变动计入其他综合收益的金 融资产。该指定在单项投资的基础上作出，且相关投资从发行者的角度符合权益工具的定义。</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除分类为以摊余成本计量的金融资产和以公允价值计量且其变动计入其他综合收益的金融资产之外的金融资产，本公司将其 分类为以公允价值计量且其变动计入当期损益的金融资产。在初始确认时，如果能消除或减少会计错配，本公司可以将金融 资产不可撤销地指定为以公允价值计量且其变动计入当期损益的金融资产。</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本公司改变管理金融资产的业务模式时,将对所有受影响的相关金融资产在业务模式发生变更后的首个报告期间的第一天进 行重分类，且自重分类日起采用未来适用法进行相关会计处理，不对以前已经确认的利得、损失（包括减值损失或利得）或 利息进行追溯调整。</w:t>
      </w:r>
    </w:p>
    <w:p>
      <w:pPr>
        <w:pStyle w:val="Style27"/>
        <w:keepNext w:val="0"/>
        <w:keepLines w:val="0"/>
        <w:widowControl w:val="0"/>
        <w:shd w:val="clear" w:color="auto" w:fill="auto"/>
        <w:tabs>
          <w:tab w:pos="406" w:val="left"/>
        </w:tabs>
        <w:bidi w:val="0"/>
        <w:spacing w:before="0" w:after="0" w:line="311"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7"/>
        <w:keepNext w:val="0"/>
        <w:keepLines w:val="0"/>
        <w:widowControl w:val="0"/>
        <w:shd w:val="clear" w:color="auto" w:fill="auto"/>
        <w:bidi w:val="0"/>
        <w:spacing w:before="0" w:after="100" w:line="311" w:lineRule="exact"/>
        <w:ind w:left="0" w:right="0" w:firstLine="0"/>
        <w:jc w:val="both"/>
      </w:pPr>
      <w:r>
        <w:rPr>
          <w:color w:val="000000"/>
          <w:spacing w:val="0"/>
          <w:w w:val="100"/>
          <w:position w:val="0"/>
        </w:rPr>
        <w:t>金融负债于初始确认时分类为：以公允价值计量且其变动计入当期损益的金融负债；金融资产转移不符合终止确认条件或继 续涉入被转移金融资产所形成的金融负债；以摊余成本计量的金融负债。所有的金融负债不进行重分类。</w:t>
      </w:r>
    </w:p>
    <w:p>
      <w:pPr>
        <w:pStyle w:val="Style27"/>
        <w:keepNext w:val="0"/>
        <w:keepLines w:val="0"/>
        <w:widowControl w:val="0"/>
        <w:numPr>
          <w:ilvl w:val="0"/>
          <w:numId w:val="17"/>
        </w:numPr>
        <w:shd w:val="clear" w:color="auto" w:fill="auto"/>
        <w:tabs>
          <w:tab w:pos="291" w:val="left"/>
        </w:tabs>
        <w:bidi w:val="0"/>
        <w:spacing w:before="0" w:after="0" w:line="360" w:lineRule="auto"/>
        <w:ind w:left="0" w:right="0" w:firstLine="0"/>
        <w:jc w:val="both"/>
      </w:pPr>
      <w:bookmarkStart w:id="796" w:name="bookmark796"/>
      <w:bookmarkEnd w:id="796"/>
      <w:r>
        <w:rPr>
          <w:color w:val="000000"/>
          <w:spacing w:val="0"/>
          <w:w w:val="100"/>
          <w:position w:val="0"/>
        </w:rPr>
        <w:t>金融工具的计量</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本公司金融工具初始确认按照公允价值计量。对于以公允价值计量且其变动计入当期损益的金融资产和金融负债，相关交易 费用直接计入当期损益；对于其他类别的金融资产或金融负债，相关交易费用计入初始确认金额。因销售产品或提供劳务而 产生的、未包含或不考虑重大融资成分的应收账款或应收票据，本公司按照预期有权收取的对价金额作为初始确认金额。金 融工具的后续计量取决于其分类。</w:t>
      </w:r>
    </w:p>
    <w:p>
      <w:pPr>
        <w:pStyle w:val="Style27"/>
        <w:keepNext w:val="0"/>
        <w:keepLines w:val="0"/>
        <w:widowControl w:val="0"/>
        <w:shd w:val="clear" w:color="auto" w:fill="auto"/>
        <w:tabs>
          <w:tab w:pos="406" w:val="left"/>
        </w:tabs>
        <w:bidi w:val="0"/>
        <w:spacing w:before="0" w:after="0" w:line="311" w:lineRule="exact"/>
        <w:ind w:left="0" w:right="0" w:firstLine="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27"/>
        <w:keepNext w:val="0"/>
        <w:keepLines w:val="0"/>
        <w:widowControl w:val="0"/>
        <w:numPr>
          <w:ilvl w:val="0"/>
          <w:numId w:val="19"/>
        </w:numPr>
        <w:shd w:val="clear" w:color="auto" w:fill="auto"/>
        <w:tabs>
          <w:tab w:pos="334" w:val="left"/>
        </w:tabs>
        <w:bidi w:val="0"/>
        <w:spacing w:before="0" w:after="0" w:line="311" w:lineRule="exact"/>
        <w:ind w:left="0" w:right="0" w:firstLine="0"/>
        <w:jc w:val="both"/>
      </w:pPr>
      <w:bookmarkStart w:id="798" w:name="bookmark798"/>
      <w:bookmarkEnd w:id="798"/>
      <w:r>
        <w:rPr>
          <w:color w:val="000000"/>
          <w:spacing w:val="0"/>
          <w:w w:val="100"/>
          <w:position w:val="0"/>
        </w:rPr>
        <w:t>以摊余成本计量的金融资产。初始确认后，对于该类金融资产采用实际利率法以摊余成本计量。以摊余成本计量且不属于 任何套期关系的金融资产所产生的利得或损失，在终止确认、重分类、按照实际利率法摊销或确认减值时，计入当期损益。</w:t>
      </w:r>
    </w:p>
    <w:p>
      <w:pPr>
        <w:pStyle w:val="Style27"/>
        <w:keepNext w:val="0"/>
        <w:keepLines w:val="0"/>
        <w:widowControl w:val="0"/>
        <w:numPr>
          <w:ilvl w:val="0"/>
          <w:numId w:val="19"/>
        </w:numPr>
        <w:shd w:val="clear" w:color="auto" w:fill="auto"/>
        <w:tabs>
          <w:tab w:pos="334" w:val="left"/>
        </w:tabs>
        <w:bidi w:val="0"/>
        <w:spacing w:before="0" w:after="0" w:line="311" w:lineRule="exact"/>
        <w:ind w:left="0" w:right="0" w:firstLine="0"/>
        <w:jc w:val="both"/>
      </w:pPr>
      <w:bookmarkStart w:id="799" w:name="bookmark799"/>
      <w:bookmarkEnd w:id="799"/>
      <w:r>
        <w:rPr>
          <w:color w:val="000000"/>
          <w:spacing w:val="0"/>
          <w:w w:val="100"/>
          <w:position w:val="0"/>
        </w:rPr>
        <w:t>以公允价值计量且其变动计入当期损益的金融资产。初始确认后，对于该类金融资产（除属于套期关系的一部分金融资产 外），以公允价值进行后续计量，产生的利得或损失（包括利息和股利收入）计入当期损益。</w:t>
      </w:r>
    </w:p>
    <w:p>
      <w:pPr>
        <w:pStyle w:val="Style27"/>
        <w:keepNext w:val="0"/>
        <w:keepLines w:val="0"/>
        <w:widowControl w:val="0"/>
        <w:numPr>
          <w:ilvl w:val="0"/>
          <w:numId w:val="19"/>
        </w:numPr>
        <w:shd w:val="clear" w:color="auto" w:fill="auto"/>
        <w:tabs>
          <w:tab w:pos="334" w:val="left"/>
        </w:tabs>
        <w:bidi w:val="0"/>
        <w:spacing w:before="0" w:after="0" w:line="311" w:lineRule="exact"/>
        <w:ind w:left="0" w:right="0" w:firstLine="0"/>
        <w:jc w:val="both"/>
      </w:pPr>
      <w:bookmarkStart w:id="800" w:name="bookmark800"/>
      <w:bookmarkEnd w:id="800"/>
      <w:r>
        <w:rPr>
          <w:color w:val="000000"/>
          <w:spacing w:val="0"/>
          <w:w w:val="100"/>
          <w:position w:val="0"/>
        </w:rPr>
        <w:t>以公允价值计量且其变动计入其他综合收益的债务工具投资。初始确认后，对于该类金融资产以公允价值进行后续计量。 采用实际利率法计算的利息、减值损失或利得及汇兑损益计入当期损益，其他利得或损失均计入其他综合收益。终止确认时， 将之前计入其他综合收益的累计利得或损失从其他综合收益中转出，计入当期损益。</w:t>
      </w:r>
    </w:p>
    <w:p>
      <w:pPr>
        <w:pStyle w:val="Style27"/>
        <w:keepNext w:val="0"/>
        <w:keepLines w:val="0"/>
        <w:widowControl w:val="0"/>
        <w:shd w:val="clear" w:color="auto" w:fill="auto"/>
        <w:tabs>
          <w:tab w:pos="406" w:val="left"/>
        </w:tabs>
        <w:bidi w:val="0"/>
        <w:spacing w:before="0" w:after="0" w:line="311" w:lineRule="exact"/>
        <w:ind w:left="0" w:right="0" w:firstLine="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7"/>
        <w:keepNext w:val="0"/>
        <w:keepLines w:val="0"/>
        <w:widowControl w:val="0"/>
        <w:numPr>
          <w:ilvl w:val="0"/>
          <w:numId w:val="21"/>
        </w:numPr>
        <w:shd w:val="clear" w:color="auto" w:fill="auto"/>
        <w:bidi w:val="0"/>
        <w:spacing w:before="0" w:after="0" w:line="311" w:lineRule="exact"/>
        <w:ind w:left="0" w:right="0" w:firstLine="0"/>
        <w:jc w:val="both"/>
      </w:pPr>
      <w:bookmarkStart w:id="802" w:name="bookmark802"/>
      <w:bookmarkEnd w:id="802"/>
      <w:r>
        <w:rPr>
          <w:color w:val="000000"/>
          <w:spacing w:val="0"/>
          <w:w w:val="100"/>
          <w:position w:val="0"/>
        </w:rPr>
        <w:t>以公允价值计量且其变动计入当期损益的金融负债。该类金融负债包括交易性金融负债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和指 定为以公允价值计量且其变动计入当期损益的金融负债。初始确认后，对于该类金融负债以公允价值进行后续计量，除与套 期会计有关外，交易性金融负债公允价值变动形成的利得或损失（包括利息费用）计入当期损益。指定为以公允价值计量且 其变动计入当期损益的金融负债的，由企业自身信用风险变动引起的该金融负债公允价值的变动金额，计入其他综合收益， 其他公允价值变动计入当期损益。如果对该金融负债的自身信用风险变动的影响计入其他综合收益会造成或扩大损益中的会 </w:t>
      </w:r>
      <w:r>
        <w:rPr>
          <w:color w:val="000000"/>
          <w:spacing w:val="0"/>
          <w:w w:val="100"/>
          <w:position w:val="0"/>
        </w:rPr>
        <w:t>计错配的，本公司将该金融负债的全部利得或损失计入当期损益。</w:t>
      </w:r>
    </w:p>
    <w:p>
      <w:pPr>
        <w:pStyle w:val="Style27"/>
        <w:keepNext w:val="0"/>
        <w:keepLines w:val="0"/>
        <w:widowControl w:val="0"/>
        <w:numPr>
          <w:ilvl w:val="0"/>
          <w:numId w:val="21"/>
        </w:numPr>
        <w:shd w:val="clear" w:color="auto" w:fill="auto"/>
        <w:bidi w:val="0"/>
        <w:spacing w:before="0" w:after="100" w:line="313" w:lineRule="exact"/>
        <w:ind w:left="0" w:right="0" w:firstLine="0"/>
        <w:jc w:val="left"/>
      </w:pPr>
      <w:bookmarkStart w:id="803" w:name="bookmark803"/>
      <w:bookmarkEnd w:id="803"/>
      <w:r>
        <w:rPr>
          <w:color w:val="000000"/>
          <w:spacing w:val="0"/>
          <w:w w:val="100"/>
          <w:position w:val="0"/>
        </w:rPr>
        <w:t>以摊余成本计量的金融负债。初始确认后，对此类金融负债采用实际利率法以摊余成本计量。</w:t>
      </w:r>
    </w:p>
    <w:p>
      <w:pPr>
        <w:pStyle w:val="Style27"/>
        <w:keepNext w:val="0"/>
        <w:keepLines w:val="0"/>
        <w:widowControl w:val="0"/>
        <w:numPr>
          <w:ilvl w:val="0"/>
          <w:numId w:val="17"/>
        </w:numPr>
        <w:shd w:val="clear" w:color="auto" w:fill="auto"/>
        <w:tabs>
          <w:tab w:pos="296" w:val="left"/>
        </w:tabs>
        <w:bidi w:val="0"/>
        <w:spacing w:before="0" w:after="0" w:line="360" w:lineRule="auto"/>
        <w:ind w:left="0" w:right="0" w:firstLine="0"/>
        <w:jc w:val="left"/>
      </w:pPr>
      <w:bookmarkStart w:id="804" w:name="bookmark804"/>
      <w:bookmarkEnd w:id="804"/>
      <w:r>
        <w:rPr>
          <w:color w:val="000000"/>
          <w:spacing w:val="0"/>
          <w:w w:val="100"/>
          <w:position w:val="0"/>
        </w:rPr>
        <w:t>本公司对金融工具的公允价值的确认方法</w:t>
      </w:r>
    </w:p>
    <w:p>
      <w:pPr>
        <w:pStyle w:val="Style2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如存在活跃市场的金融工具，以活跃市场中的报价确定其公允价值；如不存在活跃市场的金融工具，采用估值技术确定其公 允价值。估值技术主要包括市场法、收益法和成本法。在有限情况下，如果用以确定公允价值的近期信息不足，或者公允价 值的可能估计金额分布范围很广，而成本代表了该范围内对公允价值的最佳估计的，该成本可代表其在该分布范围内对公允 价值的恰当估计。本公司利用初始确认日后可获得的关于被投资方业绩和经营的所有信息，判断成本能否代表公允价值。</w:t>
      </w:r>
    </w:p>
    <w:p>
      <w:pPr>
        <w:pStyle w:val="Style27"/>
        <w:keepNext w:val="0"/>
        <w:keepLines w:val="0"/>
        <w:widowControl w:val="0"/>
        <w:numPr>
          <w:ilvl w:val="0"/>
          <w:numId w:val="17"/>
        </w:numPr>
        <w:shd w:val="clear" w:color="auto" w:fill="auto"/>
        <w:tabs>
          <w:tab w:pos="305" w:val="left"/>
        </w:tabs>
        <w:bidi w:val="0"/>
        <w:spacing w:before="0" w:after="0" w:line="360" w:lineRule="auto"/>
        <w:ind w:left="0" w:right="0" w:firstLine="0"/>
        <w:jc w:val="both"/>
      </w:pPr>
      <w:bookmarkStart w:id="805" w:name="bookmark805"/>
      <w:bookmarkEnd w:id="805"/>
      <w:r>
        <w:rPr>
          <w:color w:val="000000"/>
          <w:spacing w:val="0"/>
          <w:w w:val="100"/>
          <w:position w:val="0"/>
        </w:rPr>
        <w:t>金融资产和金融负债转移的确认依据和计量方法</w:t>
      </w:r>
    </w:p>
    <w:p>
      <w:pPr>
        <w:pStyle w:val="Style27"/>
        <w:keepNext w:val="0"/>
        <w:keepLines w:val="0"/>
        <w:widowControl w:val="0"/>
        <w:shd w:val="clear" w:color="auto" w:fill="auto"/>
        <w:tabs>
          <w:tab w:pos="430" w:val="left"/>
        </w:tabs>
        <w:bidi w:val="0"/>
        <w:spacing w:before="0" w:after="0" w:line="313" w:lineRule="exact"/>
        <w:ind w:left="0" w:right="0" w:firstLine="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本公司金融资产满足下列条件之一的，予以终止确认：①收取该金融资产现金流量的合同权利终止；②该金融资产已转移， 且本公司转移了金融资产所有权上几乎所有的风险和报酬；③该金融资产已转移，虽然本公司既没有转移也没有保留金融资 产所有权上几乎所有报酬的，但未保留对该金融资产的控制。</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本公司既没有转移也没有保留金融资产所有权上几乎所有报酬的，且保留了对该金融资产控制的，按照继续涉入被转移金融 资产的程度确认有关金融资产，并相应确认相关负债。</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金融资产转移整体满足终止确认条件的，将以下两项金额的差额计入当期损益:①被转移金融资产在终止确认日的账面价值； ②因转移金融资产而收到的对价，与原直接计入其他综合收益的公允价值变动累计额中对应终止确认部分的金额（涉及转移 的金融资产为分类为以公允价值计量且其变动计入其他综合收益的金融资产）之和。</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金融资产部分转移满足终止确认条件的，将所转移金融资产整体的账面价值，在终止确认部分和未终止确认部分之间，先按 照转移日各自的相对公允价值进行分摊，然后将以下两项金额的差额计入当期损益：①终止确认部分在终止确认日的账面价 值；②终止确认部分收到的对价，与原计入其他综合收益的公允价值变动累计额中对应终止确认部分的金额（涉及转移的金 融资产为分类为以公允价值计量且其变动计入其他综合收益的金融资产）之和。</w:t>
      </w:r>
    </w:p>
    <w:p>
      <w:pPr>
        <w:pStyle w:val="Style27"/>
        <w:keepNext w:val="0"/>
        <w:keepLines w:val="0"/>
        <w:widowControl w:val="0"/>
        <w:shd w:val="clear" w:color="auto" w:fill="auto"/>
        <w:tabs>
          <w:tab w:pos="430" w:val="left"/>
        </w:tabs>
        <w:bidi w:val="0"/>
        <w:spacing w:before="0" w:after="0" w:line="313" w:lineRule="exact"/>
        <w:ind w:left="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金融负债（或其一部分）的现时义务已经解除的，本公司终止确认该金融负债（或该部分金融负债）。</w:t>
      </w:r>
    </w:p>
    <w:p>
      <w:pPr>
        <w:pStyle w:val="Style27"/>
        <w:keepNext w:val="0"/>
        <w:keepLines w:val="0"/>
        <w:widowControl w:val="0"/>
        <w:shd w:val="clear" w:color="auto" w:fill="auto"/>
        <w:bidi w:val="0"/>
        <w:spacing w:before="0" w:after="400" w:line="313" w:lineRule="exact"/>
        <w:ind w:left="0" w:right="0" w:firstLine="0"/>
        <w:jc w:val="both"/>
      </w:pPr>
      <w:r>
        <w:rPr>
          <w:color w:val="000000"/>
          <w:spacing w:val="0"/>
          <w:w w:val="100"/>
          <w:position w:val="0"/>
        </w:rPr>
        <w:t>金融负债（或其一部分）终止确认的，本公司将其账面价值与支付的对价（包括转出的非现金资产或承担的负债）之间的差 额，计入当期损益。</w:t>
      </w:r>
    </w:p>
    <w:p>
      <w:pPr>
        <w:pStyle w:val="Style31"/>
        <w:keepNext/>
        <w:keepLines/>
        <w:widowControl w:val="0"/>
        <w:shd w:val="clear" w:color="auto" w:fill="auto"/>
        <w:tabs>
          <w:tab w:pos="459" w:val="left"/>
        </w:tabs>
        <w:bidi w:val="0"/>
        <w:spacing w:before="0" w:after="26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8"/>
      <w:bookmarkEnd w:id="809"/>
      <w:bookmarkEnd w:id="811"/>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本公司根据信用风险特征将应收票据划分为若干组合，在组合基础上计算预期信用损失，确定组合的依据如下：</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pStyle w:val="Style27"/>
        <w:keepNext w:val="0"/>
        <w:keepLines w:val="0"/>
        <w:widowControl w:val="0"/>
        <w:shd w:val="clear" w:color="auto" w:fill="auto"/>
        <w:bidi w:val="0"/>
        <w:spacing w:before="0" w:after="400" w:line="307" w:lineRule="exact"/>
        <w:ind w:left="0" w:right="0" w:firstLine="0"/>
        <w:jc w:val="both"/>
      </w:pPr>
      <w:r>
        <w:rPr>
          <w:color w:val="000000"/>
          <w:spacing w:val="0"/>
          <w:w w:val="100"/>
          <w:position w:val="0"/>
        </w:rPr>
        <w:t>针对银行承兑汇票，管理层评价该类款项具有较低的信用风险；对于划分为组合的商业承兑汇票，本公司参考历史信用损失 经验，结合当前状况及对未来经济状况的预测，通过违约风险敞口和整个存续期预期信用损失率，计算预期信用损失。</w:t>
      </w:r>
    </w:p>
    <w:p>
      <w:pPr>
        <w:pStyle w:val="Style31"/>
        <w:keepNext/>
        <w:keepLines/>
        <w:widowControl w:val="0"/>
        <w:shd w:val="clear" w:color="auto" w:fill="auto"/>
        <w:tabs>
          <w:tab w:pos="459" w:val="left"/>
        </w:tabs>
        <w:bidi w:val="0"/>
        <w:spacing w:before="0" w:after="26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2"/>
      <w:bookmarkEnd w:id="813"/>
      <w:bookmarkEnd w:id="815"/>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号——收入》规范的交易形成的应收款项（无论是否含重大融资成分），以及由《企业会 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号——租赁》规范的租赁应收款，始终按相当于整个存续期内预期信用损失的金额计量其损失准备。</w:t>
      </w:r>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根据金融工具的性质，本公司以单项金融资产或金融资产组合为基础评估信用风险是否显著增加。本公司根据信用风险特征 将应收账款、租赁应收款划分为若干组合，在组合基础上计算预期信用损失，确定组合的依据如下：</w:t>
      </w:r>
    </w:p>
    <w:p>
      <w:pPr>
        <w:pStyle w:val="Style27"/>
        <w:keepNext w:val="0"/>
        <w:keepLines w:val="0"/>
        <w:widowControl w:val="0"/>
        <w:shd w:val="clear" w:color="auto" w:fill="auto"/>
        <w:bidi w:val="0"/>
        <w:spacing w:before="0" w:after="40" w:line="309"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 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：其他组合 对于划分为组合的应收账款，本公司参考历史信用损失经验，结合当前状况及对未来经济状况的预测，编制应收账款账龄与 整个存续期预期信用损失率对照表，计算预期信用损失。</w:t>
      </w:r>
    </w:p>
    <w:p>
      <w:pPr>
        <w:pStyle w:val="Style31"/>
        <w:keepNext/>
        <w:keepLines/>
        <w:widowControl w:val="0"/>
        <w:shd w:val="clear" w:color="auto" w:fill="auto"/>
        <w:tabs>
          <w:tab w:pos="474" w:val="left"/>
        </w:tabs>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6"/>
      <w:bookmarkEnd w:id="817"/>
      <w:bookmarkEnd w:id="819"/>
    </w:p>
    <w:p>
      <w:pPr>
        <w:pStyle w:val="Style31"/>
        <w:keepNext/>
        <w:keepLines/>
        <w:widowControl w:val="0"/>
        <w:shd w:val="clear" w:color="auto" w:fill="auto"/>
        <w:tabs>
          <w:tab w:pos="474" w:val="left"/>
        </w:tabs>
        <w:bidi w:val="0"/>
        <w:spacing w:before="0" w:after="2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0"/>
      <w:bookmarkEnd w:id="821"/>
      <w:bookmarkEnd w:id="823"/>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本公司对于其他应收款按照一般方法，即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模型计量损失准备。</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本公司在计量金融工具发生信用减值时，评估信用风险是否显著增加考虑了以下因素：</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24" w:name="bookmark824"/>
      <w:bookmarkEnd w:id="824"/>
      <w:r>
        <w:rPr>
          <w:color w:val="000000"/>
          <w:spacing w:val="0"/>
          <w:w w:val="100"/>
          <w:position w:val="0"/>
        </w:rPr>
        <w:t>同一金融工具或具有相同预计存续期的类似金融工具的信用风险的外部市场指标是否发生显著变化；</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25" w:name="bookmark825"/>
      <w:bookmarkEnd w:id="825"/>
      <w:r>
        <w:rPr>
          <w:color w:val="000000"/>
          <w:spacing w:val="0"/>
          <w:w w:val="100"/>
          <w:position w:val="0"/>
        </w:rPr>
        <w:t>金融工具外部信用评级实际或预期是否发生显著变化；</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26" w:name="bookmark826"/>
      <w:bookmarkEnd w:id="826"/>
      <w:r>
        <w:rPr>
          <w:color w:val="000000"/>
          <w:spacing w:val="0"/>
          <w:w w:val="100"/>
          <w:position w:val="0"/>
        </w:rPr>
        <w:t>对债务人实际或预期的内部信用评级是否下调；</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27" w:name="bookmark827"/>
      <w:bookmarkEnd w:id="827"/>
      <w:r>
        <w:rPr>
          <w:color w:val="000000"/>
          <w:spacing w:val="0"/>
          <w:w w:val="100"/>
          <w:position w:val="0"/>
        </w:rPr>
        <w:t>预期将导致债务人履行其偿债义务的能力发生显著变化的业务、财务或经济状况的是否出现不利变化，如债务人市场份额 明显下降、主要产品价格急剧持续下跌、主要原材料价格明显上涨、营运资金严重短缺、资产质量下降等；</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28" w:name="bookmark828"/>
      <w:bookmarkEnd w:id="828"/>
      <w:r>
        <w:rPr>
          <w:color w:val="000000"/>
          <w:spacing w:val="0"/>
          <w:w w:val="100"/>
          <w:position w:val="0"/>
        </w:rPr>
        <w:t>债务人经营成果实际或预期是否发生显著变化，如收入、利润等经营指标出现明显不利变化且预期短时间内难以好转；</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29" w:name="bookmark829"/>
      <w:bookmarkEnd w:id="829"/>
      <w:r>
        <w:rPr>
          <w:color w:val="000000"/>
          <w:spacing w:val="0"/>
          <w:w w:val="100"/>
          <w:position w:val="0"/>
        </w:rPr>
        <w:t>债务人所处的监管、经济或技术环境是否发生显著不利变化，如技术变革、国家或地方政府拟出台相关政策是否对债务人 产生重大不利影响；</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30" w:name="bookmark830"/>
      <w:bookmarkEnd w:id="830"/>
      <w:r>
        <w:rPr>
          <w:color w:val="000000"/>
          <w:spacing w:val="0"/>
          <w:w w:val="100"/>
          <w:position w:val="0"/>
        </w:rPr>
        <w:t>作为债务抵押的担保物价值或第三方提供的担保或信用增级质量的是否发生显著变化；</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31" w:name="bookmark831"/>
      <w:bookmarkEnd w:id="831"/>
      <w:r>
        <w:rPr>
          <w:color w:val="000000"/>
          <w:spacing w:val="0"/>
          <w:w w:val="100"/>
          <w:position w:val="0"/>
        </w:rPr>
        <w:t>预期将降低债务人按合同约定期限还款的经济动机的是否发生显著变化,如母公司或其他关联公司能够提供的财务支持减 少，或者信用增级质量的显著变化；</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32" w:name="bookmark832"/>
      <w:bookmarkEnd w:id="832"/>
      <w:r>
        <w:rPr>
          <w:color w:val="000000"/>
          <w:spacing w:val="0"/>
          <w:w w:val="100"/>
          <w:position w:val="0"/>
        </w:rPr>
        <w:t>债务人预期表现和还款行为是否发生显著变化；</w:t>
      </w:r>
    </w:p>
    <w:p>
      <w:pPr>
        <w:pStyle w:val="Style27"/>
        <w:keepNext w:val="0"/>
        <w:keepLines w:val="0"/>
        <w:widowControl w:val="0"/>
        <w:numPr>
          <w:ilvl w:val="0"/>
          <w:numId w:val="23"/>
        </w:numPr>
        <w:shd w:val="clear" w:color="auto" w:fill="auto"/>
        <w:tabs>
          <w:tab w:pos="373" w:val="left"/>
        </w:tabs>
        <w:bidi w:val="0"/>
        <w:spacing w:before="0" w:after="0" w:line="309" w:lineRule="exact"/>
        <w:ind w:left="0" w:right="0" w:firstLine="0"/>
        <w:jc w:val="left"/>
      </w:pPr>
      <w:bookmarkStart w:id="833" w:name="bookmark833"/>
      <w:bookmarkEnd w:id="833"/>
      <w:r>
        <w:rPr>
          <w:color w:val="000000"/>
          <w:spacing w:val="0"/>
          <w:w w:val="100"/>
          <w:position w:val="0"/>
        </w:rPr>
        <w:t>本公司对金融工具信用管理方法是否发生变化。</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本公司根据款项性质将其他应收款划分为若干组合，在组合基础上计算预期信用损失，确定组合的依据如下：</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：保证金、押金</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：往来款项</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：其他款项</w:t>
      </w:r>
    </w:p>
    <w:p>
      <w:pPr>
        <w:pStyle w:val="Style27"/>
        <w:keepNext w:val="0"/>
        <w:keepLines w:val="0"/>
        <w:widowControl w:val="0"/>
        <w:shd w:val="clear" w:color="auto" w:fill="auto"/>
        <w:bidi w:val="0"/>
        <w:spacing w:before="0" w:after="380" w:line="309" w:lineRule="exact"/>
        <w:ind w:left="0" w:right="0" w:firstLine="0"/>
        <w:jc w:val="left"/>
      </w:pPr>
      <w:r>
        <w:rPr>
          <w:color w:val="000000"/>
          <w:spacing w:val="0"/>
          <w:w w:val="100"/>
          <w:position w:val="0"/>
        </w:rPr>
        <w:t>预期信用损失的会计处理方法：为反映金融工具的信用风险自初始确认后的变化，本公司在每个资产负债表日重新计量预期 信用损失，由此形成的损失准备的增加或转回金额，应当作为减值损失或利得计入当期损益，并根据金融工具的种类，抵减 该金融资产在资产负债表中列示的账面价值。</w:t>
      </w:r>
    </w:p>
    <w:p>
      <w:pPr>
        <w:pStyle w:val="Style31"/>
        <w:keepNext/>
        <w:keepLines/>
        <w:widowControl w:val="0"/>
        <w:shd w:val="clear" w:color="auto" w:fill="auto"/>
        <w:tabs>
          <w:tab w:pos="474" w:val="left"/>
        </w:tabs>
        <w:bidi w:val="0"/>
        <w:spacing w:before="0" w:after="3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4"/>
      <w:bookmarkEnd w:id="835"/>
      <w:bookmarkEnd w:id="837"/>
    </w:p>
    <w:p>
      <w:pPr>
        <w:pStyle w:val="Style27"/>
        <w:keepNext w:val="0"/>
        <w:keepLines w:val="0"/>
        <w:widowControl w:val="0"/>
        <w:numPr>
          <w:ilvl w:val="0"/>
          <w:numId w:val="25"/>
        </w:numPr>
        <w:shd w:val="clear" w:color="auto" w:fill="auto"/>
        <w:tabs>
          <w:tab w:pos="301" w:val="left"/>
        </w:tabs>
        <w:bidi w:val="0"/>
        <w:spacing w:before="0" w:after="0" w:line="360" w:lineRule="auto"/>
        <w:ind w:left="0" w:right="0" w:firstLine="0"/>
        <w:jc w:val="left"/>
      </w:pPr>
      <w:bookmarkStart w:id="838" w:name="bookmark838"/>
      <w:bookmarkEnd w:id="838"/>
      <w:r>
        <w:rPr>
          <w:color w:val="000000"/>
          <w:spacing w:val="0"/>
          <w:w w:val="100"/>
          <w:position w:val="0"/>
        </w:rPr>
        <w:t>存货的分类</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存货是指本公司在日常活动中持有以备出售的产成品或商品、处在生产过程中的在产品、在生产过程或提供劳务过程中耗用 的材料和物料等。主要包括原材料、库存商品等。</w:t>
      </w:r>
    </w:p>
    <w:p>
      <w:pPr>
        <w:pStyle w:val="Style27"/>
        <w:keepNext w:val="0"/>
        <w:keepLines w:val="0"/>
        <w:widowControl w:val="0"/>
        <w:numPr>
          <w:ilvl w:val="0"/>
          <w:numId w:val="25"/>
        </w:numPr>
        <w:shd w:val="clear" w:color="auto" w:fill="auto"/>
        <w:tabs>
          <w:tab w:pos="320" w:val="left"/>
        </w:tabs>
        <w:bidi w:val="0"/>
        <w:spacing w:before="0" w:after="0" w:line="312" w:lineRule="exact"/>
        <w:ind w:left="0" w:right="0" w:firstLine="0"/>
        <w:jc w:val="left"/>
      </w:pPr>
      <w:bookmarkStart w:id="839" w:name="bookmark839"/>
      <w:bookmarkEnd w:id="839"/>
      <w:r>
        <w:rPr>
          <w:color w:val="000000"/>
          <w:spacing w:val="0"/>
          <w:w w:val="100"/>
          <w:position w:val="0"/>
        </w:rPr>
        <w:t>发出存货的计价方法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存货发出时，个别计价法确定其发出的实际成本。</w:t>
      </w:r>
    </w:p>
    <w:p>
      <w:pPr>
        <w:pStyle w:val="Style27"/>
        <w:keepNext w:val="0"/>
        <w:keepLines w:val="0"/>
        <w:widowControl w:val="0"/>
        <w:numPr>
          <w:ilvl w:val="0"/>
          <w:numId w:val="25"/>
        </w:numPr>
        <w:shd w:val="clear" w:color="auto" w:fill="auto"/>
        <w:tabs>
          <w:tab w:pos="320" w:val="left"/>
        </w:tabs>
        <w:bidi w:val="0"/>
        <w:spacing w:before="0" w:after="0" w:line="312" w:lineRule="exact"/>
        <w:ind w:left="0" w:right="0" w:firstLine="0"/>
        <w:jc w:val="left"/>
      </w:pPr>
      <w:bookmarkStart w:id="840" w:name="bookmark840"/>
      <w:bookmarkEnd w:id="840"/>
      <w:r>
        <w:rPr>
          <w:color w:val="000000"/>
          <w:spacing w:val="0"/>
          <w:w w:val="100"/>
          <w:position w:val="0"/>
        </w:rPr>
        <w:t>存货跌价准备的计提方法</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资产负债表日，存货按照成本与可变现净值孰低计量，并按单个存货项目计提存货跌价准备，但对于数量繁多、单价较低的 存货，按照存货类别计提存货跌价准备。</w:t>
      </w:r>
    </w:p>
    <w:p>
      <w:pPr>
        <w:pStyle w:val="Style27"/>
        <w:keepNext w:val="0"/>
        <w:keepLines w:val="0"/>
        <w:widowControl w:val="0"/>
        <w:numPr>
          <w:ilvl w:val="0"/>
          <w:numId w:val="25"/>
        </w:numPr>
        <w:shd w:val="clear" w:color="auto" w:fill="auto"/>
        <w:tabs>
          <w:tab w:pos="320" w:val="left"/>
        </w:tabs>
        <w:bidi w:val="0"/>
        <w:spacing w:before="0" w:after="0" w:line="360" w:lineRule="auto"/>
        <w:ind w:left="0" w:right="0" w:firstLine="0"/>
        <w:jc w:val="left"/>
      </w:pPr>
      <w:bookmarkStart w:id="841" w:name="bookmark841"/>
      <w:bookmarkEnd w:id="841"/>
      <w:r>
        <w:rPr>
          <w:color w:val="000000"/>
          <w:spacing w:val="0"/>
          <w:w w:val="100"/>
          <w:position w:val="0"/>
        </w:rPr>
        <w:t>存货的盘存制度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本公司的存货盘存制度为永续盘存制。</w:t>
      </w:r>
    </w:p>
    <w:p>
      <w:pPr>
        <w:pStyle w:val="Style27"/>
        <w:keepNext w:val="0"/>
        <w:keepLines w:val="0"/>
        <w:widowControl w:val="0"/>
        <w:numPr>
          <w:ilvl w:val="0"/>
          <w:numId w:val="25"/>
        </w:numPr>
        <w:shd w:val="clear" w:color="auto" w:fill="auto"/>
        <w:tabs>
          <w:tab w:pos="320" w:val="left"/>
        </w:tabs>
        <w:bidi w:val="0"/>
        <w:spacing w:before="0" w:after="0" w:line="312" w:lineRule="exact"/>
        <w:ind w:left="0" w:right="0" w:firstLine="0"/>
        <w:jc w:val="left"/>
      </w:pPr>
      <w:bookmarkStart w:id="842" w:name="bookmark842"/>
      <w:bookmarkEnd w:id="842"/>
      <w:r>
        <w:rPr>
          <w:color w:val="000000"/>
          <w:spacing w:val="0"/>
          <w:w w:val="100"/>
          <w:position w:val="0"/>
        </w:rPr>
        <w:t>低值易耗品和包装物的摊销方法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低值易耗品和包装物采用一次转销法摊销。</w:t>
      </w:r>
    </w:p>
    <w:p>
      <w:pPr>
        <w:pStyle w:val="Style31"/>
        <w:keepNext/>
        <w:keepLines/>
        <w:widowControl w:val="0"/>
        <w:shd w:val="clear" w:color="auto" w:fill="auto"/>
        <w:tabs>
          <w:tab w:pos="474" w:val="left"/>
        </w:tabs>
        <w:bidi w:val="0"/>
        <w:spacing w:before="0" w:after="28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3"/>
      <w:bookmarkEnd w:id="844"/>
      <w:bookmarkEnd w:id="846"/>
    </w:p>
    <w:p>
      <w:pPr>
        <w:pStyle w:val="Style27"/>
        <w:keepNext w:val="0"/>
        <w:keepLines w:val="0"/>
        <w:widowControl w:val="0"/>
        <w:numPr>
          <w:ilvl w:val="0"/>
          <w:numId w:val="27"/>
        </w:numPr>
        <w:shd w:val="clear" w:color="auto" w:fill="auto"/>
        <w:bidi w:val="0"/>
        <w:spacing w:before="0" w:after="0" w:line="314" w:lineRule="exact"/>
        <w:ind w:left="0" w:right="0" w:firstLine="0"/>
        <w:jc w:val="both"/>
      </w:pPr>
      <w:bookmarkStart w:id="847" w:name="bookmark847"/>
      <w:bookmarkEnd w:id="847"/>
      <w:r>
        <w:rPr>
          <w:color w:val="000000"/>
          <w:spacing w:val="0"/>
          <w:w w:val="100"/>
          <w:position w:val="0"/>
        </w:rPr>
        <w:t>合同资产</w:t>
      </w:r>
    </w:p>
    <w:p>
      <w:pPr>
        <w:pStyle w:val="Style2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作为合同资产列示。其 账面价值高于下列第一项减去第二项的差额的，超出部分应当计提减值准备，并确认为资产减值损失：一是企业因转让与该 资产相关的商品预期能够取得的剩余对价；二是为转让该相关商品估计将要发生的成本。</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，贷记合同资产减值准备；转回已计提的资产减值准备时，做 相反分录。</w:t>
      </w:r>
    </w:p>
    <w:p>
      <w:pPr>
        <w:pStyle w:val="Style31"/>
        <w:keepNext/>
        <w:keepLines/>
        <w:widowControl w:val="0"/>
        <w:shd w:val="clear" w:color="auto" w:fill="auto"/>
        <w:tabs>
          <w:tab w:pos="474" w:val="left"/>
        </w:tabs>
        <w:bidi w:val="0"/>
        <w:spacing w:before="0" w:after="28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8"/>
      <w:bookmarkEnd w:id="849"/>
      <w:bookmarkEnd w:id="851"/>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合同取得成本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）是指不 取得合同就不会发生的成本。该成本预期能够收回的，本公司将其作为合同取得成本确认为一项资产。</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本公司为履行合同发生的成本，不属于存货等其他企业会计准则规范范围且同时满足下列条件的，作为合同履约成本确认为 一项资产：</w:t>
      </w:r>
    </w:p>
    <w:p>
      <w:pPr>
        <w:pStyle w:val="Style27"/>
        <w:keepNext w:val="0"/>
        <w:keepLines w:val="0"/>
        <w:widowControl w:val="0"/>
        <w:numPr>
          <w:ilvl w:val="0"/>
          <w:numId w:val="29"/>
        </w:numPr>
        <w:shd w:val="clear" w:color="auto" w:fill="auto"/>
        <w:tabs>
          <w:tab w:pos="310" w:val="left"/>
        </w:tabs>
        <w:bidi w:val="0"/>
        <w:spacing w:before="0" w:after="0" w:line="336" w:lineRule="exact"/>
        <w:ind w:left="0" w:right="0" w:firstLine="0"/>
        <w:jc w:val="both"/>
      </w:pPr>
      <w:bookmarkStart w:id="852" w:name="bookmark852"/>
      <w:bookmarkEnd w:id="852"/>
      <w:r>
        <w:rPr>
          <w:color w:val="000000"/>
          <w:spacing w:val="0"/>
          <w:w w:val="100"/>
          <w:position w:val="0"/>
        </w:rPr>
        <w:t>该成本与一份当前或预期取得的合同直接相关，包括直接人工、直接材料、制造费用（或类似费用）、明确由用户承担的 成本以及仅因该合同而发生的其他成本；</w:t>
      </w:r>
    </w:p>
    <w:p>
      <w:pPr>
        <w:pStyle w:val="Style27"/>
        <w:keepNext w:val="0"/>
        <w:keepLines w:val="0"/>
        <w:widowControl w:val="0"/>
        <w:numPr>
          <w:ilvl w:val="0"/>
          <w:numId w:val="29"/>
        </w:numPr>
        <w:shd w:val="clear" w:color="auto" w:fill="auto"/>
        <w:tabs>
          <w:tab w:pos="320" w:val="left"/>
        </w:tabs>
        <w:bidi w:val="0"/>
        <w:spacing w:before="0" w:after="0" w:line="314" w:lineRule="exact"/>
        <w:ind w:left="0" w:right="0" w:firstLine="0"/>
        <w:jc w:val="both"/>
      </w:pPr>
      <w:bookmarkStart w:id="853" w:name="bookmark853"/>
      <w:bookmarkEnd w:id="853"/>
      <w:r>
        <w:rPr>
          <w:color w:val="000000"/>
          <w:spacing w:val="0"/>
          <w:w w:val="100"/>
          <w:position w:val="0"/>
        </w:rPr>
        <w:t>该成本增加了本公司未来用于履行履约义务的资源；</w:t>
      </w:r>
    </w:p>
    <w:p>
      <w:pPr>
        <w:pStyle w:val="Style27"/>
        <w:keepNext w:val="0"/>
        <w:keepLines w:val="0"/>
        <w:widowControl w:val="0"/>
        <w:numPr>
          <w:ilvl w:val="0"/>
          <w:numId w:val="29"/>
        </w:numPr>
        <w:shd w:val="clear" w:color="auto" w:fill="auto"/>
        <w:tabs>
          <w:tab w:pos="320" w:val="left"/>
        </w:tabs>
        <w:bidi w:val="0"/>
        <w:spacing w:before="0" w:after="0" w:line="314" w:lineRule="exact"/>
        <w:ind w:left="0" w:right="0" w:firstLine="0"/>
        <w:jc w:val="both"/>
      </w:pPr>
      <w:bookmarkStart w:id="854" w:name="bookmark854"/>
      <w:bookmarkEnd w:id="854"/>
      <w:r>
        <w:rPr>
          <w:color w:val="000000"/>
          <w:spacing w:val="0"/>
          <w:w w:val="100"/>
          <w:position w:val="0"/>
        </w:rPr>
        <w:t>该成本预期能够收回。</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本公司将确认为资产的合同履约成本，初始确认时摊销期限不超过一年或一个正常营业周期的，在资产负债表计入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本公司将确认为资产的合同取得成本，初始确认时摊销期限不超过一年或一个正常营业周期的，在资产负债表计入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 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）采用与该资产相关的商品收入确认 相同的基础进行摊销，计入当期损益。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与合同成本有关的资产的账面价值高于下列两项的差额时，本公司将超出部分计提减值准备并确认为资产减值损失：</w:t>
      </w:r>
    </w:p>
    <w:p>
      <w:pPr>
        <w:pStyle w:val="Style27"/>
        <w:keepNext w:val="0"/>
        <w:keepLines w:val="0"/>
        <w:widowControl w:val="0"/>
        <w:numPr>
          <w:ilvl w:val="0"/>
          <w:numId w:val="31"/>
        </w:numPr>
        <w:shd w:val="clear" w:color="auto" w:fill="auto"/>
        <w:tabs>
          <w:tab w:pos="301" w:val="left"/>
        </w:tabs>
        <w:bidi w:val="0"/>
        <w:spacing w:before="0" w:after="0" w:line="314" w:lineRule="exact"/>
        <w:ind w:left="0" w:right="0" w:firstLine="0"/>
        <w:jc w:val="both"/>
      </w:pPr>
      <w:bookmarkStart w:id="855" w:name="bookmark855"/>
      <w:bookmarkEnd w:id="855"/>
      <w:r>
        <w:rPr>
          <w:color w:val="000000"/>
          <w:spacing w:val="0"/>
          <w:w w:val="100"/>
          <w:position w:val="0"/>
        </w:rPr>
        <w:t>因转让与该资产相关的商品预期能够取得的剩余对价；</w:t>
      </w:r>
    </w:p>
    <w:p>
      <w:pPr>
        <w:pStyle w:val="Style27"/>
        <w:keepNext w:val="0"/>
        <w:keepLines w:val="0"/>
        <w:widowControl w:val="0"/>
        <w:numPr>
          <w:ilvl w:val="0"/>
          <w:numId w:val="31"/>
        </w:numPr>
        <w:shd w:val="clear" w:color="auto" w:fill="auto"/>
        <w:tabs>
          <w:tab w:pos="320" w:val="left"/>
        </w:tabs>
        <w:bidi w:val="0"/>
        <w:spacing w:before="0" w:after="0" w:line="314" w:lineRule="exact"/>
        <w:ind w:left="0" w:right="0" w:firstLine="0"/>
        <w:jc w:val="both"/>
      </w:pPr>
      <w:bookmarkStart w:id="856" w:name="bookmark856"/>
      <w:bookmarkEnd w:id="856"/>
      <w:r>
        <w:rPr>
          <w:color w:val="000000"/>
          <w:spacing w:val="0"/>
          <w:w w:val="100"/>
          <w:position w:val="0"/>
        </w:rPr>
        <w:t>为转让该相关商品估计将要发生的成本。</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以前期间减值的因素之后发生变化，使得前述两项差额高于该资产账面价值的，应当转回原已计提的资产减值准备，并计入 当期损益，但转回后的资产账面价值不超过假定不计提减值准备情况的下该资产在转回日的账面价值。</w:t>
      </w:r>
    </w:p>
    <w:p>
      <w:pPr>
        <w:pStyle w:val="Style31"/>
        <w:keepNext/>
        <w:keepLines/>
        <w:widowControl w:val="0"/>
        <w:shd w:val="clear" w:color="auto" w:fill="auto"/>
        <w:tabs>
          <w:tab w:pos="474" w:val="left"/>
        </w:tabs>
        <w:bidi w:val="0"/>
        <w:spacing w:before="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7"/>
      <w:bookmarkEnd w:id="858"/>
      <w:bookmarkEnd w:id="860"/>
    </w:p>
    <w:p>
      <w:pPr>
        <w:pStyle w:val="Style31"/>
        <w:keepNext/>
        <w:keepLines/>
        <w:widowControl w:val="0"/>
        <w:shd w:val="clear" w:color="auto" w:fill="auto"/>
        <w:tabs>
          <w:tab w:pos="474" w:val="left"/>
        </w:tabs>
        <w:bidi w:val="0"/>
        <w:spacing w:before="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1"/>
      <w:bookmarkEnd w:id="862"/>
      <w:bookmarkEnd w:id="864"/>
    </w:p>
    <w:p>
      <w:pPr>
        <w:pStyle w:val="Style31"/>
        <w:keepNext/>
        <w:keepLines/>
        <w:widowControl w:val="0"/>
        <w:shd w:val="clear" w:color="auto" w:fill="auto"/>
        <w:tabs>
          <w:tab w:pos="483" w:val="left"/>
        </w:tabs>
        <w:bidi w:val="0"/>
        <w:spacing w:before="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5"/>
      <w:bookmarkEnd w:id="866"/>
      <w:bookmarkEnd w:id="868"/>
    </w:p>
    <w:p>
      <w:pPr>
        <w:pStyle w:val="Style31"/>
        <w:keepNext/>
        <w:keepLines/>
        <w:widowControl w:val="0"/>
        <w:shd w:val="clear" w:color="auto" w:fill="auto"/>
        <w:tabs>
          <w:tab w:pos="483" w:val="left"/>
        </w:tabs>
        <w:bidi w:val="0"/>
        <w:spacing w:before="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9"/>
      <w:bookmarkEnd w:id="870"/>
      <w:bookmarkEnd w:id="872"/>
    </w:p>
    <w:p>
      <w:pPr>
        <w:pStyle w:val="Style31"/>
        <w:keepNext/>
        <w:keepLines/>
        <w:widowControl w:val="0"/>
        <w:shd w:val="clear" w:color="auto" w:fill="auto"/>
        <w:tabs>
          <w:tab w:pos="483" w:val="left"/>
        </w:tabs>
        <w:bidi w:val="0"/>
        <w:spacing w:before="0" w:after="2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3"/>
      <w:bookmarkEnd w:id="874"/>
      <w:bookmarkEnd w:id="876"/>
    </w:p>
    <w:p>
      <w:pPr>
        <w:pStyle w:val="Style27"/>
        <w:keepNext w:val="0"/>
        <w:keepLines w:val="0"/>
        <w:widowControl w:val="0"/>
        <w:numPr>
          <w:ilvl w:val="0"/>
          <w:numId w:val="33"/>
        </w:numPr>
        <w:shd w:val="clear" w:color="auto" w:fill="auto"/>
        <w:bidi w:val="0"/>
        <w:spacing w:before="0" w:after="0" w:line="312" w:lineRule="exact"/>
        <w:ind w:left="0" w:right="0" w:firstLine="0"/>
        <w:jc w:val="both"/>
      </w:pPr>
      <w:bookmarkStart w:id="877" w:name="bookmark877"/>
      <w:bookmarkEnd w:id="877"/>
      <w:r>
        <w:rPr>
          <w:color w:val="000000"/>
          <w:spacing w:val="0"/>
          <w:w w:val="100"/>
          <w:position w:val="0"/>
        </w:rPr>
        <w:t>初始投资成本确定</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对于企业合并取得的长期股权投资，如为同一控制下的企业合并，应当在合并日按照被合并方所有者权益在最终控制方合并 财务报表中的账面价值的份额作为长期股权投资的初始投资成本；非同一控制下的企业合并，按照购买日确定的合并成本作 </w:t>
      </w:r>
      <w:r>
        <w:rPr>
          <w:color w:val="000000"/>
          <w:spacing w:val="0"/>
          <w:w w:val="100"/>
          <w:position w:val="0"/>
        </w:rPr>
        <w:t>为长期股权投资的初始投资成本；以支付现金取得的长期股权投资，初始投资成本为实际支付的购买价款；以发行权益性证 券取得的长期股权投资，初始投资成本为发行权益性证券的公允价值；通过债务重组取得的长期股权投资，其初始投资成本 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号——债务重组》的有关规定确定；非货币性资产交换取得的长期股权投资，初始投资成本按照《企 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号——非货币性资产交换》的有关规定确定。</w:t>
      </w:r>
    </w:p>
    <w:p>
      <w:pPr>
        <w:pStyle w:val="Style27"/>
        <w:keepNext w:val="0"/>
        <w:keepLines w:val="0"/>
        <w:widowControl w:val="0"/>
        <w:numPr>
          <w:ilvl w:val="0"/>
          <w:numId w:val="33"/>
        </w:numPr>
        <w:shd w:val="clear" w:color="auto" w:fill="auto"/>
        <w:tabs>
          <w:tab w:pos="310" w:val="left"/>
        </w:tabs>
        <w:bidi w:val="0"/>
        <w:spacing w:before="0" w:after="0" w:line="360" w:lineRule="auto"/>
        <w:ind w:left="0" w:right="0" w:firstLine="0"/>
        <w:jc w:val="left"/>
      </w:pPr>
      <w:bookmarkStart w:id="878" w:name="bookmark878"/>
      <w:bookmarkEnd w:id="878"/>
      <w:r>
        <w:rPr>
          <w:color w:val="000000"/>
          <w:spacing w:val="0"/>
          <w:w w:val="100"/>
          <w:position w:val="0"/>
        </w:rPr>
        <w:t>后续计量及损益确认方法</w:t>
      </w:r>
    </w:p>
    <w:p>
      <w:pPr>
        <w:pStyle w:val="Style2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本公司能够对被投资单位实施控制的长期股权投资采用成本法核算，对联营企业和合营企业的长期股权投资采用权益法核算。 本公司对联营企业的权益性投资，其中一部分通过风险投资机构、共同基金、信托公司或包括投连险基金在内的类似主体间 接持有的，无论以上主体是否对这部分投资具有重大影响，本公司按照《企业会计准则第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 有关规定处理，并对其余部分采用权益法核算。</w:t>
      </w:r>
    </w:p>
    <w:p>
      <w:pPr>
        <w:pStyle w:val="Style27"/>
        <w:keepNext w:val="0"/>
        <w:keepLines w:val="0"/>
        <w:widowControl w:val="0"/>
        <w:numPr>
          <w:ilvl w:val="0"/>
          <w:numId w:val="33"/>
        </w:numPr>
        <w:shd w:val="clear" w:color="auto" w:fill="auto"/>
        <w:tabs>
          <w:tab w:pos="310" w:val="left"/>
        </w:tabs>
        <w:bidi w:val="0"/>
        <w:spacing w:before="0" w:after="0" w:line="360" w:lineRule="auto"/>
        <w:ind w:left="0" w:right="0" w:firstLine="0"/>
        <w:jc w:val="left"/>
      </w:pPr>
      <w:bookmarkStart w:id="879" w:name="bookmark879"/>
      <w:bookmarkEnd w:id="879"/>
      <w:r>
        <w:rPr>
          <w:color w:val="000000"/>
          <w:spacing w:val="0"/>
          <w:w w:val="100"/>
          <w:position w:val="0"/>
        </w:rPr>
        <w:t>确定对被投资单位具有共同控制、重大影响的依据</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对被投资单位具有共同控制，是指对某项安排的回报产生重大影响的活动必须经过分享控制权的参与方一致同意后才能决策, 包括商品或劳务的销售和购买、金融资产的管理、资产的购买和处置、研究与开发活动以及融资活动等；对被投资单位具有 重大影响，是指当持有被投资单位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,但符合下列条件之一时， 具有重大影响：在被投资单位的董事会或类似的权力机构中派有代表；参与被投资单位的政策制定过程；向被投资单位派出 管理人员；被投资单位依赖投资公司的技术或技术资料；与被投资单位之间发生重要交易。</w:t>
      </w:r>
    </w:p>
    <w:p>
      <w:pPr>
        <w:pStyle w:val="Style31"/>
        <w:keepNext/>
        <w:keepLines/>
        <w:widowControl w:val="0"/>
        <w:shd w:val="clear" w:color="auto" w:fill="auto"/>
        <w:tabs>
          <w:tab w:pos="473"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0"/>
      <w:bookmarkEnd w:id="881"/>
      <w:bookmarkEnd w:id="883"/>
    </w:p>
    <w:p>
      <w:pPr>
        <w:pStyle w:val="Style27"/>
        <w:keepNext w:val="0"/>
        <w:keepLines w:val="0"/>
        <w:widowControl w:val="0"/>
        <w:shd w:val="clear" w:color="auto" w:fill="auto"/>
        <w:bidi w:val="0"/>
        <w:spacing w:before="0" w:after="40" w:line="311"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40" w:line="311" w:lineRule="exact"/>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40" w:line="311" w:lineRule="exact"/>
        <w:ind w:left="0" w:right="0" w:firstLine="0"/>
        <w:jc w:val="left"/>
      </w:pPr>
      <w:r>
        <w:rPr>
          <w:color w:val="000000"/>
          <w:spacing w:val="0"/>
          <w:w w:val="100"/>
          <w:position w:val="0"/>
        </w:rPr>
        <w:t>折旧或摊销方法</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本公司投资性房地产中出租的建筑物采用年限平均法计提折旧，具体核算政策与固定资产部分相同。投资性房地产中出租的 土地使用权采用直线法摊销，具体核算政策与无形资产部分相同。</w:t>
      </w:r>
    </w:p>
    <w:p>
      <w:pPr>
        <w:pStyle w:val="Style31"/>
        <w:keepNext/>
        <w:keepLines/>
        <w:widowControl w:val="0"/>
        <w:shd w:val="clear" w:color="auto" w:fill="auto"/>
        <w:tabs>
          <w:tab w:pos="473" w:val="left"/>
        </w:tabs>
        <w:bidi w:val="0"/>
        <w:spacing w:before="0" w:after="3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84"/>
      <w:bookmarkEnd w:id="885"/>
      <w:bookmarkEnd w:id="887"/>
    </w:p>
    <w:p>
      <w:pPr>
        <w:pStyle w:val="Style44"/>
        <w:keepNext/>
        <w:keepLines/>
        <w:widowControl w:val="0"/>
        <w:shd w:val="clear" w:color="auto" w:fill="auto"/>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8"/>
      <w:bookmarkEnd w:id="889"/>
      <w:bookmarkEnd w:id="891"/>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44"/>
        <w:keepNext/>
        <w:keepLines/>
        <w:widowControl w:val="0"/>
        <w:shd w:val="clear" w:color="auto" w:fill="auto"/>
        <w:bidi w:val="0"/>
        <w:spacing w:before="0" w:after="320" w:line="240" w:lineRule="auto"/>
        <w:ind w:left="0" w:right="0" w:firstLine="14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2"/>
      <w:bookmarkEnd w:id="893"/>
      <w:bookmarkEnd w:id="895"/>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44"/>
        <w:keepNext/>
        <w:keepLines/>
        <w:widowControl w:val="0"/>
        <w:shd w:val="clear" w:color="auto" w:fill="auto"/>
        <w:bidi w:val="0"/>
        <w:spacing w:before="0" w:after="2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6"/>
      <w:bookmarkEnd w:id="897"/>
      <w:bookmarkEnd w:id="899"/>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融资租入固定资产为实质上转移了与资产所有权有关的全部风险和报酬的租赁。融资租入固定资产初始计价为租赁期开始日 租赁资产公允价值与最低租赁付款额现值较低者作为入账价值;融资租入固定资产后续计价采用与自有固定资产相一致的折 </w:t>
      </w:r>
      <w:r>
        <w:rPr>
          <w:color w:val="000000"/>
          <w:spacing w:val="0"/>
          <w:w w:val="100"/>
          <w:position w:val="0"/>
        </w:rPr>
        <w:t>旧政策计提折旧及减值准备。</w:t>
      </w:r>
    </w:p>
    <w:p>
      <w:pPr>
        <w:pStyle w:val="Style31"/>
        <w:keepNext/>
        <w:keepLines/>
        <w:widowControl w:val="0"/>
        <w:shd w:val="clear" w:color="auto" w:fill="auto"/>
        <w:tabs>
          <w:tab w:pos="483"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0"/>
      <w:bookmarkEnd w:id="901"/>
      <w:bookmarkEnd w:id="903"/>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本公司在建工程分为自营方式建造和出包方式建造两种。在建工程在工程完工达到预定可使用状态时，结转固定资产。预定 可使用状态的判断标准，应符合下列情况之一：固定资产的实体建造（包括安装）工作已经全部完成或实质上已经全部完成； 已经试生产或试运行，并且其结果表明资产能够正常运行或能够稳定地生产出合格产品，或者试运行结果表明其能够正常运 转或营业；该项建造的固定资产上的支出金额很少或者几乎不再发生；所购建的固定资产已经达到设计或合同要求，或与设 计或合同要求基本相符。</w:t>
      </w:r>
    </w:p>
    <w:p>
      <w:pPr>
        <w:pStyle w:val="Style31"/>
        <w:keepNext/>
        <w:keepLines/>
        <w:widowControl w:val="0"/>
        <w:shd w:val="clear" w:color="auto" w:fill="auto"/>
        <w:tabs>
          <w:tab w:pos="483"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4"/>
      <w:bookmarkEnd w:id="905"/>
      <w:bookmarkEnd w:id="907"/>
    </w:p>
    <w:p>
      <w:pPr>
        <w:pStyle w:val="Style27"/>
        <w:keepNext w:val="0"/>
        <w:keepLines w:val="0"/>
        <w:widowControl w:val="0"/>
        <w:numPr>
          <w:ilvl w:val="0"/>
          <w:numId w:val="35"/>
        </w:numPr>
        <w:shd w:val="clear" w:color="auto" w:fill="auto"/>
        <w:tabs>
          <w:tab w:pos="301" w:val="left"/>
        </w:tabs>
        <w:bidi w:val="0"/>
        <w:spacing w:before="0" w:after="0" w:line="311" w:lineRule="exact"/>
        <w:ind w:left="0" w:right="0" w:firstLine="0"/>
        <w:jc w:val="both"/>
      </w:pPr>
      <w:bookmarkStart w:id="908" w:name="bookmark908"/>
      <w:bookmarkEnd w:id="908"/>
      <w:r>
        <w:rPr>
          <w:color w:val="000000"/>
          <w:spacing w:val="0"/>
          <w:w w:val="100"/>
          <w:position w:val="0"/>
        </w:rPr>
        <w:t>借款费用资本化的确认原则</w:t>
      </w:r>
    </w:p>
    <w:p>
      <w:pPr>
        <w:pStyle w:val="Style27"/>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本公司发生的借款费用，可直接归属于符合资本化条件的资产的购建或者生产的，予以资本化，计入相关资产成本；其他借 款费用，在发生时根据其发生额确认为费用，计入当期损益。符合资本化条件的资产，是指需要经过相当长时间的购建或者 生产活动才能达到预定可使用或者可销售状态的固定资产、投资性房地产和存货等资产。</w:t>
      </w:r>
    </w:p>
    <w:p>
      <w:pPr>
        <w:pStyle w:val="Style27"/>
        <w:keepNext w:val="0"/>
        <w:keepLines w:val="0"/>
        <w:widowControl w:val="0"/>
        <w:numPr>
          <w:ilvl w:val="0"/>
          <w:numId w:val="35"/>
        </w:numPr>
        <w:shd w:val="clear" w:color="auto" w:fill="auto"/>
        <w:tabs>
          <w:tab w:pos="320" w:val="left"/>
        </w:tabs>
        <w:bidi w:val="0"/>
        <w:spacing w:before="0" w:after="0" w:line="360" w:lineRule="auto"/>
        <w:ind w:left="0" w:right="0" w:firstLine="0"/>
        <w:jc w:val="both"/>
      </w:pPr>
      <w:bookmarkStart w:id="909" w:name="bookmark909"/>
      <w:bookmarkEnd w:id="909"/>
      <w:r>
        <w:rPr>
          <w:color w:val="000000"/>
          <w:spacing w:val="0"/>
          <w:w w:val="100"/>
          <w:position w:val="0"/>
        </w:rPr>
        <w:t>资本化金额计算方法</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资本化期间，是指从借款费用开始资本化时点到停止资本化时点的期间。借款费用暂停资本化的期间不包括在内。在购建或 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个月的，应当暂停借款费用的资本化。</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借入专门借款，按照专门借款当期实际发生的利息费用，减去将尚未动用的借款资金存入银行取得的利息收入或进行暂时性 投资取得的投资收益后的金额确定；占用一般借款按照累计资产支出超过专门借款部分的资产支出加权平均数乘以所占用一 般借款的资本化率计算确定，资本化率为一般借款的加权平均利率；借款存在折价或溢价的，按照实际利率法确定每一会计 期间应摊销的折价或溢价金额，调整每期利息金额。</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实际利率法是根据借款实际利率计算其摊余折价或溢价或利息费用的方法。其中实际利率是借款在预期存续期间的未来现金 流量，折现为该借款当前账面价值所使用的利率。</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0"/>
      <w:bookmarkEnd w:id="911"/>
      <w:bookmarkEnd w:id="913"/>
    </w:p>
    <w:p>
      <w:pPr>
        <w:pStyle w:val="Style31"/>
        <w:keepNext/>
        <w:keepLines/>
        <w:widowControl w:val="0"/>
        <w:shd w:val="clear" w:color="auto" w:fill="auto"/>
        <w:tabs>
          <w:tab w:pos="483" w:val="left"/>
        </w:tabs>
        <w:bidi w:val="0"/>
        <w:spacing w:before="0" w:after="38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4"/>
      <w:bookmarkEnd w:id="915"/>
      <w:bookmarkEnd w:id="917"/>
    </w:p>
    <w:p>
      <w:pPr>
        <w:pStyle w:val="Style31"/>
        <w:keepNext/>
        <w:keepLines/>
        <w:widowControl w:val="0"/>
        <w:shd w:val="clear" w:color="auto" w:fill="auto"/>
        <w:tabs>
          <w:tab w:pos="483" w:val="left"/>
        </w:tabs>
        <w:bidi w:val="0"/>
        <w:spacing w:before="0" w:after="380" w:line="24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8"/>
      <w:bookmarkEnd w:id="919"/>
      <w:bookmarkEnd w:id="921"/>
    </w:p>
    <w:p>
      <w:pPr>
        <w:pStyle w:val="Style31"/>
        <w:keepNext/>
        <w:keepLines/>
        <w:widowControl w:val="0"/>
        <w:shd w:val="clear" w:color="auto" w:fill="auto"/>
        <w:tabs>
          <w:tab w:pos="483" w:val="left"/>
        </w:tabs>
        <w:bidi w:val="0"/>
        <w:spacing w:before="0" w:after="38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2"/>
      <w:bookmarkEnd w:id="923"/>
      <w:bookmarkEnd w:id="925"/>
    </w:p>
    <w:p>
      <w:pPr>
        <w:pStyle w:val="Style44"/>
        <w:keepNext/>
        <w:keepLines/>
        <w:widowControl w:val="0"/>
        <w:shd w:val="clear" w:color="auto" w:fill="auto"/>
        <w:bidi w:val="0"/>
        <w:spacing w:before="0" w:line="240" w:lineRule="auto"/>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6"/>
      <w:bookmarkEnd w:id="927"/>
      <w:bookmarkEnd w:id="929"/>
    </w:p>
    <w:p>
      <w:pPr>
        <w:pStyle w:val="Style27"/>
        <w:keepNext w:val="0"/>
        <w:keepLines w:val="0"/>
        <w:widowControl w:val="0"/>
        <w:numPr>
          <w:ilvl w:val="0"/>
          <w:numId w:val="37"/>
        </w:numPr>
        <w:shd w:val="clear" w:color="auto" w:fill="auto"/>
        <w:tabs>
          <w:tab w:pos="301" w:val="left"/>
        </w:tabs>
        <w:bidi w:val="0"/>
        <w:spacing w:before="0" w:after="0" w:line="360" w:lineRule="auto"/>
        <w:ind w:left="0" w:right="0" w:firstLine="0"/>
        <w:jc w:val="both"/>
      </w:pPr>
      <w:bookmarkStart w:id="930" w:name="bookmark930"/>
      <w:bookmarkEnd w:id="930"/>
      <w:r>
        <w:rPr>
          <w:color w:val="000000"/>
          <w:spacing w:val="0"/>
          <w:w w:val="100"/>
          <w:position w:val="0"/>
        </w:rPr>
        <w:t>无形资产的计价方法</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本公司无形资产按照成本进行初始计量。购入的无形资产，按实际支付的价款和相关支出作为实际成本。投资者投入的无形 资产，按投资合同或协议约定的价值确定实际成本，但合同或协议约定价值不公允的，按公允价值确定实际成本。自行开发 的无形资产，其成本为达到预定用途前所发生的支出总额。</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本公司无形资产后续计量方法分别为：使用寿命有限无形资产采用直线法摊销，并在年度终了，对无形资产的使用寿命和摊 销方法进行复核，如与原先估计数存在差异的，进行相应的调整；使用寿命不确定的无形资产不摊销，但在年度终了，对使 用寿命进行复核，当有确凿证据表明其使用寿命是有限的，则估计其使用寿命，按直线法进行摊销。</w:t>
      </w:r>
    </w:p>
    <w:p>
      <w:pPr>
        <w:pStyle w:val="Style27"/>
        <w:keepNext w:val="0"/>
        <w:keepLines w:val="0"/>
        <w:widowControl w:val="0"/>
        <w:numPr>
          <w:ilvl w:val="0"/>
          <w:numId w:val="37"/>
        </w:numPr>
        <w:shd w:val="clear" w:color="auto" w:fill="auto"/>
        <w:tabs>
          <w:tab w:pos="320" w:val="left"/>
        </w:tabs>
        <w:bidi w:val="0"/>
        <w:spacing w:before="0" w:after="0" w:line="312" w:lineRule="exact"/>
        <w:ind w:left="0" w:right="0" w:firstLine="0"/>
        <w:jc w:val="both"/>
      </w:pPr>
      <w:bookmarkStart w:id="931" w:name="bookmark931"/>
      <w:bookmarkEnd w:id="931"/>
      <w:r>
        <w:rPr>
          <w:color w:val="000000"/>
          <w:spacing w:val="0"/>
          <w:w w:val="100"/>
          <w:position w:val="0"/>
        </w:rPr>
        <w:t>使用寿命不确定的判断依据</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本公司将无法预见该资产为公司带来经济利益的期限，或使用期限不确定的无形资产确定为使用寿命不确定的无形资产。使 </w:t>
      </w:r>
      <w:r>
        <w:rPr>
          <w:color w:val="000000"/>
          <w:spacing w:val="0"/>
          <w:w w:val="100"/>
          <w:position w:val="0"/>
        </w:rPr>
        <w:t>用寿命不确定的判断依据为：来源于合同性权利或其他法定权利，但合同规定或法律规定无明确使用年限；综合同行业情况 或相关专家论证等，仍无法判断无形资产为公司带来经济利益的期限。</w:t>
      </w:r>
    </w:p>
    <w:p>
      <w:pPr>
        <w:pStyle w:val="Style27"/>
        <w:keepNext w:val="0"/>
        <w:keepLines w:val="0"/>
        <w:widowControl w:val="0"/>
        <w:shd w:val="clear" w:color="auto" w:fill="auto"/>
        <w:bidi w:val="0"/>
        <w:spacing w:before="0" w:after="280" w:line="319" w:lineRule="exact"/>
        <w:ind w:left="0" w:right="0" w:firstLine="0"/>
        <w:jc w:val="left"/>
      </w:pPr>
      <w:r>
        <w:rPr>
          <w:color w:val="000000"/>
          <w:spacing w:val="0"/>
          <w:w w:val="100"/>
          <w:position w:val="0"/>
        </w:rPr>
        <w:t>每年年末，对使用寿命不确定的无形资产的使用寿命进行复核，主要采取自下而上的方式，由无形资产使用相关部门进行基 础复核，评价使用寿命不确定判断依据是否存在变化等。</w:t>
      </w:r>
    </w:p>
    <w:p>
      <w:pPr>
        <w:pStyle w:val="Style44"/>
        <w:keepNext/>
        <w:keepLines/>
        <w:widowControl w:val="0"/>
        <w:shd w:val="clear" w:color="auto" w:fill="auto"/>
        <w:bidi w:val="0"/>
        <w:spacing w:before="0" w:after="280" w:line="314"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2"/>
      <w:bookmarkEnd w:id="933"/>
      <w:bookmarkEnd w:id="935"/>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内部研究开发项目的研究阶段和开发阶段具体标准，以及开发阶段支出符合资本化条件的具体标准</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内部研究开发项目研究阶段的支出，于发生时计入当期损益；开发阶段的支出，满足确认为无形资产条件的转入无形资产核 算。</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划分内部研究开发项目的研究阶段和开发阶段的具体标准：研究阶段：为获取并理解新的科学或技术知识等而进行的独创性 的有计划调查、研究活动的阶段。开发阶段：在进行商业性生产或使用前，将研究成果或其他知识应用于某项计划或设计， 以生产出新的或具有实质性改进的材料、装置、产品等活动的阶段。</w:t>
      </w:r>
    </w:p>
    <w:p>
      <w:pPr>
        <w:pStyle w:val="Style31"/>
        <w:keepNext/>
        <w:keepLines/>
        <w:widowControl w:val="0"/>
        <w:shd w:val="clear" w:color="auto" w:fill="auto"/>
        <w:tabs>
          <w:tab w:pos="461" w:val="left"/>
        </w:tabs>
        <w:bidi w:val="0"/>
        <w:spacing w:before="0" w:after="180" w:line="329"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36"/>
      <w:bookmarkEnd w:id="937"/>
      <w:bookmarkEnd w:id="939"/>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长期股权投资、采用成本模式计量的投资性房地产、固定资产、在建工程、无形资产等长期资产于资产负债表日存在减值迹 象的，进行减值测试。减值测试结果表明资产的可收回金额低于其账面价值的，按其差额计提减值准备并计入减值损失。 可收回金额为资产的公允价值减去处置费用后的净额与资产预计未来现金流量的现值两者之间的较高者。资产减值准备按单 项资产为基础计算并确认，如果难以对单项资产的可收回金额进行估计的，以该资产所属的资产组确定资产组的可收回金额。 资产组是能够独立产生现金流入的最小资产组合。</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在财务报表中单独列示的商誉，无论是否存在减值迹象，至少每年进行减值测试。减值测试时，商誉的账面价值分摊至预期 从企业合并的协同效应中受益的资产组或资产组组合。测试结果表明包含分摊的商誉的资产组或资产组组合的可收回金额低 于其账面价值的，确认相应的减值损失。减值损失金额先抵减分摊至该资产组或资产组组合的商誉的账面价值，再根据资产 组或资产组组合中除商誉以外的其他各项资产的账面价值所占比重，按比例抵减其他各项资产的账面价值。</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tabs>
          <w:tab w:pos="461" w:val="left"/>
        </w:tabs>
        <w:bidi w:val="0"/>
        <w:spacing w:before="0" w:after="180" w:line="329"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0"/>
      <w:bookmarkEnd w:id="941"/>
      <w:bookmarkEnd w:id="943"/>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本公司长期待摊费用是指已经支出，但受益期限在一年以上（不含一年）的各项费用。长期待摊费用按费 用项目的受益期限分期摊销。若长期待摊的费用项目不能使以后会计期间受益，则将尚未摊销的该项目的 摊余价值全部转入当期损益。</w:t>
      </w:r>
    </w:p>
    <w:p>
      <w:pPr>
        <w:pStyle w:val="Style31"/>
        <w:keepNext/>
        <w:keepLines/>
        <w:widowControl w:val="0"/>
        <w:shd w:val="clear" w:color="auto" w:fill="auto"/>
        <w:tabs>
          <w:tab w:pos="461" w:val="left"/>
        </w:tabs>
        <w:bidi w:val="0"/>
        <w:spacing w:before="0" w:after="180" w:line="329"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44"/>
      <w:bookmarkEnd w:id="945"/>
      <w:bookmarkEnd w:id="947"/>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本公司将已收或应收客户对价而应向客户转让商品或提供服务的义务列示为合同负债。</w:t>
      </w:r>
    </w:p>
    <w:p>
      <w:pPr>
        <w:pStyle w:val="Style31"/>
        <w:keepNext/>
        <w:keepLines/>
        <w:widowControl w:val="0"/>
        <w:shd w:val="clear" w:color="auto" w:fill="auto"/>
        <w:tabs>
          <w:tab w:pos="461" w:val="left"/>
        </w:tabs>
        <w:bidi w:val="0"/>
        <w:spacing w:before="0" w:after="180" w:line="329"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48"/>
      <w:bookmarkEnd w:id="949"/>
      <w:bookmarkEnd w:id="951"/>
    </w:p>
    <w:p>
      <w:pPr>
        <w:pStyle w:val="Style44"/>
        <w:keepNext/>
        <w:keepLines/>
        <w:widowControl w:val="0"/>
        <w:shd w:val="clear" w:color="auto" w:fill="auto"/>
        <w:bidi w:val="0"/>
        <w:spacing w:before="0" w:after="280" w:line="314" w:lineRule="exact"/>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2"/>
      <w:bookmarkEnd w:id="953"/>
      <w:bookmarkEnd w:id="955"/>
    </w:p>
    <w:p>
      <w:pPr>
        <w:pStyle w:val="Style27"/>
        <w:keepNext w:val="0"/>
        <w:keepLines w:val="0"/>
        <w:widowControl w:val="0"/>
        <w:shd w:val="clear" w:color="auto" w:fill="auto"/>
        <w:bidi w:val="0"/>
        <w:spacing w:before="0" w:after="300" w:line="314" w:lineRule="exact"/>
        <w:ind w:left="0" w:right="0" w:firstLine="0"/>
        <w:jc w:val="left"/>
      </w:pPr>
      <w:r>
        <w:rPr>
          <w:color w:val="000000"/>
          <w:spacing w:val="0"/>
          <w:w w:val="100"/>
          <w:position w:val="0"/>
        </w:rPr>
        <w:t xml:space="preserve">在职工为本公司提供服务的会计期间，将实际发生的短期薪酬确认为负债，并计入当期损益，企业会计准则要求或允许计入 资产成本的除外。本公司发生的职工福利费，在实际发生时根据实际发生额计入当期损益或相关资产成本。职工福利费为非 货币性福利的，按照公允价值计量。本公司为职工缴纳的医疗保险费、工伤保险费、生育保险费等社会保险费和住房公积金， 以及按规定提取的工会经费和职工教育经费，在职工提供服务的会计期间，根据规定的计提基础和计提比例计算确定相应的 </w:t>
      </w:r>
      <w:r>
        <w:rPr>
          <w:color w:val="000000"/>
          <w:spacing w:val="0"/>
          <w:w w:val="100"/>
          <w:position w:val="0"/>
        </w:rPr>
        <w:t>职工薪酬金额，并确认相应负债，计入当期损益或相关资产成本。</w:t>
      </w:r>
    </w:p>
    <w:p>
      <w:pPr>
        <w:pStyle w:val="Style44"/>
        <w:keepNext/>
        <w:keepLines/>
        <w:widowControl w:val="0"/>
        <w:numPr>
          <w:ilvl w:val="0"/>
          <w:numId w:val="39"/>
        </w:numPr>
        <w:shd w:val="clear" w:color="auto" w:fill="auto"/>
        <w:tabs>
          <w:tab w:pos="493" w:val="left"/>
        </w:tabs>
        <w:bidi w:val="0"/>
        <w:spacing w:before="0" w:after="300" w:line="312"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离职后福利的会计处理方法</w:t>
      </w:r>
      <w:bookmarkEnd w:id="956"/>
      <w:bookmarkEnd w:id="957"/>
      <w:bookmarkEnd w:id="959"/>
    </w:p>
    <w:p>
      <w:pPr>
        <w:pStyle w:val="Style27"/>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本公司在职工提供服务的会计期间，根据设定提存计划计算的应缴存金额确认为负债，并计入当期损益或相关资产成本。根 据预期累计福利单位法确定的公式将设定受益计划产生的福利义务归属于职工提供服务的期间，并计入当期损益或相关资产 成本。</w:t>
      </w:r>
    </w:p>
    <w:p>
      <w:pPr>
        <w:pStyle w:val="Style44"/>
        <w:keepNext/>
        <w:keepLines/>
        <w:widowControl w:val="0"/>
        <w:numPr>
          <w:ilvl w:val="0"/>
          <w:numId w:val="39"/>
        </w:numPr>
        <w:shd w:val="clear" w:color="auto" w:fill="auto"/>
        <w:tabs>
          <w:tab w:pos="493" w:val="left"/>
        </w:tabs>
        <w:bidi w:val="0"/>
        <w:spacing w:before="0" w:after="300" w:line="312" w:lineRule="exact"/>
        <w:ind w:left="0" w:right="0" w:firstLine="0"/>
        <w:jc w:val="both"/>
      </w:pPr>
      <w:bookmarkStart w:id="960" w:name="bookmark960"/>
      <w:bookmarkStart w:id="961" w:name="bookmark961"/>
      <w:bookmarkStart w:id="962" w:name="bookmark962"/>
      <w:bookmarkStart w:id="963" w:name="bookmark963"/>
      <w:bookmarkEnd w:id="962"/>
      <w:r>
        <w:rPr>
          <w:color w:val="000000"/>
          <w:spacing w:val="0"/>
          <w:w w:val="100"/>
          <w:position w:val="0"/>
        </w:rPr>
        <w:t>辞退福利的会计处理方法</w:t>
      </w:r>
      <w:bookmarkEnd w:id="960"/>
      <w:bookmarkEnd w:id="961"/>
      <w:bookmarkEnd w:id="963"/>
    </w:p>
    <w:p>
      <w:pPr>
        <w:pStyle w:val="Style2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本公司向职工提供辞退福利时，在下列两者孰早日确认辞退福利产生的职工薪酬负债，并计入当期损益：本公司不能单方面 撤回因解除劳动关系计划或裁减建议所提供的辞退福利时；本公司确认与涉及支付辞退福利的重组相关的成本或费用时。</w:t>
      </w:r>
    </w:p>
    <w:p>
      <w:pPr>
        <w:pStyle w:val="Style44"/>
        <w:keepNext/>
        <w:keepLines/>
        <w:widowControl w:val="0"/>
        <w:numPr>
          <w:ilvl w:val="0"/>
          <w:numId w:val="39"/>
        </w:numPr>
        <w:shd w:val="clear" w:color="auto" w:fill="auto"/>
        <w:tabs>
          <w:tab w:pos="493" w:val="left"/>
        </w:tabs>
        <w:bidi w:val="0"/>
        <w:spacing w:before="0" w:after="300" w:line="312" w:lineRule="exact"/>
        <w:ind w:left="0" w:right="0" w:firstLine="0"/>
        <w:jc w:val="both"/>
      </w:pPr>
      <w:bookmarkStart w:id="964" w:name="bookmark964"/>
      <w:bookmarkStart w:id="965" w:name="bookmark965"/>
      <w:bookmarkStart w:id="966" w:name="bookmark966"/>
      <w:bookmarkStart w:id="967" w:name="bookmark967"/>
      <w:bookmarkEnd w:id="966"/>
      <w:r>
        <w:rPr>
          <w:color w:val="000000"/>
          <w:spacing w:val="0"/>
          <w:w w:val="100"/>
          <w:position w:val="0"/>
        </w:rPr>
        <w:t>其他长期职工福利的会计处理方法</w:t>
      </w:r>
      <w:bookmarkEnd w:id="964"/>
      <w:bookmarkEnd w:id="965"/>
      <w:bookmarkEnd w:id="967"/>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本公司向职工提供的其他长期职工福利，符合设定提存计划条件的，应当按照有关设定提存计划的规定进 行处理；除此外，根据设定受益计划的有关规定，确认和计量其他长期职工福利净负债或净资产。</w:t>
      </w:r>
    </w:p>
    <w:p>
      <w:pPr>
        <w:pStyle w:val="Style31"/>
        <w:keepNext/>
        <w:keepLines/>
        <w:widowControl w:val="0"/>
        <w:shd w:val="clear" w:color="auto" w:fill="auto"/>
        <w:tabs>
          <w:tab w:pos="483" w:val="left"/>
        </w:tabs>
        <w:bidi w:val="0"/>
        <w:spacing w:before="0" w:after="300" w:line="326"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68"/>
      <w:bookmarkEnd w:id="969"/>
      <w:bookmarkEnd w:id="971"/>
    </w:p>
    <w:p>
      <w:pPr>
        <w:pStyle w:val="Style31"/>
        <w:keepNext/>
        <w:keepLines/>
        <w:widowControl w:val="0"/>
        <w:shd w:val="clear" w:color="auto" w:fill="auto"/>
        <w:tabs>
          <w:tab w:pos="483" w:val="left"/>
        </w:tabs>
        <w:bidi w:val="0"/>
        <w:spacing w:before="0" w:after="300" w:line="326"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2"/>
      <w:bookmarkEnd w:id="973"/>
      <w:bookmarkEnd w:id="975"/>
    </w:p>
    <w:p>
      <w:pPr>
        <w:pStyle w:val="Style31"/>
        <w:keepNext/>
        <w:keepLines/>
        <w:widowControl w:val="0"/>
        <w:shd w:val="clear" w:color="auto" w:fill="auto"/>
        <w:tabs>
          <w:tab w:pos="483" w:val="left"/>
        </w:tabs>
        <w:bidi w:val="0"/>
        <w:spacing w:before="0" w:after="200" w:line="326"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76"/>
      <w:bookmarkEnd w:id="977"/>
      <w:bookmarkEnd w:id="979"/>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本公司股份支付包括以权益结算的股份支付和以现金结算的股份支付。以权益结算的股份支付换取职工提供服务的，以授予 职工权益工具的公允价值计量。存在活跃市场的，按照活跃市场中的报价确定；不存在活跃市场的，采用估值技术确定，包 括参考熟悉情况并自愿交易的各方最近进行的市场交易中使用的价格、参照实质上相同的其他金融工具的当前公允价值、现 金流量折现法和期权定价模型等。</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在各个资产负债表日，根据最新取得的可行权人数变动、业绩指标完成情况等后续信息，修正预计可行权的股票期权数量， 并以此为依据确认各期应分摊的费用。对于跨越多个会计期间的期权费用，一般可以按照该期权在某会计期间内等待期长度 占整个等待期长度的比例进行分摊。</w:t>
      </w:r>
    </w:p>
    <w:p>
      <w:pPr>
        <w:pStyle w:val="Style31"/>
        <w:keepNext/>
        <w:keepLines/>
        <w:widowControl w:val="0"/>
        <w:shd w:val="clear" w:color="auto" w:fill="auto"/>
        <w:tabs>
          <w:tab w:pos="483" w:val="left"/>
        </w:tabs>
        <w:bidi w:val="0"/>
        <w:spacing w:before="0" w:after="300" w:line="326"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0"/>
      <w:bookmarkEnd w:id="981"/>
      <w:bookmarkEnd w:id="983"/>
    </w:p>
    <w:p>
      <w:pPr>
        <w:pStyle w:val="Style31"/>
        <w:keepNext/>
        <w:keepLines/>
        <w:widowControl w:val="0"/>
        <w:shd w:val="clear" w:color="auto" w:fill="auto"/>
        <w:tabs>
          <w:tab w:pos="483" w:val="left"/>
        </w:tabs>
        <w:bidi w:val="0"/>
        <w:spacing w:before="0" w:after="200" w:line="326"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4"/>
      <w:bookmarkEnd w:id="985"/>
      <w:bookmarkEnd w:id="987"/>
    </w:p>
    <w:p>
      <w:pPr>
        <w:pStyle w:val="Style27"/>
        <w:keepNext w:val="0"/>
        <w:keepLines w:val="0"/>
        <w:widowControl w:val="0"/>
        <w:shd w:val="clear" w:color="auto" w:fill="auto"/>
        <w:bidi w:val="0"/>
        <w:spacing w:before="0" w:line="311" w:lineRule="exact"/>
        <w:ind w:left="0" w:right="0" w:firstLine="0"/>
        <w:jc w:val="both"/>
      </w:pPr>
      <w:r>
        <w:rPr>
          <w:color w:val="000000"/>
          <w:spacing w:val="0"/>
          <w:w w:val="100"/>
          <w:position w:val="0"/>
        </w:rPr>
        <w:t>收入确认和计量所采用的会计政策</w:t>
      </w:r>
    </w:p>
    <w:p>
      <w:pPr>
        <w:pStyle w:val="Style27"/>
        <w:keepNext w:val="0"/>
        <w:keepLines w:val="0"/>
        <w:widowControl w:val="0"/>
        <w:numPr>
          <w:ilvl w:val="0"/>
          <w:numId w:val="41"/>
        </w:numPr>
        <w:shd w:val="clear" w:color="auto" w:fill="auto"/>
        <w:tabs>
          <w:tab w:pos="301" w:val="left"/>
        </w:tabs>
        <w:bidi w:val="0"/>
        <w:spacing w:before="0" w:after="0" w:line="348" w:lineRule="auto"/>
        <w:ind w:left="0" w:right="0" w:firstLine="0"/>
        <w:jc w:val="both"/>
      </w:pPr>
      <w:bookmarkStart w:id="988" w:name="bookmark988"/>
      <w:bookmarkEnd w:id="988"/>
      <w:r>
        <w:rPr>
          <w:color w:val="000000"/>
          <w:spacing w:val="0"/>
          <w:w w:val="100"/>
          <w:position w:val="0"/>
        </w:rPr>
        <w:t>收入确认的一般原则</w:t>
      </w:r>
    </w:p>
    <w:p>
      <w:pPr>
        <w:pStyle w:val="Style27"/>
        <w:keepNext w:val="0"/>
        <w:keepLines w:val="0"/>
        <w:widowControl w:val="0"/>
        <w:shd w:val="clear" w:color="auto" w:fill="auto"/>
        <w:bidi w:val="0"/>
        <w:spacing w:before="0" w:after="0" w:line="301" w:lineRule="exact"/>
        <w:ind w:left="0" w:right="0" w:firstLine="0"/>
        <w:jc w:val="both"/>
      </w:pPr>
      <w:r>
        <w:rPr>
          <w:color w:val="000000"/>
          <w:spacing w:val="0"/>
          <w:w w:val="100"/>
          <w:position w:val="0"/>
        </w:rPr>
        <w:t>本公司在履行了合同中的履约义务，即在客户取得相关商品或服务控制权时，按照分摊至该项履约义务的交易价格确认收入。 取得相关商品控制权，是指能够主导该商品的使用并从中获得几乎全部的经济利益。履约义务是指合同中本公司向客户转让 可明确区分商品的承诺。交易价格是指本公司因向客户转让商品而预期有权收取的对价金额，不包括代第三方收取的款项以 及本公司预期将退还给客户的款项。</w:t>
      </w:r>
    </w:p>
    <w:p>
      <w:pPr>
        <w:pStyle w:val="Style27"/>
        <w:keepNext w:val="0"/>
        <w:keepLines w:val="0"/>
        <w:widowControl w:val="0"/>
        <w:shd w:val="clear" w:color="auto" w:fill="auto"/>
        <w:bidi w:val="0"/>
        <w:spacing w:before="0" w:line="312" w:lineRule="exact"/>
        <w:ind w:left="0" w:right="0" w:firstLine="0"/>
        <w:jc w:val="both"/>
      </w:pPr>
      <w:r>
        <w:rPr>
          <w:color w:val="000000"/>
          <w:spacing w:val="0"/>
          <w:w w:val="100"/>
          <w:position w:val="0"/>
        </w:rPr>
        <w:t>履约义务是在某一时段内履行、还是在某一时点履行，取决于合同条款及相关法律规定。如果履约义务是在某一时段内履行 的，则本公司按照履约进度确认收入。否则，本公司于客户取得相关资产控制权的某一时点确认收入。</w:t>
      </w:r>
    </w:p>
    <w:p>
      <w:pPr>
        <w:pStyle w:val="Style27"/>
        <w:keepNext w:val="0"/>
        <w:keepLines w:val="0"/>
        <w:widowControl w:val="0"/>
        <w:numPr>
          <w:ilvl w:val="0"/>
          <w:numId w:val="41"/>
        </w:numPr>
        <w:shd w:val="clear" w:color="auto" w:fill="auto"/>
        <w:tabs>
          <w:tab w:pos="320" w:val="left"/>
        </w:tabs>
        <w:bidi w:val="0"/>
        <w:spacing w:before="0" w:after="300" w:line="360" w:lineRule="auto"/>
        <w:ind w:left="0" w:right="0" w:firstLine="0"/>
        <w:jc w:val="both"/>
      </w:pPr>
      <w:bookmarkStart w:id="989" w:name="bookmark989"/>
      <w:bookmarkEnd w:id="989"/>
      <w:r>
        <w:rPr>
          <w:color w:val="000000"/>
          <w:spacing w:val="0"/>
          <w:w w:val="100"/>
          <w:position w:val="0"/>
        </w:rPr>
        <w:t>收入确认的具体方法</w:t>
      </w:r>
    </w:p>
    <w:p>
      <w:pPr>
        <w:pStyle w:val="Style27"/>
        <w:keepNext w:val="0"/>
        <w:keepLines w:val="0"/>
        <w:widowControl w:val="0"/>
        <w:shd w:val="clear" w:color="auto" w:fill="auto"/>
        <w:tabs>
          <w:tab w:pos="422" w:val="left"/>
        </w:tabs>
        <w:bidi w:val="0"/>
        <w:spacing w:before="0" w:after="0" w:line="311" w:lineRule="exact"/>
        <w:ind w:left="0" w:right="0" w:firstLine="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销售收入</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本公司与客户之间的销售合同通常仅包含转让商品的履约义务，本公司将其作为某一时点履行的履约义务，经验收合格后确 认销售收入。</w:t>
      </w:r>
    </w:p>
    <w:p>
      <w:pPr>
        <w:pStyle w:val="Style27"/>
        <w:keepNext w:val="0"/>
        <w:keepLines w:val="0"/>
        <w:widowControl w:val="0"/>
        <w:shd w:val="clear" w:color="auto" w:fill="auto"/>
        <w:tabs>
          <w:tab w:pos="422" w:val="left"/>
        </w:tabs>
        <w:bidi w:val="0"/>
        <w:spacing w:before="0" w:after="0" w:line="311" w:lineRule="exact"/>
        <w:ind w:left="0" w:right="0" w:firstLine="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建造合同收入</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本公司与客户之间的建造合同包含工程建设的履约义务，由于客户能够控制本公司履约过程中在建的商品，本公司将其作为 在某一时段内履行的履约义务，按照履约进度确认收入，履约进度不能合理确定的除外。本公司采用投入法，即按照累计实 际发生的成本占合同预计总成本的比例确定恰当的履约进度。当履约进度不能合理确定时，本公司根据已经发生的成本预计 能够得到补偿的成本金额确认收入，直到履约进度能够合理确定为止。</w:t>
      </w:r>
    </w:p>
    <w:p>
      <w:pPr>
        <w:pStyle w:val="Style27"/>
        <w:keepNext w:val="0"/>
        <w:keepLines w:val="0"/>
        <w:widowControl w:val="0"/>
        <w:shd w:val="clear" w:color="auto" w:fill="auto"/>
        <w:tabs>
          <w:tab w:pos="422" w:val="left"/>
        </w:tabs>
        <w:bidi w:val="0"/>
        <w:spacing w:before="0" w:after="0" w:line="311" w:lineRule="exact"/>
        <w:ind w:left="0" w:right="0" w:firstLine="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电影放映收入</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影院销售电影票收取票款，当观众入场观看电影时确认电影放映收入。</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对于影院采用会员卡、团体券等方式预售电影票的，于会员卡、团体券持有人实际兑换电影票入场观看电影时确认收入；对 于已售会员卡、团体券期满而尚未使用的，于有效期满后转入营业收入。</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同类业务采用不同经营模式导致收入确认会计政策存在差异的情况</w:t>
      </w:r>
    </w:p>
    <w:p>
      <w:pPr>
        <w:pStyle w:val="Style31"/>
        <w:keepNext/>
        <w:keepLines/>
        <w:widowControl w:val="0"/>
        <w:shd w:val="clear" w:color="auto" w:fill="auto"/>
        <w:tabs>
          <w:tab w:pos="461" w:val="left"/>
        </w:tabs>
        <w:bidi w:val="0"/>
        <w:spacing w:before="0" w:after="38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93"/>
      <w:bookmarkEnd w:id="994"/>
      <w:bookmarkEnd w:id="996"/>
    </w:p>
    <w:p>
      <w:pPr>
        <w:pStyle w:val="Style27"/>
        <w:keepNext w:val="0"/>
        <w:keepLines w:val="0"/>
        <w:widowControl w:val="0"/>
        <w:numPr>
          <w:ilvl w:val="0"/>
          <w:numId w:val="43"/>
        </w:numPr>
        <w:shd w:val="clear" w:color="auto" w:fill="auto"/>
        <w:tabs>
          <w:tab w:pos="278" w:val="left"/>
        </w:tabs>
        <w:bidi w:val="0"/>
        <w:spacing w:before="0" w:after="0" w:line="360" w:lineRule="auto"/>
        <w:ind w:left="0" w:right="0" w:firstLine="0"/>
        <w:jc w:val="both"/>
      </w:pPr>
      <w:bookmarkStart w:id="997" w:name="bookmark997"/>
      <w:bookmarkEnd w:id="997"/>
      <w:r>
        <w:rPr>
          <w:color w:val="000000"/>
          <w:spacing w:val="0"/>
          <w:w w:val="100"/>
          <w:position w:val="0"/>
        </w:rPr>
        <w:t>政府补助的类型及会计处理</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政府补助是指本公司从政府无偿取得的货币性资产或非货币性资产（但不包括政府作为所有者投入的资本）。政府补助为货 币性资产的，应当按照收到或应收的金额计量。政府补助为非货币性资产的，应当按照公允价值计量；公允价值不能可靠取 得的，按照名义金额计量。</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与日常活动相关的政府补助，按照经济业务实质，计入其他收益。与日常活动无关的政府补助，计入营业外收支。</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政府文件明确规定用于购建或以其他方式形成长期资产的政府补助，确认为与资产相关的政府补助。政府文件未明确规定补 助对象的，能够形成长期资产的，与资产价值相对应的政府补助部分作为与资产相关的政府补助，其余部分作为与收益相关 的政府补助；难以区分的，将政府补助整体作为与收益相关的政府补助。与资产相关的政府补助确认为递延收益。确认为递 延收益的金额，在相关资产使用寿命内按照合理、系统的方法分期计入当期损益。</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除与资产相关的政府补助之外的政府补助，确认为与收益相关的政府补助。与收益相关的政府补助用于补偿企业以后期间的 相关费用或损失的，确认为递延收益，并在确认相关费用的期间，计入当期损益；用于补偿企业已发生的相关费用或损失的， 直接计入当期损益。</w:t>
      </w:r>
    </w:p>
    <w:p>
      <w:pPr>
        <w:pStyle w:val="Style27"/>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本公司取得政策性优惠贷款贴息，财政将贴息资金拨付给贷款银行，由贷款银行以政策性优惠利率向本公司提供贷款的，以 实际收到的借款金额作为借款的入账价值，按照借款本金和该政策性优惠利率计算相关借款费用；财政将贴息资金直接拨付 给本公司的，本公司将对应的贴息冲减相关借款费用。</w:t>
      </w:r>
    </w:p>
    <w:p>
      <w:pPr>
        <w:pStyle w:val="Style27"/>
        <w:keepNext w:val="0"/>
        <w:keepLines w:val="0"/>
        <w:widowControl w:val="0"/>
        <w:numPr>
          <w:ilvl w:val="0"/>
          <w:numId w:val="43"/>
        </w:numPr>
        <w:shd w:val="clear" w:color="auto" w:fill="auto"/>
        <w:tabs>
          <w:tab w:pos="298" w:val="left"/>
        </w:tabs>
        <w:bidi w:val="0"/>
        <w:spacing w:before="0" w:after="0" w:line="360" w:lineRule="auto"/>
        <w:ind w:left="0" w:right="0" w:firstLine="0"/>
        <w:jc w:val="both"/>
      </w:pPr>
      <w:bookmarkStart w:id="998" w:name="bookmark998"/>
      <w:bookmarkEnd w:id="998"/>
      <w:r>
        <w:rPr>
          <w:color w:val="000000"/>
          <w:spacing w:val="0"/>
          <w:w w:val="100"/>
          <w:position w:val="0"/>
        </w:rPr>
        <w:t>政府补助确认时点</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政府补助在满足政府补助所附条件并能够收到时确认。按照应收金额计量的政府补助，在期末有确凿证据表明能够符合财政 扶持政策规定的相关条件且预计能够收到财政扶持资金时予以确认。除按照应收金额计量的政府补助外的其他政府补助，在 实际收到补助款项时予以确认。</w:t>
      </w:r>
    </w:p>
    <w:p>
      <w:pPr>
        <w:pStyle w:val="Style31"/>
        <w:keepNext/>
        <w:keepLines/>
        <w:widowControl w:val="0"/>
        <w:shd w:val="clear" w:color="auto" w:fill="auto"/>
        <w:tabs>
          <w:tab w:pos="461" w:val="left"/>
        </w:tabs>
        <w:bidi w:val="0"/>
        <w:spacing w:before="0" w:after="28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4</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1002"/>
      <w:bookmarkEnd w:id="999"/>
    </w:p>
    <w:p>
      <w:pPr>
        <w:pStyle w:val="Style27"/>
        <w:keepNext w:val="0"/>
        <w:keepLines w:val="0"/>
        <w:widowControl w:val="0"/>
        <w:numPr>
          <w:ilvl w:val="0"/>
          <w:numId w:val="45"/>
        </w:numPr>
        <w:shd w:val="clear" w:color="auto" w:fill="auto"/>
        <w:tabs>
          <w:tab w:pos="288" w:val="left"/>
        </w:tabs>
        <w:bidi w:val="0"/>
        <w:spacing w:before="0" w:after="0" w:line="315" w:lineRule="exact"/>
        <w:ind w:left="0" w:right="0" w:firstLine="0"/>
        <w:jc w:val="both"/>
      </w:pPr>
      <w:bookmarkStart w:id="1003" w:name="bookmark1003"/>
      <w:bookmarkEnd w:id="1003"/>
      <w:r>
        <w:rPr>
          <w:color w:val="000000"/>
          <w:spacing w:val="0"/>
          <w:w w:val="100"/>
          <w:position w:val="0"/>
        </w:rPr>
        <w:t>根据资产、负债的账面价值与其计税基础之间的差额（未作为资产和负债确认的项目按照税法规定可以确定其计税基础的， 确定该计税基础为其差额）,按照预期收回该资产或清偿该负债期间的适用税率计算确认递延所得税资产或递延所得税负债。</w:t>
      </w:r>
    </w:p>
    <w:p>
      <w:pPr>
        <w:pStyle w:val="Style27"/>
        <w:keepNext w:val="0"/>
        <w:keepLines w:val="0"/>
        <w:widowControl w:val="0"/>
        <w:numPr>
          <w:ilvl w:val="0"/>
          <w:numId w:val="45"/>
        </w:numPr>
        <w:shd w:val="clear" w:color="auto" w:fill="auto"/>
        <w:tabs>
          <w:tab w:pos="298" w:val="left"/>
        </w:tabs>
        <w:bidi w:val="0"/>
        <w:spacing w:before="0" w:after="100" w:line="315" w:lineRule="exact"/>
        <w:ind w:left="0" w:right="0" w:firstLine="0"/>
        <w:jc w:val="both"/>
      </w:pPr>
      <w:bookmarkStart w:id="1004" w:name="bookmark1004"/>
      <w:bookmarkEnd w:id="1004"/>
      <w:r>
        <w:rPr>
          <w:color w:val="000000"/>
          <w:spacing w:val="0"/>
          <w:w w:val="100"/>
          <w:position w:val="0"/>
        </w:rPr>
        <w:t>递延所得税资产的确认以很可能取得用来抵扣可抵扣暂时性差异的应纳税所得额为限。资产负债表日，有确凿证据表明未 来期间很可能获得足够的应纳税所得额用来抵扣可抵扣暂时性差异的，确认以前会计期间未确认的递延所得税资产。如未来 期间很可能无法获得足够的应纳税所得额用以抵扣递延所得税资产的，则减记递延所得税资产的账面价值。</w:t>
      </w:r>
    </w:p>
    <w:p>
      <w:pPr>
        <w:pStyle w:val="Style27"/>
        <w:keepNext w:val="0"/>
        <w:keepLines w:val="0"/>
        <w:widowControl w:val="0"/>
        <w:numPr>
          <w:ilvl w:val="0"/>
          <w:numId w:val="45"/>
        </w:numPr>
        <w:shd w:val="clear" w:color="auto" w:fill="auto"/>
        <w:bidi w:val="0"/>
        <w:spacing w:before="0" w:after="380" w:line="360" w:lineRule="auto"/>
        <w:ind w:left="0" w:right="0" w:firstLine="0"/>
        <w:jc w:val="both"/>
      </w:pPr>
      <w:bookmarkStart w:id="1005" w:name="bookmark1005"/>
      <w:bookmarkEnd w:id="100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对与子公司及联营企业投资相关的应纳税暂时性差异，确认递延所得税负债，除非本公司能够控制暂时性差异转回的时间 </w:t>
      </w:r>
      <w:r>
        <w:rPr>
          <w:color w:val="000000"/>
          <w:spacing w:val="0"/>
          <w:w w:val="100"/>
          <w:position w:val="0"/>
        </w:rPr>
        <w:t>且该暂时性差异在可预见的未来很可能不会转回。对与子公司及联营企业投资相关的可抵扣暂时性差异，当该暂时性差异在 可预见的未来很可能转回且未来很可能获得用来抵扣可抵扣暂时性差异的应纳税所得额时，确认递延所得税资产。</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4</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06"/>
      <w:bookmarkEnd w:id="1007"/>
      <w:bookmarkEnd w:id="1009"/>
    </w:p>
    <w:p>
      <w:pPr>
        <w:pStyle w:val="Style44"/>
        <w:keepNext/>
        <w:keepLines/>
        <w:widowControl w:val="0"/>
        <w:shd w:val="clear" w:color="auto" w:fill="auto"/>
        <w:tabs>
          <w:tab w:pos="493" w:val="left"/>
        </w:tabs>
        <w:bidi w:val="0"/>
        <w:spacing w:before="0" w:after="28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0"/>
      <w:bookmarkEnd w:id="1011"/>
      <w:bookmarkEnd w:id="1013"/>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经营租赁的租金支出在租赁期内按照直线法计入相关资产成本或当期损益。</w:t>
      </w:r>
    </w:p>
    <w:p>
      <w:pPr>
        <w:pStyle w:val="Style44"/>
        <w:keepNext/>
        <w:keepLines/>
        <w:widowControl w:val="0"/>
        <w:shd w:val="clear" w:color="auto" w:fill="auto"/>
        <w:tabs>
          <w:tab w:pos="493" w:val="left"/>
        </w:tabs>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4"/>
      <w:bookmarkEnd w:id="1015"/>
      <w:bookmarkEnd w:id="1017"/>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以租赁资产的公允价值与最低租赁付款额的现值两者中较低者作为租入资产的入账价值,租入资产的入账价值与最低租赁付 款额之间的差额作为未确认融资费用，在租赁期内按实际利率法摊销。最低租赁付款额扣除未确认融资费用后的余额作为长 期应付款列示。</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4</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18"/>
      <w:bookmarkEnd w:id="1019"/>
      <w:bookmarkEnd w:id="1021"/>
    </w:p>
    <w:p>
      <w:pPr>
        <w:pStyle w:val="Style31"/>
        <w:keepNext/>
        <w:keepLines/>
        <w:widowControl w:val="0"/>
        <w:shd w:val="clear" w:color="auto" w:fill="auto"/>
        <w:tabs>
          <w:tab w:pos="483" w:val="left"/>
        </w:tabs>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4</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22"/>
      <w:bookmarkEnd w:id="1023"/>
      <w:bookmarkEnd w:id="1025"/>
    </w:p>
    <w:p>
      <w:pPr>
        <w:pStyle w:val="Style44"/>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26"/>
      <w:bookmarkEnd w:id="1027"/>
      <w:bookmarkEnd w:id="1029"/>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4"/>
        <w:keepNext w:val="0"/>
        <w:keepLines w:val="0"/>
        <w:widowControl w:val="0"/>
        <w:numPr>
          <w:ilvl w:val="0"/>
          <w:numId w:val="47"/>
        </w:numPr>
        <w:shd w:val="clear" w:color="auto" w:fill="auto"/>
        <w:tabs>
          <w:tab w:pos="755" w:val="left"/>
        </w:tabs>
        <w:bidi w:val="0"/>
        <w:spacing w:before="0" w:after="0" w:line="314" w:lineRule="exact"/>
        <w:ind w:left="0" w:right="0" w:firstLine="440"/>
        <w:jc w:val="both"/>
      </w:pPr>
      <w:bookmarkStart w:id="1030" w:name="bookmark1030"/>
      <w:bookmarkEnd w:id="1030"/>
      <w:r>
        <w:rPr>
          <w:color w:val="000000"/>
          <w:spacing w:val="0"/>
          <w:w w:val="100"/>
          <w:position w:val="0"/>
        </w:rPr>
        <w:t>会计政策变更及依据</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新收入准则本公司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日起执行新收入准则以及通知，对会计政策相关内容进行调整。</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收入》及《企业会计准则第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建造合同》</w:t>
      </w:r>
      <w:r>
        <w:rPr>
          <w:color w:val="000000"/>
          <w:spacing w:val="0"/>
          <w:w w:val="100"/>
          <w:position w:val="0"/>
        </w:rPr>
        <w:t>（</w:t>
      </w:r>
      <w:r>
        <w:rPr>
          <w:color w:val="000000"/>
          <w:spacing w:val="0"/>
          <w:w w:val="100"/>
          <w:position w:val="0"/>
        </w:rPr>
        <w:t>统称</w:t>
      </w:r>
      <w:r>
        <w:rPr>
          <w:rFonts w:ascii="Times New Roman" w:eastAsia="Times New Roman" w:hAnsi="Times New Roman" w:cs="Times New Roman"/>
          <w:color w:val="000000"/>
          <w:spacing w:val="0"/>
          <w:w w:val="100"/>
          <w:position w:val="0"/>
        </w:rPr>
        <w:t>“</w:t>
      </w:r>
      <w:r>
        <w:rPr>
          <w:color w:val="000000"/>
          <w:spacing w:val="0"/>
          <w:w w:val="100"/>
          <w:position w:val="0"/>
        </w:rPr>
        <w:t>原收入准则在原收入准则下，本公司以风险报酬转移作为收入确认时点的判断标准。 新收入准则引入了收入确认计量的</w:t>
      </w:r>
      <w:r>
        <w:rPr>
          <w:rFonts w:ascii="Times New Roman" w:eastAsia="Times New Roman" w:hAnsi="Times New Roman" w:cs="Times New Roman"/>
          <w:color w:val="000000"/>
          <w:spacing w:val="0"/>
          <w:w w:val="100"/>
          <w:position w:val="0"/>
        </w:rPr>
        <w:t>“</w:t>
      </w:r>
      <w:r>
        <w:rPr>
          <w:color w:val="000000"/>
          <w:spacing w:val="0"/>
          <w:w w:val="100"/>
          <w:position w:val="0"/>
        </w:rPr>
        <w:t>五步法并针对特定交易或事项提供了更多的指引，在新收入准则下， 本公司以控制权转移作为收入确认时点的判断标准，具体收入确认和计量的会计政策参见附注三、（二十 四）。</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本公司对收入来源及客户合约流程进行复核以评估新收入准则对财务报表的影响。本公司的收入主要 为建造合同取得的收入，建造合同属于在某一时段内履行的履约义务，在合同期内按履约进度计算确认。 采用新收入准则对本公司除财务报表列报以外无重大影响。</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本公司根据首次执行新收入准则的累计影响数，调整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日的留存收益及财务报表相关项目金 额，对可比期间信息不予调整，本公司仅对在首次执行日尚未完成的合同的累计影响数进行调整。</w:t>
      </w:r>
    </w:p>
    <w:p>
      <w:pPr>
        <w:pStyle w:val="Style34"/>
        <w:keepNext w:val="0"/>
        <w:keepLines w:val="0"/>
        <w:widowControl w:val="0"/>
        <w:numPr>
          <w:ilvl w:val="0"/>
          <w:numId w:val="47"/>
        </w:numPr>
        <w:shd w:val="clear" w:color="auto" w:fill="auto"/>
        <w:tabs>
          <w:tab w:pos="774" w:val="left"/>
        </w:tabs>
        <w:bidi w:val="0"/>
        <w:spacing w:before="0" w:after="0" w:line="314" w:lineRule="exact"/>
        <w:ind w:left="0" w:right="0" w:firstLine="440"/>
        <w:jc w:val="both"/>
      </w:pPr>
      <w:bookmarkStart w:id="1031" w:name="bookmark1031"/>
      <w:bookmarkEnd w:id="1031"/>
      <w:r>
        <w:rPr>
          <w:color w:val="000000"/>
          <w:spacing w:val="0"/>
          <w:w w:val="100"/>
          <w:position w:val="0"/>
        </w:rPr>
        <w:t>会计政策变更的影响</w:t>
      </w:r>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日合并资产负债表及母公司资产负债表各项目的影响汇总如下：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left"/>
        <w:tblLayout w:type="fixed"/>
      </w:tblPr>
      <w:tblGrid>
        <w:gridCol w:w="2606"/>
        <w:gridCol w:w="2270"/>
        <w:gridCol w:w="1858"/>
        <w:gridCol w:w="2002"/>
      </w:tblGrid>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会计政策变更前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407,971,267.93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-294,203,961.79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113,767,306.14</w:t>
            </w:r>
          </w:p>
        </w:tc>
      </w:tr>
    </w:tbl>
    <w:p>
      <w:pPr>
        <w:widowControl w:val="0"/>
        <w:spacing w:line="1" w:lineRule="exact"/>
      </w:pPr>
      <w:r>
        <w:br w:type="page"/>
      </w:r>
    </w:p>
    <w:tbl>
      <w:tblPr>
        <w:tblOverlap w:val="never"/>
        <w:jc w:val="left"/>
        <w:tblLayout w:type="fixed"/>
      </w:tblPr>
      <w:tblGrid>
        <w:gridCol w:w="2606"/>
        <w:gridCol w:w="2270"/>
        <w:gridCol w:w="1858"/>
        <w:gridCol w:w="2002"/>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304,755,878.23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304,755,878.23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35,335,901.83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-34,445,607.64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890,294.19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43,002,382.55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43,002,382.55</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1,995,141.53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1,995,141.53</w:t>
            </w:r>
          </w:p>
        </w:tc>
      </w:tr>
    </w:tbl>
    <w:p>
      <w:pPr>
        <w:widowControl w:val="0"/>
        <w:spacing w:after="299" w:line="1" w:lineRule="exact"/>
      </w:pPr>
    </w:p>
    <w:p>
      <w:pPr>
        <w:widowControl w:val="0"/>
        <w:spacing w:line="1" w:lineRule="exact"/>
      </w:pPr>
    </w:p>
    <w:tbl>
      <w:tblPr>
        <w:tblOverlap w:val="never"/>
        <w:jc w:val="left"/>
        <w:tblLayout w:type="fixed"/>
      </w:tblPr>
      <w:tblGrid>
        <w:gridCol w:w="2626"/>
        <w:gridCol w:w="2198"/>
        <w:gridCol w:w="1978"/>
        <w:gridCol w:w="1934"/>
      </w:tblGrid>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会计政策变更前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388,927,980.47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-281,355,930.38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107,572,050.09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291,907,846.82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291,907,846.82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15,615,395.19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-15,615,395.19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24,977,697.28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24,977,697.28</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1,189,614.35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1,189,614.35</w:t>
            </w:r>
          </w:p>
        </w:tc>
      </w:tr>
    </w:tbl>
    <w:p>
      <w:pPr>
        <w:widowControl w:val="0"/>
        <w:spacing w:after="63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2"/>
      <w:bookmarkEnd w:id="1033"/>
      <w:bookmarkEnd w:id="103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36"/>
      <w:bookmarkEnd w:id="1037"/>
      <w:bookmarkEnd w:id="103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187,620,365.92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187,620,365.92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91,306,266.05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91,306,266.05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161,818,448.98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161,818,448.98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24,945,492.15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24,945,492.15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67,115,104.83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67,115,104.83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407,971,267.93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113,767,306.14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-294,203,961.79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304,755,878.23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304,755,878.23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127,485,134.14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127,485,134.14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21,196,643.66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1,090,428,723.66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1,100,980,640.10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275,649,541.50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275,649,541.50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521,891,975.94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521,891,975.94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181,951,821.88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181,951,821.88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180,050,688.32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180,050,688.32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1,075,660.98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1,075,660.98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7,905,931.52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7,905,931.52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58,943,843.44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58,943,843.44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78,558,026.96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78,558,026.96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1,368,825,602.20</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1,368,825,602.20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2,459,254,325.86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2,469,806,242.30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490,802,530.19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490,802,530.19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28,724,490.12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28,724,490.12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323,094,592.71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323,094,592.71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35,335,901.83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890,294.19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-34,445,607.64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43,002,382.55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43,002,382.55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10,314,021.20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10,314,021.20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6,146,051.94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6,146,051.94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75,278,334.50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75,278,334.50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1,995,141.53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1,995,141.53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969,695,922.49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980,247,838.93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969,874,804.15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980,426,720.59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679,945,828.00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679,945,828.00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1,070,543,657.65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1,070,543,657.65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72,306,229.27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72,306,229.27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16,788,640.43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16,788,640.43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-207,871,951.91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-207,871,951.91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1,523,952,079.97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1,523,952,079.97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-34,572,558.26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-34,572,558.26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1,489,379,521.71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1,489,379,521.71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2,459,254,325.86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2,469,806,242.30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bl>
    <w:p>
      <w:pPr>
        <w:pStyle w:val="Style27"/>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81,117,775.36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81,117,775.36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12,217,824.38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12,217,824.38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130,114,476.55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130,114,476.55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16,013,971.27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16,013,971.27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630,554,354.47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630,554,354.47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388,927,980.47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107,572,050.09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-281,355,930.38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291,907,846.82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291,907,846.82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5,312,448.65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5,312,448.65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1,265,228,831.15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1,275,780,747.59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1,358,942,824.94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1,358,942,824.94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56,581,992.73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56,581,992.73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55,352,872.93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55,352,872.93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55,084,017.22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55,084,017.22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1,669,423.82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1,669,423.82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62,711,404.37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62,711,404.37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1,591,085,313.60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1,591,085,313.60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2,856,314,144.75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2,866,866,061.19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490,802,530.19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490,802,530.19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28,724,490.12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28,724,490.12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283,736,468.27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283,736,468.27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15,615,395.19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-15,615,395.19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24,977,697.28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24,977,697.28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5,966,834.06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5,966,834.06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2,071,978.97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2,071,978.97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290,377,035.49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290,377,035.49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127,034.76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127,034.76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1,189,614.35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1,189,614.35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1,117,294,732.29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1,127,846,648.73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1,117,473,613.95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1,128,025,530.39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679,945,828.00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679,945,828.00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1,072,047,401.21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1,072,047,401.21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72,306,229.27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72,306,229.27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23,420,842.79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23,420,842.79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1,738,840,530.80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1,738,840,530.80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2,856,314,144.75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2,866,866,061.19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10,551,916.44</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调整情况说明</w:t>
      </w:r>
    </w:p>
    <w:p>
      <w:pPr>
        <w:pStyle w:val="Style44"/>
        <w:keepNext/>
        <w:keepLines/>
        <w:widowControl w:val="0"/>
        <w:shd w:val="clear" w:color="auto" w:fill="auto"/>
        <w:tabs>
          <w:tab w:pos="493" w:val="left"/>
        </w:tabs>
        <w:bidi w:val="0"/>
        <w:spacing w:before="0" w:after="36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shd w:val="clear" w:color="auto" w:fill="FFFFFF"/>
        </w:rPr>
        <w:t>（</w:t>
      </w:r>
      <w:bookmarkEnd w:id="104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40"/>
      <w:bookmarkEnd w:id="1041"/>
      <w:bookmarkEnd w:id="104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44"/>
      <w:bookmarkEnd w:id="1045"/>
      <w:bookmarkEnd w:id="1046"/>
    </w:p>
    <w:p>
      <w:pPr>
        <w:pStyle w:val="Style25"/>
        <w:keepNext/>
        <w:keepLines/>
        <w:widowControl w:val="0"/>
        <w:shd w:val="clear" w:color="auto" w:fill="auto"/>
        <w:bidi w:val="0"/>
        <w:spacing w:before="0" w:line="240" w:lineRule="auto"/>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sz w:val="24"/>
          <w:szCs w:val="24"/>
        </w:rPr>
        <w:t>六</w:t>
      </w:r>
      <w:bookmarkEnd w:id="1049"/>
      <w:r>
        <w:rPr>
          <w:color w:val="000000"/>
          <w:spacing w:val="0"/>
          <w:w w:val="100"/>
          <w:position w:val="0"/>
          <w:sz w:val="24"/>
          <w:szCs w:val="24"/>
        </w:rPr>
        <w:t>、税项</w:t>
      </w:r>
      <w:bookmarkEnd w:id="1047"/>
      <w:bookmarkEnd w:id="1048"/>
      <w:bookmarkEnd w:id="1050"/>
    </w:p>
    <w:p>
      <w:pPr>
        <w:pStyle w:val="Style31"/>
        <w:keepNext/>
        <w:keepLines/>
        <w:widowControl w:val="0"/>
        <w:shd w:val="clear" w:color="auto" w:fill="auto"/>
        <w:bidi w:val="0"/>
        <w:spacing w:before="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color w:val="000000"/>
          <w:spacing w:val="0"/>
          <w:w w:val="100"/>
          <w:position w:val="0"/>
        </w:rPr>
        <w:t>、主要税种及税率</w:t>
      </w:r>
      <w:bookmarkEnd w:id="1051"/>
      <w:bookmarkEnd w:id="1052"/>
      <w:bookmarkEnd w:id="105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59" w:line="1" w:lineRule="exact"/>
      </w:pPr>
    </w:p>
    <w:p>
      <w:pPr>
        <w:pStyle w:val="Style31"/>
        <w:keepNext/>
        <w:keepLines/>
        <w:widowControl w:val="0"/>
        <w:shd w:val="clear" w:color="auto" w:fill="auto"/>
        <w:bidi w:val="0"/>
        <w:spacing w:before="0" w:after="26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color w:val="000000"/>
          <w:spacing w:val="0"/>
          <w:w w:val="100"/>
          <w:position w:val="0"/>
        </w:rPr>
        <w:t>、税收优惠</w:t>
      </w:r>
      <w:bookmarkEnd w:id="1055"/>
      <w:bookmarkEnd w:id="1056"/>
      <w:bookmarkEnd w:id="1058"/>
    </w:p>
    <w:p>
      <w:pPr>
        <w:pStyle w:val="Style2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月通过高新技术企业复审，证书编号：</w:t>
      </w:r>
      <w:r>
        <w:rPr>
          <w:rFonts w:ascii="Times New Roman" w:eastAsia="Times New Roman" w:hAnsi="Times New Roman" w:cs="Times New Roman"/>
          <w:color w:val="000000"/>
          <w:spacing w:val="0"/>
          <w:w w:val="100"/>
          <w:position w:val="0"/>
          <w:sz w:val="18"/>
          <w:szCs w:val="18"/>
        </w:rPr>
        <w:t>GR201933005771</w:t>
      </w:r>
      <w:r>
        <w:rPr>
          <w:color w:val="000000"/>
          <w:spacing w:val="0"/>
          <w:w w:val="100"/>
          <w:position w:val="0"/>
        </w:rPr>
        <w:t>。</w:t>
      </w:r>
      <w:r>
        <w:rPr>
          <w:color w:val="000000"/>
          <w:spacing w:val="0"/>
          <w:w w:val="100"/>
          <w:position w:val="0"/>
        </w:rPr>
        <w:t>企业所得税优惠期为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31"/>
        <w:keepNext/>
        <w:keepLines/>
        <w:widowControl w:val="0"/>
        <w:shd w:val="clear" w:color="auto" w:fill="auto"/>
        <w:bidi w:val="0"/>
        <w:spacing w:before="0" w:after="2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color w:val="000000"/>
          <w:spacing w:val="0"/>
          <w:w w:val="100"/>
          <w:position w:val="0"/>
        </w:rPr>
        <w:t>、其他</w:t>
      </w:r>
      <w:bookmarkEnd w:id="1059"/>
      <w:bookmarkEnd w:id="1060"/>
      <w:bookmarkEnd w:id="1062"/>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本公司和子公司海峡创新信息产业有限公司、上海汉鼎信息技术有限公司销售货物根据销售额的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计算销项税额，按规定 扣除进项税额后缴纳；各公司设计及技术服务业务按销售额的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计缴；本公司和子公司海峡创新信息产业有限公司、浙江 海峡创新科技有限公司建筑劳务除按规定选择简易计税方法计税，适用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的增值税征收率外，根据应税收入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计算销项税 额，按规定扣除进项税额后缴纳。</w:t>
      </w:r>
    </w:p>
    <w:p>
      <w:pPr>
        <w:pStyle w:val="Style25"/>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sz w:val="24"/>
          <w:szCs w:val="24"/>
        </w:rPr>
        <w:t>七</w:t>
      </w:r>
      <w:bookmarkEnd w:id="1065"/>
      <w:r>
        <w:rPr>
          <w:color w:val="000000"/>
          <w:spacing w:val="0"/>
          <w:w w:val="100"/>
          <w:position w:val="0"/>
          <w:sz w:val="24"/>
          <w:szCs w:val="24"/>
        </w:rPr>
        <w:t>、合并财务报表项目注释</w:t>
      </w:r>
      <w:bookmarkEnd w:id="1063"/>
      <w:bookmarkEnd w:id="1064"/>
      <w:bookmarkEnd w:id="1066"/>
    </w:p>
    <w:p>
      <w:pPr>
        <w:pStyle w:val="Style31"/>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color w:val="000000"/>
          <w:spacing w:val="0"/>
          <w:w w:val="100"/>
          <w:position w:val="0"/>
        </w:rPr>
        <w:t>、货币资金</w:t>
      </w:r>
      <w:bookmarkEnd w:id="1067"/>
      <w:bookmarkEnd w:id="1068"/>
      <w:bookmarkEnd w:id="10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20,925.93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193,904,579.81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175,748,790.71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7,892,233.47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11,850,649.28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201,955,831.05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187,620,365.92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17,230,452.17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7,278,815.24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680" w:line="307" w:lineRule="exact"/>
        <w:ind w:left="0" w:right="0" w:firstLine="440"/>
        <w:jc w:val="left"/>
      </w:pPr>
      <w:r>
        <w:rPr>
          <w:color w:val="000000"/>
          <w:spacing w:val="0"/>
          <w:w w:val="100"/>
          <w:position w:val="0"/>
        </w:rPr>
        <w:t>期末余额中，因冻结而使用受限的银行存款</w:t>
      </w:r>
      <w:r>
        <w:rPr>
          <w:rFonts w:ascii="Times New Roman" w:eastAsia="Times New Roman" w:hAnsi="Times New Roman" w:cs="Times New Roman"/>
          <w:color w:val="000000"/>
          <w:spacing w:val="0"/>
          <w:w w:val="100"/>
          <w:position w:val="0"/>
        </w:rPr>
        <w:t>13,760,413.20</w:t>
      </w:r>
      <w:r>
        <w:rPr>
          <w:color w:val="000000"/>
          <w:spacing w:val="0"/>
          <w:w w:val="100"/>
          <w:position w:val="0"/>
        </w:rPr>
        <w:t>元，因作为各类保证金而使用受限的其他货 币资金</w:t>
      </w:r>
      <w:r>
        <w:rPr>
          <w:rFonts w:ascii="Times New Roman" w:eastAsia="Times New Roman" w:hAnsi="Times New Roman" w:cs="Times New Roman"/>
          <w:color w:val="000000"/>
          <w:spacing w:val="0"/>
          <w:w w:val="100"/>
          <w:position w:val="0"/>
        </w:rPr>
        <w:t xml:space="preserve">7,642,760.08 </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color w:val="000000"/>
          <w:spacing w:val="0"/>
          <w:w w:val="100"/>
          <w:position w:val="0"/>
        </w:rPr>
        <w:t>、交易性金融资产</w:t>
      </w:r>
      <w:bookmarkEnd w:id="1071"/>
      <w:bookmarkEnd w:id="1072"/>
      <w:bookmarkEnd w:id="10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91,306,266.05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91,306,266.05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91,306,266.05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color w:val="000000"/>
          <w:spacing w:val="0"/>
          <w:w w:val="100"/>
          <w:position w:val="0"/>
        </w:rPr>
        <w:t>、衍生金融资产</w:t>
      </w:r>
      <w:bookmarkEnd w:id="1075"/>
      <w:bookmarkEnd w:id="1076"/>
      <w:bookmarkEnd w:id="10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4</w:t>
      </w:r>
      <w:bookmarkEnd w:id="1081"/>
      <w:r>
        <w:rPr>
          <w:color w:val="000000"/>
          <w:spacing w:val="0"/>
          <w:w w:val="100"/>
          <w:position w:val="0"/>
        </w:rPr>
        <w:t>、应收票据</w:t>
      </w:r>
      <w:bookmarkEnd w:id="1079"/>
      <w:bookmarkEnd w:id="1080"/>
      <w:bookmarkEnd w:id="1082"/>
    </w:p>
    <w:p>
      <w:pPr>
        <w:pStyle w:val="Style44"/>
        <w:keepNext/>
        <w:keepLines/>
        <w:widowControl w:val="0"/>
        <w:numPr>
          <w:ilvl w:val="0"/>
          <w:numId w:val="49"/>
        </w:numPr>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应收票据分类列示</w:t>
      </w:r>
      <w:bookmarkEnd w:id="1083"/>
      <w:bookmarkEnd w:id="1084"/>
      <w:bookmarkEnd w:id="108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1,250,178.12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3,476,15</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95,981.1</w:t>
            </w:r>
          </w:p>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2,130,00</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1,346,15</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95,981.1</w:t>
            </w:r>
          </w:p>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3,476,15</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95,981.1</w:t>
            </w:r>
          </w:p>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1,346,159.28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3,476,159.28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49"/>
        </w:numPr>
        <w:shd w:val="clear" w:color="auto" w:fill="auto"/>
        <w:bidi w:val="0"/>
        <w:spacing w:before="0" w:after="26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本期计提、收回或转回的坏账准备情况</w:t>
      </w:r>
      <w:bookmarkEnd w:id="1087"/>
      <w:bookmarkEnd w:id="1088"/>
      <w:bookmarkEnd w:id="1090"/>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49"/>
        </w:numPr>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期末公司已质押的应收票据</w:t>
      </w:r>
      <w:bookmarkEnd w:id="1091"/>
      <w:bookmarkEnd w:id="1092"/>
      <w:bookmarkEnd w:id="10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期末公司已背书或贴现且在资产负债表日尚未到期的应收票据</w:t>
      </w:r>
      <w:bookmarkEnd w:id="1095"/>
      <w:bookmarkEnd w:id="1096"/>
      <w:bookmarkEnd w:id="10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期末公司因出票人未履约而将其转应收账款的票据</w:t>
      </w:r>
      <w:bookmarkEnd w:id="1099"/>
      <w:bookmarkEnd w:id="1100"/>
      <w:bookmarkEnd w:id="110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49"/>
        </w:numPr>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本期实际核销的应收票据情况</w:t>
      </w:r>
      <w:bookmarkEnd w:id="1103"/>
      <w:bookmarkEnd w:id="1104"/>
      <w:bookmarkEnd w:id="1106"/>
    </w:p>
    <w:p>
      <w:pPr>
        <w:pStyle w:val="Style27"/>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1"/>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5</w:t>
      </w:r>
      <w:bookmarkEnd w:id="1109"/>
      <w:r>
        <w:rPr>
          <w:color w:val="000000"/>
          <w:spacing w:val="0"/>
          <w:w w:val="100"/>
          <w:position w:val="0"/>
        </w:rPr>
        <w:t>、应收账款</w:t>
      </w:r>
      <w:bookmarkEnd w:id="1107"/>
      <w:bookmarkEnd w:id="1108"/>
      <w:bookmarkEnd w:id="1110"/>
    </w:p>
    <w:p>
      <w:pPr>
        <w:pStyle w:val="Style44"/>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1"/>
      <w:bookmarkEnd w:id="1112"/>
      <w:bookmarkEnd w:id="111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9,164,02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9,164,02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7,793,142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5,677,423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2,115,718.8</w:t>
            </w: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269,135,3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109,432,6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159,702,73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269,135,3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109,432,6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159,702,73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276,928,5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161,818,44</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037.30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浙江易健生物制品有限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客户已破产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舟山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大宗商品交 易中心管理委员会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镇江深国投商用置业有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客户已破产</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五洋建设集团股份有限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客户已破产</w:t>
            </w:r>
          </w:p>
        </w:tc>
      </w:tr>
    </w:tbl>
    <w:p>
      <w:pPr>
        <w:widowControl w:val="0"/>
        <w:spacing w:line="1" w:lineRule="exact"/>
      </w:pPr>
      <w:r>
        <w:br w:type="page"/>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9,164,023.30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9,164,023.30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101,728,255.95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7,174,033.09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39,912,556.54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5,476,727.29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23,730,102.16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7,090,739.36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11,288,025.67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5,710,778.75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6,563,457.93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5,246,200.02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81,941,615.75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81,941,615.75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265,164,014.00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112,640,094.26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101,728,255.95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41,312,243.40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23,730,102.16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107,557,435.79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13,133,202.11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6,563,457.93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87,860,775.75</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274,328,037.30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5"/>
      <w:bookmarkEnd w:id="1116"/>
      <w:bookmarkEnd w:id="111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按单项评估计提 坏账准备的应收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5,677,423.22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3,486,600.08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9,164,023.30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109,432,668.01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3,207,426.25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112,640,094.26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115,110,091.23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6,694,026.33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121,804,117.56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9"/>
      <w:bookmarkEnd w:id="1120"/>
      <w:bookmarkEnd w:id="11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3"/>
      <w:bookmarkEnd w:id="1124"/>
      <w:bookmarkEnd w:id="112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66,698,211.70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66,698,211.70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22,832,000.00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1,627,921.60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18,842,336.00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1,884,233.60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598,920.00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7,997,168.83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674,557.12</w:t>
            </w:r>
          </w:p>
        </w:tc>
      </w:tr>
    </w:tbl>
    <w:p>
      <w:pPr>
        <w:widowControl w:val="0"/>
        <w:spacing w:line="1" w:lineRule="exact"/>
      </w:pPr>
    </w:p>
    <w:tbl>
      <w:tblPr>
        <w:tblOverlap w:val="never"/>
        <w:jc w:val="center"/>
        <w:tblLayout w:type="fixed"/>
      </w:tblPr>
      <w:tblGrid>
        <w:gridCol w:w="1987"/>
        <w:gridCol w:w="2530"/>
        <w:gridCol w:w="2525"/>
        <w:gridCol w:w="2539"/>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124,769,716.53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4"/>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因金融资产转移而终止确认的应收账款</w:t>
      </w:r>
      <w:bookmarkEnd w:id="1127"/>
      <w:bookmarkEnd w:id="1128"/>
      <w:bookmarkEnd w:id="1130"/>
    </w:p>
    <w:p>
      <w:pPr>
        <w:pStyle w:val="Style44"/>
        <w:keepNext/>
        <w:keepLines/>
        <w:widowControl w:val="0"/>
        <w:numPr>
          <w:ilvl w:val="0"/>
          <w:numId w:val="51"/>
        </w:numPr>
        <w:shd w:val="clear" w:color="auto" w:fill="auto"/>
        <w:tabs>
          <w:tab w:pos="493" w:val="left"/>
        </w:tabs>
        <w:bidi w:val="0"/>
        <w:spacing w:before="0" w:after="40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转移应收账款且继续涉入形成的资产、负债金额</w:t>
      </w:r>
      <w:bookmarkEnd w:id="1131"/>
      <w:bookmarkEnd w:id="1132"/>
      <w:bookmarkEnd w:id="113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、应收款项融资</w:t>
      </w:r>
      <w:bookmarkEnd w:id="1135"/>
      <w:bookmarkEnd w:id="1136"/>
      <w:bookmarkEnd w:id="11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7</w:t>
      </w:r>
      <w:bookmarkEnd w:id="1141"/>
      <w:r>
        <w:rPr>
          <w:color w:val="000000"/>
          <w:spacing w:val="0"/>
          <w:w w:val="100"/>
          <w:position w:val="0"/>
        </w:rPr>
        <w:t>、预付款项</w:t>
      </w:r>
      <w:bookmarkEnd w:id="1139"/>
      <w:bookmarkEnd w:id="1140"/>
      <w:bookmarkEnd w:id="1142"/>
    </w:p>
    <w:p>
      <w:pPr>
        <w:pStyle w:val="Style44"/>
        <w:keepNext/>
        <w:keepLines/>
        <w:widowControl w:val="0"/>
        <w:numPr>
          <w:ilvl w:val="0"/>
          <w:numId w:val="53"/>
        </w:numPr>
        <w:shd w:val="clear" w:color="auto" w:fill="auto"/>
        <w:bidi w:val="0"/>
        <w:spacing w:before="0" w:after="40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预付款项按账龄列示</w:t>
      </w:r>
      <w:bookmarkEnd w:id="1143"/>
      <w:bookmarkEnd w:id="1144"/>
      <w:bookmarkEnd w:id="11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7,978,144.29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19,755,750.09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4,993,141.75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3,244,540.27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1,003,226.88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1,554,526.71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1,268,655.52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390,675.08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15,243,168.44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24,945,492.15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4"/>
        <w:keepNext/>
        <w:keepLines/>
        <w:widowControl w:val="0"/>
        <w:numPr>
          <w:ilvl w:val="0"/>
          <w:numId w:val="53"/>
        </w:numPr>
        <w:shd w:val="clear" w:color="auto" w:fill="auto"/>
        <w:bidi w:val="0"/>
        <w:spacing w:before="0" w:after="360" w:line="240" w:lineRule="auto"/>
        <w:ind w:left="0" w:right="0" w:firstLine="14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按预付对象归集的期末余额前五名的预付款情况</w:t>
      </w:r>
      <w:bookmarkEnd w:id="1147"/>
      <w:bookmarkEnd w:id="1148"/>
      <w:bookmarkEnd w:id="1150"/>
    </w:p>
    <w:tbl>
      <w:tblPr>
        <w:tblOverlap w:val="never"/>
        <w:jc w:val="left"/>
        <w:tblLayout w:type="fixed"/>
      </w:tblPr>
      <w:tblGrid>
        <w:gridCol w:w="2098"/>
        <w:gridCol w:w="3403"/>
        <w:gridCol w:w="3235"/>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4,318,443.94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w:t>
            </w:r>
          </w:p>
        </w:tc>
      </w:tr>
    </w:tbl>
    <w:p>
      <w:pPr>
        <w:widowControl w:val="0"/>
        <w:spacing w:line="1" w:lineRule="exact"/>
      </w:pPr>
    </w:p>
    <w:tbl>
      <w:tblPr>
        <w:tblOverlap w:val="never"/>
        <w:jc w:val="left"/>
        <w:tblLayout w:type="fixed"/>
      </w:tblPr>
      <w:tblGrid>
        <w:gridCol w:w="2098"/>
        <w:gridCol w:w="3403"/>
        <w:gridCol w:w="3235"/>
      </w:tblGrid>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6,874,653.94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45.10</w:t>
            </w:r>
          </w:p>
        </w:tc>
      </w:tr>
    </w:tbl>
    <w:p>
      <w:pPr>
        <w:widowControl w:val="0"/>
        <w:spacing w:after="35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8</w:t>
      </w:r>
      <w:bookmarkEnd w:id="1153"/>
      <w:r>
        <w:rPr>
          <w:color w:val="000000"/>
          <w:spacing w:val="0"/>
          <w:w w:val="100"/>
          <w:position w:val="0"/>
        </w:rPr>
        <w:t>、其他应收款</w:t>
      </w:r>
      <w:bookmarkEnd w:id="1151"/>
      <w:bookmarkEnd w:id="1152"/>
      <w:bookmarkEnd w:id="11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33,198,498.86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67,115,104.83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33,198,498.86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67,115,104.83</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5"/>
      <w:bookmarkEnd w:id="1156"/>
      <w:bookmarkEnd w:id="1158"/>
    </w:p>
    <w:p>
      <w:pPr>
        <w:pStyle w:val="Style65"/>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color w:val="000000"/>
          <w:spacing w:val="0"/>
          <w:w w:val="100"/>
          <w:position w:val="0"/>
        </w:rPr>
        <w:t>）应收利息分类</w:t>
      </w:r>
      <w:bookmarkEnd w:id="1159"/>
      <w:bookmarkEnd w:id="1160"/>
      <w:bookmarkEnd w:id="11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color w:val="000000"/>
          <w:spacing w:val="0"/>
          <w:w w:val="100"/>
          <w:position w:val="0"/>
        </w:rPr>
        <w:t>）重要逾期利息</w:t>
      </w:r>
      <w:bookmarkEnd w:id="1163"/>
      <w:bookmarkEnd w:id="1164"/>
      <w:bookmarkEnd w:id="116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20"/>
        <w:gridCol w:w="191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color w:val="000000"/>
          <w:spacing w:val="0"/>
          <w:w w:val="100"/>
          <w:position w:val="0"/>
        </w:rPr>
        <w:t>）坏账准备计提情况</w:t>
      </w:r>
      <w:bookmarkEnd w:id="1167"/>
      <w:bookmarkEnd w:id="1168"/>
      <w:bookmarkEnd w:id="117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71"/>
      <w:bookmarkEnd w:id="1172"/>
      <w:bookmarkEnd w:id="1174"/>
    </w:p>
    <w:p>
      <w:pPr>
        <w:pStyle w:val="Style65"/>
        <w:keepNext/>
        <w:keepLines/>
        <w:widowControl w:val="0"/>
        <w:shd w:val="clear" w:color="auto" w:fill="auto"/>
        <w:bidi w:val="0"/>
        <w:spacing w:before="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color w:val="000000"/>
          <w:spacing w:val="0"/>
          <w:w w:val="100"/>
          <w:position w:val="0"/>
        </w:rPr>
        <w:t>）应收股利分类</w:t>
      </w:r>
      <w:bookmarkEnd w:id="1175"/>
      <w:bookmarkEnd w:id="1176"/>
      <w:bookmarkEnd w:id="11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9"/>
      <w:bookmarkEnd w:id="1180"/>
      <w:bookmarkEnd w:id="11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65"/>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color w:val="000000"/>
          <w:spacing w:val="0"/>
          <w:w w:val="100"/>
          <w:position w:val="0"/>
        </w:rPr>
        <w:t>）坏账准备计提情况</w:t>
      </w:r>
      <w:bookmarkEnd w:id="1183"/>
      <w:bookmarkEnd w:id="1184"/>
      <w:bookmarkEnd w:id="118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87"/>
      <w:bookmarkEnd w:id="1188"/>
      <w:bookmarkEnd w:id="1190"/>
    </w:p>
    <w:p>
      <w:pPr>
        <w:pStyle w:val="Style65"/>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color w:val="000000"/>
          <w:spacing w:val="0"/>
          <w:w w:val="100"/>
          <w:position w:val="0"/>
        </w:rPr>
        <w:t>）其他应收款按款项性质分类情况</w:t>
      </w:r>
      <w:bookmarkEnd w:id="1191"/>
      <w:bookmarkEnd w:id="1192"/>
      <w:bookmarkEnd w:id="119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119,568,136.95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120,273,166.44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4,826,726.57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5,198,147.83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11,953,600.00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983,881.18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P2P</w:t>
            </w:r>
            <w:r>
              <w:rPr>
                <w:color w:val="000000"/>
                <w:spacing w:val="0"/>
                <w:w w:val="100"/>
                <w:position w:val="0"/>
              </w:rPr>
              <w:t>平台代垫款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42,458,399.71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26,226,354.11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817,687.92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4,497,751.52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179,855,817.96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171,172,901.08</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color w:val="000000"/>
          <w:spacing w:val="0"/>
          <w:w w:val="100"/>
          <w:position w:val="0"/>
        </w:rPr>
        <w:t>）坏账准备计提情况</w:t>
      </w:r>
      <w:bookmarkEnd w:id="1195"/>
      <w:bookmarkEnd w:id="1196"/>
      <w:bookmarkEnd w:id="11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15,647,712.44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88,410,083.81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104,057,796.25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43,094,255.90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46,073,626.47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1,291,970.27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2,641,970.27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-832,133.35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-832,133.35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13,523,608.82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130,154,339.71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146,657,319.10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第二阶段的单位信息</w:t>
      </w:r>
    </w:p>
    <w:tbl>
      <w:tblPr>
        <w:tblOverlap w:val="never"/>
        <w:jc w:val="center"/>
        <w:tblLayout w:type="fixed"/>
      </w:tblPr>
      <w:tblGrid>
        <w:gridCol w:w="2520"/>
        <w:gridCol w:w="1277"/>
        <w:gridCol w:w="1277"/>
        <w:gridCol w:w="994"/>
        <w:gridCol w:w="994"/>
        <w:gridCol w:w="2438"/>
      </w:tblGrid>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债务人名称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预期信用损</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划分理由</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杭州汉鼎俏星商业发展有限公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4,965,617.61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自初始确认后信用风险已显著</w:t>
            </w:r>
          </w:p>
        </w:tc>
      </w:tr>
    </w:tbl>
    <w:p>
      <w:pPr>
        <w:widowControl w:val="0"/>
        <w:spacing w:line="1" w:lineRule="exact"/>
      </w:pPr>
      <w:r>
        <w:br w:type="page"/>
      </w:r>
    </w:p>
    <w:tbl>
      <w:tblPr>
        <w:tblOverlap w:val="never"/>
        <w:jc w:val="center"/>
        <w:tblLayout w:type="fixed"/>
      </w:tblPr>
      <w:tblGrid>
        <w:gridCol w:w="2520"/>
        <w:gridCol w:w="1277"/>
        <w:gridCol w:w="1277"/>
        <w:gridCol w:w="994"/>
        <w:gridCol w:w="994"/>
        <w:gridCol w:w="2438"/>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4,965,617.61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3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第三阶段的单位信息</w:t>
      </w:r>
    </w:p>
    <w:tbl>
      <w:tblPr>
        <w:tblOverlap w:val="never"/>
        <w:jc w:val="center"/>
        <w:tblLayout w:type="fixed"/>
      </w:tblPr>
      <w:tblGrid>
        <w:gridCol w:w="2520"/>
        <w:gridCol w:w="1277"/>
        <w:gridCol w:w="1277"/>
        <w:gridCol w:w="994"/>
        <w:gridCol w:w="1133"/>
        <w:gridCol w:w="2299"/>
      </w:tblGrid>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债务人名称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预期信用损失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划分理由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P2P</w:t>
            </w:r>
            <w:r>
              <w:rPr>
                <w:color w:val="000000"/>
                <w:spacing w:val="0"/>
                <w:w w:val="100"/>
                <w:position w:val="0"/>
              </w:rPr>
              <w:t>平台代垫款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42,458,399.71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42,458,399.71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五洋建设集团股份有限公司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浙江霖优航生物制药有限公司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浙江易健生物制品有限公司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杭州冠准科技有限公司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6,531,600.00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深圳市云影易投资管理有限责 任公司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2,619,000.00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2,619,000.00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已发生信用减值</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全民歌星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130,154,339.71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130,154,339.71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39,531,013.32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33,156,315.05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7,178,054.40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99,990,435.19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54,969,733.77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3,728,401.50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41,292,299.92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179,855,817.96</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color w:val="000000"/>
          <w:spacing w:val="0"/>
          <w:w w:val="100"/>
          <w:position w:val="0"/>
        </w:rPr>
        <w:t>）本期计提、收回或转回的坏账准备情况</w:t>
      </w:r>
      <w:bookmarkEnd w:id="1199"/>
      <w:bookmarkEnd w:id="1200"/>
      <w:bookmarkEnd w:id="120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4</w:t>
      </w:r>
      <w:bookmarkEnd w:id="1205"/>
      <w:r>
        <w:rPr>
          <w:color w:val="000000"/>
          <w:spacing w:val="0"/>
          <w:w w:val="100"/>
          <w:position w:val="0"/>
        </w:rPr>
        <w:t>）本期实际核销的其他应收款情况</w:t>
      </w:r>
      <w:bookmarkEnd w:id="1203"/>
      <w:bookmarkEnd w:id="1204"/>
      <w:bookmarkEnd w:id="12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5</w:t>
      </w:r>
      <w:bookmarkEnd w:id="1209"/>
      <w:r>
        <w:rPr>
          <w:color w:val="000000"/>
          <w:spacing w:val="0"/>
          <w:w w:val="100"/>
          <w:position w:val="0"/>
        </w:rPr>
        <w:t>）按欠款方归集的期末余额前五名的其他应收款情况</w:t>
      </w:r>
      <w:bookmarkEnd w:id="1207"/>
      <w:bookmarkEnd w:id="1208"/>
      <w:bookmarkEnd w:id="12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42,458,399.71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42,458,399.71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36,745,340.00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719,088.00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130,563,739.71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119,922,827.71</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6</w:t>
      </w:r>
      <w:bookmarkEnd w:id="1213"/>
      <w:r>
        <w:rPr>
          <w:color w:val="000000"/>
          <w:spacing w:val="0"/>
          <w:w w:val="100"/>
          <w:position w:val="0"/>
        </w:rPr>
        <w:t>）涉及政府补助的应收款项</w:t>
      </w:r>
      <w:bookmarkEnd w:id="1211"/>
      <w:bookmarkEnd w:id="1212"/>
      <w:bookmarkEnd w:id="12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65"/>
        <w:keepNext/>
        <w:keepLines/>
        <w:widowControl w:val="0"/>
        <w:shd w:val="clear" w:color="auto" w:fill="auto"/>
        <w:tabs>
          <w:tab w:pos="392"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7</w:t>
      </w:r>
      <w:bookmarkEnd w:id="1217"/>
      <w:r>
        <w:rPr>
          <w:color w:val="000000"/>
          <w:spacing w:val="0"/>
          <w:w w:val="100"/>
          <w:position w:val="0"/>
        </w:rPr>
        <w:t>）</w:t>
        <w:tab/>
        <w:t>因金融资产转移而终止确认的其他应收款</w:t>
      </w:r>
      <w:bookmarkEnd w:id="1215"/>
      <w:bookmarkEnd w:id="1216"/>
      <w:bookmarkEnd w:id="1218"/>
    </w:p>
    <w:p>
      <w:pPr>
        <w:pStyle w:val="Style65"/>
        <w:keepNext/>
        <w:keepLines/>
        <w:widowControl w:val="0"/>
        <w:shd w:val="clear" w:color="auto" w:fill="auto"/>
        <w:tabs>
          <w:tab w:pos="397"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8</w:t>
      </w:r>
      <w:bookmarkEnd w:id="1221"/>
      <w:r>
        <w:rPr>
          <w:color w:val="000000"/>
          <w:spacing w:val="0"/>
          <w:w w:val="100"/>
          <w:position w:val="0"/>
        </w:rPr>
        <w:t>）</w:t>
        <w:tab/>
        <w:t>转移其他应收款且继续涉入形成的资产、负债金额</w:t>
      </w:r>
      <w:bookmarkEnd w:id="1219"/>
      <w:bookmarkEnd w:id="1220"/>
      <w:bookmarkEnd w:id="122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9</w:t>
      </w:r>
      <w:bookmarkEnd w:id="1225"/>
      <w:r>
        <w:rPr>
          <w:color w:val="000000"/>
          <w:spacing w:val="0"/>
          <w:w w:val="100"/>
          <w:position w:val="0"/>
        </w:rPr>
        <w:t>、存货</w:t>
      </w:r>
      <w:bookmarkEnd w:id="1223"/>
      <w:bookmarkEnd w:id="1224"/>
      <w:bookmarkEnd w:id="12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r>
        <w:br w:type="page"/>
      </w:r>
    </w:p>
    <w:p>
      <w:pPr>
        <w:pStyle w:val="Style44"/>
        <w:keepNext/>
        <w:keepLines/>
        <w:widowControl w:val="0"/>
        <w:shd w:val="clear" w:color="auto" w:fill="auto"/>
        <w:bidi w:val="0"/>
        <w:spacing w:before="0" w:after="40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7"/>
      <w:bookmarkEnd w:id="1228"/>
      <w:bookmarkEnd w:id="12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109,043,812.61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109,043,812.61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106,817,075.52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106,817,075.52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1,905,582.25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1,905,582.25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6,385,496.30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6,385,496.30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667,486.12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564,734.32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564,734.32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113,767,306.14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113,767,306.14</w:t>
            </w:r>
          </w:p>
        </w:tc>
      </w:tr>
    </w:tbl>
    <w:p>
      <w:pPr>
        <w:widowControl w:val="0"/>
        <w:spacing w:after="339" w:line="1" w:lineRule="exact"/>
      </w:pPr>
    </w:p>
    <w:p>
      <w:pPr>
        <w:pStyle w:val="Style44"/>
        <w:keepNext/>
        <w:keepLines/>
        <w:widowControl w:val="0"/>
        <w:shd w:val="clear" w:color="auto" w:fill="auto"/>
        <w:bidi w:val="0"/>
        <w:spacing w:before="0" w:after="40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1"/>
      <w:bookmarkEnd w:id="1232"/>
      <w:bookmarkEnd w:id="12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44"/>
        <w:keepNext/>
        <w:keepLines/>
        <w:widowControl w:val="0"/>
        <w:shd w:val="clear" w:color="auto" w:fill="auto"/>
        <w:tabs>
          <w:tab w:pos="493" w:val="left"/>
        </w:tabs>
        <w:bidi w:val="0"/>
        <w:spacing w:before="0" w:after="34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5"/>
      <w:bookmarkEnd w:id="1236"/>
      <w:bookmarkEnd w:id="1238"/>
    </w:p>
    <w:p>
      <w:pPr>
        <w:pStyle w:val="Style44"/>
        <w:keepNext/>
        <w:keepLines/>
        <w:widowControl w:val="0"/>
        <w:shd w:val="clear" w:color="auto" w:fill="auto"/>
        <w:tabs>
          <w:tab w:pos="493" w:val="left"/>
        </w:tabs>
        <w:bidi w:val="0"/>
        <w:spacing w:before="0" w:after="34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9"/>
      <w:bookmarkEnd w:id="1240"/>
      <w:bookmarkEnd w:id="1242"/>
    </w:p>
    <w:p>
      <w:pPr>
        <w:pStyle w:val="Style31"/>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43"/>
      <w:bookmarkEnd w:id="1244"/>
      <w:bookmarkEnd w:id="12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382,463,151.58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108,125,523.13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274,337,628.45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383,959,932.60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79,204,054.37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304,755,878.23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382,463,151.58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108,125,523.13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274,337,628.45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383,959,932.60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79,204,054.37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304,755,878.23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28,921,468.76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28,921,468.76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47"/>
      <w:bookmarkEnd w:id="1248"/>
      <w:bookmarkEnd w:id="125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51"/>
      <w:bookmarkEnd w:id="1252"/>
      <w:bookmarkEnd w:id="125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38,761,644.42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127,485,134.14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38,761,644.42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127,485,134.14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55"/>
      <w:bookmarkEnd w:id="1256"/>
      <w:bookmarkEnd w:id="125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19,411,683.01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20,268,921.76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720,460.51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927,721.90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20,132,143.52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21,196,643.66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9"/>
      <w:bookmarkEnd w:id="1260"/>
      <w:bookmarkEnd w:id="126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3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63"/>
      <w:bookmarkEnd w:id="1264"/>
      <w:bookmarkEnd w:id="126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67"/>
      <w:bookmarkEnd w:id="1268"/>
      <w:bookmarkEnd w:id="1270"/>
    </w:p>
    <w:p>
      <w:pPr>
        <w:pStyle w:val="Style44"/>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1"/>
      <w:bookmarkEnd w:id="1272"/>
      <w:bookmarkEnd w:id="127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18,324,556.82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11,014,321.15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75,368,188.53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14,170,076.87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1,074,775.61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1,074,775.61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6,769,918.48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6,769,918.48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18,324,556.82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11,014,321.15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75,368,188.53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14,170,076.87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61,198,111.66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5"/>
      <w:bookmarkEnd w:id="1276"/>
      <w:bookmarkEnd w:id="1278"/>
    </w:p>
    <w:p>
      <w:pPr>
        <w:pStyle w:val="Style44"/>
        <w:keepNext/>
        <w:keepLines/>
        <w:widowControl w:val="0"/>
        <w:shd w:val="clear" w:color="auto" w:fill="auto"/>
        <w:tabs>
          <w:tab w:pos="493" w:val="left"/>
        </w:tabs>
        <w:bidi w:val="0"/>
        <w:spacing w:before="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79"/>
      <w:bookmarkEnd w:id="1280"/>
      <w:bookmarkEnd w:id="1282"/>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本期转回的坏账准备金额为</w:t>
      </w:r>
      <w:r>
        <w:rPr>
          <w:rFonts w:ascii="Times New Roman" w:eastAsia="Times New Roman" w:hAnsi="Times New Roman" w:cs="Times New Roman"/>
          <w:color w:val="000000"/>
          <w:spacing w:val="0"/>
          <w:w w:val="100"/>
          <w:position w:val="0"/>
        </w:rPr>
        <w:t>3,155,755.72</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3"/>
      <w:bookmarkEnd w:id="1284"/>
      <w:bookmarkEnd w:id="128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蜂助手股 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82,080,12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16,780,28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417,703.8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99,357,41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广东悦伍 纪网络技 术有限公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8,527,830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8,595,010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WeIdaILt</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d.(Cayma nIsland)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175,591,1</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-20,305,5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-155,285,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四川通普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9,450,464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-3,920,04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2,676,450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2,853,965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2,676,450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好医友医 疗科技集 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2,842,552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46,543,26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6,435,598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275,649,5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-8,431,91</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5,519,002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-105,873,</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157,349,6</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9,112,048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275,649,5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-8,431,91</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5,519,002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-105,873,</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157,349,6</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9,112,048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月对</w:t>
      </w:r>
      <w:r>
        <w:rPr>
          <w:rFonts w:ascii="Times New Roman" w:eastAsia="Times New Roman" w:hAnsi="Times New Roman" w:cs="Times New Roman"/>
          <w:color w:val="000000"/>
          <w:spacing w:val="0"/>
          <w:w w:val="100"/>
          <w:position w:val="0"/>
          <w:sz w:val="18"/>
          <w:szCs w:val="18"/>
        </w:rPr>
        <w:t>WeidaiLtd.(CaymanIsland</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丧失重大影响，根据《企业会计准则第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长期股权投资》的规 定，投资方丧失了对被投资单位的重大影响的，剩余股权应当改按《企业会计准则第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 规定进行会计处理，本公司将其调整为公允价值计量且其变动计入当期损益的金融资产。</w:t>
      </w:r>
    </w:p>
    <w:p>
      <w:pPr>
        <w:pStyle w:val="Style27"/>
        <w:keepNext w:val="0"/>
        <w:keepLines w:val="0"/>
        <w:widowControl w:val="0"/>
        <w:shd w:val="clear" w:color="auto" w:fill="auto"/>
        <w:bidi w:val="0"/>
        <w:spacing w:before="0" w:after="680" w:line="319"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月对好医友医疗科技集团有限公司丧失控制权，根据《企业会计准则第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长期股权投资》的 规定，投资方丧失了对被投资单位的控制，剩余股权能够对被投资单位施加重大影响的，应当改按权益法核算，本公司将其 调整为权益法核算。</w:t>
      </w:r>
    </w:p>
    <w:p>
      <w:pPr>
        <w:pStyle w:val="Style31"/>
        <w:keepNext/>
        <w:keepLines/>
        <w:widowControl w:val="0"/>
        <w:shd w:val="clear" w:color="auto" w:fill="auto"/>
        <w:bidi w:val="0"/>
        <w:spacing w:before="0" w:after="38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87"/>
      <w:bookmarkEnd w:id="1288"/>
      <w:bookmarkEnd w:id="12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1"/>
      <w:bookmarkEnd w:id="1292"/>
      <w:bookmarkEnd w:id="12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521,891,975.94</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521,891,975.94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95"/>
      <w:bookmarkEnd w:id="1296"/>
      <w:bookmarkEnd w:id="1298"/>
    </w:p>
    <w:p>
      <w:pPr>
        <w:pStyle w:val="Style44"/>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9"/>
      <w:bookmarkEnd w:id="1300"/>
      <w:bookmarkEnd w:id="130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231,349,015.96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231,349,015.96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21,076,946.68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21,076,946.68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21,076,946.68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21,076,946.68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64,630,081.12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64,630,081.12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）转出到固定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64,630,081.12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64,630,081.12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187,795,881.52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187,795,881.52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49,397,194.08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49,397,194.08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17,094,834.75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17,094,834.75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11,541,351.64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11,541,351.64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5,553,483.11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5,553,483.11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30,614,458.09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30,614,458.09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）转出到固定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30,614,458.09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30,614,458.09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35,877,570.74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35,877,570.74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151,918,310.78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151,918,310.78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181,951,821.88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181,951,821.88</w:t>
            </w:r>
          </w:p>
        </w:tc>
      </w:tr>
    </w:tbl>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03"/>
      <w:bookmarkEnd w:id="1304"/>
      <w:bookmarkEnd w:id="130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7"/>
      <w:bookmarkEnd w:id="1308"/>
      <w:bookmarkEnd w:id="131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1"/>
      <w:bookmarkEnd w:id="1312"/>
      <w:bookmarkEnd w:id="131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173,765,020.53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180,050,688.32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173,765,020.53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180,050,688.32</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5"/>
      <w:bookmarkEnd w:id="1316"/>
      <w:bookmarkEnd w:id="131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25"/>
        <w:gridCol w:w="1416"/>
        <w:gridCol w:w="1416"/>
        <w:gridCol w:w="1277"/>
        <w:gridCol w:w="1560"/>
        <w:gridCol w:w="13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158,599,057.61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39,454,148.23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13,601,183.72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34,425,657.55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246,080,047.11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65,505,847.94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-398,590.37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1,120,687.61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1,141,782.38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67,369,727.56</w:t>
            </w:r>
          </w:p>
        </w:tc>
      </w:tr>
    </w:tbl>
    <w:p>
      <w:pPr>
        <w:widowControl w:val="0"/>
        <w:spacing w:line="1" w:lineRule="exact"/>
      </w:pPr>
      <w:r>
        <w:br w:type="page"/>
      </w:r>
    </w:p>
    <w:tbl>
      <w:tblPr>
        <w:tblOverlap w:val="never"/>
        <w:jc w:val="center"/>
        <w:tblLayout w:type="fixed"/>
      </w:tblPr>
      <w:tblGrid>
        <w:gridCol w:w="2525"/>
        <w:gridCol w:w="1416"/>
        <w:gridCol w:w="1416"/>
        <w:gridCol w:w="1277"/>
        <w:gridCol w:w="1560"/>
        <w:gridCol w:w="13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875,766.82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-398,590.37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1,120,687.61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1,139,698.86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2,737,562.92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）投资性房地产转入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64,630,081.12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64,630,081.12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21,076,946.68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2,715,350.00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8,352,808.07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6,742,868.91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38,887,973.66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2,715,350.00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8,326,537.68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4,853,869.72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15,895,757.40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）转出到投资性房地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21,076,946.68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21,076,946.68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1,888,999.19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1,915,269.58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203,027,958.87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36,340,207.86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6,369,063.26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28,824,571.02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274,561,801.01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22,116,536.30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11,001,981.93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10,927,930.58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21,428,332.35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65,474,781.16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38,700,708.04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4,341,533.68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809,260.73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3,408,267.69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47,259,770.14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8,086,249.95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4,341,533.68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809,260.73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3,408,267.69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16,645,312.05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）投资性房地产转入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30,614,458.09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30,614,458.09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5,553,483.11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1,836,047.50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7,623,883.93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5,982,937.64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20,996,352.18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1,836,047.50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7,597,613.54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4,592,794.63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14,026,455.67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）转出到投资性房地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5,553,483.11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5,553,483.11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1,390,143.01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1,416,413.40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55,263,761.23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13,507,468.11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4,113,307.38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18,853,662.40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91,738,199.12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554,577.63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7,113,351.26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1,390,652.47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8,504,003.73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7,113,351.26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1,390,652.47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8,504,003.73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7,667,928.89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1,390,652.47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9,058,581.36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147,764,197.64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15,164,810.86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2,255,755.88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8,580,256.15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173,765,020.53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136,482,521.31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27,897,588.67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2,673,253.14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12,997,325.20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180,050,688.32</w:t>
            </w:r>
          </w:p>
        </w:tc>
      </w:tr>
    </w:tbl>
    <w:p>
      <w:pPr>
        <w:pStyle w:val="Style44"/>
        <w:keepNext/>
        <w:keepLines/>
        <w:widowControl w:val="0"/>
        <w:numPr>
          <w:ilvl w:val="0"/>
          <w:numId w:val="55"/>
        </w:numPr>
        <w:shd w:val="clear" w:color="auto" w:fill="auto"/>
        <w:bidi w:val="0"/>
        <w:spacing w:before="0" w:line="240" w:lineRule="auto"/>
        <w:ind w:left="0" w:right="0" w:firstLine="14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暂时闲置的固定资产情况</w:t>
      </w:r>
      <w:bookmarkEnd w:id="1319"/>
      <w:bookmarkEnd w:id="1320"/>
      <w:bookmarkEnd w:id="13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4"/>
        <w:keepNext/>
        <w:keepLines/>
        <w:widowControl w:val="0"/>
        <w:numPr>
          <w:ilvl w:val="0"/>
          <w:numId w:val="55"/>
        </w:numPr>
        <w:shd w:val="clear" w:color="auto" w:fill="auto"/>
        <w:bidi w:val="0"/>
        <w:spacing w:before="0" w:line="240" w:lineRule="auto"/>
        <w:ind w:left="0" w:right="0" w:firstLine="14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通过融资租赁租入的固定资产情况</w:t>
      </w:r>
      <w:bookmarkEnd w:id="1323"/>
      <w:bookmarkEnd w:id="1324"/>
      <w:bookmarkEnd w:id="132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4"/>
        <w:keepNext/>
        <w:keepLines/>
        <w:widowControl w:val="0"/>
        <w:numPr>
          <w:ilvl w:val="0"/>
          <w:numId w:val="55"/>
        </w:numPr>
        <w:shd w:val="clear" w:color="auto" w:fill="auto"/>
        <w:bidi w:val="0"/>
        <w:spacing w:before="0" w:line="240" w:lineRule="auto"/>
        <w:ind w:left="0" w:right="0" w:firstLine="14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通过经营租赁租出的固定资产</w:t>
      </w:r>
      <w:bookmarkEnd w:id="1327"/>
      <w:bookmarkEnd w:id="1328"/>
      <w:bookmarkEnd w:id="13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4"/>
        <w:keepNext/>
        <w:keepLines/>
        <w:widowControl w:val="0"/>
        <w:numPr>
          <w:ilvl w:val="0"/>
          <w:numId w:val="55"/>
        </w:numPr>
        <w:shd w:val="clear" w:color="auto" w:fill="auto"/>
        <w:bidi w:val="0"/>
        <w:spacing w:before="0" w:line="240" w:lineRule="auto"/>
        <w:ind w:left="0" w:right="0" w:firstLine="14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未办妥产权证书的固定资产情况</w:t>
      </w:r>
      <w:bookmarkEnd w:id="1331"/>
      <w:bookmarkEnd w:id="1332"/>
      <w:bookmarkEnd w:id="13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子公司浙江汉鼎宇佑金融服务有限公司 位于北京绿地中心的房产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87,901,700.00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55"/>
        </w:numPr>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固定资产清理</w:t>
      </w:r>
      <w:bookmarkEnd w:id="1335"/>
      <w:bookmarkEnd w:id="1336"/>
      <w:bookmarkEnd w:id="13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31"/>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39"/>
      <w:bookmarkEnd w:id="1340"/>
      <w:bookmarkEnd w:id="13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numPr>
          <w:ilvl w:val="0"/>
          <w:numId w:val="57"/>
        </w:numPr>
        <w:shd w:val="clear" w:color="auto" w:fill="auto"/>
        <w:bidi w:val="0"/>
        <w:spacing w:before="0" w:line="240" w:lineRule="auto"/>
        <w:ind w:left="0" w:right="0" w:firstLine="14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在建工程情况</w:t>
      </w:r>
      <w:bookmarkEnd w:id="1343"/>
      <w:bookmarkEnd w:id="1344"/>
      <w:bookmarkEnd w:id="13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4"/>
        <w:keepNext/>
        <w:keepLines/>
        <w:widowControl w:val="0"/>
        <w:shd w:val="clear" w:color="auto" w:fill="auto"/>
        <w:bidi w:val="0"/>
        <w:spacing w:before="0" w:line="240" w:lineRule="auto"/>
        <w:ind w:left="0" w:right="0" w:firstLine="14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47"/>
      <w:bookmarkEnd w:id="1348"/>
      <w:bookmarkEnd w:id="13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51"/>
      <w:bookmarkEnd w:id="1352"/>
      <w:bookmarkEnd w:id="13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55"/>
      <w:bookmarkEnd w:id="1356"/>
      <w:bookmarkEnd w:id="135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59"/>
      <w:bookmarkEnd w:id="1360"/>
      <w:bookmarkEnd w:id="1362"/>
    </w:p>
    <w:p>
      <w:pPr>
        <w:pStyle w:val="Style44"/>
        <w:keepNext/>
        <w:keepLines/>
        <w:widowControl w:val="0"/>
        <w:shd w:val="clear" w:color="auto" w:fill="auto"/>
        <w:tabs>
          <w:tab w:pos="493" w:val="left"/>
        </w:tabs>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63"/>
      <w:bookmarkEnd w:id="1364"/>
      <w:bookmarkEnd w:id="136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67"/>
      <w:bookmarkEnd w:id="1368"/>
      <w:bookmarkEnd w:id="137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1"/>
      <w:bookmarkEnd w:id="1372"/>
      <w:bookmarkEnd w:id="137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5"/>
      <w:bookmarkEnd w:id="1376"/>
      <w:bookmarkEnd w:id="13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9"/>
      <w:bookmarkEnd w:id="1380"/>
      <w:bookmarkEnd w:id="1382"/>
    </w:p>
    <w:p>
      <w:pPr>
        <w:pStyle w:val="Style44"/>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3"/>
      <w:bookmarkEnd w:id="1384"/>
      <w:bookmarkEnd w:id="13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416"/>
        <w:gridCol w:w="1277"/>
        <w:gridCol w:w="1445"/>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计算及软件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2,427,260.31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2,490,360.31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159,292.03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159,292.03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159,292.03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159,292.03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2,586,552.34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2,649,652.34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1,351,599.33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1,414,699.33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343,718.21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343,718.21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343,718.21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343,718.21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1,695,317.54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1,758,417.54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1416"/>
        <w:gridCol w:w="1277"/>
        <w:gridCol w:w="1445"/>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891,234.80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1,075,660.98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1,075,660.98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44"/>
        <w:keepNext/>
        <w:keepLines/>
        <w:widowControl w:val="0"/>
        <w:numPr>
          <w:ilvl w:val="0"/>
          <w:numId w:val="57"/>
        </w:numPr>
        <w:shd w:val="clear" w:color="auto" w:fill="auto"/>
        <w:bidi w:val="0"/>
        <w:spacing w:before="0" w:after="42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未办妥产权证书的土地使用权情况</w:t>
      </w:r>
      <w:bookmarkEnd w:id="1387"/>
      <w:bookmarkEnd w:id="1388"/>
      <w:bookmarkEnd w:id="13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20" w:line="240" w:lineRule="auto"/>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1"/>
      <w:bookmarkEnd w:id="1392"/>
      <w:bookmarkEnd w:id="13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95"/>
      <w:bookmarkEnd w:id="1396"/>
      <w:bookmarkEnd w:id="1397"/>
    </w:p>
    <w:p>
      <w:pPr>
        <w:pStyle w:val="Style44"/>
        <w:keepNext/>
        <w:keepLines/>
        <w:widowControl w:val="0"/>
        <w:numPr>
          <w:ilvl w:val="0"/>
          <w:numId w:val="59"/>
        </w:numPr>
        <w:shd w:val="clear" w:color="auto" w:fill="auto"/>
        <w:bidi w:val="0"/>
        <w:spacing w:before="0" w:line="240" w:lineRule="auto"/>
        <w:ind w:left="0" w:right="0" w:firstLine="140"/>
        <w:jc w:val="both"/>
      </w:pPr>
      <w:bookmarkStart w:id="1398" w:name="bookmark1398"/>
      <w:bookmarkStart w:id="1399" w:name="bookmark1399"/>
      <w:bookmarkStart w:id="1400" w:name="bookmark1400"/>
      <w:bookmarkStart w:id="1401" w:name="bookmark1401"/>
      <w:bookmarkEnd w:id="1400"/>
      <w:r>
        <w:rPr>
          <w:color w:val="000000"/>
          <w:spacing w:val="0"/>
          <w:w w:val="100"/>
          <w:position w:val="0"/>
        </w:rPr>
        <w:t>商誉账面原值</w:t>
      </w:r>
      <w:bookmarkEnd w:id="1398"/>
      <w:bookmarkEnd w:id="1399"/>
      <w:bookmarkEnd w:id="1401"/>
    </w:p>
    <w:p>
      <w:pPr>
        <w:pStyle w:val="Style27"/>
        <w:keepNext w:val="0"/>
        <w:keepLines w:val="0"/>
        <w:widowControl w:val="0"/>
        <w:shd w:val="clear" w:color="auto" w:fill="auto"/>
        <w:bidi w:val="0"/>
        <w:spacing w:before="0" w:after="80" w:line="240" w:lineRule="auto"/>
        <w:ind w:left="8940" w:right="0" w:firstLine="0"/>
        <w:jc w:val="left"/>
      </w:pPr>
      <w:bookmarkStart w:id="1402" w:name="bookmark1402"/>
      <w:r>
        <w:rPr>
          <w:color w:val="000000"/>
          <w:spacing w:val="0"/>
          <w:w w:val="100"/>
          <w:position w:val="0"/>
        </w:rPr>
        <w:t>单</w:t>
      </w:r>
      <w:bookmarkEnd w:id="1402"/>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杭州星影电影院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14,631,308.14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14,631,308.14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乐清时代电影放 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13,117,198.28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深圳星海太平洋 影业投资有限公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32,712,462.09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32,712,462.09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山西镁乐文化传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8,128,780.48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8,128,780.48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杭州超象娱乐管 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5,738,294.94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5,738,294.94</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陆川县汉鼎宇佑 影城有限责任公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4,493,952.21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4,493,952.21</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上林县汉鼎宇佑 影城有限责任公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6,531,831.10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长沙祖安文化传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1,188,000.00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江油市辉煌影业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1,690,601.53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1,690,601.53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好医友医疗科技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6,435,598.77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6,435,598.77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94,668,027.54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34,184,105.19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60,483,922.35</w:t>
            </w:r>
          </w:p>
        </w:tc>
      </w:tr>
    </w:tbl>
    <w:p>
      <w:pPr>
        <w:widowControl w:val="0"/>
        <w:spacing w:after="319" w:line="1" w:lineRule="exact"/>
      </w:pPr>
    </w:p>
    <w:p>
      <w:pPr>
        <w:pStyle w:val="Style44"/>
        <w:keepNext/>
        <w:keepLines/>
        <w:widowControl w:val="0"/>
        <w:numPr>
          <w:ilvl w:val="0"/>
          <w:numId w:val="59"/>
        </w:numPr>
        <w:shd w:val="clear" w:color="auto" w:fill="auto"/>
        <w:bidi w:val="0"/>
        <w:spacing w:before="0" w:after="40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商誉减值准备</w:t>
      </w:r>
      <w:bookmarkEnd w:id="1403"/>
      <w:bookmarkEnd w:id="1404"/>
      <w:bookmarkEnd w:id="140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杭州星影电影院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14,631,308.14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14,631,308.14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乐清时代电影放 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13,117,198.28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13,117,198.28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深圳星海太平洋 影业投资有限公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30,659,786.06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2,052,676.03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32,712,462.09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山西镁乐文化传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8,128,780.48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8,128,780.48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杭州超象娱乐管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5,738,294.94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5,738,294.94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陆川县汉鼎宇佑 影城有限责任公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4,493,952.21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4,493,952.21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上林县汉鼎宇佑 影城有限责任公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4,567,858.97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1,963,972.13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6,531,831.10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长沙祖安文化传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1,188,000.00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江油市辉煌影业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643,870.72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1,046,730.81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1,690,601.53</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好医友医疗科技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3,593,046.22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3,593,046.22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86,762,096.02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5,063,378.97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31,341,552.64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60,483,922.35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商誉所在资产组或资产组组合的相关信息</w:t>
      </w:r>
    </w:p>
    <w:p>
      <w:pPr>
        <w:pStyle w:val="Style34"/>
        <w:keepNext w:val="0"/>
        <w:keepLines w:val="0"/>
        <w:widowControl w:val="0"/>
        <w:shd w:val="clear" w:color="auto" w:fill="auto"/>
        <w:bidi w:val="0"/>
        <w:spacing w:before="0" w:after="100" w:line="240" w:lineRule="auto"/>
        <w:ind w:left="0" w:right="0" w:firstLine="440"/>
        <w:jc w:val="left"/>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）商誉所在资产组或资产组组合的相关信息</w:t>
      </w:r>
    </w:p>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各资产组与购买日及以前年度商誉减值测试时所确定的资产组一致，范围包括组成资产组的固定资产、 </w:t>
      </w:r>
      <w:r>
        <w:rPr>
          <w:color w:val="000000"/>
          <w:spacing w:val="0"/>
          <w:w w:val="100"/>
          <w:position w:val="0"/>
        </w:rPr>
        <w:t>无形资产等长期资产及其他相关经营性资产。</w:t>
      </w:r>
    </w:p>
    <w:p>
      <w:pPr>
        <w:pStyle w:val="Style34"/>
        <w:keepNext w:val="0"/>
        <w:keepLines w:val="0"/>
        <w:widowControl w:val="0"/>
        <w:shd w:val="clear" w:color="auto" w:fill="auto"/>
        <w:bidi w:val="0"/>
        <w:spacing w:before="0" w:after="320" w:line="312" w:lineRule="exact"/>
        <w:ind w:left="0" w:right="0" w:firstLine="440"/>
        <w:jc w:val="left"/>
      </w:pPr>
      <w:r>
        <w:rPr>
          <w:color w:val="000000"/>
          <w:spacing w:val="0"/>
          <w:w w:val="100"/>
          <w:position w:val="0"/>
        </w:rPr>
        <w:t>深圳星海太平洋影业投资有限公司、上林县汉鼎宇佑影城有限责任公司、江油市辉煌影业有限公司预 计未来现金流量现值（可收回金额）利用了外部评估机构评估报告的评估结果。</w:t>
      </w:r>
    </w:p>
    <w:p>
      <w:pPr>
        <w:pStyle w:val="Style2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bidi w:val="0"/>
        <w:spacing w:before="0" w:after="0" w:line="240" w:lineRule="auto"/>
        <w:ind w:left="0" w:right="0" w:firstLine="0"/>
        <w:jc w:val="left"/>
      </w:pPr>
      <w:bookmarkStart w:id="1408" w:name="bookmark1408"/>
      <w:r>
        <w:rPr>
          <w:color w:val="000000"/>
          <w:spacing w:val="0"/>
          <w:w w:val="100"/>
          <w:position w:val="0"/>
          <w:sz w:val="18"/>
          <w:szCs w:val="18"/>
        </w:rPr>
        <w:t>（</w:t>
      </w:r>
      <w:bookmarkEnd w:id="1408"/>
      <w:r>
        <w:rPr>
          <w:color w:val="000000"/>
          <w:spacing w:val="0"/>
          <w:w w:val="100"/>
          <w:position w:val="0"/>
          <w:sz w:val="18"/>
          <w:szCs w:val="18"/>
        </w:rPr>
        <w:t>1）</w:t>
      </w:r>
      <w:r>
        <w:rPr>
          <w:color w:val="000000"/>
          <w:spacing w:val="0"/>
          <w:w w:val="100"/>
          <w:position w:val="0"/>
        </w:rPr>
        <w:t>商誉减值测试的过程与方法</w:t>
      </w:r>
    </w:p>
    <w:tbl>
      <w:tblPr>
        <w:tblOverlap w:val="never"/>
        <w:jc w:val="center"/>
        <w:tblLayout w:type="fixed"/>
      </w:tblPr>
      <w:tblGrid>
        <w:gridCol w:w="3581"/>
        <w:gridCol w:w="2078"/>
        <w:gridCol w:w="1843"/>
        <w:gridCol w:w="2136"/>
      </w:tblGrid>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深圳星海太平洋影业投资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上林县汉鼎宇佑影城有 限责任公司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江油市辉煌影业有限公司</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32,712,462.09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1,690,601.53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30,659,786.06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4,567,858.97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643,870.72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2,052,676.03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1,963,972.13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1,046,730.81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调整后整体商誉的账面价值⑤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2,052,676.03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1,963,972.13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1,046,730.81</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5,037,460.92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2,552,519.96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5,523,251.80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7,090,136.95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4,516,492.09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6,569,982.61</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资产组预计未来现金流量的现值（可回收金 额）⑧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895,210.00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451,420.00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3,951,580.00</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2,052,676.03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1,963,972.13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1,046,730.81</w:t>
            </w:r>
          </w:p>
        </w:tc>
      </w:tr>
    </w:tbl>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关键参数</w:t>
      </w:r>
    </w:p>
    <w:p>
      <w:pPr>
        <w:widowControl w:val="0"/>
        <w:spacing w:line="1" w:lineRule="exact"/>
      </w:pPr>
    </w:p>
    <w:tbl>
      <w:tblPr>
        <w:tblOverlap w:val="never"/>
        <w:jc w:val="center"/>
        <w:tblLayout w:type="fixed"/>
      </w:tblPr>
      <w:tblGrid>
        <w:gridCol w:w="1675"/>
        <w:gridCol w:w="1699"/>
        <w:gridCol w:w="1133"/>
        <w:gridCol w:w="994"/>
        <w:gridCol w:w="2002"/>
        <w:gridCol w:w="2136"/>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64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折现率（税前加权平均资本 成本）</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深圳星海太平洋影业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2021-2025 </w:t>
            </w:r>
            <w:r>
              <w:rPr>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无增长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根据预测的收入、成本、 费用等计算</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12.40%</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上林县汉鼎宇佑影城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2021-2025 </w:t>
            </w:r>
            <w:r>
              <w:rPr>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无增长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根据预测的收入、成本、 费用等计算</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17.58%</w:t>
            </w:r>
          </w:p>
        </w:tc>
      </w:tr>
      <w:tr>
        <w:trPr>
          <w:trHeight w:val="6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江油市辉煌影业有限 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2021-2025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无增长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根据预测的收入、成本、 费用等计算</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12.20%</w:t>
            </w:r>
          </w:p>
        </w:tc>
      </w:tr>
    </w:tbl>
    <w:p>
      <w:pPr>
        <w:pStyle w:val="Style37"/>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：公司依据各项目的发展规划、历年经营趋势和市场竞争等因素综合分析，对预测日未来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年的收入、成本、费用等进行 预测。公司各资产组从事电影放映业务，目前电影全产业链整体不景气，且受疫情影响，影院停业、制作停产、资本停流、 企业停摆，使电影全产业链面临巨大挑战，预计短期内难以恢复。管理层考虑历史年度的票房情况、影院所处地段、所处行 业环境等因素进行预测。</w:t>
      </w:r>
    </w:p>
    <w:p>
      <w:pPr>
        <w:pStyle w:val="Style37"/>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商誉减值测试的影响</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：公司本期对好医友医疗科技集团有限公司丧失控制，不再纳入合并报表范围。</w:t>
      </w:r>
    </w:p>
    <w:p>
      <w:pPr>
        <w:pStyle w:val="Style27"/>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：本期杭州星影电影院有限公司、乐清时代电影放映有限公司注销。</w:t>
      </w:r>
    </w:p>
    <w:p>
      <w:pPr>
        <w:pStyle w:val="Style31"/>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09"/>
      <w:bookmarkEnd w:id="1410"/>
      <w:bookmarkEnd w:id="14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装修安装费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58,943,843.44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4,373,837.88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9,886,485.75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13,420,128.38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40,011,067.19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58,943,843.44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4,373,837.88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9,886,485.75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13,420,128.38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40,011,067.19</w:t>
            </w:r>
          </w:p>
        </w:tc>
      </w:tr>
    </w:tbl>
    <w:p>
      <w:pPr>
        <w:pStyle w:val="Style27"/>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注：其他减少包括计提减值</w:t>
      </w:r>
      <w:r>
        <w:rPr>
          <w:rFonts w:ascii="Times New Roman" w:eastAsia="Times New Roman" w:hAnsi="Times New Roman" w:cs="Times New Roman"/>
          <w:color w:val="000000"/>
          <w:spacing w:val="0"/>
          <w:w w:val="100"/>
          <w:position w:val="0"/>
          <w:sz w:val="18"/>
          <w:szCs w:val="18"/>
        </w:rPr>
        <w:t>12,539,436.56</w:t>
      </w:r>
      <w:r>
        <w:rPr>
          <w:color w:val="000000"/>
          <w:spacing w:val="0"/>
          <w:w w:val="100"/>
          <w:position w:val="0"/>
        </w:rPr>
        <w:t>元、好医友医疗科技集团有限公司不再纳入合并范围影响金额</w:t>
      </w:r>
      <w:r>
        <w:rPr>
          <w:rFonts w:ascii="Times New Roman" w:eastAsia="Times New Roman" w:hAnsi="Times New Roman" w:cs="Times New Roman"/>
          <w:color w:val="000000"/>
          <w:spacing w:val="0"/>
          <w:w w:val="100"/>
          <w:position w:val="0"/>
          <w:sz w:val="18"/>
          <w:szCs w:val="18"/>
        </w:rPr>
        <w:t>516,326.10</w:t>
      </w:r>
      <w:r>
        <w:rPr>
          <w:color w:val="000000"/>
          <w:spacing w:val="0"/>
          <w:w w:val="100"/>
          <w:position w:val="0"/>
        </w:rPr>
        <w:t>元、本期 处置减少</w:t>
      </w:r>
      <w:r>
        <w:rPr>
          <w:rFonts w:ascii="Times New Roman" w:eastAsia="Times New Roman" w:hAnsi="Times New Roman" w:cs="Times New Roman"/>
          <w:color w:val="000000"/>
          <w:spacing w:val="0"/>
          <w:w w:val="100"/>
          <w:position w:val="0"/>
          <w:sz w:val="18"/>
          <w:szCs w:val="18"/>
        </w:rPr>
        <w:t>364,365.7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13"/>
      <w:bookmarkEnd w:id="1414"/>
      <w:bookmarkEnd w:id="1416"/>
    </w:p>
    <w:p>
      <w:pPr>
        <w:pStyle w:val="Style44"/>
        <w:keepNext/>
        <w:keepLines/>
        <w:widowControl w:val="0"/>
        <w:numPr>
          <w:ilvl w:val="0"/>
          <w:numId w:val="61"/>
        </w:numPr>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未经抵销的递延所得税资产</w:t>
      </w:r>
      <w:bookmarkEnd w:id="1417"/>
      <w:bookmarkEnd w:id="1418"/>
      <w:bookmarkEnd w:id="142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323,054,816.61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50,351,273.95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319,443,371.24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55,140,935.99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153,522,239.63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26,476,329.33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121,902,584.69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22,160,304.60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交易性金融工具、衍生 金融工具公允价值变动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22,198,484.06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3,329,772.61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7,288,990.74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1,256,786.37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498,775,540.30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80,157,375.89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448,634,946.67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78,558,026.96</w:t>
            </w:r>
          </w:p>
        </w:tc>
      </w:tr>
    </w:tbl>
    <w:p>
      <w:pPr>
        <w:widowControl w:val="0"/>
        <w:spacing w:after="319" w:line="1" w:lineRule="exact"/>
      </w:pPr>
    </w:p>
    <w:p>
      <w:pPr>
        <w:pStyle w:val="Style44"/>
        <w:keepNext/>
        <w:keepLines/>
        <w:widowControl w:val="0"/>
        <w:numPr>
          <w:ilvl w:val="0"/>
          <w:numId w:val="61"/>
        </w:numPr>
        <w:shd w:val="clear" w:color="auto" w:fill="auto"/>
        <w:bidi w:val="0"/>
        <w:spacing w:before="0" w:line="240" w:lineRule="auto"/>
        <w:ind w:left="0" w:right="0" w:firstLine="14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未经抵销的递延所得税负债</w:t>
      </w:r>
      <w:bookmarkEnd w:id="1421"/>
      <w:bookmarkEnd w:id="1422"/>
      <w:bookmarkEnd w:id="14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交易性金融工具、衍生 金融工具公允价值变动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1,192,544.38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1,192,544.38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bl>
    <w:p>
      <w:pPr>
        <w:spacing w:lineRule="exact" w:line="1"/>
        <w:rPr>
          <w:sz w:val="2"/>
          <w:szCs w:val="2"/>
        </w:rPr>
      </w:pPr>
      <w:r>
        <w:br w:type="page"/>
      </w:r>
    </w:p>
    <w:p>
      <w:pPr>
        <w:pStyle w:val="Style44"/>
        <w:keepNext/>
        <w:keepLines/>
        <w:widowControl w:val="0"/>
        <w:numPr>
          <w:ilvl w:val="0"/>
          <w:numId w:val="61"/>
        </w:numPr>
        <w:shd w:val="clear" w:color="auto" w:fill="auto"/>
        <w:bidi w:val="0"/>
        <w:spacing w:before="0" w:after="40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以抵销后净额列示的递延所得税资产或负债</w:t>
      </w:r>
      <w:bookmarkEnd w:id="1425"/>
      <w:bookmarkEnd w:id="1426"/>
      <w:bookmarkEnd w:id="142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80,157,375.89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78,558,026.96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bl>
    <w:p>
      <w:pPr>
        <w:widowControl w:val="0"/>
        <w:spacing w:after="319" w:line="1" w:lineRule="exact"/>
      </w:pPr>
    </w:p>
    <w:p>
      <w:pPr>
        <w:pStyle w:val="Style44"/>
        <w:keepNext/>
        <w:keepLines/>
        <w:widowControl w:val="0"/>
        <w:numPr>
          <w:ilvl w:val="0"/>
          <w:numId w:val="61"/>
        </w:numPr>
        <w:shd w:val="clear" w:color="auto" w:fill="auto"/>
        <w:bidi w:val="0"/>
        <w:spacing w:before="0" w:after="40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未确认递延所得税资产明细</w:t>
      </w:r>
      <w:bookmarkEnd w:id="1429"/>
      <w:bookmarkEnd w:id="1430"/>
      <w:bookmarkEnd w:id="14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342,058,391.82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747,525,377.71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195,369,235.20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48,835,045.00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537,427,627.02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796,360,422.71</w:t>
            </w:r>
          </w:p>
        </w:tc>
      </w:tr>
    </w:tbl>
    <w:p>
      <w:pPr>
        <w:widowControl w:val="0"/>
        <w:spacing w:after="319" w:line="1" w:lineRule="exact"/>
      </w:pPr>
    </w:p>
    <w:p>
      <w:pPr>
        <w:pStyle w:val="Style44"/>
        <w:keepNext/>
        <w:keepLines/>
        <w:widowControl w:val="0"/>
        <w:numPr>
          <w:ilvl w:val="0"/>
          <w:numId w:val="61"/>
        </w:numPr>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未确认递延所得税资产的可抵扣亏损将于以下年度到期</w:t>
      </w:r>
      <w:bookmarkEnd w:id="1433"/>
      <w:bookmarkEnd w:id="1434"/>
      <w:bookmarkEnd w:id="14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2,440,632.65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6,424,903.85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9,341,733.77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21,430,538.38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155,731,426.55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195,369,235.20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7"/>
      <w:bookmarkEnd w:id="1438"/>
      <w:bookmarkEnd w:id="144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41"/>
      <w:bookmarkEnd w:id="1442"/>
      <w:bookmarkEnd w:id="1444"/>
    </w:p>
    <w:p>
      <w:pPr>
        <w:pStyle w:val="Style44"/>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5"/>
      <w:bookmarkEnd w:id="1446"/>
      <w:bookmarkEnd w:id="144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209,297,941.67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210,362,044.36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230,350,853.91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280,440,485.83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490,802,530.19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4"/>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49"/>
      <w:bookmarkEnd w:id="1450"/>
      <w:bookmarkEnd w:id="145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53"/>
      <w:bookmarkEnd w:id="1454"/>
      <w:bookmarkEnd w:id="14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57"/>
      <w:bookmarkEnd w:id="1458"/>
      <w:bookmarkEnd w:id="146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61"/>
      <w:bookmarkEnd w:id="1462"/>
      <w:bookmarkEnd w:id="14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28,724,490.12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28,724,490.12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1"/>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65"/>
      <w:bookmarkEnd w:id="1466"/>
      <w:bookmarkEnd w:id="1468"/>
    </w:p>
    <w:p>
      <w:pPr>
        <w:pStyle w:val="Style44"/>
        <w:keepNext/>
        <w:keepLines/>
        <w:widowControl w:val="0"/>
        <w:numPr>
          <w:ilvl w:val="0"/>
          <w:numId w:val="63"/>
        </w:numPr>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应付账款列示</w:t>
      </w:r>
      <w:bookmarkEnd w:id="1469"/>
      <w:bookmarkEnd w:id="1470"/>
      <w:bookmarkEnd w:id="14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180,258,966.56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198,633,685.61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187,479,427.02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124,460,907.10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367,738,393.58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323,094,592.71</w:t>
            </w:r>
          </w:p>
        </w:tc>
      </w:tr>
    </w:tbl>
    <w:p>
      <w:pPr>
        <w:widowControl w:val="0"/>
        <w:spacing w:after="319" w:line="1" w:lineRule="exact"/>
      </w:pPr>
    </w:p>
    <w:p>
      <w:pPr>
        <w:pStyle w:val="Style44"/>
        <w:keepNext/>
        <w:keepLines/>
        <w:widowControl w:val="0"/>
        <w:numPr>
          <w:ilvl w:val="0"/>
          <w:numId w:val="63"/>
        </w:numPr>
        <w:shd w:val="clear" w:color="auto" w:fill="auto"/>
        <w:bidi w:val="0"/>
        <w:spacing w:before="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3"/>
      <w:bookmarkEnd w:id="1474"/>
      <w:bookmarkEnd w:id="14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深圳市东恒网络科技有限公司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18,149,956.48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宁波海贝建材有限公司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16,651,795.16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宁波保税区大东电力燃料有限公司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11,735,349.42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诸暨市永安建筑劳务有限公司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11,141,340.00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江苏润通线缆有限公司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6,012,595.19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沈阳新博翔锐科技有限公司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5,830,520.78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安徽升弘智能科技工程有限公司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5,488,263.43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75,009,820.46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77"/>
      <w:bookmarkEnd w:id="1478"/>
      <w:bookmarkEnd w:id="1480"/>
    </w:p>
    <w:p>
      <w:pPr>
        <w:pStyle w:val="Style44"/>
        <w:keepNext/>
        <w:keepLines/>
        <w:widowControl w:val="0"/>
        <w:numPr>
          <w:ilvl w:val="0"/>
          <w:numId w:val="65"/>
        </w:numPr>
        <w:shd w:val="clear" w:color="auto" w:fill="auto"/>
        <w:bidi w:val="0"/>
        <w:spacing w:before="0" w:line="240" w:lineRule="auto"/>
        <w:ind w:left="0" w:right="0" w:firstLine="140"/>
        <w:jc w:val="both"/>
      </w:pPr>
      <w:bookmarkStart w:id="1481" w:name="bookmark1481"/>
      <w:bookmarkStart w:id="1482" w:name="bookmark1482"/>
      <w:bookmarkStart w:id="1483" w:name="bookmark1483"/>
      <w:bookmarkStart w:id="1484" w:name="bookmark1484"/>
      <w:bookmarkEnd w:id="1483"/>
      <w:r>
        <w:rPr>
          <w:color w:val="000000"/>
          <w:spacing w:val="0"/>
          <w:w w:val="100"/>
          <w:position w:val="0"/>
        </w:rPr>
        <w:t>预收款项列示</w:t>
      </w:r>
      <w:bookmarkEnd w:id="1481"/>
      <w:bookmarkEnd w:id="1482"/>
      <w:bookmarkEnd w:id="148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890,294.19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890,294.19</w:t>
            </w:r>
          </w:p>
        </w:tc>
      </w:tr>
    </w:tbl>
    <w:p>
      <w:pPr>
        <w:widowControl w:val="0"/>
        <w:spacing w:after="319" w:line="1" w:lineRule="exact"/>
      </w:pPr>
    </w:p>
    <w:p>
      <w:pPr>
        <w:pStyle w:val="Style44"/>
        <w:keepNext/>
        <w:keepLines/>
        <w:widowControl w:val="0"/>
        <w:numPr>
          <w:ilvl w:val="0"/>
          <w:numId w:val="65"/>
        </w:numPr>
        <w:shd w:val="clear" w:color="auto" w:fill="auto"/>
        <w:bidi w:val="0"/>
        <w:spacing w:before="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85"/>
      <w:bookmarkEnd w:id="1486"/>
      <w:bookmarkEnd w:id="148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89"/>
      <w:bookmarkEnd w:id="1490"/>
      <w:bookmarkEnd w:id="149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已结算未完工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16,961,218.90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23,769,853.62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影院会员卡充值及其他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7,653,744.51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19,232,528.93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24,614,963.41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43,002,382.55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3"/>
      <w:bookmarkEnd w:id="1494"/>
      <w:bookmarkEnd w:id="1496"/>
    </w:p>
    <w:p>
      <w:pPr>
        <w:pStyle w:val="Style44"/>
        <w:keepNext/>
        <w:keepLines/>
        <w:widowControl w:val="0"/>
        <w:numPr>
          <w:ilvl w:val="0"/>
          <w:numId w:val="67"/>
        </w:numPr>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应付职工薪酬列示</w:t>
      </w:r>
      <w:bookmarkEnd w:id="1497"/>
      <w:bookmarkEnd w:id="1498"/>
      <w:bookmarkEnd w:id="150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10,212,509.25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47,203,620.85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47,904,058.81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9,512,071.29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340,637.93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442,149.88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747,100.35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747,100.35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10,314,021.20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48,291,359.13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49,093,309.04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9,512,071.29</w:t>
            </w:r>
          </w:p>
        </w:tc>
      </w:tr>
    </w:tbl>
    <w:p>
      <w:pPr>
        <w:widowControl w:val="0"/>
        <w:spacing w:after="319" w:line="1" w:lineRule="exact"/>
      </w:pPr>
    </w:p>
    <w:p>
      <w:pPr>
        <w:pStyle w:val="Style44"/>
        <w:keepNext/>
        <w:keepLines/>
        <w:widowControl w:val="0"/>
        <w:numPr>
          <w:ilvl w:val="0"/>
          <w:numId w:val="67"/>
        </w:numPr>
        <w:shd w:val="clear" w:color="auto" w:fill="auto"/>
        <w:bidi w:val="0"/>
        <w:spacing w:before="0" w:line="240" w:lineRule="auto"/>
        <w:ind w:left="0" w:right="0" w:firstLine="14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短期薪酬列示</w:t>
      </w:r>
      <w:bookmarkEnd w:id="1501"/>
      <w:bookmarkEnd w:id="1502"/>
      <w:bookmarkEnd w:id="150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7,829,151.18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43,152,902.98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43,654,722.86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7,327,331.30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704,974.01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1,428,110.12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1,434,485.47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71,845.89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1,342,112.13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1,343,158.69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66,914.09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1,513.16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8,747.43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1,770.72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1,851,613.84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1,853,384.56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2,303,366.11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256,491.91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2,112,894.10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10,212,509.25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47,203,620.85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47,904,058.81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9,512,071.29</w:t>
            </w:r>
          </w:p>
        </w:tc>
      </w:tr>
    </w:tbl>
    <w:p>
      <w:pPr>
        <w:spacing w:lineRule="exact" w:line="1"/>
        <w:rPr>
          <w:sz w:val="2"/>
          <w:szCs w:val="2"/>
        </w:rPr>
      </w:pPr>
      <w:r>
        <w:br w:type="page"/>
      </w:r>
    </w:p>
    <w:p>
      <w:pPr>
        <w:pStyle w:val="Style44"/>
        <w:keepNext/>
        <w:keepLines/>
        <w:widowControl w:val="0"/>
        <w:numPr>
          <w:ilvl w:val="0"/>
          <w:numId w:val="67"/>
        </w:numPr>
        <w:shd w:val="clear" w:color="auto" w:fill="auto"/>
        <w:bidi w:val="0"/>
        <w:spacing w:before="0" w:line="240" w:lineRule="auto"/>
        <w:ind w:left="0" w:right="0" w:firstLine="14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设定提存计划列示</w:t>
      </w:r>
      <w:bookmarkEnd w:id="1505"/>
      <w:bookmarkEnd w:id="1506"/>
      <w:bookmarkEnd w:id="150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426,947.27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101,511.95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340,637.93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442,149.88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9"/>
      <w:bookmarkEnd w:id="1510"/>
      <w:bookmarkEnd w:id="151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2,398,175.72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2,151,156.27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578,773.85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1,038,366.51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736,857.62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761,772.45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1,580,968.49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1,342,010.58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151,335.55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234,521.06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540,120.07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558,943.00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35,405.13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6,035,344.00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6,146,051.94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3"/>
      <w:bookmarkEnd w:id="1514"/>
      <w:bookmarkEnd w:id="151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75,151,299.74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75,278,334.50</w:t>
            </w:r>
          </w:p>
        </w:tc>
      </w:tr>
    </w:tbl>
    <w:p>
      <w:pPr>
        <w:widowControl w:val="0"/>
        <w:spacing w:after="379" w:line="1" w:lineRule="exact"/>
      </w:pPr>
    </w:p>
    <w:p>
      <w:pPr>
        <w:pStyle w:val="Style44"/>
        <w:keepNext/>
        <w:keepLines/>
        <w:widowControl w:val="0"/>
        <w:numPr>
          <w:ilvl w:val="0"/>
          <w:numId w:val="69"/>
        </w:numPr>
        <w:shd w:val="clear" w:color="auto" w:fill="auto"/>
        <w:bidi w:val="0"/>
        <w:spacing w:before="0" w:line="240" w:lineRule="auto"/>
        <w:ind w:left="0" w:right="0" w:firstLine="14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应付利息</w:t>
      </w:r>
      <w:bookmarkEnd w:id="1517"/>
      <w:bookmarkEnd w:id="1518"/>
      <w:bookmarkEnd w:id="152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7"/>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69"/>
        </w:numPr>
        <w:shd w:val="clear" w:color="auto" w:fill="auto"/>
        <w:bidi w:val="0"/>
        <w:spacing w:before="0" w:after="42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应付股利</w:t>
      </w:r>
      <w:bookmarkEnd w:id="1521"/>
      <w:bookmarkEnd w:id="1522"/>
      <w:bookmarkEnd w:id="15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4"/>
        <w:keepNext/>
        <w:keepLines/>
        <w:widowControl w:val="0"/>
        <w:numPr>
          <w:ilvl w:val="0"/>
          <w:numId w:val="69"/>
        </w:numPr>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其他应付款</w:t>
      </w:r>
      <w:bookmarkEnd w:id="1525"/>
      <w:bookmarkEnd w:id="1526"/>
      <w:bookmarkEnd w:id="1528"/>
    </w:p>
    <w:p>
      <w:pPr>
        <w:pStyle w:val="Style65"/>
        <w:keepNext/>
        <w:keepLines/>
        <w:widowControl w:val="0"/>
        <w:numPr>
          <w:ilvl w:val="0"/>
          <w:numId w:val="71"/>
        </w:numPr>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按款项性质列示其他应付款</w:t>
      </w:r>
      <w:bookmarkEnd w:id="1529"/>
      <w:bookmarkEnd w:id="1530"/>
      <w:bookmarkEnd w:id="15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5,874,071.73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2,007,843.28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7,091,973.12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15,025,932.75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报销款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416,209.49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410,047.84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5,091,325.42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5,844,128.15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45,675,347.72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75,151,299.74</w:t>
            </w:r>
          </w:p>
        </w:tc>
      </w:tr>
    </w:tbl>
    <w:p>
      <w:pPr>
        <w:widowControl w:val="0"/>
        <w:spacing w:after="379" w:line="1" w:lineRule="exact"/>
      </w:pPr>
    </w:p>
    <w:p>
      <w:pPr>
        <w:pStyle w:val="Style65"/>
        <w:keepNext/>
        <w:keepLines/>
        <w:widowControl w:val="0"/>
        <w:numPr>
          <w:ilvl w:val="0"/>
          <w:numId w:val="71"/>
        </w:numPr>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3"/>
      <w:bookmarkEnd w:id="1534"/>
      <w:bookmarkEnd w:id="15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7"/>
      <w:bookmarkEnd w:id="1538"/>
      <w:bookmarkEnd w:id="154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1"/>
      <w:bookmarkEnd w:id="1542"/>
      <w:bookmarkEnd w:id="1544"/>
    </w:p>
    <w:p>
      <w:pPr>
        <w:pStyle w:val="Style2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24,486,147.86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24,486,147.86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5"/>
      <w:bookmarkEnd w:id="1546"/>
      <w:bookmarkEnd w:id="154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2,435,435.79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1,995,141.53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2,435,435.79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1,995,141.53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9"/>
      <w:bookmarkEnd w:id="1550"/>
      <w:bookmarkEnd w:id="1552"/>
    </w:p>
    <w:p>
      <w:pPr>
        <w:pStyle w:val="Style44"/>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3"/>
      <w:bookmarkEnd w:id="1554"/>
      <w:bookmarkEnd w:id="155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1"/>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6"/>
      <w:bookmarkEnd w:id="1557"/>
      <w:bookmarkEnd w:id="1559"/>
    </w:p>
    <w:p>
      <w:pPr>
        <w:pStyle w:val="Style44"/>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60"/>
      <w:bookmarkEnd w:id="1561"/>
      <w:bookmarkEnd w:id="156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numPr>
          <w:ilvl w:val="0"/>
          <w:numId w:val="73"/>
        </w:numPr>
        <w:shd w:val="clear" w:color="auto" w:fill="auto"/>
        <w:bidi w:val="0"/>
        <w:spacing w:before="0" w:line="240" w:lineRule="auto"/>
        <w:ind w:left="0" w:right="0" w:firstLine="14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应付债券的增减变动(不包括划分为金融负债的优先股、永续债等其他金融工具)</w:t>
      </w:r>
      <w:bookmarkEnd w:id="1563"/>
      <w:bookmarkEnd w:id="1564"/>
      <w:bookmarkEnd w:id="15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keepLines/>
        <w:widowControl w:val="0"/>
        <w:numPr>
          <w:ilvl w:val="0"/>
          <w:numId w:val="73"/>
        </w:numPr>
        <w:shd w:val="clear" w:color="auto" w:fill="auto"/>
        <w:tabs>
          <w:tab w:pos="493"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可转换公司债券的转股条件、转股时间说明</w:t>
      </w:r>
      <w:bookmarkEnd w:id="1567"/>
      <w:bookmarkEnd w:id="1568"/>
      <w:bookmarkEnd w:id="1570"/>
    </w:p>
    <w:p>
      <w:pPr>
        <w:pStyle w:val="Style44"/>
        <w:keepNext/>
        <w:keepLines/>
        <w:widowControl w:val="0"/>
        <w:numPr>
          <w:ilvl w:val="0"/>
          <w:numId w:val="73"/>
        </w:numPr>
        <w:shd w:val="clear" w:color="auto" w:fill="auto"/>
        <w:tabs>
          <w:tab w:pos="493" w:val="left"/>
        </w:tabs>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划分为金融负债的其他金融工具说明</w:t>
      </w:r>
      <w:bookmarkEnd w:id="1571"/>
      <w:bookmarkEnd w:id="1572"/>
      <w:bookmarkEnd w:id="157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75"/>
      <w:bookmarkEnd w:id="1576"/>
      <w:bookmarkEnd w:id="15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79"/>
      <w:bookmarkEnd w:id="1580"/>
      <w:bookmarkEnd w:id="15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23,468,590.31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23,468,590.31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4"/>
        <w:keepNext/>
        <w:keepLines/>
        <w:widowControl w:val="0"/>
        <w:shd w:val="clear" w:color="auto" w:fill="auto"/>
        <w:bidi w:val="0"/>
        <w:spacing w:before="0" w:line="240" w:lineRule="auto"/>
        <w:ind w:left="0" w:right="0" w:firstLine="14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3"/>
      <w:bookmarkEnd w:id="1584"/>
      <w:bookmarkEnd w:id="158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23,468,590.31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75"/>
        </w:numPr>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专项应付款</w:t>
      </w:r>
      <w:bookmarkEnd w:id="1586"/>
      <w:bookmarkEnd w:id="1587"/>
      <w:bookmarkEnd w:id="158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4</w:t>
      </w:r>
      <w:bookmarkEnd w:id="159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90"/>
      <w:bookmarkEnd w:id="1591"/>
      <w:bookmarkEnd w:id="1593"/>
    </w:p>
    <w:p>
      <w:pPr>
        <w:pStyle w:val="Style44"/>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94"/>
      <w:bookmarkEnd w:id="1595"/>
      <w:bookmarkEnd w:id="159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7"/>
      <w:bookmarkEnd w:id="1598"/>
      <w:bookmarkEnd w:id="1599"/>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6"/>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6"/>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00"/>
      <w:bookmarkEnd w:id="1601"/>
      <w:bookmarkEnd w:id="160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被担保方违约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4"/>
      <w:bookmarkEnd w:id="1605"/>
      <w:bookmarkEnd w:id="16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984"/>
        <w:gridCol w:w="1037"/>
        <w:gridCol w:w="1008"/>
        <w:gridCol w:w="1037"/>
        <w:gridCol w:w="984"/>
        <w:gridCol w:w="1248"/>
        <w:gridCol w:w="1080"/>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tabs>
                <w:tab w:pos="2011" w:val="left"/>
              </w:tabs>
              <w:bidi w:val="0"/>
              <w:spacing w:before="0" w:after="0" w:line="240" w:lineRule="auto"/>
              <w:ind w:left="0" w:right="0" w:firstLine="60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tabs>
                <w:tab w:pos="157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6"/>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307" w:lineRule="exact"/>
              <w:ind w:left="0" w:right="0" w:firstLine="440"/>
              <w:jc w:val="left"/>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08"/>
      <w:bookmarkEnd w:id="1609"/>
      <w:bookmarkEnd w:id="16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12"/>
      <w:bookmarkEnd w:id="1613"/>
      <w:bookmarkEnd w:id="161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679,945,828.00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-8,548,918.00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-8,548,918.00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671,396,910.00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注：其他系本期回购注销限制性股票。</w:t>
      </w:r>
    </w:p>
    <w:p>
      <w:pPr>
        <w:pStyle w:val="Style31"/>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15"/>
      <w:bookmarkEnd w:id="1616"/>
      <w:bookmarkEnd w:id="1618"/>
    </w:p>
    <w:p>
      <w:pPr>
        <w:pStyle w:val="Style44"/>
        <w:keepNext/>
        <w:keepLines/>
        <w:widowControl w:val="0"/>
        <w:shd w:val="clear" w:color="auto" w:fill="auto"/>
        <w:tabs>
          <w:tab w:pos="493" w:val="left"/>
        </w:tabs>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9"/>
      <w:bookmarkEnd w:id="1620"/>
      <w:bookmarkEnd w:id="1622"/>
    </w:p>
    <w:p>
      <w:pPr>
        <w:pStyle w:val="Style44"/>
        <w:keepNext/>
        <w:keepLines/>
        <w:widowControl w:val="0"/>
        <w:shd w:val="clear" w:color="auto" w:fill="auto"/>
        <w:tabs>
          <w:tab w:pos="493" w:val="left"/>
        </w:tabs>
        <w:bidi w:val="0"/>
        <w:spacing w:before="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3"/>
      <w:bookmarkEnd w:id="1624"/>
      <w:bookmarkEnd w:id="162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1"/>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27"/>
      <w:bookmarkEnd w:id="1628"/>
      <w:bookmarkEnd w:id="16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1,048,887,035.14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45,888,149.72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1,004,998,885.42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21,656,622.51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7,138,431.99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28,795,054.50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1,070,543,657.65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9,138,431.99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45,888,149.72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1,033,793,939.92</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股本溢价变动包括：回购注销限制性股票，减少股本溢价</w:t>
      </w:r>
      <w:r>
        <w:rPr>
          <w:rFonts w:ascii="Times New Roman" w:eastAsia="Times New Roman" w:hAnsi="Times New Roman" w:cs="Times New Roman"/>
          <w:color w:val="000000"/>
          <w:spacing w:val="0"/>
          <w:w w:val="100"/>
          <w:position w:val="0"/>
          <w:sz w:val="18"/>
          <w:szCs w:val="18"/>
        </w:rPr>
        <w:t>45,888,149.7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元；注销原同一控制下企业合并形成的孙子公司杭州 星影电影院有限公司和乐清时代电影放映有限公司，增加股本溢价</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其他资本公积变动：本期公司于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w:t>
      </w:r>
      <w:r>
        <w:br w:type="page"/>
      </w:r>
    </w:p>
    <w:p>
      <w:pPr>
        <w:pStyle w:val="Style27"/>
        <w:keepNext w:val="0"/>
        <w:keepLines w:val="0"/>
        <w:widowControl w:val="0"/>
        <w:shd w:val="clear" w:color="auto" w:fill="auto"/>
        <w:bidi w:val="0"/>
        <w:spacing w:before="0" w:after="400" w:line="307" w:lineRule="exact"/>
        <w:ind w:left="0" w:right="0" w:firstLine="0"/>
        <w:jc w:val="both"/>
      </w:pPr>
      <w:r>
        <w:rPr>
          <w:color w:val="000000"/>
          <w:spacing w:val="0"/>
          <w:w w:val="100"/>
          <w:position w:val="0"/>
        </w:rPr>
        <w:t>性股票激励计划并回购注销限制性股票的议案》。根据《企业会计准则第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股份支付》的规定，公司将终止激励计划作 为加速行权处理，本期合计确认相关成本</w:t>
      </w:r>
      <w:r>
        <w:rPr>
          <w:rFonts w:ascii="Times New Roman" w:eastAsia="Times New Roman" w:hAnsi="Times New Roman" w:cs="Times New Roman"/>
          <w:color w:val="000000"/>
          <w:spacing w:val="0"/>
          <w:w w:val="100"/>
          <w:position w:val="0"/>
          <w:sz w:val="18"/>
          <w:szCs w:val="18"/>
        </w:rPr>
        <w:t>5,894,066.67</w:t>
      </w:r>
      <w:r>
        <w:rPr>
          <w:color w:val="000000"/>
          <w:spacing w:val="0"/>
          <w:w w:val="100"/>
          <w:position w:val="0"/>
        </w:rPr>
        <w:t>元；本期对</w:t>
      </w:r>
      <w:r>
        <w:rPr>
          <w:rFonts w:ascii="Times New Roman" w:eastAsia="Times New Roman" w:hAnsi="Times New Roman" w:cs="Times New Roman"/>
          <w:color w:val="000000"/>
          <w:spacing w:val="0"/>
          <w:w w:val="100"/>
          <w:position w:val="0"/>
          <w:sz w:val="18"/>
          <w:szCs w:val="18"/>
        </w:rPr>
        <w:t>WeidaiLtd.(Caymanisland</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丧失重大影响，其他资本公积增 加</w:t>
      </w:r>
      <w:r>
        <w:rPr>
          <w:rFonts w:ascii="Times New Roman" w:eastAsia="Times New Roman" w:hAnsi="Times New Roman" w:cs="Times New Roman"/>
          <w:color w:val="000000"/>
          <w:spacing w:val="0"/>
          <w:w w:val="100"/>
          <w:position w:val="0"/>
          <w:sz w:val="18"/>
          <w:szCs w:val="18"/>
        </w:rPr>
        <w:t>974,249.43</w:t>
      </w:r>
      <w:r>
        <w:rPr>
          <w:color w:val="000000"/>
          <w:spacing w:val="0"/>
          <w:w w:val="100"/>
          <w:position w:val="0"/>
        </w:rPr>
        <w:t>元；本期权益法核算的被投资单位资本公积变动按持股比例确认增加其他资本公积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70,115.89</w:t>
      </w:r>
      <w:r>
        <w:rPr>
          <w:color w:val="000000"/>
          <w:spacing w:val="0"/>
          <w:w w:val="100"/>
          <w:position w:val="0"/>
        </w:rPr>
        <w:t>元。</w:t>
      </w:r>
    </w:p>
    <w:p>
      <w:pPr>
        <w:pStyle w:val="Style31"/>
        <w:keepNext/>
        <w:keepLines/>
        <w:widowControl w:val="0"/>
        <w:shd w:val="clear" w:color="auto" w:fill="auto"/>
        <w:bidi w:val="0"/>
        <w:spacing w:before="0" w:after="40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1"/>
      <w:bookmarkEnd w:id="1632"/>
      <w:bookmarkEnd w:id="163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17,869,161.55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15,396,723.56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33,392,919.87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54,437,067.72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54,437,067.72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72,306,229.27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15,396,723.56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54,310,032.96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33,392,919.87</w:t>
            </w:r>
          </w:p>
        </w:tc>
      </w:tr>
    </w:tbl>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：本期从二级市场回购股票增加库存股</w:t>
      </w:r>
      <w:r>
        <w:rPr>
          <w:rFonts w:ascii="Times New Roman" w:eastAsia="Times New Roman" w:hAnsi="Times New Roman" w:cs="Times New Roman"/>
          <w:color w:val="000000"/>
          <w:spacing w:val="0"/>
          <w:w w:val="100"/>
          <w:position w:val="0"/>
          <w:sz w:val="18"/>
          <w:szCs w:val="18"/>
        </w:rPr>
        <w:t>15,396,723.56</w:t>
      </w:r>
      <w:r>
        <w:rPr>
          <w:color w:val="000000"/>
          <w:spacing w:val="0"/>
          <w:w w:val="100"/>
          <w:position w:val="0"/>
        </w:rPr>
        <w:t>元；终止股权激励计划，冲回自持部分限制性股票权益分派减少库 存股</w:t>
      </w:r>
      <w:r>
        <w:rPr>
          <w:rFonts w:ascii="Times New Roman" w:eastAsia="Times New Roman" w:hAnsi="Times New Roman" w:cs="Times New Roman"/>
          <w:color w:val="000000"/>
          <w:spacing w:val="0"/>
          <w:w w:val="100"/>
          <w:position w:val="0"/>
          <w:sz w:val="18"/>
          <w:szCs w:val="18"/>
        </w:rPr>
        <w:t>-127,034.76</w:t>
      </w:r>
      <w:r>
        <w:rPr>
          <w:color w:val="000000"/>
          <w:spacing w:val="0"/>
          <w:w w:val="100"/>
          <w:position w:val="0"/>
        </w:rPr>
        <w:t>元。</w:t>
      </w:r>
    </w:p>
    <w:p>
      <w:pPr>
        <w:pStyle w:val="Style27"/>
        <w:keepNext w:val="0"/>
        <w:keepLines w:val="0"/>
        <w:widowControl w:val="0"/>
        <w:shd w:val="clear" w:color="auto" w:fill="auto"/>
        <w:bidi w:val="0"/>
        <w:spacing w:before="0" w:after="40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：本期回购注销限制性股票减少库存股</w:t>
      </w:r>
      <w:r>
        <w:rPr>
          <w:rFonts w:ascii="Times New Roman" w:eastAsia="Times New Roman" w:hAnsi="Times New Roman" w:cs="Times New Roman"/>
          <w:color w:val="000000"/>
          <w:spacing w:val="0"/>
          <w:w w:val="100"/>
          <w:position w:val="0"/>
          <w:sz w:val="18"/>
          <w:szCs w:val="18"/>
        </w:rPr>
        <w:t>54,437,067.72</w:t>
      </w:r>
      <w:r>
        <w:rPr>
          <w:color w:val="000000"/>
          <w:spacing w:val="0"/>
          <w:w w:val="100"/>
          <w:position w:val="0"/>
        </w:rPr>
        <w:t>元。</w:t>
      </w:r>
    </w:p>
    <w:p>
      <w:pPr>
        <w:pStyle w:val="Style31"/>
        <w:keepNext/>
        <w:keepLines/>
        <w:widowControl w:val="0"/>
        <w:shd w:val="clear" w:color="auto" w:fill="auto"/>
        <w:bidi w:val="0"/>
        <w:spacing w:before="0" w:after="40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5"/>
      <w:bookmarkEnd w:id="1636"/>
      <w:bookmarkEnd w:id="16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6"/>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16,788,640.</w:t>
            </w:r>
          </w:p>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-19,496,70</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-19,496,70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-757,955.78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-282,191.7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-282,191.7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17,546,596.</w:t>
            </w:r>
          </w:p>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-19,214,51</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-19,214,51</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20.79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16,788,640.</w:t>
            </w:r>
          </w:p>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-19,496,70</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-19,496,70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68.32</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40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5</w:t>
      </w:r>
      <w:bookmarkEnd w:id="164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39"/>
      <w:bookmarkEnd w:id="1640"/>
      <w:bookmarkEnd w:id="16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1"/>
        <w:keepNext/>
        <w:keepLines/>
        <w:widowControl w:val="0"/>
        <w:shd w:val="clear" w:color="auto" w:fill="auto"/>
        <w:bidi w:val="0"/>
        <w:spacing w:before="0" w:after="40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3"/>
      <w:bookmarkEnd w:id="1644"/>
      <w:bookmarkEnd w:id="16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after="40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47"/>
      <w:bookmarkEnd w:id="1648"/>
      <w:bookmarkEnd w:id="16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-207,871,951.91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-207,871,951.91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-588,788,805.84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-796,533,722.99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651" w:name="bookmark1651"/>
      <w:r>
        <w:rPr>
          <w:rFonts w:ascii="Times New Roman" w:eastAsia="Times New Roman" w:hAnsi="Times New Roman" w:cs="Times New Roman"/>
          <w:color w:val="000000"/>
          <w:spacing w:val="0"/>
          <w:w w:val="100"/>
          <w:position w:val="0"/>
          <w:sz w:val="18"/>
          <w:szCs w:val="18"/>
        </w:rPr>
        <w:t>1</w:t>
      </w:r>
      <w:bookmarkEnd w:id="16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sz w:val="18"/>
          <w:szCs w:val="18"/>
        </w:rPr>
        <w:t>2</w:t>
      </w:r>
      <w:bookmarkEnd w:id="16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53" w:name="bookmark1653"/>
      <w:r>
        <w:rPr>
          <w:rFonts w:ascii="Times New Roman" w:eastAsia="Times New Roman" w:hAnsi="Times New Roman" w:cs="Times New Roman"/>
          <w:color w:val="000000"/>
          <w:spacing w:val="0"/>
          <w:w w:val="100"/>
          <w:position w:val="0"/>
          <w:sz w:val="18"/>
          <w:szCs w:val="18"/>
        </w:rPr>
        <w:t>3</w:t>
      </w:r>
      <w:bookmarkEnd w:id="16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54" w:name="bookmark1654"/>
      <w:r>
        <w:rPr>
          <w:rFonts w:ascii="Times New Roman" w:eastAsia="Times New Roman" w:hAnsi="Times New Roman" w:cs="Times New Roman"/>
          <w:color w:val="000000"/>
          <w:spacing w:val="0"/>
          <w:w w:val="100"/>
          <w:position w:val="0"/>
          <w:sz w:val="18"/>
          <w:szCs w:val="18"/>
        </w:rPr>
        <w:t>4</w:t>
      </w:r>
      <w:bookmarkEnd w:id="16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400" w:line="240" w:lineRule="auto"/>
        <w:ind w:left="0" w:right="0" w:firstLine="0"/>
        <w:jc w:val="left"/>
      </w:pPr>
      <w:bookmarkStart w:id="1655" w:name="bookmark1655"/>
      <w:r>
        <w:rPr>
          <w:rFonts w:ascii="Times New Roman" w:eastAsia="Times New Roman" w:hAnsi="Times New Roman" w:cs="Times New Roman"/>
          <w:color w:val="000000"/>
          <w:spacing w:val="0"/>
          <w:w w:val="100"/>
          <w:position w:val="0"/>
          <w:sz w:val="18"/>
          <w:szCs w:val="18"/>
        </w:rPr>
        <w:t>5</w:t>
      </w:r>
      <w:bookmarkEnd w:id="16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40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6"/>
      <w:bookmarkEnd w:id="1657"/>
      <w:bookmarkEnd w:id="165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342,330,576.53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335,605,903.50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436,096,538.93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389,567,298.45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11,541,351.64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15,437,373.09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9,990,968.18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347,147,255.14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451,533,912.02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399,558,266.63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84"/>
        <w:gridCol w:w="2040"/>
        <w:gridCol w:w="1987"/>
        <w:gridCol w:w="337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451,533,912.02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主要系智慧城市、智慧医疗、影院票房、 租赁服务、物业服务、广告服务等</w:t>
            </w:r>
          </w:p>
        </w:tc>
      </w:tr>
    </w:tbl>
    <w:p>
      <w:pPr>
        <w:widowControl w:val="0"/>
        <w:spacing w:line="1" w:lineRule="exact"/>
      </w:pPr>
      <w:r>
        <w:br w:type="page"/>
      </w:r>
    </w:p>
    <w:tbl>
      <w:tblPr>
        <w:tblOverlap w:val="never"/>
        <w:jc w:val="center"/>
        <w:tblLayout w:type="fixed"/>
      </w:tblPr>
      <w:tblGrid>
        <w:gridCol w:w="2184"/>
        <w:gridCol w:w="2040"/>
        <w:gridCol w:w="1987"/>
        <w:gridCol w:w="337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15,437,373.09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主要系租赁服务、物业服务、广告服务等</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7,994,086.45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租赁收入，与主营业无关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物业收入，与主营业无关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服务收入，与主营业无关</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广告收入，与主营业无关</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15,437,373.09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342,330,576.53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436,096,538.93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0"/>
      <w:bookmarkEnd w:id="1661"/>
      <w:bookmarkEnd w:id="16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271,044.44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560,954.53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132,299.45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243,450.71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2,106,487.11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2,571,855.53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29,323.99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300,702.85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432,502.85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186,283.02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580,864.75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669,905.77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3,508,987.07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4,694,276.40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64"/>
      <w:bookmarkEnd w:id="1665"/>
      <w:bookmarkEnd w:id="166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6,735,136.99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10,667,799.21</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365,494.32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531,233.73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463,769.23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964,797.74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170,595.96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946,389.77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501,331.69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967,036.60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209,994.94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74,910.65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2,722,295.08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28,707,264.57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工程前期费用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972,546.88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926,582.73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2,663,879.36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6,334,133.06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291,167.27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717,460.04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15,103,344.17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50,848,246.92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68"/>
      <w:bookmarkEnd w:id="1669"/>
      <w:bookmarkEnd w:id="167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4,991,555.13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1,443,488.15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22,550,032.66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25,202,212.72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9,762,068.79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11,632,321.06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3,982,345.76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5,545,141.33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1,078,876.67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1,631,660.66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1,440,633.10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1,758,904.85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9,622,475.25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4,586,998.64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640,191.75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771,067.78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1,865,162.94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3,025,137.17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934,574.99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742,767.13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343,718.21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287,776.90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374,450.65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1,715,988.61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57,586,085.90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58,343,465.00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2"/>
      <w:bookmarkEnd w:id="1673"/>
      <w:bookmarkEnd w:id="167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14,959,742.45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17,153,078.82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1,047,994.67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2,641,601.11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607,691.64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1,042,907.46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5,927,977.58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387,641.51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3,443,194.42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1,876,273.03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25,986,600.76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23,101,501.93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6</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76"/>
      <w:bookmarkEnd w:id="1677"/>
      <w:bookmarkEnd w:id="167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26,437,518.32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28,931,650.82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707,103.24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910,778.24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4,721,899.90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358,588.18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957,087.29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420,185.05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943,674.43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30,866,780.86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28,366,047.90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80"/>
      <w:bookmarkEnd w:id="1681"/>
      <w:bookmarkEnd w:id="16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374,460.77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151,259.47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小微企业两直补助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75,759.95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年杭州市第二批重大科技创新后补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杭州市下城区科学技术局补助款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358,700.00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浙江舟山群岛新区海洋产业集聚区管理 委员会财政补助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138,643.00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博士后工作站建设补助经费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年博士后科研项目择优资助经费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年科技发展专项资金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杭州市下城 区科学技术局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年第三批市文化创意资金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面向一体化健康服务的区域医疗资源知 识图谱构建技术研究项目研究补助资金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跨主机容器弹性集群与动态资源调度技 术研究项目研究补助资金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杭州市下城区科技局知识产权补助款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电影事业发展专项资金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1,807,757.00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税收返还或补助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2,616,043.20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2,399,052.39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其他与日常经营活动无关的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232,028.82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8,953,754.81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6,327,981.21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84"/>
      <w:bookmarkEnd w:id="1685"/>
      <w:bookmarkEnd w:id="16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-8,431,912.07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71,284,163.00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-1,073,606.09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-1,140,556.03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-420,291.41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-62,143,128.72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-1,327,976.49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-72,068,938.29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68,815,630.48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注：其他系微贷网由权益法转换为公允价值计量且其变动计入当期损益的金融资产形成的投资损失。</w:t>
      </w:r>
    </w:p>
    <w:p>
      <w:pPr>
        <w:pStyle w:val="Style31"/>
        <w:keepNext/>
        <w:keepLines/>
        <w:widowControl w:val="0"/>
        <w:shd w:val="clear" w:color="auto" w:fill="auto"/>
        <w:bidi w:val="0"/>
        <w:spacing w:before="0" w:after="380" w:line="240" w:lineRule="auto"/>
        <w:ind w:left="0" w:right="0" w:firstLine="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6</w:t>
      </w:r>
      <w:bookmarkEnd w:id="169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88"/>
      <w:bookmarkEnd w:id="1689"/>
      <w:bookmarkEnd w:id="169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2"/>
      <w:bookmarkEnd w:id="1693"/>
      <w:bookmarkEnd w:id="169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-28,710,260.16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-106,705,820.15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-216,098,238.77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207,062,321.48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-244,808,498.93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100,356,501.33</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96"/>
      <w:bookmarkEnd w:id="1697"/>
      <w:bookmarkEnd w:id="16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-43,431,656.20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-55,418,270.83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-42,103,837.45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-26,814,742.93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-7,020,286.81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-21,406,498.02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-92,651,761.62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-103,639,511.78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00"/>
      <w:bookmarkEnd w:id="1701"/>
      <w:bookmarkEnd w:id="170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-79,204,054.37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-5,519,002.69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-649,982,851.37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-8,504,003.73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-554,577.63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-5,063,378.97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-64,979,915.27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-28,921,468.76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-12,539,436.56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-643,912.18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-60,547,290.71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-795,365,310.82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注：其他减值损失系影院装修形成的长期待摊费用计提减值。</w:t>
      </w:r>
    </w:p>
    <w:p>
      <w:pPr>
        <w:pStyle w:val="Style31"/>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7</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04"/>
      <w:bookmarkEnd w:id="1705"/>
      <w:bookmarkEnd w:id="17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处置未划分为持有待售的非流动资产产 生的利得或损失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1,581,392.71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08"/>
      <w:bookmarkEnd w:id="1709"/>
      <w:bookmarkEnd w:id="171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172,906.45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3,521,579.27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2,916,475.35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3,521,579.27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3,521,579.27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3,089,381.80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3,521,579.27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2"/>
      <w:bookmarkEnd w:id="1713"/>
      <w:bookmarkEnd w:id="17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非流动资产损坏报废损失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977,894.80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670,137.08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977,894.80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2,654,631.37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8,486,812.70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2,654,631.37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9,530,185.46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1,549,272.12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9,530,185.46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14,162,711.63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10,706,221.90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14,162,711.63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注：其他项主要系因被担保人违约而确认的预计负债</w:t>
      </w:r>
      <w:r>
        <w:rPr>
          <w:rFonts w:ascii="Times New Roman" w:eastAsia="Times New Roman" w:hAnsi="Times New Roman" w:cs="Times New Roman"/>
          <w:color w:val="000000"/>
          <w:spacing w:val="0"/>
          <w:w w:val="100"/>
          <w:position w:val="0"/>
          <w:sz w:val="18"/>
          <w:szCs w:val="18"/>
        </w:rPr>
        <w:t>8,803,453.36</w:t>
      </w:r>
      <w:r>
        <w:rPr>
          <w:color w:val="000000"/>
          <w:spacing w:val="0"/>
          <w:w w:val="100"/>
          <w:position w:val="0"/>
        </w:rPr>
        <w:t>元，详见本附注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十四、承诺及或有事项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16"/>
      <w:bookmarkEnd w:id="1717"/>
      <w:bookmarkEnd w:id="1719"/>
    </w:p>
    <w:p>
      <w:pPr>
        <w:pStyle w:val="Style44"/>
        <w:keepNext/>
        <w:keepLines/>
        <w:widowControl w:val="0"/>
        <w:shd w:val="clear" w:color="auto" w:fill="auto"/>
        <w:bidi w:val="0"/>
        <w:spacing w:before="0" w:line="240" w:lineRule="auto"/>
        <w:ind w:left="0" w:right="0" w:firstLine="0"/>
        <w:jc w:val="both"/>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0"/>
      <w:bookmarkEnd w:id="1721"/>
      <w:bookmarkEnd w:id="17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768,148.32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6,253,868.09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-3,676,736.25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-42,137,632.66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-2,908,587.93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-35,883,764.57</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23"/>
      <w:bookmarkEnd w:id="1724"/>
      <w:bookmarkEnd w:id="17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-596,782,689.98</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-89,517,403.51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-17,652,006.63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-1,076,854.36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-1,321,980.87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3,729,102.79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-257,204.08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87,493,150.10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-2,848,332.39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18,542,941.01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-2,908,587.93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注：其他系本期冲回上期确认的递延所得税资产。</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26"/>
      <w:bookmarkEnd w:id="1727"/>
      <w:bookmarkEnd w:id="172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30"/>
      <w:bookmarkEnd w:id="1731"/>
      <w:bookmarkEnd w:id="1733"/>
    </w:p>
    <w:p>
      <w:pPr>
        <w:pStyle w:val="Style44"/>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34"/>
      <w:bookmarkEnd w:id="1735"/>
      <w:bookmarkEnd w:id="17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收回的投标保证金、履约保证金、往来 款等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63,834,825.93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35,930,945.33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6,440,950.77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3,822,364.75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910,778.24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3,533,379.27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3,379,795.35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74,516,259.21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44,043,883.67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7"/>
      <w:bookmarkEnd w:id="1738"/>
      <w:bookmarkEnd w:id="17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支付的投标保证金、履约保证金、往来 款等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58,270,392.10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78,635,462.46</w:t>
            </w:r>
          </w:p>
        </w:tc>
      </w:tr>
    </w:tbl>
    <w:p>
      <w:pPr>
        <w:sectPr>
          <w:footnotePr>
            <w:pos w:val="pageBottom"/>
            <w:numFmt w:val="decimal"/>
            <w:numRestart w:val="continuous"/>
          </w:footnotePr>
          <w:pgSz w:w="11900" w:h="16840"/>
          <w:pgMar w:top="1374" w:right="1014" w:bottom="1384" w:left="994" w:header="0" w:footer="3" w:gutter="0"/>
          <w:cols w:space="720"/>
          <w:noEndnote/>
          <w:rtlGutter w:val="0"/>
          <w:docGrid w:linePitch="360"/>
        </w:sectPr>
      </w:pPr>
    </w:p>
    <w:p>
      <w:pPr>
        <w:widowControl w:val="0"/>
        <w:spacing w:after="339"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6,971,627.60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2,908,981.27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1,542,645.90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2,596,458.40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4,192,340.70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5,619,682.98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工程前期费用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972,546.88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926,582.73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1,941,964.79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2,725,941.45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647,324.20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713,431.18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8,671,692.13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4,469,119.02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2,722,295.08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28,707,264.57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2,000,718.02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3,844,405.59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14,233,245.68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18,568,585.01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102,166,793.08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149,715,914.66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0"/>
      <w:bookmarkEnd w:id="1741"/>
      <w:bookmarkEnd w:id="1743"/>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90,642,434.33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152,919,395.58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90,642,434.33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152,919,395.58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44"/>
      <w:bookmarkEnd w:id="1745"/>
      <w:bookmarkEnd w:id="174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投资相关手续费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1,327,976.49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1,327,976.49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48"/>
      <w:bookmarkEnd w:id="1749"/>
      <w:bookmarkEnd w:id="175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shd w:val="clear" w:color="auto" w:fill="auto"/>
        <w:bidi w:val="0"/>
        <w:spacing w:before="0" w:after="24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2"/>
      <w:bookmarkEnd w:id="1753"/>
      <w:bookmarkEnd w:id="1755"/>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62,339,559.76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47,402,664.91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融资租赁分期支付长期应付款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77,561,354.99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融资性售后租回服务费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63,567,059.76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124,964,019.90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56"/>
      <w:bookmarkEnd w:id="1757"/>
      <w:bookmarkEnd w:id="1759"/>
    </w:p>
    <w:p>
      <w:pPr>
        <w:pStyle w:val="Style44"/>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0"/>
      <w:bookmarkEnd w:id="1761"/>
      <w:bookmarkEnd w:id="17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-593,874,102.05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-808,615,677.87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60,547,290.71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795,365,310.82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92,651,761.62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103,639,511.78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28,186,663.69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30,311,913.35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310,967.85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9,886,485.75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10,251,800.29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-1,581,392.71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977,894.80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670,137.08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244,808,498.93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-100,356,501.33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31,153,699.05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29,200,407.72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72,068,938.29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-68,815,630.48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-3,497,854.59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-42,316,514.32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2,653,262.36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42,068,237.69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170,396,629.77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-50,933,387.55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-145,262,308.21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5,548,300.53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5,894,066.67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1,507,842.05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-24,825,629.37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-51,984,400.73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180,552,657.77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159,998,170.04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159,998,170.04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272,279,753.39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20,554,487.73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-112,281,583.35</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63"/>
      <w:bookmarkEnd w:id="1764"/>
      <w:bookmarkEnd w:id="17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66"/>
      <w:bookmarkEnd w:id="1767"/>
      <w:bookmarkEnd w:id="17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both"/>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0"/>
      <w:bookmarkEnd w:id="1771"/>
      <w:bookmarkEnd w:id="1773"/>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159,998,170.04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180,144,166.61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158,672,167.53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1,305,076.58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159,998,170.04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4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8</w:t>
      </w:r>
      <w:bookmarkEnd w:id="177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74"/>
      <w:bookmarkEnd w:id="1775"/>
      <w:bookmarkEnd w:id="1777"/>
    </w:p>
    <w:p>
      <w:pPr>
        <w:pStyle w:val="Style27"/>
        <w:keepNext w:val="0"/>
        <w:keepLines w:val="0"/>
        <w:widowControl w:val="0"/>
        <w:shd w:val="clear" w:color="auto" w:fill="auto"/>
        <w:bidi w:val="0"/>
        <w:spacing w:before="0" w:after="80" w:line="311"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val="0"/>
        <w:keepLines w:val="0"/>
        <w:widowControl w:val="0"/>
        <w:shd w:val="clear" w:color="auto" w:fill="auto"/>
        <w:bidi w:val="0"/>
        <w:spacing w:before="0" w:after="0" w:line="311" w:lineRule="exact"/>
        <w:ind w:left="0" w:right="0" w:firstLine="460"/>
        <w:jc w:val="left"/>
      </w:pP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项目包括：本期回购注销限制性股票，减少资本公积(股本溢价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45,888,149.72</w:t>
      </w:r>
      <w:r>
        <w:rPr>
          <w:color w:val="000000"/>
          <w:spacing w:val="0"/>
          <w:w w:val="100"/>
          <w:position w:val="0"/>
        </w:rPr>
        <w:t xml:space="preserve">元；本期注销原同一控 制下企业合并形成的孙子公司杭州星影电影院有限公司和乐清时代电影放映有限公司，增加资本公积(股本溢价) </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元；本期对</w:t>
      </w:r>
      <w:r>
        <w:rPr>
          <w:rFonts w:ascii="Times New Roman" w:eastAsia="Times New Roman" w:hAnsi="Times New Roman" w:cs="Times New Roman"/>
          <w:color w:val="000000"/>
          <w:spacing w:val="0"/>
          <w:w w:val="100"/>
          <w:position w:val="0"/>
          <w:sz w:val="18"/>
          <w:szCs w:val="18"/>
        </w:rPr>
        <w:t>WeidaiLtd.(Caymanlsland)</w:t>
      </w:r>
      <w:r>
        <w:rPr>
          <w:color w:val="000000"/>
          <w:spacing w:val="0"/>
          <w:w w:val="100"/>
          <w:position w:val="0"/>
        </w:rPr>
        <w:t>丧失重大影响，其他资本公积增加</w:t>
      </w:r>
      <w:r>
        <w:rPr>
          <w:rFonts w:ascii="Times New Roman" w:eastAsia="Times New Roman" w:hAnsi="Times New Roman" w:cs="Times New Roman"/>
          <w:color w:val="000000"/>
          <w:spacing w:val="0"/>
          <w:w w:val="100"/>
          <w:position w:val="0"/>
          <w:sz w:val="18"/>
          <w:szCs w:val="18"/>
        </w:rPr>
        <w:t>974,249.43</w:t>
      </w:r>
      <w:r>
        <w:rPr>
          <w:color w:val="000000"/>
          <w:spacing w:val="0"/>
          <w:w w:val="100"/>
          <w:position w:val="0"/>
        </w:rPr>
        <w:t>元；本期权益法核算的被投资 单位资本公积变动按持股比例确认增加其他资本公积</w:t>
      </w:r>
      <w:r>
        <w:rPr>
          <w:rFonts w:ascii="Times New Roman" w:eastAsia="Times New Roman" w:hAnsi="Times New Roman" w:cs="Times New Roman"/>
          <w:color w:val="000000"/>
          <w:spacing w:val="0"/>
          <w:w w:val="100"/>
          <w:position w:val="0"/>
          <w:sz w:val="18"/>
          <w:szCs w:val="18"/>
        </w:rPr>
        <w:t>270,115.89</w:t>
      </w:r>
      <w:r>
        <w:rPr>
          <w:color w:val="000000"/>
          <w:spacing w:val="0"/>
          <w:w w:val="100"/>
          <w:position w:val="0"/>
        </w:rPr>
        <w:t>元。</w:t>
      </w:r>
    </w:p>
    <w:p>
      <w:pPr>
        <w:pStyle w:val="Style27"/>
        <w:keepNext w:val="0"/>
        <w:keepLines w:val="0"/>
        <w:widowControl w:val="0"/>
        <w:shd w:val="clear" w:color="auto" w:fill="auto"/>
        <w:bidi w:val="0"/>
        <w:spacing w:before="0" w:after="700" w:line="311" w:lineRule="exact"/>
        <w:ind w:left="0" w:right="0" w:firstLine="460"/>
        <w:jc w:val="left"/>
      </w:pP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项目包括：本期回购注销限制性股票，减少库存股</w:t>
      </w:r>
      <w:r>
        <w:rPr>
          <w:rFonts w:ascii="Times New Roman" w:eastAsia="Times New Roman" w:hAnsi="Times New Roman" w:cs="Times New Roman"/>
          <w:color w:val="000000"/>
          <w:spacing w:val="0"/>
          <w:w w:val="100"/>
          <w:position w:val="0"/>
          <w:sz w:val="18"/>
          <w:szCs w:val="18"/>
        </w:rPr>
        <w:t>54,437,067.7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元，本期从二级市场回购股票增加库存股 </w:t>
      </w:r>
      <w:r>
        <w:rPr>
          <w:rFonts w:ascii="Times New Roman" w:eastAsia="Times New Roman" w:hAnsi="Times New Roman" w:cs="Times New Roman"/>
          <w:color w:val="000000"/>
          <w:spacing w:val="0"/>
          <w:w w:val="100"/>
          <w:position w:val="0"/>
          <w:sz w:val="18"/>
          <w:szCs w:val="18"/>
        </w:rPr>
        <w:t>15,396,723.56</w:t>
      </w:r>
      <w:r>
        <w:rPr>
          <w:color w:val="000000"/>
          <w:spacing w:val="0"/>
          <w:w w:val="100"/>
          <w:position w:val="0"/>
        </w:rPr>
        <w:t>元，终止股权激励计划，冲回自持部分限制性股票权益分派减少库存股</w:t>
      </w:r>
      <w:r>
        <w:rPr>
          <w:rFonts w:ascii="Times New Roman" w:eastAsia="Times New Roman" w:hAnsi="Times New Roman" w:cs="Times New Roman"/>
          <w:color w:val="000000"/>
          <w:spacing w:val="0"/>
          <w:w w:val="100"/>
          <w:position w:val="0"/>
          <w:sz w:val="18"/>
          <w:szCs w:val="18"/>
        </w:rPr>
        <w:t>-127,034.76</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8</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78"/>
      <w:bookmarkEnd w:id="1779"/>
      <w:bookmarkEnd w:id="178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7,642,760.08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74,065,724.65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银行借款抵押担保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13,760,413.20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11,019,241.36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融资性售后租回抵押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24,374,673.71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融资性售后租回担保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91,498,881.04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银行借款抵押担保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222,361,694.04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8</w:t>
      </w:r>
      <w:bookmarkEnd w:id="178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82"/>
      <w:bookmarkEnd w:id="1783"/>
      <w:bookmarkEnd w:id="1785"/>
    </w:p>
    <w:p>
      <w:pPr>
        <w:pStyle w:val="Style44"/>
        <w:keepNext/>
        <w:keepLines/>
        <w:widowControl w:val="0"/>
        <w:shd w:val="clear" w:color="auto" w:fill="auto"/>
        <w:bidi w:val="0"/>
        <w:spacing w:before="0" w:line="240" w:lineRule="auto"/>
        <w:ind w:left="0" w:right="0" w:firstLine="14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6"/>
      <w:bookmarkEnd w:id="1787"/>
      <w:bookmarkEnd w:id="178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16,295,885.13</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15" w:right="1119" w:bottom="1763" w:left="1084" w:header="0" w:footer="3" w:gutter="0"/>
          <w:cols w:space="720"/>
          <w:noEndnote/>
          <w:rtlGutter w:val="0"/>
          <w:docGrid w:linePitch="360"/>
        </w:sectPr>
      </w:pP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2,408,790.20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15,717,115.18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156,632.92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131,828.53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7,067,832.00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446,941.42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400" w:line="317" w:lineRule="exact"/>
        <w:ind w:left="0" w:right="0" w:firstLine="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9"/>
      <w:bookmarkEnd w:id="1790"/>
      <w:bookmarkEnd w:id="1791"/>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400" w:line="317" w:lineRule="exact"/>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8</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2"/>
      <w:bookmarkEnd w:id="1793"/>
      <w:bookmarkEnd w:id="1795"/>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after="300" w:line="317" w:lineRule="exact"/>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w:t>
      </w:r>
      <w:bookmarkEnd w:id="179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96"/>
      <w:bookmarkEnd w:id="1797"/>
      <w:bookmarkEnd w:id="1799"/>
    </w:p>
    <w:p>
      <w:pPr>
        <w:pStyle w:val="Style44"/>
        <w:keepNext/>
        <w:keepLines/>
        <w:widowControl w:val="0"/>
        <w:shd w:val="clear" w:color="auto" w:fill="auto"/>
        <w:bidi w:val="0"/>
        <w:spacing w:before="0" w:after="400" w:line="317" w:lineRule="exact"/>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0"/>
      <w:bookmarkEnd w:id="1801"/>
      <w:bookmarkEnd w:id="18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bl>
    <w:p>
      <w:pPr>
        <w:widowControl w:val="0"/>
        <w:spacing w:after="299" w:line="1" w:lineRule="exact"/>
      </w:pPr>
    </w:p>
    <w:p>
      <w:pPr>
        <w:pStyle w:val="Style44"/>
        <w:keepNext/>
        <w:keepLines/>
        <w:widowControl w:val="0"/>
        <w:shd w:val="clear" w:color="auto" w:fill="auto"/>
        <w:bidi w:val="0"/>
        <w:spacing w:before="0" w:after="40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3"/>
      <w:bookmarkEnd w:id="1804"/>
      <w:bookmarkEnd w:id="180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06"/>
      <w:bookmarkEnd w:id="1807"/>
      <w:bookmarkEnd w:id="1808"/>
    </w:p>
    <w:p>
      <w:pPr>
        <w:pStyle w:val="Style25"/>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sz w:val="24"/>
          <w:szCs w:val="24"/>
        </w:rPr>
        <w:t>八</w:t>
      </w:r>
      <w:bookmarkEnd w:id="1811"/>
      <w:r>
        <w:rPr>
          <w:color w:val="000000"/>
          <w:spacing w:val="0"/>
          <w:w w:val="100"/>
          <w:position w:val="0"/>
          <w:sz w:val="24"/>
          <w:szCs w:val="24"/>
        </w:rPr>
        <w:t>、合并范围的变更</w:t>
      </w:r>
      <w:bookmarkEnd w:id="1809"/>
      <w:bookmarkEnd w:id="1810"/>
      <w:bookmarkEnd w:id="1812"/>
    </w:p>
    <w:p>
      <w:pPr>
        <w:pStyle w:val="Style31"/>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13"/>
      <w:bookmarkEnd w:id="1814"/>
      <w:bookmarkEnd w:id="1815"/>
    </w:p>
    <w:p>
      <w:pPr>
        <w:pStyle w:val="Style44"/>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6"/>
      <w:bookmarkEnd w:id="1817"/>
      <w:bookmarkEnd w:id="18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9"/>
      <w:bookmarkEnd w:id="1820"/>
      <w:bookmarkEnd w:id="182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14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22"/>
      <w:bookmarkEnd w:id="1823"/>
      <w:bookmarkEnd w:id="18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7"/>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44"/>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26"/>
      <w:bookmarkEnd w:id="1827"/>
      <w:bookmarkEnd w:id="182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315" w:right="1119" w:bottom="1763" w:left="10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44"/>
        <w:keepNext/>
        <w:keepLines/>
        <w:widowControl w:val="0"/>
        <w:shd w:val="clear" w:color="auto" w:fill="auto"/>
        <w:tabs>
          <w:tab w:pos="493" w:val="left"/>
        </w:tabs>
        <w:bidi w:val="0"/>
        <w:spacing w:before="8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30"/>
      <w:bookmarkEnd w:id="1831"/>
      <w:bookmarkEnd w:id="1833"/>
    </w:p>
    <w:p>
      <w:pPr>
        <w:pStyle w:val="Style44"/>
        <w:keepNext/>
        <w:keepLines/>
        <w:widowControl w:val="0"/>
        <w:shd w:val="clear" w:color="auto" w:fill="auto"/>
        <w:tabs>
          <w:tab w:pos="493"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34"/>
      <w:bookmarkEnd w:id="1835"/>
      <w:bookmarkEnd w:id="1837"/>
    </w:p>
    <w:p>
      <w:pPr>
        <w:pStyle w:val="Style31"/>
        <w:keepNext/>
        <w:keepLines/>
        <w:widowControl w:val="0"/>
        <w:shd w:val="clear" w:color="auto" w:fill="auto"/>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bookmarkEnd w:id="1840"/>
      <w:r>
        <w:rPr>
          <w:color w:val="000000"/>
          <w:spacing w:val="0"/>
          <w:w w:val="100"/>
          <w:position w:val="0"/>
        </w:rPr>
        <w:t>、同一控制下企业合并</w:t>
      </w:r>
      <w:bookmarkEnd w:id="1838"/>
      <w:bookmarkEnd w:id="1839"/>
      <w:bookmarkEnd w:id="1841"/>
    </w:p>
    <w:p>
      <w:pPr>
        <w:pStyle w:val="Style44"/>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42"/>
      <w:bookmarkEnd w:id="1843"/>
      <w:bookmarkEnd w:id="184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45"/>
      <w:bookmarkEnd w:id="1846"/>
      <w:bookmarkEnd w:id="184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48"/>
      <w:bookmarkEnd w:id="1849"/>
      <w:bookmarkEnd w:id="185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3</w:t>
      </w:r>
      <w:bookmarkEnd w:id="1854"/>
      <w:r>
        <w:rPr>
          <w:color w:val="000000"/>
          <w:spacing w:val="0"/>
          <w:w w:val="100"/>
          <w:position w:val="0"/>
        </w:rPr>
        <w:t>、</w:t>
        <w:tab/>
        <w:t>反向购买</w:t>
      </w:r>
      <w:bookmarkEnd w:id="1852"/>
      <w:bookmarkEnd w:id="1853"/>
      <w:bookmarkEnd w:id="185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w:t>
        <w:tab/>
        <w:t>处置子公司</w:t>
      </w:r>
      <w:bookmarkEnd w:id="1856"/>
      <w:bookmarkEnd w:id="1857"/>
      <w:bookmarkEnd w:id="18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280" w:line="240" w:lineRule="auto"/>
        <w:ind w:left="0" w:right="0" w:firstLine="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color w:val="000000"/>
          <w:spacing w:val="0"/>
          <w:w w:val="100"/>
          <w:position w:val="0"/>
        </w:rPr>
        <w:t>、其他原因的合并范围变动</w:t>
      </w:r>
      <w:bookmarkEnd w:id="1860"/>
      <w:bookmarkEnd w:id="1861"/>
      <w:bookmarkEnd w:id="1863"/>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说明其他原因导致的合并范围变动（如，新设子公司、清算子公司等）及其相关情况：</w:t>
      </w:r>
    </w:p>
    <w:p>
      <w:pPr>
        <w:pStyle w:val="Style27"/>
        <w:keepNext w:val="0"/>
        <w:keepLines w:val="0"/>
        <w:widowControl w:val="0"/>
        <w:numPr>
          <w:ilvl w:val="0"/>
          <w:numId w:val="77"/>
        </w:numPr>
        <w:shd w:val="clear" w:color="auto" w:fill="auto"/>
        <w:tabs>
          <w:tab w:pos="301" w:val="left"/>
        </w:tabs>
        <w:bidi w:val="0"/>
        <w:spacing w:before="0" w:after="0" w:line="360" w:lineRule="auto"/>
        <w:ind w:left="0" w:right="0" w:firstLine="0"/>
        <w:jc w:val="both"/>
      </w:pPr>
      <w:bookmarkStart w:id="1864" w:name="bookmark1864"/>
      <w:bookmarkEnd w:id="1864"/>
      <w:r>
        <w:rPr>
          <w:color w:val="000000"/>
          <w:spacing w:val="0"/>
          <w:w w:val="100"/>
          <w:position w:val="0"/>
        </w:rPr>
        <w:t>注销子公司</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本期注销子公司霍尔果斯吉良先道信息科技有限公司、浙江汉鼎宇佑智慧医疗服务有限公司；注销孙子公司杭州宇佑电子商 务有限公司、杭州医利智能科技有限公司、杭州星影电影院有限公司、乐清时代电影放映有限公司。</w:t>
      </w:r>
    </w:p>
    <w:p>
      <w:pPr>
        <w:pStyle w:val="Style27"/>
        <w:keepNext w:val="0"/>
        <w:keepLines w:val="0"/>
        <w:widowControl w:val="0"/>
        <w:numPr>
          <w:ilvl w:val="0"/>
          <w:numId w:val="77"/>
        </w:numPr>
        <w:shd w:val="clear" w:color="auto" w:fill="auto"/>
        <w:tabs>
          <w:tab w:pos="320" w:val="left"/>
        </w:tabs>
        <w:bidi w:val="0"/>
        <w:spacing w:before="0" w:after="0" w:line="312" w:lineRule="exact"/>
        <w:ind w:left="0" w:right="0" w:firstLine="0"/>
        <w:jc w:val="both"/>
      </w:pPr>
      <w:bookmarkStart w:id="1865" w:name="bookmark1865"/>
      <w:bookmarkEnd w:id="1865"/>
      <w:r>
        <w:rPr>
          <w:color w:val="000000"/>
          <w:spacing w:val="0"/>
          <w:w w:val="100"/>
          <w:position w:val="0"/>
        </w:rPr>
        <w:t>对子公司好医友医疗科技集团有限公司丧失控制权并不再纳入合并报表范围</w:t>
      </w:r>
    </w:p>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本公司直接持有好医友医疗科技集团有限公司（以下简称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好医友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的股权，本公司的关联方汉鼎宇佑集团有限公司持 有好医友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月汉鼎宇佑集团有限公司与本公司签订《表决权委托协议》，将其对好医友的股东权利委托 本公司行使，故本公司对好医友的表决权比例为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，同时好医友董事会三名成员中本公司派有两名，形成控制；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月本公司与汉鼎宇佑集团有限公司签订《解除协议》，原《表决权委托协议》项下的权利义务立即终止。在汉鼎宇佑集团有 限公司解除表决权委托后，本公司可实际控制的好医友股权比例为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，可委派到好医友董事会人数为一名。在汉鼎宇佑集 团有限公司解除表决权委托后，本公司持有好医友的股权比例不足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，无法独立行使在好医友股东会和董事会中的超半数 表决权，公司将丧失对好医友的控制权并不再将好医友纳入公司合并报表范围。</w:t>
      </w:r>
    </w:p>
    <w:p>
      <w:pPr>
        <w:pStyle w:val="Style27"/>
        <w:keepNext w:val="0"/>
        <w:keepLines w:val="0"/>
        <w:widowControl w:val="0"/>
        <w:numPr>
          <w:ilvl w:val="0"/>
          <w:numId w:val="77"/>
        </w:numPr>
        <w:shd w:val="clear" w:color="auto" w:fill="auto"/>
        <w:tabs>
          <w:tab w:pos="320" w:val="left"/>
        </w:tabs>
        <w:bidi w:val="0"/>
        <w:spacing w:before="0" w:after="0" w:line="360" w:lineRule="auto"/>
        <w:ind w:left="0" w:right="0" w:firstLine="0"/>
        <w:jc w:val="both"/>
      </w:pPr>
      <w:bookmarkStart w:id="1866" w:name="bookmark1866"/>
      <w:bookmarkEnd w:id="1866"/>
      <w:r>
        <w:rPr>
          <w:color w:val="000000"/>
          <w:spacing w:val="0"/>
          <w:w w:val="100"/>
          <w:position w:val="0"/>
        </w:rPr>
        <w:t>设立子公司</w:t>
      </w:r>
    </w:p>
    <w:p>
      <w:pPr>
        <w:pStyle w:val="Style27"/>
        <w:keepNext w:val="0"/>
        <w:keepLines w:val="0"/>
        <w:widowControl w:val="0"/>
        <w:shd w:val="clear" w:color="auto" w:fill="auto"/>
        <w:bidi w:val="0"/>
        <w:spacing w:before="0" w:after="1020" w:line="312" w:lineRule="exact"/>
        <w:ind w:left="0" w:right="0" w:firstLine="0"/>
        <w:jc w:val="both"/>
      </w:pPr>
      <w:r>
        <w:rPr>
          <w:color w:val="000000"/>
          <w:spacing w:val="0"/>
          <w:w w:val="100"/>
          <w:position w:val="0"/>
        </w:rPr>
        <w:t>本期设立子公司好医友互联网医院（平潭）有限公司、浙江海峡创新科技有限公司、贵阳市海峡创新科技有限公司。</w:t>
      </w:r>
    </w:p>
    <w:p>
      <w:pPr>
        <w:pStyle w:val="Style31"/>
        <w:keepNext/>
        <w:keepLines/>
        <w:widowControl w:val="0"/>
        <w:shd w:val="clear" w:color="auto" w:fill="auto"/>
        <w:bidi w:val="0"/>
        <w:spacing w:before="0" w:after="340" w:line="240" w:lineRule="auto"/>
        <w:ind w:left="0" w:right="0" w:firstLine="0"/>
        <w:jc w:val="both"/>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color w:val="000000"/>
          <w:spacing w:val="0"/>
          <w:w w:val="100"/>
          <w:position w:val="0"/>
        </w:rPr>
        <w:t>、其他</w:t>
      </w:r>
      <w:bookmarkEnd w:id="1867"/>
      <w:bookmarkEnd w:id="1868"/>
      <w:bookmarkEnd w:id="1870"/>
    </w:p>
    <w:p>
      <w:pPr>
        <w:pStyle w:val="Style25"/>
        <w:keepNext/>
        <w:keepLines/>
        <w:widowControl w:val="0"/>
        <w:shd w:val="clear" w:color="auto" w:fill="auto"/>
        <w:bidi w:val="0"/>
        <w:spacing w:before="0" w:after="340" w:line="240" w:lineRule="auto"/>
        <w:ind w:left="0" w:right="0" w:firstLine="0"/>
        <w:jc w:val="both"/>
      </w:pPr>
      <w:bookmarkStart w:id="1871" w:name="bookmark1871"/>
      <w:bookmarkStart w:id="1872" w:name="bookmark1872"/>
      <w:bookmarkStart w:id="1873" w:name="bookmark1873"/>
      <w:bookmarkStart w:id="1874" w:name="bookmark1874"/>
      <w:r>
        <w:rPr>
          <w:color w:val="000000"/>
          <w:spacing w:val="0"/>
          <w:w w:val="100"/>
          <w:position w:val="0"/>
          <w:sz w:val="24"/>
          <w:szCs w:val="24"/>
        </w:rPr>
        <w:t>九</w:t>
      </w:r>
      <w:bookmarkEnd w:id="1873"/>
      <w:r>
        <w:rPr>
          <w:color w:val="000000"/>
          <w:spacing w:val="0"/>
          <w:w w:val="100"/>
          <w:position w:val="0"/>
          <w:sz w:val="24"/>
          <w:szCs w:val="24"/>
        </w:rPr>
        <w:t>、在其他主体中的权益</w:t>
      </w:r>
      <w:bookmarkEnd w:id="1871"/>
      <w:bookmarkEnd w:id="1872"/>
      <w:bookmarkEnd w:id="1874"/>
    </w:p>
    <w:p>
      <w:pPr>
        <w:pStyle w:val="Style31"/>
        <w:keepNext/>
        <w:keepLines/>
        <w:widowControl w:val="0"/>
        <w:shd w:val="clear" w:color="auto" w:fill="auto"/>
        <w:bidi w:val="0"/>
        <w:spacing w:before="0" w:after="340" w:line="240" w:lineRule="auto"/>
        <w:ind w:left="0" w:right="0" w:firstLine="0"/>
        <w:jc w:val="both"/>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75"/>
      <w:bookmarkEnd w:id="1876"/>
      <w:bookmarkEnd w:id="1877"/>
    </w:p>
    <w:p>
      <w:pPr>
        <w:pStyle w:val="Style44"/>
        <w:keepNext/>
        <w:keepLines/>
        <w:widowControl w:val="0"/>
        <w:shd w:val="clear" w:color="auto" w:fill="auto"/>
        <w:bidi w:val="0"/>
        <w:spacing w:before="0" w:after="340" w:line="240" w:lineRule="auto"/>
        <w:ind w:left="0" w:right="0" w:firstLine="140"/>
        <w:jc w:val="both"/>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78"/>
      <w:bookmarkEnd w:id="1879"/>
      <w:bookmarkEnd w:id="188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海峡创新信息产 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服务、零售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上海汉鼎信息技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浙江汉鼎宇佑金 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金融服务、咨询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杭州鼎有财金融 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金融服务、技术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浙江汉鼎宇佑资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投资与资产管理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杭州海峡创新互 动娱乐管理有限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租赁与商务服务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淳安县汉鼎宇佑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电影有限公司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浙江淳安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浙江淳安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深圳星海太平洋 影业投资有限公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山西镁乐文化传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山西长治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山西长治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杭州超象娱乐管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宁波汉鼎宇佑电 影院有限公司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陆川县汉鼎宇佑 影城有限责任公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广西陆川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广西陆川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上林县汉鼎宇佑 影城有限责任公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广西上林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广西上林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长沙祖安文化传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江油市辉煌影业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四川江油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四川江油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芜湖华昕影院有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安徽芜湖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安徽芜湖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西安华昕影院有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淮安汉鼎宇佑电 影院有限公司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江苏淮安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江苏淮安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合肥市汉鼎宇佑 电影院有限责任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安徽合月巴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安徽合月巴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宁波镇海宇佑互 动电影院有限公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丽水市汉鼎宇佑 电影放映有限公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浙江丽水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浙江丽水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杭州汉鼎宇佑商 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商务信息咨询服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杭州汉鼎宇佑金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租赁服务、批发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零售、进出口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汉鼎宇佑融资租 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金融租赁业务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汉鼎国际发展有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境外投资并购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汉鼎宇佑有限公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霍尔果斯吉良先 道信息科技有限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技术开发、技术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浙江汉鼎宇佑智 慧医疗服务有限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9" w:lineRule="exact"/>
              <w:ind w:left="0" w:right="0" w:firstLine="0"/>
              <w:jc w:val="both"/>
            </w:pPr>
            <w:r>
              <w:rPr>
                <w:color w:val="000000"/>
                <w:spacing w:val="0"/>
                <w:w w:val="100"/>
                <w:position w:val="0"/>
              </w:rPr>
              <w:t>杭州海峡创新互 联网技术有限公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好医友互联网医 院（平潭）有限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远程医疗服务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浙江海峡创新科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科技推广和应用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贵阳市海峡创新 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软件和信息技术 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本公司直接持有好医友互联网医院（平潭）有限公司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股权，通过联营企业好医友医疗科技集团有限公司间接持有好医友 互联网医院（平潭）有限公司</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股权，本公司共持有好医友互联网医院（平潭）有限公司</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的股权。同时本公司的关联 方平潭综合实验区金融创新服务中心有限责任公司持有好医友互联网医院（平潭）有限公司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股权，本公司与平潭综合实 验区金融创新服务中心有限责任公司签订《一致行动人协议》，协议约定若双方无法达成一致意见，以本公司意见为准，故 本公司对好医友互联网医院（平潭）有限公司的表决权比例为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，形成实际控制。</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after="300" w:line="240" w:lineRule="auto"/>
        <w:ind w:left="0" w:right="0" w:firstLine="0"/>
        <w:jc w:val="both"/>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1"/>
      <w:bookmarkEnd w:id="1882"/>
      <w:bookmarkEnd w:id="1883"/>
    </w:p>
    <w:p>
      <w:pPr>
        <w:pStyle w:val="Style27"/>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42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84"/>
      <w:bookmarkEnd w:id="1885"/>
      <w:bookmarkEnd w:id="18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493" w:val="left"/>
        </w:tabs>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88"/>
      <w:bookmarkEnd w:id="1889"/>
      <w:bookmarkEnd w:id="1891"/>
    </w:p>
    <w:p>
      <w:pPr>
        <w:pStyle w:val="Style44"/>
        <w:keepNext/>
        <w:keepLines/>
        <w:widowControl w:val="0"/>
        <w:shd w:val="clear" w:color="auto" w:fill="auto"/>
        <w:tabs>
          <w:tab w:pos="493" w:val="left"/>
        </w:tabs>
        <w:bidi w:val="0"/>
        <w:spacing w:before="0" w:after="42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92"/>
      <w:bookmarkEnd w:id="1893"/>
      <w:bookmarkEnd w:id="189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96"/>
      <w:bookmarkEnd w:id="1897"/>
      <w:bookmarkEnd w:id="1898"/>
    </w:p>
    <w:p>
      <w:pPr>
        <w:pStyle w:val="Style44"/>
        <w:keepNext/>
        <w:keepLines/>
        <w:widowControl w:val="0"/>
        <w:shd w:val="clear" w:color="auto" w:fill="auto"/>
        <w:tabs>
          <w:tab w:pos="493"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99"/>
      <w:bookmarkEnd w:id="1900"/>
      <w:bookmarkEnd w:id="1902"/>
    </w:p>
    <w:p>
      <w:pPr>
        <w:pStyle w:val="Style44"/>
        <w:keepNext/>
        <w:keepLines/>
        <w:widowControl w:val="0"/>
        <w:shd w:val="clear" w:color="auto" w:fill="auto"/>
        <w:tabs>
          <w:tab w:pos="493" w:val="left"/>
        </w:tabs>
        <w:bidi w:val="0"/>
        <w:spacing w:before="0" w:after="42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03"/>
      <w:bookmarkEnd w:id="1904"/>
      <w:bookmarkEnd w:id="190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3</w:t>
      </w:r>
      <w:bookmarkEnd w:id="1909"/>
      <w:r>
        <w:rPr>
          <w:color w:val="000000"/>
          <w:spacing w:val="0"/>
          <w:w w:val="100"/>
          <w:position w:val="0"/>
        </w:rPr>
        <w:t>、在合营安排或联营企业中的权益</w:t>
      </w:r>
      <w:bookmarkEnd w:id="1907"/>
      <w:bookmarkEnd w:id="1908"/>
      <w:bookmarkEnd w:id="1910"/>
    </w:p>
    <w:p>
      <w:pPr>
        <w:pStyle w:val="Style44"/>
        <w:keepNext/>
        <w:keepLines/>
        <w:widowControl w:val="0"/>
        <w:shd w:val="clear" w:color="auto" w:fill="auto"/>
        <w:bidi w:val="0"/>
        <w:spacing w:before="0" w:after="32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1"/>
      <w:bookmarkEnd w:id="1912"/>
      <w:bookmarkEnd w:id="191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蜂助手股份有限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广告、通讯、信 息技术服务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44"/>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14"/>
      <w:bookmarkEnd w:id="1915"/>
      <w:bookmarkEnd w:id="191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79"/>
        </w:numPr>
        <w:shd w:val="clear" w:color="auto" w:fill="auto"/>
        <w:bidi w:val="0"/>
        <w:spacing w:before="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重要联营企业的主要财务信息</w:t>
      </w:r>
      <w:bookmarkEnd w:id="1917"/>
      <w:bookmarkEnd w:id="1918"/>
      <w:bookmarkEnd w:id="19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蜂助手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蜂助手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446,050,145.14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369,333,141.63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159,125,122.14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156,687,597.98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605,175,267.28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526,020,739.61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116,889,344.97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137,755,323.81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70,038,271.82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56,221,421.28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186,927,616.79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193,976,745.09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8,595,010.78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8,527,830.25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409,652,639.71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323,516,164.27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81,807,632.15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64,606,178.00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99,357,410.29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82,080,121.75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504,384,161.99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424,519,284.87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85,867,059.72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64,280,111.86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-5,208,550.46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-5,605,643.47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80,658,509.26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58,674,468.39</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公司在重要的联营企业蜂助手股份有限公司董事会中派有两名董事，对其经营活动具有重大影响，按权益法核算。</w:t>
      </w:r>
    </w:p>
    <w:p>
      <w:pPr>
        <w:pStyle w:val="Style44"/>
        <w:keepNext/>
        <w:keepLines/>
        <w:widowControl w:val="0"/>
        <w:numPr>
          <w:ilvl w:val="0"/>
          <w:numId w:val="79"/>
        </w:numPr>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不重要的合营企业和联营企业的汇总财务信息</w:t>
      </w:r>
      <w:bookmarkEnd w:id="1921"/>
      <w:bookmarkEnd w:id="1922"/>
      <w:bookmarkEnd w:id="19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57,992,243.58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17,978,294.97</w:t>
            </w: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-7,675,377.03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-1,538,356.51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-7,675,377.03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-1,538,356.51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numPr>
          <w:ilvl w:val="0"/>
          <w:numId w:val="79"/>
        </w:numPr>
        <w:shd w:val="clear" w:color="auto" w:fill="auto"/>
        <w:tabs>
          <w:tab w:pos="633" w:val="left"/>
        </w:tabs>
        <w:bidi w:val="0"/>
        <w:spacing w:before="0" w:after="360" w:line="240" w:lineRule="auto"/>
        <w:ind w:left="0" w:right="0" w:firstLine="14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合营企业或联营企业向本公司转移资金的能力存在重大限制的说明</w:t>
      </w:r>
      <w:bookmarkEnd w:id="1925"/>
      <w:bookmarkEnd w:id="1926"/>
      <w:bookmarkEnd w:id="1928"/>
    </w:p>
    <w:p>
      <w:pPr>
        <w:pStyle w:val="Style44"/>
        <w:keepNext/>
        <w:keepLines/>
        <w:widowControl w:val="0"/>
        <w:numPr>
          <w:ilvl w:val="0"/>
          <w:numId w:val="79"/>
        </w:numPr>
        <w:shd w:val="clear" w:color="auto" w:fill="auto"/>
        <w:tabs>
          <w:tab w:pos="633" w:val="left"/>
        </w:tabs>
        <w:bidi w:val="0"/>
        <w:spacing w:before="0" w:after="360" w:line="240" w:lineRule="auto"/>
        <w:ind w:left="0" w:right="0" w:firstLine="14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合营企业或联营企业发生的超额亏损</w:t>
      </w:r>
      <w:bookmarkEnd w:id="1929"/>
      <w:bookmarkEnd w:id="1930"/>
      <w:bookmarkEnd w:id="193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与合营企业投资相关的未确认承诺</w:t>
      </w:r>
      <w:bookmarkEnd w:id="1933"/>
      <w:bookmarkEnd w:id="1934"/>
      <w:bookmarkEnd w:id="1936"/>
    </w:p>
    <w:p>
      <w:pPr>
        <w:pStyle w:val="Style44"/>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与合营企业或联营企业投资相关的或有负债</w:t>
      </w:r>
      <w:bookmarkEnd w:id="1937"/>
      <w:bookmarkEnd w:id="1938"/>
      <w:bookmarkEnd w:id="1940"/>
    </w:p>
    <w:p>
      <w:pPr>
        <w:pStyle w:val="Style31"/>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4</w:t>
      </w:r>
      <w:bookmarkEnd w:id="1943"/>
      <w:r>
        <w:rPr>
          <w:color w:val="000000"/>
          <w:spacing w:val="0"/>
          <w:w w:val="100"/>
          <w:position w:val="0"/>
        </w:rPr>
        <w:t>、重要的共同经营</w:t>
      </w:r>
      <w:bookmarkEnd w:id="1941"/>
      <w:bookmarkEnd w:id="1942"/>
      <w:bookmarkEnd w:id="1944"/>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427" w:val="left"/>
        </w:tabs>
        <w:bidi w:val="0"/>
        <w:spacing w:before="0" w:after="28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5</w:t>
      </w:r>
      <w:bookmarkEnd w:id="1947"/>
      <w:r>
        <w:rPr>
          <w:color w:val="000000"/>
          <w:spacing w:val="0"/>
          <w:w w:val="100"/>
          <w:position w:val="0"/>
        </w:rPr>
        <w:t>、</w:t>
        <w:tab/>
        <w:t>在未纳入合并财务报表范围的结构化主体中的权益</w:t>
      </w:r>
      <w:bookmarkEnd w:id="1945"/>
      <w:bookmarkEnd w:id="1946"/>
      <w:bookmarkEnd w:id="1948"/>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tabs>
          <w:tab w:pos="427" w:val="left"/>
        </w:tabs>
        <w:bidi w:val="0"/>
        <w:spacing w:before="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6</w:t>
      </w:r>
      <w:bookmarkEnd w:id="1951"/>
      <w:r>
        <w:rPr>
          <w:color w:val="000000"/>
          <w:spacing w:val="0"/>
          <w:w w:val="100"/>
          <w:position w:val="0"/>
        </w:rPr>
        <w:t>、</w:t>
        <w:tab/>
        <w:t>其他</w:t>
      </w:r>
      <w:bookmarkEnd w:id="1949"/>
      <w:bookmarkEnd w:id="1950"/>
      <w:bookmarkEnd w:id="1952"/>
    </w:p>
    <w:p>
      <w:pPr>
        <w:pStyle w:val="Style25"/>
        <w:keepNext/>
        <w:keepLines/>
        <w:widowControl w:val="0"/>
        <w:shd w:val="clear" w:color="auto" w:fill="auto"/>
        <w:bidi w:val="0"/>
        <w:spacing w:before="0" w:after="280" w:line="240" w:lineRule="auto"/>
        <w:ind w:left="0" w:right="0" w:firstLine="0"/>
        <w:jc w:val="left"/>
      </w:pPr>
      <w:bookmarkStart w:id="1953" w:name="bookmark1953"/>
      <w:bookmarkStart w:id="1954" w:name="bookmark1954"/>
      <w:bookmarkStart w:id="1955" w:name="bookmark1955"/>
      <w:r>
        <w:rPr>
          <w:color w:val="000000"/>
          <w:spacing w:val="0"/>
          <w:w w:val="100"/>
          <w:position w:val="0"/>
          <w:sz w:val="24"/>
          <w:szCs w:val="24"/>
        </w:rPr>
        <w:t>十、与金融工具相关的风险</w:t>
      </w:r>
      <w:bookmarkEnd w:id="1953"/>
      <w:bookmarkEnd w:id="1954"/>
      <w:bookmarkEnd w:id="1955"/>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定，并对风险管理目标和政策承担最终责任，公司财务部设计和实施能确保风险管理目标和政策得以有效执行的程序。董事 会通过财务部递交的报告来审查已执行程序的有效性以及风险管理目标和政策的合理性。</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本公司的内部审计师也会审计风险管理的政策和程序，并且将有关发现汇报给审计委员会。</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信用风险是指金融工具的一方不履行义务，造成另一方发生财务损失的风险。本公司主要面临赊销导致的客户信用风险。在 签订新合同之前，本公司会对新客户的信用风险进行了解评估。公司通过对已有客户信用评级以及应收账款账龄分析来确保 </w:t>
      </w:r>
      <w:r>
        <w:rPr>
          <w:color w:val="000000"/>
          <w:spacing w:val="0"/>
          <w:w w:val="100"/>
          <w:position w:val="0"/>
        </w:rPr>
        <w:t>公司的整体信用风险在可控的范围内。</w:t>
      </w:r>
    </w:p>
    <w:p>
      <w:pPr>
        <w:pStyle w:val="Style27"/>
        <w:keepNext w:val="0"/>
        <w:keepLines w:val="0"/>
        <w:widowControl w:val="0"/>
        <w:shd w:val="clear" w:color="auto" w:fill="auto"/>
        <w:tabs>
          <w:tab w:pos="493" w:val="left"/>
        </w:tabs>
        <w:bidi w:val="0"/>
        <w:spacing w:before="0" w:after="0" w:line="360" w:lineRule="auto"/>
        <w:ind w:left="0" w:right="0" w:firstLine="0"/>
        <w:jc w:val="left"/>
      </w:pPr>
      <w:bookmarkStart w:id="1956" w:name="bookmark1956"/>
      <w:r>
        <w:rPr>
          <w:rFonts w:ascii="Times New Roman" w:eastAsia="Times New Roman" w:hAnsi="Times New Roman" w:cs="Times New Roman"/>
          <w:color w:val="000000"/>
          <w:spacing w:val="0"/>
          <w:w w:val="100"/>
          <w:position w:val="0"/>
          <w:sz w:val="18"/>
          <w:szCs w:val="18"/>
        </w:rPr>
        <w:t>（</w:t>
      </w:r>
      <w:bookmarkEnd w:id="1956"/>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市场风险</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金融工具的市场风险，是指金融工具的公允价值或未来现金流量因市场价格变动而发生波动的风险，包括外汇风险、利率风 险和其他价格风险。</w:t>
      </w:r>
    </w:p>
    <w:p>
      <w:pPr>
        <w:pStyle w:val="Style27"/>
        <w:keepNext w:val="0"/>
        <w:keepLines w:val="0"/>
        <w:widowControl w:val="0"/>
        <w:shd w:val="clear" w:color="auto" w:fill="auto"/>
        <w:tabs>
          <w:tab w:pos="334" w:val="left"/>
        </w:tabs>
        <w:bidi w:val="0"/>
        <w:spacing w:before="0" w:after="0" w:line="360" w:lineRule="auto"/>
        <w:ind w:left="0" w:right="0" w:firstLine="0"/>
        <w:jc w:val="left"/>
      </w:pPr>
      <w:bookmarkStart w:id="1957" w:name="bookmark1957"/>
      <w:r>
        <w:rPr>
          <w:rFonts w:ascii="Times New Roman" w:eastAsia="Times New Roman" w:hAnsi="Times New Roman" w:cs="Times New Roman"/>
          <w:color w:val="000000"/>
          <w:spacing w:val="0"/>
          <w:w w:val="100"/>
          <w:position w:val="0"/>
          <w:sz w:val="18"/>
          <w:szCs w:val="18"/>
        </w:rPr>
        <w:t>1</w:t>
      </w:r>
      <w:bookmarkEnd w:id="1957"/>
      <w:r>
        <w:rPr>
          <w:color w:val="000000"/>
          <w:spacing w:val="0"/>
          <w:w w:val="100"/>
          <w:position w:val="0"/>
        </w:rPr>
        <w:t>、</w:t>
        <w:tab/>
        <w:t>利率风险</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利率风险，是指金融工具的公允价值或未来现金流量因市场利率变动而发生波动的风险。</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公司目前的政策是维持固定利率借款占外部借款的绝大部分。尽管该政策不能使本公司完全避免支付的利率超出现行市场利 率的风险，也不能完全消除与利息支付波动相关的现金流量风险，但是管理层认为该政策实现了这些风险之间的合理平衡。</w:t>
      </w:r>
    </w:p>
    <w:p>
      <w:pPr>
        <w:pStyle w:val="Style27"/>
        <w:keepNext w:val="0"/>
        <w:keepLines w:val="0"/>
        <w:widowControl w:val="0"/>
        <w:shd w:val="clear" w:color="auto" w:fill="auto"/>
        <w:tabs>
          <w:tab w:pos="354" w:val="left"/>
        </w:tabs>
        <w:bidi w:val="0"/>
        <w:spacing w:before="0" w:after="0" w:line="360" w:lineRule="auto"/>
        <w:ind w:left="0" w:right="0" w:firstLine="0"/>
        <w:jc w:val="left"/>
      </w:pPr>
      <w:bookmarkStart w:id="1958" w:name="bookmark1958"/>
      <w:r>
        <w:rPr>
          <w:rFonts w:ascii="Times New Roman" w:eastAsia="Times New Roman" w:hAnsi="Times New Roman" w:cs="Times New Roman"/>
          <w:color w:val="000000"/>
          <w:spacing w:val="0"/>
          <w:w w:val="100"/>
          <w:position w:val="0"/>
          <w:sz w:val="18"/>
          <w:szCs w:val="18"/>
        </w:rPr>
        <w:t>2</w:t>
      </w:r>
      <w:bookmarkEnd w:id="1958"/>
      <w:r>
        <w:rPr>
          <w:color w:val="000000"/>
          <w:spacing w:val="0"/>
          <w:w w:val="100"/>
          <w:position w:val="0"/>
        </w:rPr>
        <w:t>、</w:t>
        <w:tab/>
        <w:t>外汇风险</w:t>
      </w:r>
    </w:p>
    <w:p>
      <w:pPr>
        <w:pStyle w:val="Style27"/>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外汇风险，是指金融工具的公允价值或未来现金流量因外汇汇率变动而发生波动的风险。本公司尽可能将外币收入与外币支 出相匹配以降低外汇风险。</w:t>
      </w:r>
    </w:p>
    <w:p>
      <w:pPr>
        <w:pStyle w:val="Style27"/>
        <w:keepNext w:val="0"/>
        <w:keepLines w:val="0"/>
        <w:widowControl w:val="0"/>
        <w:shd w:val="clear" w:color="auto" w:fill="auto"/>
        <w:tabs>
          <w:tab w:pos="493" w:val="left"/>
        </w:tabs>
        <w:bidi w:val="0"/>
        <w:spacing w:before="0" w:after="0" w:line="360" w:lineRule="auto"/>
        <w:ind w:left="0" w:right="0" w:firstLine="0"/>
        <w:jc w:val="both"/>
      </w:pPr>
      <w:bookmarkStart w:id="1959" w:name="bookmark1959"/>
      <w:r>
        <w:rPr>
          <w:rFonts w:ascii="Times New Roman" w:eastAsia="Times New Roman" w:hAnsi="Times New Roman" w:cs="Times New Roman"/>
          <w:color w:val="000000"/>
          <w:spacing w:val="0"/>
          <w:w w:val="100"/>
          <w:position w:val="0"/>
          <w:sz w:val="18"/>
          <w:szCs w:val="18"/>
        </w:rPr>
        <w:t>（</w:t>
      </w:r>
      <w:bookmarkEnd w:id="1959"/>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流动性风险</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7"/>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日，本公司主要金融负债按到期日列示如下：</w:t>
      </w:r>
    </w:p>
    <w:tbl>
      <w:tblPr>
        <w:tblOverlap w:val="never"/>
        <w:jc w:val="center"/>
        <w:tblLayout w:type="fixed"/>
      </w:tblPr>
      <w:tblGrid>
        <w:gridCol w:w="2242"/>
        <w:gridCol w:w="1574"/>
        <w:gridCol w:w="1560"/>
        <w:gridCol w:w="1133"/>
        <w:gridCol w:w="1421"/>
        <w:gridCol w:w="1570"/>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367,738,393.58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367,738,393.58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24,486,147.86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24,486,147.86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5"/>
        <w:keepNext/>
        <w:keepLines/>
        <w:widowControl w:val="0"/>
        <w:shd w:val="clear" w:color="auto" w:fill="auto"/>
        <w:bidi w:val="0"/>
        <w:spacing w:before="0" w:line="240" w:lineRule="auto"/>
        <w:ind w:left="0" w:right="0" w:firstLine="0"/>
        <w:jc w:val="both"/>
      </w:pPr>
      <w:bookmarkStart w:id="1960" w:name="bookmark1960"/>
      <w:bookmarkStart w:id="1961" w:name="bookmark1961"/>
      <w:bookmarkStart w:id="1962" w:name="bookmark1962"/>
      <w:r>
        <w:rPr>
          <w:color w:val="000000"/>
          <w:spacing w:val="0"/>
          <w:w w:val="100"/>
          <w:position w:val="0"/>
          <w:sz w:val="24"/>
          <w:szCs w:val="24"/>
        </w:rPr>
        <w:t>十^一、公允价值的披露</w:t>
      </w:r>
      <w:bookmarkEnd w:id="1960"/>
      <w:bookmarkEnd w:id="1961"/>
      <w:bookmarkEnd w:id="1962"/>
    </w:p>
    <w:p>
      <w:pPr>
        <w:pStyle w:val="Style31"/>
        <w:keepNext/>
        <w:keepLines/>
        <w:widowControl w:val="0"/>
        <w:shd w:val="clear" w:color="auto" w:fill="auto"/>
        <w:bidi w:val="0"/>
        <w:spacing w:before="0" w:line="240" w:lineRule="auto"/>
        <w:ind w:left="0" w:right="0" w:firstLine="0"/>
        <w:jc w:val="both"/>
      </w:pPr>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63"/>
      <w:bookmarkEnd w:id="1964"/>
      <w:bookmarkEnd w:id="196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23,076,030.64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71,752,461.74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23,076,030.64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71,752,461.74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23,076,030.64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71,752,461.74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（二）其他非流动金融资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7,699,999.00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167,749,050.08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175,449,049.08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30,776,029.64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239,501,511.82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270,277,541.46</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tabs>
          <w:tab w:pos="378" w:val="left"/>
        </w:tabs>
        <w:bidi w:val="0"/>
        <w:spacing w:before="0" w:after="34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bookmarkEnd w:id="1968"/>
      <w:r>
        <w:rPr>
          <w:color w:val="000000"/>
          <w:spacing w:val="0"/>
          <w:w w:val="100"/>
          <w:position w:val="0"/>
        </w:rPr>
        <w:t>、</w:t>
        <w:tab/>
        <w:t>持续和非持续第一层次公允价值计量项目市价的确定依据</w:t>
      </w:r>
      <w:bookmarkEnd w:id="1966"/>
      <w:bookmarkEnd w:id="1967"/>
      <w:bookmarkEnd w:id="1969"/>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第一层次输入值是在计量日能够取得的相关资产或负债在活跃市场上未经调整的报价。</w:t>
      </w:r>
    </w:p>
    <w:p>
      <w:pPr>
        <w:pStyle w:val="Style31"/>
        <w:keepNext/>
        <w:keepLines/>
        <w:widowControl w:val="0"/>
        <w:shd w:val="clear" w:color="auto" w:fill="auto"/>
        <w:tabs>
          <w:tab w:pos="378" w:val="left"/>
        </w:tabs>
        <w:bidi w:val="0"/>
        <w:spacing w:before="0" w:after="40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w:t>
        <w:tab/>
        <w:t>持续和非持续第二层次公允价值计量项目，采用的估值技术和重要参数的定性及定量信息</w:t>
      </w:r>
      <w:bookmarkEnd w:id="1970"/>
      <w:bookmarkEnd w:id="1971"/>
      <w:bookmarkEnd w:id="197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第二层次输入值是除第一层次输入值外相关资产或负债直接或间接可观察的输入值。</w:t>
      </w:r>
    </w:p>
    <w:p>
      <w:pPr>
        <w:pStyle w:val="Style31"/>
        <w:keepNext/>
        <w:keepLines/>
        <w:widowControl w:val="0"/>
        <w:shd w:val="clear" w:color="auto" w:fill="auto"/>
        <w:bidi w:val="0"/>
        <w:spacing w:before="0" w:after="34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4</w:t>
      </w:r>
      <w:bookmarkEnd w:id="1976"/>
      <w:r>
        <w:rPr>
          <w:color w:val="000000"/>
          <w:spacing w:val="0"/>
          <w:w w:val="100"/>
          <w:position w:val="0"/>
        </w:rPr>
        <w:t>、持续和非持续第三层次公允价值计量项目，采用的估值技术和重要参数的定性及定量信息</w:t>
      </w:r>
      <w:bookmarkEnd w:id="1974"/>
      <w:bookmarkEnd w:id="1975"/>
      <w:bookmarkEnd w:id="1977"/>
    </w:p>
    <w:tbl>
      <w:tblPr>
        <w:tblOverlap w:val="never"/>
        <w:jc w:val="center"/>
        <w:tblLayout w:type="fixed"/>
      </w:tblPr>
      <w:tblGrid>
        <w:gridCol w:w="1747"/>
        <w:gridCol w:w="1747"/>
        <w:gridCol w:w="1742"/>
        <w:gridCol w:w="1742"/>
        <w:gridCol w:w="2659"/>
      </w:tblGrid>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不可观察输入值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范围区间</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（加权平均值）</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权益工具投资</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239,501,511.82</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现金流量折现法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加权平均资本成本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6.20%</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56.62%</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长期税前营业利润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23,396.49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-1,788.28</w:t>
            </w:r>
            <w:r>
              <w:rPr>
                <w:color w:val="000000"/>
                <w:spacing w:val="0"/>
                <w:w w:val="100"/>
                <w:position w:val="0"/>
              </w:rPr>
              <w:t>万元</w:t>
            </w:r>
          </w:p>
        </w:tc>
      </w:tr>
      <w:tr>
        <w:trPr>
          <w:trHeight w:val="35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流动性折价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16.93%</w:t>
            </w:r>
          </w:p>
        </w:tc>
      </w:tr>
    </w:tbl>
    <w:p>
      <w:pPr>
        <w:widowControl w:val="0"/>
        <w:spacing w:after="639" w:line="1" w:lineRule="exact"/>
      </w:pPr>
    </w:p>
    <w:p>
      <w:pPr>
        <w:pStyle w:val="Style31"/>
        <w:keepNext/>
        <w:keepLines/>
        <w:widowControl w:val="0"/>
        <w:shd w:val="clear" w:color="auto" w:fill="auto"/>
        <w:tabs>
          <w:tab w:pos="378" w:val="left"/>
        </w:tabs>
        <w:bidi w:val="0"/>
        <w:spacing w:before="0" w:after="34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5</w:t>
      </w:r>
      <w:bookmarkEnd w:id="1980"/>
      <w:r>
        <w:rPr>
          <w:color w:val="000000"/>
          <w:spacing w:val="0"/>
          <w:w w:val="100"/>
          <w:position w:val="0"/>
        </w:rPr>
        <w:t>、</w:t>
        <w:tab/>
        <w:t>持续的第三层次公允价值计量项目，期初与期末账面价值间的调节信息及不可观察参数敏感性分析</w:t>
      </w:r>
      <w:bookmarkEnd w:id="1978"/>
      <w:bookmarkEnd w:id="1979"/>
      <w:bookmarkEnd w:id="1981"/>
    </w:p>
    <w:p>
      <w:pPr>
        <w:pStyle w:val="Style31"/>
        <w:keepNext/>
        <w:keepLines/>
        <w:widowControl w:val="0"/>
        <w:shd w:val="clear" w:color="auto" w:fill="auto"/>
        <w:tabs>
          <w:tab w:pos="378" w:val="left"/>
        </w:tabs>
        <w:bidi w:val="0"/>
        <w:spacing w:before="0" w:after="34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6</w:t>
      </w:r>
      <w:bookmarkEnd w:id="1984"/>
      <w:r>
        <w:rPr>
          <w:color w:val="000000"/>
          <w:spacing w:val="0"/>
          <w:w w:val="100"/>
          <w:position w:val="0"/>
        </w:rPr>
        <w:t>、</w:t>
        <w:tab/>
        <w:t>持续的公允价值计量项目，本期内发生各层级之间转换的，转换的原因及确定转换时点的政策</w:t>
      </w:r>
      <w:bookmarkEnd w:id="1982"/>
      <w:bookmarkEnd w:id="1983"/>
      <w:bookmarkEnd w:id="1985"/>
    </w:p>
    <w:p>
      <w:pPr>
        <w:pStyle w:val="Style31"/>
        <w:keepNext/>
        <w:keepLines/>
        <w:widowControl w:val="0"/>
        <w:shd w:val="clear" w:color="auto" w:fill="auto"/>
        <w:tabs>
          <w:tab w:pos="378" w:val="left"/>
        </w:tabs>
        <w:bidi w:val="0"/>
        <w:spacing w:before="0" w:after="34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7</w:t>
      </w:r>
      <w:bookmarkEnd w:id="1988"/>
      <w:r>
        <w:rPr>
          <w:color w:val="000000"/>
          <w:spacing w:val="0"/>
          <w:w w:val="100"/>
          <w:position w:val="0"/>
        </w:rPr>
        <w:t>、</w:t>
        <w:tab/>
        <w:t>本期内发生的估值技术变更及变更原因</w:t>
      </w:r>
      <w:bookmarkEnd w:id="1986"/>
      <w:bookmarkEnd w:id="1987"/>
      <w:bookmarkEnd w:id="1989"/>
    </w:p>
    <w:p>
      <w:pPr>
        <w:pStyle w:val="Style31"/>
        <w:keepNext/>
        <w:keepLines/>
        <w:widowControl w:val="0"/>
        <w:shd w:val="clear" w:color="auto" w:fill="auto"/>
        <w:tabs>
          <w:tab w:pos="378" w:val="left"/>
        </w:tabs>
        <w:bidi w:val="0"/>
        <w:spacing w:before="0" w:after="40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8</w:t>
      </w:r>
      <w:bookmarkEnd w:id="1992"/>
      <w:r>
        <w:rPr>
          <w:color w:val="000000"/>
          <w:spacing w:val="0"/>
          <w:w w:val="100"/>
          <w:position w:val="0"/>
        </w:rPr>
        <w:t>、</w:t>
        <w:tab/>
        <w:t>不以公允价值计量的金融资产和金融负债的公允价值情况</w:t>
      </w:r>
      <w:bookmarkEnd w:id="1990"/>
      <w:bookmarkEnd w:id="1991"/>
      <w:bookmarkEnd w:id="199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该类权益性投资初始计量后被投资单位业绩、所处市场环境等未发生重大变化，投资成本代表了公允价值的最佳估计。</w:t>
      </w:r>
    </w:p>
    <w:p>
      <w:pPr>
        <w:pStyle w:val="Style31"/>
        <w:keepNext/>
        <w:keepLines/>
        <w:widowControl w:val="0"/>
        <w:shd w:val="clear" w:color="auto" w:fill="auto"/>
        <w:bidi w:val="0"/>
        <w:spacing w:before="0" w:after="34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9</w:t>
      </w:r>
      <w:bookmarkEnd w:id="1996"/>
      <w:r>
        <w:rPr>
          <w:color w:val="000000"/>
          <w:spacing w:val="0"/>
          <w:w w:val="100"/>
          <w:position w:val="0"/>
        </w:rPr>
        <w:t>、其他</w:t>
      </w:r>
      <w:bookmarkEnd w:id="1994"/>
      <w:bookmarkEnd w:id="1995"/>
      <w:bookmarkEnd w:id="1997"/>
    </w:p>
    <w:p>
      <w:pPr>
        <w:pStyle w:val="Style25"/>
        <w:keepNext/>
        <w:keepLines/>
        <w:widowControl w:val="0"/>
        <w:shd w:val="clear" w:color="auto" w:fill="auto"/>
        <w:bidi w:val="0"/>
        <w:spacing w:before="0" w:after="400" w:line="240" w:lineRule="auto"/>
        <w:ind w:left="0" w:right="0" w:firstLine="0"/>
        <w:jc w:val="left"/>
      </w:pPr>
      <w:bookmarkStart w:id="1998" w:name="bookmark1998"/>
      <w:bookmarkStart w:id="1999" w:name="bookmark1999"/>
      <w:bookmarkStart w:id="2000" w:name="bookmark2000"/>
      <w:r>
        <w:rPr>
          <w:color w:val="000000"/>
          <w:spacing w:val="0"/>
          <w:w w:val="100"/>
          <w:position w:val="0"/>
          <w:sz w:val="24"/>
          <w:szCs w:val="24"/>
        </w:rPr>
        <w:t>十二、关联方及关联交易</w:t>
      </w:r>
      <w:bookmarkEnd w:id="1998"/>
      <w:bookmarkEnd w:id="1999"/>
      <w:bookmarkEnd w:id="2000"/>
    </w:p>
    <w:p>
      <w:pPr>
        <w:pStyle w:val="Style31"/>
        <w:keepNext/>
        <w:keepLines/>
        <w:widowControl w:val="0"/>
        <w:shd w:val="clear" w:color="auto" w:fill="auto"/>
        <w:bidi w:val="0"/>
        <w:spacing w:before="0" w:after="340" w:line="240" w:lineRule="auto"/>
        <w:ind w:left="0" w:right="0" w:firstLine="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01"/>
      <w:bookmarkEnd w:id="2002"/>
      <w:bookmarkEnd w:id="2003"/>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平潭创新股权投资 合伙企业（有限合 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200,100.00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本企业的母公司情况的说明</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本企业最终控制方是平潭综合实验区国有资产管理局。</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月，公司原控股股东、实际控制人吴艳与平潭创新股权投资合伙企业（有限合伙）（以下简称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平潭创投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）签署《股 权转让协议》，平潭创投受让吴艳持有的本公司股本总额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的股份；同时吴艳、汉鼎宇佑集团有限公司与平潭创投签署《放 弃表决权协议》，吴艳、汉鼎宇佑集团有限公司无条件且不可撤销地放弃行使其所持股权对应的表决权，亦不委托任何其他 方行使该等股份的表决权。股权转让已完成，公司控股股东由吴艳变更为平潭创投。</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2</w:t>
      </w:r>
      <w:bookmarkEnd w:id="2006"/>
      <w:r>
        <w:rPr>
          <w:color w:val="000000"/>
          <w:spacing w:val="0"/>
          <w:w w:val="100"/>
          <w:position w:val="0"/>
        </w:rPr>
        <w:t>、</w:t>
        <w:tab/>
        <w:t>本企业的子公司情况</w:t>
      </w:r>
      <w:bookmarkEnd w:id="2004"/>
      <w:bookmarkEnd w:id="2005"/>
      <w:bookmarkEnd w:id="2007"/>
    </w:p>
    <w:p>
      <w:pPr>
        <w:pStyle w:val="Style27"/>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3</w:t>
      </w:r>
      <w:bookmarkEnd w:id="2010"/>
      <w:r>
        <w:rPr>
          <w:color w:val="000000"/>
          <w:spacing w:val="0"/>
          <w:w w:val="100"/>
          <w:position w:val="0"/>
        </w:rPr>
        <w:t>、</w:t>
        <w:tab/>
        <w:t>本企业合营和联营企业情况</w:t>
      </w:r>
      <w:bookmarkEnd w:id="2008"/>
      <w:bookmarkEnd w:id="2009"/>
      <w:bookmarkEnd w:id="2011"/>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20" w:line="240" w:lineRule="auto"/>
        <w:ind w:left="0" w:right="0" w:firstLine="0"/>
        <w:jc w:val="both"/>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4</w:t>
      </w:r>
      <w:bookmarkEnd w:id="2014"/>
      <w:r>
        <w:rPr>
          <w:color w:val="000000"/>
          <w:spacing w:val="0"/>
          <w:w w:val="100"/>
          <w:position w:val="0"/>
        </w:rPr>
        <w:t>、其他关联方情况</w:t>
      </w:r>
      <w:bookmarkEnd w:id="2012"/>
      <w:bookmarkEnd w:id="2013"/>
      <w:bookmarkEnd w:id="201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以上股权的股东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以上股权的股东</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浙江汉鼎宇佑智慧产业开发有限公司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汉鼎宇佑集团有限公司控制的公司</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曹阳、李童童、倪晨勋、林向阳、谢家清、曾志勇、周亚力、 刘建忠、张梅、金雪军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前董事、离任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前董事、离任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范悦龙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前董事、离任</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方笑、李音昱、章怡雯、李嫣（前监事、离任）、徐策（前监 事、离任）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王维山、林庆华、叶兴波、俞晶、庄良（前高管、离任）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深圳市南洋码头网络科技有限公司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杭州醍醐文化创意有限公司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浙江中城智慧城市规划咨询有限公司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杭州火剧科技有限公司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BIGFACE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Care Connectors,Inc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浙江大数据交易中心有限公司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浙江搜道网络有限公司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深圳市云影易投资管理有限责任公司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MacArthur Court Acquisition Corp.</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5</w:t>
      </w:r>
      <w:bookmarkEnd w:id="2018"/>
      <w:r>
        <w:rPr>
          <w:color w:val="000000"/>
          <w:spacing w:val="0"/>
          <w:w w:val="100"/>
          <w:position w:val="0"/>
        </w:rPr>
        <w:t>、关联交易情况</w:t>
      </w:r>
      <w:bookmarkEnd w:id="2016"/>
      <w:bookmarkEnd w:id="2017"/>
      <w:bookmarkEnd w:id="2019"/>
    </w:p>
    <w:p>
      <w:pPr>
        <w:pStyle w:val="Style44"/>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20"/>
      <w:bookmarkEnd w:id="2021"/>
      <w:bookmarkEnd w:id="202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杭州醍醐文化创意有限公司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租赁租息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380,479.55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464,682.88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租赁租息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940,049.24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1,365,240.43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4"/>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3"/>
      <w:bookmarkEnd w:id="2024"/>
      <w:bookmarkEnd w:id="20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4"/>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26"/>
      <w:bookmarkEnd w:id="2027"/>
      <w:bookmarkEnd w:id="202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52,380.96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157,142.85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r>
        <w:br w:type="page"/>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浙江汉鼎宇佑智慧产业开发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622,101.85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1,120,161.63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4"/>
        <w:keepNext/>
        <w:keepLines/>
        <w:widowControl w:val="0"/>
        <w:shd w:val="clear" w:color="auto" w:fill="auto"/>
        <w:bidi w:val="0"/>
        <w:spacing w:before="0" w:after="40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30"/>
      <w:bookmarkEnd w:id="2031"/>
      <w:bookmarkEnd w:id="203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王麒诚、吴艳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王麒诚、吴艳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王麒诚、吴艳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王麒诚、吴艳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王麒诚、吴艳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浙江汉鼎宇佑智慧产业 开发有限公司，吴艳、 王麒诚，平潭综合实验 区金融控股集团有限公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浙江汉鼎宇佑智慧产业 开发有限公司，吴艳、 王麒诚，平潭综合实验 区金融控股集团有限公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浙江汉鼎宇佑智慧产业 开发有限公司，吴艳、 王麒诚，平潭综合实验 区金融控股集团有限公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浙江汉鼎宇佑智慧产业 开发有限公司，吴艳、 王麒诚，平潭综合实验 区金融控股集团有限公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16,220,280.81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3,142,223.79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6,717,330.15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5,692,154.56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3,130,287.35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4,750,222.11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3,590,831.59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平潭综合实验区金融控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4,711,407.81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44"/>
        <w:keepNext/>
        <w:keepLines/>
        <w:widowControl w:val="0"/>
        <w:shd w:val="clear" w:color="auto" w:fill="auto"/>
        <w:bidi w:val="0"/>
        <w:spacing w:before="0" w:after="40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4"/>
      <w:bookmarkEnd w:id="2035"/>
      <w:bookmarkEnd w:id="203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浙江汉鼎宇佑智慧产业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资金占用利息</w:t>
            </w:r>
            <w:r>
              <w:rPr>
                <w:rFonts w:ascii="Times New Roman" w:eastAsia="Times New Roman" w:hAnsi="Times New Roman" w:cs="Times New Roman"/>
                <w:color w:val="000000"/>
                <w:spacing w:val="0"/>
                <w:w w:val="100"/>
                <w:position w:val="0"/>
                <w:sz w:val="18"/>
                <w:szCs w:val="18"/>
              </w:rPr>
              <w:t>471.47</w:t>
            </w:r>
            <w:r>
              <w:rPr>
                <w:color w:val="000000"/>
                <w:spacing w:val="0"/>
                <w:w w:val="100"/>
                <w:position w:val="0"/>
              </w:rPr>
              <w:t>万 元尚未结清</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38"/>
      <w:bookmarkEnd w:id="2039"/>
      <w:bookmarkEnd w:id="204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w:t>
      </w:r>
      <w:bookmarkEnd w:id="204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42"/>
      <w:bookmarkEnd w:id="2043"/>
      <w:bookmarkEnd w:id="204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3,313,835.30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2,407,000.00</w:t>
            </w:r>
          </w:p>
        </w:tc>
      </w:tr>
    </w:tbl>
    <w:p>
      <w:pPr>
        <w:spacing w:lineRule="exact" w:line="1"/>
        <w:rPr>
          <w:sz w:val="2"/>
          <w:szCs w:val="2"/>
        </w:rPr>
      </w:pPr>
      <w:r>
        <w:br w:type="page"/>
      </w:r>
    </w:p>
    <w:p>
      <w:pPr>
        <w:pStyle w:val="Style44"/>
        <w:keepNext/>
        <w:keepLines/>
        <w:widowControl w:val="0"/>
        <w:numPr>
          <w:ilvl w:val="0"/>
          <w:numId w:val="81"/>
        </w:numPr>
        <w:shd w:val="clear" w:color="auto" w:fill="auto"/>
        <w:bidi w:val="0"/>
        <w:spacing w:before="0" w:after="340" w:line="240" w:lineRule="auto"/>
        <w:ind w:left="0" w:right="0" w:firstLine="0"/>
        <w:jc w:val="left"/>
      </w:pPr>
      <w:bookmarkStart w:id="2046" w:name="bookmark2046"/>
      <w:bookmarkStart w:id="2047" w:name="bookmark2047"/>
      <w:bookmarkStart w:id="2048" w:name="bookmark2048"/>
      <w:bookmarkStart w:id="2049" w:name="bookmark2049"/>
      <w:bookmarkEnd w:id="2048"/>
      <w:r>
        <w:rPr>
          <w:color w:val="000000"/>
          <w:spacing w:val="0"/>
          <w:w w:val="100"/>
          <w:position w:val="0"/>
        </w:rPr>
        <w:t>其他关联交易</w:t>
      </w:r>
      <w:bookmarkEnd w:id="2046"/>
      <w:bookmarkEnd w:id="2047"/>
      <w:bookmarkEnd w:id="2049"/>
    </w:p>
    <w:p>
      <w:pPr>
        <w:pStyle w:val="Style31"/>
        <w:keepNext/>
        <w:keepLines/>
        <w:widowControl w:val="0"/>
        <w:shd w:val="clear" w:color="auto" w:fill="auto"/>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6</w:t>
      </w:r>
      <w:bookmarkEnd w:id="2052"/>
      <w:r>
        <w:rPr>
          <w:color w:val="000000"/>
          <w:spacing w:val="0"/>
          <w:w w:val="100"/>
          <w:position w:val="0"/>
        </w:rPr>
        <w:t>、关联方应收应付款项</w:t>
      </w:r>
      <w:bookmarkEnd w:id="2050"/>
      <w:bookmarkEnd w:id="2051"/>
      <w:bookmarkEnd w:id="2053"/>
    </w:p>
    <w:p>
      <w:pPr>
        <w:pStyle w:val="Style44"/>
        <w:keepNext/>
        <w:keepLines/>
        <w:widowControl w:val="0"/>
        <w:shd w:val="clear" w:color="auto" w:fill="auto"/>
        <w:bidi w:val="0"/>
        <w:spacing w:before="0" w:line="240" w:lineRule="auto"/>
        <w:ind w:left="0" w:right="0" w:firstLine="0"/>
        <w:jc w:val="left"/>
      </w:pPr>
      <w:bookmarkStart w:id="2054" w:name="bookmark2054"/>
      <w:bookmarkStart w:id="2055" w:name="bookmark2055"/>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4"/>
      <w:bookmarkEnd w:id="2055"/>
      <w:bookmarkEnd w:id="20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浙江汉鼎宇佑智慧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5,683,767.00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1,587,967.10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5,327,542.83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903,551.26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四川通普科技有限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浙江汉鼎宇佑智慧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4,714,735.89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281,549.79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 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四川通普科技有限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8,381,853.76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7,874,456.92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78,744.57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 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杭州醍醐文化创意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2,989,670.16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597,934.03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一年内到期的非流 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浙江汉鼎宇佑智慧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四川通普科技有限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4,528,504.87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12,997,049.68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129,970.50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杭州醍醐文化创意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3,718,587.50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743,717.50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23,361,242.48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2,002,355.24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102,907,307.09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3,153,917.86</w:t>
            </w:r>
          </w:p>
        </w:tc>
      </w:tr>
    </w:tbl>
    <w:p>
      <w:pPr>
        <w:widowControl w:val="0"/>
        <w:spacing w:after="339" w:line="1" w:lineRule="exact"/>
      </w:pPr>
    </w:p>
    <w:p>
      <w:pPr>
        <w:pStyle w:val="Style44"/>
        <w:keepNext/>
        <w:keepLines/>
        <w:widowControl w:val="0"/>
        <w:shd w:val="clear" w:color="auto" w:fill="auto"/>
        <w:bidi w:val="0"/>
        <w:spacing w:before="0" w:line="240" w:lineRule="auto"/>
        <w:ind w:left="0" w:right="0" w:firstLine="14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7"/>
      <w:bookmarkEnd w:id="2058"/>
      <w:bookmarkEnd w:id="205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5,416,088.03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6,999,074.80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杭州醍醐文化创意有限公司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279,183.47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459,031.49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tabs>
          <w:tab w:pos="373" w:val="left"/>
        </w:tabs>
        <w:bidi w:val="0"/>
        <w:spacing w:before="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7</w:t>
      </w:r>
      <w:bookmarkEnd w:id="2062"/>
      <w:r>
        <w:rPr>
          <w:color w:val="000000"/>
          <w:spacing w:val="0"/>
          <w:w w:val="100"/>
          <w:position w:val="0"/>
        </w:rPr>
        <w:t>、</w:t>
        <w:tab/>
        <w:t>关联方承诺</w:t>
      </w:r>
      <w:bookmarkEnd w:id="2060"/>
      <w:bookmarkEnd w:id="2061"/>
      <w:bookmarkEnd w:id="2063"/>
    </w:p>
    <w:p>
      <w:pPr>
        <w:pStyle w:val="Style31"/>
        <w:keepNext/>
        <w:keepLines/>
        <w:widowControl w:val="0"/>
        <w:shd w:val="clear" w:color="auto" w:fill="auto"/>
        <w:tabs>
          <w:tab w:pos="378" w:val="left"/>
        </w:tabs>
        <w:bidi w:val="0"/>
        <w:spacing w:before="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8</w:t>
      </w:r>
      <w:bookmarkEnd w:id="2066"/>
      <w:r>
        <w:rPr>
          <w:color w:val="000000"/>
          <w:spacing w:val="0"/>
          <w:w w:val="100"/>
          <w:position w:val="0"/>
        </w:rPr>
        <w:t>、</w:t>
        <w:tab/>
        <w:t>其他</w:t>
      </w:r>
      <w:bookmarkEnd w:id="2064"/>
      <w:bookmarkEnd w:id="2065"/>
      <w:bookmarkEnd w:id="2067"/>
    </w:p>
    <w:p>
      <w:pPr>
        <w:pStyle w:val="Style25"/>
        <w:keepNext/>
        <w:keepLines/>
        <w:widowControl w:val="0"/>
        <w:shd w:val="clear" w:color="auto" w:fill="auto"/>
        <w:bidi w:val="0"/>
        <w:spacing w:before="0" w:line="240" w:lineRule="auto"/>
        <w:ind w:left="0" w:right="0" w:firstLine="0"/>
        <w:jc w:val="left"/>
      </w:pPr>
      <w:bookmarkStart w:id="2068" w:name="bookmark2068"/>
      <w:bookmarkStart w:id="2069" w:name="bookmark2069"/>
      <w:bookmarkStart w:id="2070" w:name="bookmark2070"/>
      <w:r>
        <w:rPr>
          <w:color w:val="000000"/>
          <w:spacing w:val="0"/>
          <w:w w:val="100"/>
          <w:position w:val="0"/>
          <w:sz w:val="24"/>
          <w:szCs w:val="24"/>
        </w:rPr>
        <w:t>十三、股份支付</w:t>
      </w:r>
      <w:bookmarkEnd w:id="2068"/>
      <w:bookmarkEnd w:id="2069"/>
      <w:bookmarkEnd w:id="2070"/>
    </w:p>
    <w:p>
      <w:pPr>
        <w:pStyle w:val="Style31"/>
        <w:keepNext/>
        <w:keepLines/>
        <w:widowControl w:val="0"/>
        <w:shd w:val="clear" w:color="auto" w:fill="auto"/>
        <w:tabs>
          <w:tab w:pos="368" w:val="left"/>
        </w:tabs>
        <w:bidi w:val="0"/>
        <w:spacing w:before="0" w:after="28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bookmarkEnd w:id="2073"/>
      <w:r>
        <w:rPr>
          <w:color w:val="000000"/>
          <w:spacing w:val="0"/>
          <w:w w:val="100"/>
          <w:position w:val="0"/>
        </w:rPr>
        <w:t>、</w:t>
        <w:tab/>
        <w:t>股份支付总体情况</w:t>
      </w:r>
      <w:bookmarkEnd w:id="2071"/>
      <w:bookmarkEnd w:id="2072"/>
      <w:bookmarkEnd w:id="2074"/>
    </w:p>
    <w:p>
      <w:pPr>
        <w:pStyle w:val="Style2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2</w:t>
      </w:r>
      <w:bookmarkEnd w:id="2077"/>
      <w:r>
        <w:rPr>
          <w:color w:val="000000"/>
          <w:spacing w:val="0"/>
          <w:w w:val="100"/>
          <w:position w:val="0"/>
        </w:rPr>
        <w:t>、</w:t>
        <w:tab/>
        <w:t>以权益结算的股份支付情况</w:t>
      </w:r>
      <w:bookmarkEnd w:id="2075"/>
      <w:bookmarkEnd w:id="2076"/>
      <w:bookmarkEnd w:id="2078"/>
    </w:p>
    <w:p>
      <w:pPr>
        <w:pStyle w:val="Style2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3</w:t>
      </w:r>
      <w:bookmarkEnd w:id="2081"/>
      <w:r>
        <w:rPr>
          <w:color w:val="000000"/>
          <w:spacing w:val="0"/>
          <w:w w:val="100"/>
          <w:position w:val="0"/>
        </w:rPr>
        <w:t>、</w:t>
        <w:tab/>
        <w:t>以现金结算的股份支付情况</w:t>
      </w:r>
      <w:bookmarkEnd w:id="2079"/>
      <w:bookmarkEnd w:id="2080"/>
      <w:bookmarkEnd w:id="2082"/>
    </w:p>
    <w:p>
      <w:pPr>
        <w:pStyle w:val="Style2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4</w:t>
      </w:r>
      <w:bookmarkEnd w:id="2085"/>
      <w:r>
        <w:rPr>
          <w:color w:val="000000"/>
          <w:spacing w:val="0"/>
          <w:w w:val="100"/>
          <w:position w:val="0"/>
        </w:rPr>
        <w:t>、</w:t>
        <w:tab/>
        <w:t>股份支付的修改、终止情况</w:t>
      </w:r>
      <w:bookmarkEnd w:id="2083"/>
      <w:bookmarkEnd w:id="2084"/>
      <w:bookmarkEnd w:id="2086"/>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日召开第三届董事会第四十四次会议，会议审议通过了《关于终止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 注销限制性股票的议案》。根据《企业会计准则第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股份支付》的规定，公司将取消激励计划作为加速行权处理，立即 确认原本应在剩余等待期内确认的金额。</w:t>
      </w:r>
    </w:p>
    <w:p>
      <w:pPr>
        <w:pStyle w:val="Style31"/>
        <w:keepNext/>
        <w:keepLines/>
        <w:widowControl w:val="0"/>
        <w:shd w:val="clear" w:color="auto" w:fill="auto"/>
        <w:tabs>
          <w:tab w:pos="378"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5</w:t>
      </w:r>
      <w:bookmarkEnd w:id="2089"/>
      <w:r>
        <w:rPr>
          <w:color w:val="000000"/>
          <w:spacing w:val="0"/>
          <w:w w:val="100"/>
          <w:position w:val="0"/>
        </w:rPr>
        <w:t>、</w:t>
        <w:tab/>
        <w:t>其他</w:t>
      </w:r>
      <w:bookmarkEnd w:id="2087"/>
      <w:bookmarkEnd w:id="2088"/>
      <w:bookmarkEnd w:id="2090"/>
    </w:p>
    <w:p>
      <w:pPr>
        <w:pStyle w:val="Style25"/>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r>
        <w:rPr>
          <w:color w:val="000000"/>
          <w:spacing w:val="0"/>
          <w:w w:val="100"/>
          <w:position w:val="0"/>
          <w:sz w:val="24"/>
          <w:szCs w:val="24"/>
        </w:rPr>
        <w:t>十四、承诺及或有事项</w:t>
      </w:r>
      <w:bookmarkEnd w:id="2091"/>
      <w:bookmarkEnd w:id="2092"/>
      <w:bookmarkEnd w:id="2093"/>
    </w:p>
    <w:p>
      <w:pPr>
        <w:pStyle w:val="Style31"/>
        <w:keepNext/>
        <w:keepLines/>
        <w:widowControl w:val="0"/>
        <w:shd w:val="clear" w:color="auto" w:fill="auto"/>
        <w:tabs>
          <w:tab w:pos="368" w:val="left"/>
        </w:tabs>
        <w:bidi w:val="0"/>
        <w:spacing w:before="0" w:after="28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1</w:t>
      </w:r>
      <w:bookmarkEnd w:id="2096"/>
      <w:r>
        <w:rPr>
          <w:color w:val="000000"/>
          <w:spacing w:val="0"/>
          <w:w w:val="100"/>
          <w:position w:val="0"/>
        </w:rPr>
        <w:t>、</w:t>
        <w:tab/>
        <w:t>重要承诺事项</w:t>
      </w:r>
      <w:bookmarkEnd w:id="2094"/>
      <w:bookmarkEnd w:id="2095"/>
      <w:bookmarkEnd w:id="2097"/>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1"/>
        <w:keepNext/>
        <w:keepLines/>
        <w:widowControl w:val="0"/>
        <w:shd w:val="clear" w:color="auto" w:fill="auto"/>
        <w:tabs>
          <w:tab w:pos="378"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bookmarkEnd w:id="2100"/>
      <w:r>
        <w:rPr>
          <w:color w:val="000000"/>
          <w:spacing w:val="0"/>
          <w:w w:val="100"/>
          <w:position w:val="0"/>
        </w:rPr>
        <w:t>、</w:t>
        <w:tab/>
        <w:t>或有事项</w:t>
      </w:r>
      <w:bookmarkEnd w:id="2098"/>
      <w:bookmarkEnd w:id="2099"/>
      <w:bookmarkEnd w:id="2101"/>
    </w:p>
    <w:p>
      <w:pPr>
        <w:pStyle w:val="Style44"/>
        <w:keepNext/>
        <w:keepLines/>
        <w:widowControl w:val="0"/>
        <w:shd w:val="clear" w:color="auto" w:fill="auto"/>
        <w:bidi w:val="0"/>
        <w:spacing w:before="0" w:after="36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02"/>
      <w:bookmarkEnd w:id="2103"/>
      <w:bookmarkEnd w:id="2104"/>
    </w:p>
    <w:p>
      <w:pPr>
        <w:pStyle w:val="Style3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、对外担保</w:t>
      </w:r>
    </w:p>
    <w:tbl>
      <w:tblPr>
        <w:tblOverlap w:val="never"/>
        <w:jc w:val="center"/>
        <w:tblLayout w:type="fixed"/>
      </w:tblPr>
      <w:tblGrid>
        <w:gridCol w:w="1450"/>
        <w:gridCol w:w="1421"/>
        <w:gridCol w:w="1560"/>
        <w:gridCol w:w="1229"/>
        <w:gridCol w:w="1320"/>
        <w:gridCol w:w="2659"/>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海峡创新互联网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杭州汉鼎俏星商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杭州财富盛典投资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61,991,688.00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海峡创新互联网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杭州汉鼎俏星商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杭州市下城区国有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房产管理有限公司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293"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公司为子公司杭州汉鼎宇佑商、</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化发展有限公司与杭州财富盛典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氏投资有限公司和杭州市下城区国有房产管</w:t>
            </w:r>
          </w:p>
        </w:tc>
      </w:tr>
    </w:tbl>
    <w:p>
      <w:pPr>
        <w:pStyle w:val="Style34"/>
        <w:keepNext w:val="0"/>
        <w:keepLines w:val="0"/>
        <w:widowControl w:val="0"/>
        <w:shd w:val="clear" w:color="auto" w:fill="auto"/>
        <w:bidi w:val="0"/>
        <w:spacing w:before="0" w:after="140" w:line="309" w:lineRule="exact"/>
        <w:ind w:left="0" w:right="0" w:firstLine="0"/>
        <w:jc w:val="both"/>
      </w:pPr>
      <w:r>
        <w:rPr>
          <w:color w:val="000000"/>
          <w:spacing w:val="0"/>
          <w:w w:val="100"/>
          <w:position w:val="0"/>
        </w:rPr>
        <w:t>理有限公司签订的两份《房屋租赁合同》提供保证担保，由于公司募投项目变更，杭州汉鼎宇佑商业发展 有限公司将前述两份《房屋租赁合同》转租给杭州汉鼎俏星商业发展有限公司，但公司需继续为《房屋租 赁合同》提供担保，直到合同到期。杭州汉鼎俏星商业发展有限公司的股东杭州俏星商业发展有限公司为 上述担保提供担保金额为人民币</w:t>
      </w:r>
      <w:r>
        <w:rPr>
          <w:rFonts w:ascii="Times New Roman" w:eastAsia="Times New Roman" w:hAnsi="Times New Roman" w:cs="Times New Roman"/>
          <w:color w:val="000000"/>
          <w:spacing w:val="0"/>
          <w:w w:val="100"/>
          <w:position w:val="0"/>
        </w:rPr>
        <w:t>111,991,688.00</w:t>
      </w:r>
      <w:r>
        <w:rPr>
          <w:color w:val="000000"/>
          <w:spacing w:val="0"/>
          <w:w w:val="100"/>
          <w:position w:val="0"/>
        </w:rPr>
        <w:t>元整的反担保。</w:t>
      </w:r>
    </w:p>
    <w:p>
      <w:pPr>
        <w:pStyle w:val="Style34"/>
        <w:keepNext w:val="0"/>
        <w:keepLines w:val="0"/>
        <w:widowControl w:val="0"/>
        <w:shd w:val="clear" w:color="auto" w:fill="auto"/>
        <w:bidi w:val="0"/>
        <w:spacing w:before="0" w:after="140" w:line="308" w:lineRule="exact"/>
        <w:ind w:left="0" w:right="0" w:firstLine="0"/>
        <w:jc w:val="both"/>
      </w:pPr>
      <w:r>
        <w:rPr>
          <w:color w:val="000000"/>
          <w:spacing w:val="0"/>
          <w:w w:val="100"/>
          <w:position w:val="0"/>
        </w:rPr>
        <w:t>杭州汉鼎俏星商业发展有限公司与杭州市下城区国有房产管理有限公司之间的《房屋租赁合同》，因杭州 汉鼎俏星商业发展有限公司违约，截止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日共欠付租金</w:t>
      </w:r>
      <w:r>
        <w:rPr>
          <w:rFonts w:ascii="Times New Roman" w:eastAsia="Times New Roman" w:hAnsi="Times New Roman" w:cs="Times New Roman"/>
          <w:color w:val="000000"/>
          <w:spacing w:val="0"/>
          <w:w w:val="100"/>
          <w:position w:val="0"/>
        </w:rPr>
        <w:t>17,606,906.72</w:t>
      </w:r>
      <w:r>
        <w:rPr>
          <w:color w:val="000000"/>
          <w:spacing w:val="0"/>
          <w:w w:val="100"/>
          <w:position w:val="0"/>
        </w:rPr>
        <w:t>元，杭州市下城区国有房 产管理有限公司于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日向法院提起诉讼。公司经综合评估后认为，该项因对外担保形成的或有事 项，符合《企业会计准则第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或有事项》中规定的预计负债确认条件，因此在本期确认预计负债 </w:t>
      </w:r>
      <w:r>
        <w:rPr>
          <w:rFonts w:ascii="Times New Roman" w:eastAsia="Times New Roman" w:hAnsi="Times New Roman" w:cs="Times New Roman"/>
          <w:color w:val="000000"/>
          <w:spacing w:val="0"/>
          <w:w w:val="100"/>
          <w:position w:val="0"/>
        </w:rPr>
        <w:t>8,803,453.36</w:t>
      </w:r>
      <w:r>
        <w:rPr>
          <w:color w:val="000000"/>
          <w:spacing w:val="0"/>
          <w:w w:val="100"/>
          <w:position w:val="0"/>
        </w:rPr>
        <w:t>元。</w:t>
      </w:r>
    </w:p>
    <w:p>
      <w:pPr>
        <w:pStyle w:val="Style34"/>
        <w:keepNext w:val="0"/>
        <w:keepLines w:val="0"/>
        <w:widowControl w:val="0"/>
        <w:shd w:val="clear" w:color="auto" w:fill="auto"/>
        <w:bidi w:val="0"/>
        <w:spacing w:before="0" w:after="18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日，公司为承接智能化工程出具投标、履约及预付款保函</w:t>
      </w:r>
      <w:r>
        <w:rPr>
          <w:rFonts w:ascii="Times New Roman" w:eastAsia="Times New Roman" w:hAnsi="Times New Roman" w:cs="Times New Roman"/>
          <w:color w:val="000000"/>
          <w:spacing w:val="0"/>
          <w:w w:val="100"/>
          <w:position w:val="0"/>
        </w:rPr>
        <w:t>7</w:t>
      </w:r>
      <w:r>
        <w:rPr>
          <w:color w:val="000000"/>
          <w:spacing w:val="0"/>
          <w:w w:val="100"/>
          <w:position w:val="0"/>
        </w:rPr>
        <w:t>份，投标及履约保函金额 为</w:t>
      </w:r>
      <w:r>
        <w:rPr>
          <w:rFonts w:ascii="Times New Roman" w:eastAsia="Times New Roman" w:hAnsi="Times New Roman" w:cs="Times New Roman"/>
          <w:color w:val="000000"/>
          <w:spacing w:val="0"/>
          <w:w w:val="100"/>
          <w:position w:val="0"/>
        </w:rPr>
        <w:t>4,567,408.11</w:t>
      </w:r>
      <w:r>
        <w:rPr>
          <w:color w:val="000000"/>
          <w:spacing w:val="0"/>
          <w:w w:val="100"/>
          <w:position w:val="0"/>
        </w:rPr>
        <w:t>元，存入保证金金额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,333,764.77</w:t>
      </w:r>
      <w:r>
        <w:rPr>
          <w:color w:val="000000"/>
          <w:spacing w:val="0"/>
          <w:w w:val="100"/>
          <w:position w:val="0"/>
        </w:rPr>
        <w:t>元，明细列示如下：</w:t>
      </w:r>
    </w:p>
    <w:tbl>
      <w:tblPr>
        <w:tblOverlap w:val="never"/>
        <w:jc w:val="center"/>
        <w:tblLayout w:type="fixed"/>
      </w:tblPr>
      <w:tblGrid>
        <w:gridCol w:w="2870"/>
        <w:gridCol w:w="1277"/>
        <w:gridCol w:w="1157"/>
        <w:gridCol w:w="1819"/>
        <w:gridCol w:w="2515"/>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保函受益人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开出银行</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山东文登抽水蓄能有限公司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1,720,906.57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516,271.98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2023/10/31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重庆海康威视系统技术有限公司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770,012.50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231,003.75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发包人签发工程接受 证书之日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金华市婺舟航运开发建设有限公司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615,128.30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615,128.30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发包人签发工程接受 证书之日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金华市婺舟航运开发建设有限公司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204,200.00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发包人签发工程接受 证书之日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15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上海船舶研究设计院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《智能船舶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研发专 项》项目结题验收合格 后满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年，但最迟不超 过自担保开具之日起 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永康中梁宝龙置业有限公司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133,492.00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133,492.00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南京市溧水区人民医院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423,668.74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423,668.74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中国银行浙江省分行</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4,567,408.11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2,333,764.77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、未决诉讼</w:t>
      </w:r>
    </w:p>
    <w:p>
      <w:pPr>
        <w:widowControl w:val="0"/>
        <w:spacing w:after="139" w:line="1" w:lineRule="exact"/>
      </w:pPr>
    </w:p>
    <w:p>
      <w:pPr>
        <w:pStyle w:val="Style34"/>
        <w:keepNext w:val="0"/>
        <w:keepLines w:val="0"/>
        <w:widowControl w:val="0"/>
        <w:shd w:val="clear" w:color="auto" w:fill="auto"/>
        <w:bidi w:val="0"/>
        <w:spacing w:before="0" w:after="28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日，沈阳兴迪电子科技有限公司向法院起诉本公司，要求本公司向其返还人民币</w:t>
      </w:r>
      <w:r>
        <w:rPr>
          <w:rFonts w:ascii="Times New Roman" w:eastAsia="Times New Roman" w:hAnsi="Times New Roman" w:cs="Times New Roman"/>
          <w:color w:val="000000"/>
          <w:spacing w:val="0"/>
          <w:w w:val="100"/>
          <w:position w:val="0"/>
        </w:rPr>
        <w:t>1,200</w:t>
      </w:r>
      <w:r>
        <w:rPr>
          <w:color w:val="000000"/>
          <w:spacing w:val="0"/>
          <w:w w:val="100"/>
          <w:position w:val="0"/>
        </w:rPr>
        <w:t>万元的借 款及相应的利息，经查阅历史财务信息，本公司与沈阳兴迪除购销业务外不存在借款事项，无需支付起诉 书提及的借款及相应的利息。该诉讼事项已于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日由新民市人民法院判决，驳回沈阳兴迪电子 科技有限公司的全部诉讼请求。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日，沈阳兴迪电子科技有限公司向辽宁省沈阳市中级人民法 院再次提起上诉。中级人民法院考虑为查清本案争议款额性质，认为应将辽宁华迪电子科技有限公司列为 第三人，故将案件发回重审，并无任何实质性的举证，至报告期末尚未结案，法院仍冻结本公司银行存款 </w:t>
      </w:r>
      <w:r>
        <w:rPr>
          <w:rFonts w:ascii="Times New Roman" w:eastAsia="Times New Roman" w:hAnsi="Times New Roman" w:cs="Times New Roman"/>
          <w:color w:val="000000"/>
          <w:spacing w:val="0"/>
          <w:w w:val="100"/>
          <w:position w:val="0"/>
        </w:rPr>
        <w:t>1,200</w:t>
      </w:r>
      <w:r>
        <w:rPr>
          <w:color w:val="000000"/>
          <w:spacing w:val="0"/>
          <w:w w:val="100"/>
          <w:position w:val="0"/>
        </w:rPr>
        <w:t>万元。</w:t>
      </w:r>
    </w:p>
    <w:p>
      <w:pPr>
        <w:pStyle w:val="Style44"/>
        <w:keepNext/>
        <w:keepLines/>
        <w:widowControl w:val="0"/>
        <w:shd w:val="clear" w:color="auto" w:fill="auto"/>
        <w:bidi w:val="0"/>
        <w:spacing w:before="0" w:after="420" w:line="312" w:lineRule="exact"/>
        <w:ind w:left="0" w:right="0" w:firstLine="0"/>
        <w:jc w:val="both"/>
      </w:pPr>
      <w:bookmarkStart w:id="2105" w:name="bookmark2105"/>
      <w:bookmarkStart w:id="2106" w:name="bookmark2106"/>
      <w:bookmarkStart w:id="2107" w:name="bookmark21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05"/>
      <w:bookmarkEnd w:id="2106"/>
      <w:bookmarkEnd w:id="2107"/>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公司不存在需要披露的重要或有事项。</w:t>
      </w:r>
      <w:r>
        <w:br w:type="page"/>
      </w:r>
    </w:p>
    <w:p>
      <w:pPr>
        <w:pStyle w:val="Style31"/>
        <w:keepNext/>
        <w:keepLines/>
        <w:widowControl w:val="0"/>
        <w:shd w:val="clear" w:color="auto" w:fill="auto"/>
        <w:bidi w:val="0"/>
        <w:spacing w:before="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3</w:t>
      </w:r>
      <w:bookmarkEnd w:id="2110"/>
      <w:r>
        <w:rPr>
          <w:color w:val="000000"/>
          <w:spacing w:val="0"/>
          <w:w w:val="100"/>
          <w:position w:val="0"/>
        </w:rPr>
        <w:t>、其他</w:t>
      </w:r>
      <w:bookmarkEnd w:id="2108"/>
      <w:bookmarkEnd w:id="2109"/>
      <w:bookmarkEnd w:id="2111"/>
    </w:p>
    <w:p>
      <w:pPr>
        <w:pStyle w:val="Style25"/>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r>
        <w:rPr>
          <w:color w:val="000000"/>
          <w:spacing w:val="0"/>
          <w:w w:val="100"/>
          <w:position w:val="0"/>
          <w:sz w:val="24"/>
          <w:szCs w:val="24"/>
        </w:rPr>
        <w:t>十五、资产负债表日后事项</w:t>
      </w:r>
      <w:bookmarkEnd w:id="2112"/>
      <w:bookmarkEnd w:id="2113"/>
      <w:bookmarkEnd w:id="2114"/>
    </w:p>
    <w:p>
      <w:pPr>
        <w:pStyle w:val="Style31"/>
        <w:keepNext/>
        <w:keepLines/>
        <w:widowControl w:val="0"/>
        <w:shd w:val="clear" w:color="auto" w:fill="auto"/>
        <w:bidi w:val="0"/>
        <w:spacing w:before="0" w:after="400" w:line="240" w:lineRule="auto"/>
        <w:ind w:left="0" w:right="0" w:firstLine="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15"/>
      <w:bookmarkEnd w:id="2116"/>
      <w:bookmarkEnd w:id="211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tabs>
          <w:tab w:pos="378" w:val="left"/>
        </w:tabs>
        <w:bidi w:val="0"/>
        <w:spacing w:before="0" w:after="40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2</w:t>
      </w:r>
      <w:bookmarkEnd w:id="2120"/>
      <w:r>
        <w:rPr>
          <w:color w:val="000000"/>
          <w:spacing w:val="0"/>
          <w:w w:val="100"/>
          <w:position w:val="0"/>
        </w:rPr>
        <w:t>、</w:t>
        <w:tab/>
        <w:t>利润分配情况</w:t>
      </w:r>
      <w:bookmarkEnd w:id="2118"/>
      <w:bookmarkEnd w:id="2119"/>
      <w:bookmarkEnd w:id="2121"/>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1"/>
        <w:keepNext/>
        <w:keepLines/>
        <w:widowControl w:val="0"/>
        <w:shd w:val="clear" w:color="auto" w:fill="auto"/>
        <w:tabs>
          <w:tab w:pos="378" w:val="left"/>
        </w:tabs>
        <w:bidi w:val="0"/>
        <w:spacing w:before="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3</w:t>
      </w:r>
      <w:bookmarkEnd w:id="2124"/>
      <w:r>
        <w:rPr>
          <w:color w:val="000000"/>
          <w:spacing w:val="0"/>
          <w:w w:val="100"/>
          <w:position w:val="0"/>
        </w:rPr>
        <w:t>、</w:t>
        <w:tab/>
        <w:t>销售退回</w:t>
      </w:r>
      <w:bookmarkEnd w:id="2122"/>
      <w:bookmarkEnd w:id="2123"/>
      <w:bookmarkEnd w:id="2125"/>
    </w:p>
    <w:p>
      <w:pPr>
        <w:pStyle w:val="Style31"/>
        <w:keepNext/>
        <w:keepLines/>
        <w:widowControl w:val="0"/>
        <w:shd w:val="clear" w:color="auto" w:fill="auto"/>
        <w:tabs>
          <w:tab w:pos="378" w:val="left"/>
        </w:tabs>
        <w:bidi w:val="0"/>
        <w:spacing w:before="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4</w:t>
      </w:r>
      <w:bookmarkEnd w:id="2128"/>
      <w:r>
        <w:rPr>
          <w:color w:val="000000"/>
          <w:spacing w:val="0"/>
          <w:w w:val="100"/>
          <w:position w:val="0"/>
        </w:rPr>
        <w:t>、</w:t>
        <w:tab/>
        <w:t>其他资产负债表日后事项说明</w:t>
      </w:r>
      <w:bookmarkEnd w:id="2126"/>
      <w:bookmarkEnd w:id="2127"/>
      <w:bookmarkEnd w:id="2129"/>
    </w:p>
    <w:p>
      <w:pPr>
        <w:pStyle w:val="Style34"/>
        <w:keepNext w:val="0"/>
        <w:keepLines w:val="0"/>
        <w:widowControl w:val="0"/>
        <w:shd w:val="clear" w:color="auto" w:fill="auto"/>
        <w:bidi w:val="0"/>
        <w:spacing w:before="0" w:after="660" w:line="240" w:lineRule="auto"/>
        <w:ind w:left="0" w:right="0" w:firstLine="0"/>
        <w:jc w:val="left"/>
      </w:pPr>
      <w:r>
        <w:rPr>
          <w:color w:val="000000"/>
          <w:spacing w:val="0"/>
          <w:w w:val="100"/>
          <w:position w:val="0"/>
        </w:rPr>
        <w:t>本公司无需要披露的重大资产负债表日后事项。</w:t>
      </w:r>
    </w:p>
    <w:p>
      <w:pPr>
        <w:pStyle w:val="Style25"/>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r>
        <w:rPr>
          <w:color w:val="000000"/>
          <w:spacing w:val="0"/>
          <w:w w:val="100"/>
          <w:position w:val="0"/>
          <w:sz w:val="24"/>
          <w:szCs w:val="24"/>
        </w:rPr>
        <w:t>十六、其他重要事项</w:t>
      </w:r>
      <w:bookmarkEnd w:id="2130"/>
      <w:bookmarkEnd w:id="2131"/>
      <w:bookmarkEnd w:id="2132"/>
    </w:p>
    <w:p>
      <w:pPr>
        <w:pStyle w:val="Style31"/>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33"/>
      <w:bookmarkEnd w:id="2134"/>
      <w:bookmarkEnd w:id="2135"/>
    </w:p>
    <w:p>
      <w:pPr>
        <w:pStyle w:val="Style44"/>
        <w:keepNext/>
        <w:keepLines/>
        <w:widowControl w:val="0"/>
        <w:shd w:val="clear" w:color="auto" w:fill="auto"/>
        <w:bidi w:val="0"/>
        <w:spacing w:before="0" w:after="400" w:line="240" w:lineRule="auto"/>
        <w:ind w:left="0" w:right="0" w:firstLine="0"/>
        <w:jc w:val="left"/>
      </w:pPr>
      <w:bookmarkStart w:id="2136" w:name="bookmark2136"/>
      <w:bookmarkStart w:id="2137" w:name="bookmark2137"/>
      <w:bookmarkStart w:id="2138" w:name="bookmark2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36"/>
      <w:bookmarkEnd w:id="2137"/>
      <w:bookmarkEnd w:id="21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39"/>
      <w:bookmarkEnd w:id="2140"/>
      <w:bookmarkEnd w:id="2141"/>
    </w:p>
    <w:p>
      <w:pPr>
        <w:widowControl w:val="0"/>
        <w:spacing w:line="1" w:lineRule="exact"/>
        <w:sectPr>
          <w:footnotePr>
            <w:pos w:val="pageBottom"/>
            <w:numFmt w:val="decimal"/>
            <w:numRestart w:val="continuous"/>
          </w:footnotePr>
          <w:pgSz w:w="11900" w:h="16840"/>
          <w:pgMar w:top="1383" w:right="1067" w:bottom="1565" w:left="1056" w:header="0" w:footer="3" w:gutter="0"/>
          <w:cols w:space="720"/>
          <w:noEndnote/>
          <w:rtlGutter w:val="0"/>
          <w:docGrid w:linePitch="360"/>
        </w:sectPr>
      </w:pPr>
      <w:r>
        <mc:AlternateContent>
          <mc:Choice Requires="wps">
            <w:drawing>
              <wp:anchor distT="190500" distB="0" distL="0" distR="0" simplePos="0" relativeHeight="125829386" behindDoc="0" locked="0" layoutInCell="1" allowOverlap="1">
                <wp:simplePos x="0" y="0"/>
                <wp:positionH relativeFrom="page">
                  <wp:posOffset>1240155</wp:posOffset>
                </wp:positionH>
                <wp:positionV relativeFrom="paragraph">
                  <wp:posOffset>190500</wp:posOffset>
                </wp:positionV>
                <wp:extent cx="1057910" cy="149225"/>
                <wp:wrapTopAndBottom/>
                <wp:docPr id="49" name="Shape 49"/>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1075" type="#_x0000_t202" style="position:absolute;margin-left:97.650000000000006pt;margin-top:15.pt;width:83.299999999999997pt;height:11.75pt;z-index:-125829367;mso-wrap-distance-left:0;mso-wrap-distance-top:15.pt;mso-wrap-distance-right:0;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90500" distB="0" distL="0" distR="0" simplePos="0" relativeHeight="125829388" behindDoc="0" locked="0" layoutInCell="1" allowOverlap="1">
                <wp:simplePos x="0" y="0"/>
                <wp:positionH relativeFrom="page">
                  <wp:posOffset>3556635</wp:posOffset>
                </wp:positionH>
                <wp:positionV relativeFrom="paragraph">
                  <wp:posOffset>190500</wp:posOffset>
                </wp:positionV>
                <wp:extent cx="484505" cy="149225"/>
                <wp:wrapTopAndBottom/>
                <wp:docPr id="51" name="Shape 5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批准程序</w:t>
                            </w:r>
                          </w:p>
                        </w:txbxContent>
                      </wps:txbx>
                      <wps:bodyPr wrap="none" lIns="0" tIns="0" rIns="0" bIns="0">
                        <a:noAutoFit/>
                      </wps:bodyPr>
                    </wps:wsp>
                  </a:graphicData>
                </a:graphic>
              </wp:anchor>
            </w:drawing>
          </mc:Choice>
          <mc:Fallback>
            <w:pict>
              <v:shape id="_x0000_s1077" type="#_x0000_t202" style="position:absolute;margin-left:280.05000000000001pt;margin-top:15.pt;width:38.149999999999999pt;height:11.75pt;z-index:-125829365;mso-wrap-distance-left:0;mso-wrap-distance-top:15.pt;mso-wrap-distance-right:0;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批准程序</w:t>
                      </w:r>
                    </w:p>
                  </w:txbxContent>
                </v:textbox>
                <w10:wrap type="topAndBottom" anchorx="page"/>
              </v:shape>
            </w:pict>
          </mc:Fallback>
        </mc:AlternateContent>
      </w:r>
      <w:r>
        <mc:AlternateContent>
          <mc:Choice Requires="wps">
            <w:drawing>
              <wp:anchor distT="190500" distB="0" distL="0" distR="0" simplePos="0" relativeHeight="125829390" behindDoc="0" locked="0" layoutInCell="1" allowOverlap="1">
                <wp:simplePos x="0" y="0"/>
                <wp:positionH relativeFrom="page">
                  <wp:posOffset>5196205</wp:posOffset>
                </wp:positionH>
                <wp:positionV relativeFrom="paragraph">
                  <wp:posOffset>190500</wp:posOffset>
                </wp:positionV>
                <wp:extent cx="1170305" cy="149225"/>
                <wp:wrapTopAndBottom/>
                <wp:docPr id="53" name="Shape 5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1079" type="#_x0000_t202" style="position:absolute;margin-left:409.15000000000003pt;margin-top:15.pt;width:92.150000000000006pt;height:11.75pt;z-index:-125829363;mso-wrap-distance-left:0;mso-wrap-distance-top:15.pt;mso-wrap-distance-right:0;mso-position-horizontal-relative:page" filled="f" stroked="f">
                <v:textbox inset="0,0,0,0">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采用未来适用法的原因</w:t>
                      </w:r>
                    </w:p>
                  </w:txbxContent>
                </v:textbox>
                <w10:wrap type="topAndBottom" anchorx="page"/>
              </v:shape>
            </w:pict>
          </mc:Fallback>
        </mc:AlternateContent>
      </w:r>
    </w:p>
    <w:p>
      <w:pPr>
        <w:pStyle w:val="Style31"/>
        <w:keepNext/>
        <w:keepLines/>
        <w:widowControl w:val="0"/>
        <w:shd w:val="clear" w:color="auto" w:fill="auto"/>
        <w:tabs>
          <w:tab w:pos="378" w:val="left"/>
        </w:tabs>
        <w:bidi w:val="0"/>
        <w:spacing w:before="80" w:line="240" w:lineRule="auto"/>
        <w:ind w:left="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2</w:t>
      </w:r>
      <w:bookmarkEnd w:id="2144"/>
      <w:r>
        <w:rPr>
          <w:color w:val="000000"/>
          <w:spacing w:val="0"/>
          <w:w w:val="100"/>
          <w:position w:val="0"/>
        </w:rPr>
        <w:t>、</w:t>
        <w:tab/>
        <w:t>债务重组</w:t>
      </w:r>
      <w:bookmarkEnd w:id="2142"/>
      <w:bookmarkEnd w:id="2143"/>
      <w:bookmarkEnd w:id="2145"/>
    </w:p>
    <w:p>
      <w:pPr>
        <w:pStyle w:val="Style31"/>
        <w:keepNext/>
        <w:keepLines/>
        <w:widowControl w:val="0"/>
        <w:shd w:val="clear" w:color="auto" w:fill="auto"/>
        <w:tabs>
          <w:tab w:pos="378" w:val="left"/>
        </w:tabs>
        <w:bidi w:val="0"/>
        <w:spacing w:before="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3</w:t>
      </w:r>
      <w:bookmarkEnd w:id="2148"/>
      <w:r>
        <w:rPr>
          <w:color w:val="000000"/>
          <w:spacing w:val="0"/>
          <w:w w:val="100"/>
          <w:position w:val="0"/>
        </w:rPr>
        <w:t>、</w:t>
        <w:tab/>
        <w:t>资产置换</w:t>
      </w:r>
      <w:bookmarkEnd w:id="2146"/>
      <w:bookmarkEnd w:id="2147"/>
      <w:bookmarkEnd w:id="2149"/>
    </w:p>
    <w:p>
      <w:pPr>
        <w:pStyle w:val="Style44"/>
        <w:keepNext/>
        <w:keepLines/>
        <w:widowControl w:val="0"/>
        <w:shd w:val="clear" w:color="auto" w:fill="auto"/>
        <w:tabs>
          <w:tab w:pos="493" w:val="left"/>
        </w:tabs>
        <w:bidi w:val="0"/>
        <w:spacing w:before="0" w:after="36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50"/>
      <w:bookmarkEnd w:id="2151"/>
      <w:bookmarkEnd w:id="2153"/>
    </w:p>
    <w:p>
      <w:pPr>
        <w:pStyle w:val="Style44"/>
        <w:keepNext/>
        <w:keepLines/>
        <w:widowControl w:val="0"/>
        <w:shd w:val="clear" w:color="auto" w:fill="auto"/>
        <w:tabs>
          <w:tab w:pos="493" w:val="left"/>
        </w:tabs>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54"/>
      <w:bookmarkEnd w:id="2155"/>
      <w:bookmarkEnd w:id="2157"/>
    </w:p>
    <w:p>
      <w:pPr>
        <w:pStyle w:val="Style31"/>
        <w:keepNext/>
        <w:keepLines/>
        <w:widowControl w:val="0"/>
        <w:shd w:val="clear" w:color="auto" w:fill="auto"/>
        <w:tabs>
          <w:tab w:pos="378" w:val="left"/>
        </w:tabs>
        <w:bidi w:val="0"/>
        <w:spacing w:before="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4</w:t>
      </w:r>
      <w:bookmarkEnd w:id="2160"/>
      <w:r>
        <w:rPr>
          <w:color w:val="000000"/>
          <w:spacing w:val="0"/>
          <w:w w:val="100"/>
          <w:position w:val="0"/>
        </w:rPr>
        <w:t>、</w:t>
        <w:tab/>
        <w:t>年金计划</w:t>
      </w:r>
      <w:bookmarkEnd w:id="2158"/>
      <w:bookmarkEnd w:id="2159"/>
      <w:bookmarkEnd w:id="2161"/>
    </w:p>
    <w:p>
      <w:pPr>
        <w:pStyle w:val="Style31"/>
        <w:keepNext/>
        <w:keepLines/>
        <w:widowControl w:val="0"/>
        <w:shd w:val="clear" w:color="auto" w:fill="auto"/>
        <w:tabs>
          <w:tab w:pos="378" w:val="left"/>
        </w:tabs>
        <w:bidi w:val="0"/>
        <w:spacing w:before="0" w:after="42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5</w:t>
      </w:r>
      <w:bookmarkEnd w:id="2164"/>
      <w:r>
        <w:rPr>
          <w:color w:val="000000"/>
          <w:spacing w:val="0"/>
          <w:w w:val="100"/>
          <w:position w:val="0"/>
        </w:rPr>
        <w:t>、</w:t>
        <w:tab/>
        <w:t>终止经营</w:t>
      </w:r>
      <w:bookmarkEnd w:id="2162"/>
      <w:bookmarkEnd w:id="2163"/>
      <w:bookmarkEnd w:id="216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31"/>
        <w:keepNext/>
        <w:keepLines/>
        <w:widowControl w:val="0"/>
        <w:shd w:val="clear" w:color="auto" w:fill="auto"/>
        <w:bidi w:val="0"/>
        <w:spacing w:before="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6</w:t>
      </w:r>
      <w:bookmarkEnd w:id="2168"/>
      <w:r>
        <w:rPr>
          <w:color w:val="000000"/>
          <w:spacing w:val="0"/>
          <w:w w:val="100"/>
          <w:position w:val="0"/>
        </w:rPr>
        <w:t>、分部信息</w:t>
      </w:r>
      <w:bookmarkEnd w:id="2166"/>
      <w:bookmarkEnd w:id="2167"/>
      <w:bookmarkEnd w:id="2169"/>
    </w:p>
    <w:p>
      <w:pPr>
        <w:pStyle w:val="Style44"/>
        <w:keepNext/>
        <w:keepLines/>
        <w:widowControl w:val="0"/>
        <w:shd w:val="clear" w:color="auto" w:fill="auto"/>
        <w:tabs>
          <w:tab w:pos="493" w:val="left"/>
        </w:tabs>
        <w:bidi w:val="0"/>
        <w:spacing w:before="0" w:after="360" w:line="240" w:lineRule="auto"/>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70"/>
      <w:bookmarkEnd w:id="2171"/>
      <w:bookmarkEnd w:id="2173"/>
    </w:p>
    <w:p>
      <w:pPr>
        <w:pStyle w:val="Style44"/>
        <w:keepNext/>
        <w:keepLines/>
        <w:widowControl w:val="0"/>
        <w:shd w:val="clear" w:color="auto" w:fill="auto"/>
        <w:tabs>
          <w:tab w:pos="493" w:val="left"/>
        </w:tabs>
        <w:bidi w:val="0"/>
        <w:spacing w:before="0" w:after="42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74"/>
      <w:bookmarkEnd w:id="2175"/>
      <w:bookmarkEnd w:id="21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78"/>
      <w:bookmarkEnd w:id="2179"/>
      <w:bookmarkEnd w:id="218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公司目前主营业务为对外承包工程业务，其他板块业务规模较小，占比较低，故公司无需编制分部报告。</w:t>
      </w:r>
    </w:p>
    <w:p>
      <w:pPr>
        <w:pStyle w:val="Style44"/>
        <w:keepNext/>
        <w:keepLines/>
        <w:widowControl w:val="0"/>
        <w:shd w:val="clear" w:color="auto" w:fill="auto"/>
        <w:tabs>
          <w:tab w:pos="493" w:val="left"/>
        </w:tabs>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82"/>
      <w:bookmarkEnd w:id="2183"/>
      <w:bookmarkEnd w:id="2185"/>
    </w:p>
    <w:p>
      <w:pPr>
        <w:pStyle w:val="Style31"/>
        <w:keepNext/>
        <w:keepLines/>
        <w:widowControl w:val="0"/>
        <w:shd w:val="clear" w:color="auto" w:fill="auto"/>
        <w:tabs>
          <w:tab w:pos="373"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7</w:t>
      </w:r>
      <w:bookmarkEnd w:id="2188"/>
      <w:r>
        <w:rPr>
          <w:color w:val="000000"/>
          <w:spacing w:val="0"/>
          <w:w w:val="100"/>
          <w:position w:val="0"/>
        </w:rPr>
        <w:t>、</w:t>
        <w:tab/>
        <w:t>其他对投资者决策有影响的重要交易和事项</w:t>
      </w:r>
      <w:bookmarkEnd w:id="2186"/>
      <w:bookmarkEnd w:id="2187"/>
      <w:bookmarkEnd w:id="2189"/>
    </w:p>
    <w:p>
      <w:pPr>
        <w:pStyle w:val="Style31"/>
        <w:keepNext/>
        <w:keepLines/>
        <w:widowControl w:val="0"/>
        <w:shd w:val="clear" w:color="auto" w:fill="auto"/>
        <w:tabs>
          <w:tab w:pos="378"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8</w:t>
      </w:r>
      <w:bookmarkEnd w:id="2192"/>
      <w:r>
        <w:rPr>
          <w:color w:val="000000"/>
          <w:spacing w:val="0"/>
          <w:w w:val="100"/>
          <w:position w:val="0"/>
        </w:rPr>
        <w:t>、</w:t>
        <w:tab/>
        <w:t>其他</w:t>
      </w:r>
      <w:bookmarkEnd w:id="2190"/>
      <w:bookmarkEnd w:id="2191"/>
      <w:bookmarkEnd w:id="2193"/>
    </w:p>
    <w:p>
      <w:pPr>
        <w:pStyle w:val="Style25"/>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r>
        <w:rPr>
          <w:color w:val="000000"/>
          <w:spacing w:val="0"/>
          <w:w w:val="100"/>
          <w:position w:val="0"/>
          <w:sz w:val="24"/>
          <w:szCs w:val="24"/>
        </w:rPr>
        <w:t>十七、母公司财务报表主要项目注释</w:t>
      </w:r>
      <w:bookmarkEnd w:id="2194"/>
      <w:bookmarkEnd w:id="2195"/>
      <w:bookmarkEnd w:id="2196"/>
    </w:p>
    <w:p>
      <w:pPr>
        <w:pStyle w:val="Style31"/>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97"/>
      <w:bookmarkEnd w:id="2198"/>
      <w:bookmarkEnd w:id="2199"/>
    </w:p>
    <w:p>
      <w:pPr>
        <w:pStyle w:val="Style44"/>
        <w:keepNext/>
        <w:keepLines/>
        <w:widowControl w:val="0"/>
        <w:shd w:val="clear" w:color="auto" w:fill="auto"/>
        <w:bidi w:val="0"/>
        <w:spacing w:before="0" w:after="360" w:line="240" w:lineRule="auto"/>
        <w:ind w:left="0" w:right="0" w:firstLine="0"/>
        <w:jc w:val="left"/>
      </w:pPr>
      <w:bookmarkStart w:id="2200" w:name="bookmark2200"/>
      <w:bookmarkStart w:id="2201" w:name="bookmark2201"/>
      <w:bookmarkStart w:id="2202" w:name="bookmark2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0"/>
      <w:bookmarkEnd w:id="2201"/>
      <w:bookmarkEnd w:id="2202"/>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8,893,47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8,893,47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7,493,790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5,378,071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2,115,718.8</w:t>
            </w: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211,883,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232,922,2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104,923,4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127,998,75</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211,883,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232,922,2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104,923,4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127,998,75</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240,416,0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110,301,5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130,114,47</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865.71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3515405.72</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浙江易健生物制品有限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客户已破产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舟山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大宗商品交 易中心管理委员会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五洋建设集团股份有限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客户已破产</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镇江深国投商用置业有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客户已破产</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8,893,477.30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8,893,477.30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72,044,945.37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5,136,804.60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19,943,977.39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3,382,498.57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23,371,732.08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6,854,929.02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10,708,614.55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5,420,700.69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6,563,317.93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5,246,060.02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79,251,395.51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79,251,395.51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211,883,982.83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105,292,388.41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72,044,945.37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21,343,664.25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23,371,732.08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104,017,118.43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12,283,244.99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6,563,317.93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85,170,555.51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220,777,460.13</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2203" w:name="bookmark2203"/>
      <w:bookmarkStart w:id="2204" w:name="bookmark2204"/>
      <w:bookmarkStart w:id="2205" w:name="bookmark2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3"/>
      <w:bookmarkEnd w:id="2204"/>
      <w:bookmarkEnd w:id="220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5,378,071.58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3,515,405.72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8,893,477.30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104,923,473.74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368,914.67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105,292,388.41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110,301,545.32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3,884,320.39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114,185,865.71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4"/>
        <w:keepNext/>
        <w:keepLines/>
        <w:widowControl w:val="0"/>
        <w:numPr>
          <w:ilvl w:val="0"/>
          <w:numId w:val="83"/>
        </w:numPr>
        <w:shd w:val="clear" w:color="auto" w:fill="auto"/>
        <w:bidi w:val="0"/>
        <w:spacing w:before="0" w:line="240" w:lineRule="auto"/>
        <w:ind w:left="0" w:right="0" w:firstLine="140"/>
        <w:jc w:val="left"/>
      </w:pPr>
      <w:bookmarkStart w:id="2206" w:name="bookmark2206"/>
      <w:bookmarkStart w:id="2207" w:name="bookmark2207"/>
      <w:bookmarkStart w:id="2208" w:name="bookmark2208"/>
      <w:bookmarkStart w:id="2209" w:name="bookmark2209"/>
      <w:bookmarkEnd w:id="2208"/>
      <w:r>
        <w:rPr>
          <w:color w:val="000000"/>
          <w:spacing w:val="0"/>
          <w:w w:val="100"/>
          <w:position w:val="0"/>
        </w:rPr>
        <w:t>本期实际核销的应收账款情况</w:t>
      </w:r>
      <w:bookmarkEnd w:id="2206"/>
      <w:bookmarkEnd w:id="2207"/>
      <w:bookmarkEnd w:id="22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4"/>
        <w:keepNext/>
        <w:keepLines/>
        <w:widowControl w:val="0"/>
        <w:numPr>
          <w:ilvl w:val="0"/>
          <w:numId w:val="83"/>
        </w:numPr>
        <w:shd w:val="clear" w:color="auto" w:fill="auto"/>
        <w:bidi w:val="0"/>
        <w:spacing w:before="0" w:line="240" w:lineRule="auto"/>
        <w:ind w:left="0" w:right="0" w:firstLine="0"/>
        <w:jc w:val="left"/>
      </w:pPr>
      <w:bookmarkStart w:id="2210" w:name="bookmark2210"/>
      <w:bookmarkStart w:id="2211" w:name="bookmark2211"/>
      <w:bookmarkStart w:id="2212" w:name="bookmark2212"/>
      <w:bookmarkStart w:id="2213" w:name="bookmark2213"/>
      <w:bookmarkEnd w:id="2212"/>
      <w:r>
        <w:rPr>
          <w:color w:val="000000"/>
          <w:spacing w:val="0"/>
          <w:w w:val="100"/>
          <w:position w:val="0"/>
        </w:rPr>
        <w:t>按欠款方归集的期末余额前五名的应收账款情况</w:t>
      </w:r>
      <w:bookmarkEnd w:id="2210"/>
      <w:bookmarkEnd w:id="2211"/>
      <w:bookmarkEnd w:id="221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66,698,211.70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66,698,211.70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598,920.00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7,997,168.83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674,557.12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6,960,589.36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496,290.02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6,808,380.99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521,318.01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96,864,350.88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4"/>
        <w:keepNext/>
        <w:keepLines/>
        <w:widowControl w:val="0"/>
        <w:numPr>
          <w:ilvl w:val="0"/>
          <w:numId w:val="83"/>
        </w:numPr>
        <w:shd w:val="clear" w:color="auto" w:fill="auto"/>
        <w:tabs>
          <w:tab w:pos="493"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rPr>
        <w:t>因金融资产转移而终止确认的应收账款</w:t>
      </w:r>
      <w:bookmarkEnd w:id="2214"/>
      <w:bookmarkEnd w:id="2215"/>
      <w:bookmarkEnd w:id="2217"/>
    </w:p>
    <w:p>
      <w:pPr>
        <w:pStyle w:val="Style44"/>
        <w:keepNext/>
        <w:keepLines/>
        <w:widowControl w:val="0"/>
        <w:numPr>
          <w:ilvl w:val="0"/>
          <w:numId w:val="83"/>
        </w:numPr>
        <w:shd w:val="clear" w:color="auto" w:fill="auto"/>
        <w:tabs>
          <w:tab w:pos="493" w:val="left"/>
        </w:tabs>
        <w:bidi w:val="0"/>
        <w:spacing w:before="0" w:line="240" w:lineRule="auto"/>
        <w:ind w:left="0" w:right="0" w:firstLine="0"/>
        <w:jc w:val="left"/>
      </w:pPr>
      <w:bookmarkStart w:id="2218" w:name="bookmark2218"/>
      <w:bookmarkStart w:id="2219" w:name="bookmark2219"/>
      <w:bookmarkStart w:id="2220" w:name="bookmark2220"/>
      <w:bookmarkStart w:id="2221" w:name="bookmark2221"/>
      <w:bookmarkEnd w:id="2220"/>
      <w:r>
        <w:rPr>
          <w:color w:val="000000"/>
          <w:spacing w:val="0"/>
          <w:w w:val="100"/>
          <w:position w:val="0"/>
        </w:rPr>
        <w:t>转移应收账款且继续涉入形成的资产、负债金额</w:t>
      </w:r>
      <w:bookmarkEnd w:id="2218"/>
      <w:bookmarkEnd w:id="2219"/>
      <w:bookmarkEnd w:id="222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2"/>
      <w:bookmarkEnd w:id="2223"/>
      <w:bookmarkEnd w:id="22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506,789,710.38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630,554,354.47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506,789,710.38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630,554,354.47</w:t>
            </w:r>
          </w:p>
        </w:tc>
      </w:tr>
    </w:tbl>
    <w:p>
      <w:pPr>
        <w:pStyle w:val="Style44"/>
        <w:keepNext/>
        <w:keepLines/>
        <w:widowControl w:val="0"/>
        <w:shd w:val="clear" w:color="auto" w:fill="auto"/>
        <w:bidi w:val="0"/>
        <w:spacing w:before="0" w:after="360" w:line="240" w:lineRule="auto"/>
        <w:ind w:left="0" w:right="0" w:firstLine="0"/>
        <w:jc w:val="both"/>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5"/>
      <w:bookmarkEnd w:id="2226"/>
      <w:bookmarkEnd w:id="2227"/>
    </w:p>
    <w:p>
      <w:pPr>
        <w:pStyle w:val="Style65"/>
        <w:keepNext/>
        <w:keepLines/>
        <w:widowControl w:val="0"/>
        <w:shd w:val="clear" w:color="auto" w:fill="auto"/>
        <w:bidi w:val="0"/>
        <w:spacing w:before="0" w:line="240" w:lineRule="auto"/>
        <w:ind w:left="0" w:right="0" w:firstLine="0"/>
        <w:jc w:val="both"/>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1</w:t>
      </w:r>
      <w:bookmarkEnd w:id="2230"/>
      <w:r>
        <w:rPr>
          <w:color w:val="000000"/>
          <w:spacing w:val="0"/>
          <w:w w:val="100"/>
          <w:position w:val="0"/>
        </w:rPr>
        <w:t>）应收利息分类</w:t>
      </w:r>
      <w:bookmarkEnd w:id="2228"/>
      <w:bookmarkEnd w:id="2229"/>
      <w:bookmarkEnd w:id="223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2</w:t>
      </w:r>
      <w:bookmarkEnd w:id="2234"/>
      <w:r>
        <w:rPr>
          <w:color w:val="000000"/>
          <w:spacing w:val="0"/>
          <w:w w:val="100"/>
          <w:position w:val="0"/>
        </w:rPr>
        <w:t>）重要逾期利息</w:t>
      </w:r>
      <w:bookmarkEnd w:id="2232"/>
      <w:bookmarkEnd w:id="2233"/>
      <w:bookmarkEnd w:id="2235"/>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3</w:t>
      </w:r>
      <w:bookmarkEnd w:id="2238"/>
      <w:r>
        <w:rPr>
          <w:color w:val="000000"/>
          <w:spacing w:val="0"/>
          <w:w w:val="100"/>
          <w:position w:val="0"/>
        </w:rPr>
        <w:t>）坏账准备计提情况</w:t>
      </w:r>
      <w:bookmarkEnd w:id="2236"/>
      <w:bookmarkEnd w:id="2237"/>
      <w:bookmarkEnd w:id="223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2240" w:name="bookmark2240"/>
      <w:bookmarkStart w:id="2241" w:name="bookmark2241"/>
      <w:bookmarkStart w:id="2242" w:name="bookmark22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0"/>
      <w:bookmarkEnd w:id="2241"/>
      <w:bookmarkEnd w:id="2242"/>
    </w:p>
    <w:p>
      <w:pPr>
        <w:pStyle w:val="Style65"/>
        <w:keepNext/>
        <w:keepLines/>
        <w:widowControl w:val="0"/>
        <w:shd w:val="clear" w:color="auto" w:fill="auto"/>
        <w:bidi w:val="0"/>
        <w:spacing w:before="0" w:line="240" w:lineRule="auto"/>
        <w:ind w:left="0" w:right="0" w:firstLine="0"/>
        <w:jc w:val="left"/>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1</w:t>
      </w:r>
      <w:bookmarkEnd w:id="2245"/>
      <w:r>
        <w:rPr>
          <w:color w:val="000000"/>
          <w:spacing w:val="0"/>
          <w:w w:val="100"/>
          <w:position w:val="0"/>
        </w:rPr>
        <w:t>）应收股利分类</w:t>
      </w:r>
      <w:bookmarkEnd w:id="2243"/>
      <w:bookmarkEnd w:id="2244"/>
      <w:bookmarkEnd w:id="22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bookmarkEnd w:id="224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47"/>
      <w:bookmarkEnd w:id="2248"/>
      <w:bookmarkEnd w:id="22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3</w:t>
      </w:r>
      <w:bookmarkEnd w:id="2253"/>
      <w:r>
        <w:rPr>
          <w:color w:val="000000"/>
          <w:spacing w:val="0"/>
          <w:w w:val="100"/>
          <w:position w:val="0"/>
        </w:rPr>
        <w:t>）坏账准备计提情况</w:t>
      </w:r>
      <w:bookmarkEnd w:id="2251"/>
      <w:bookmarkEnd w:id="2252"/>
      <w:bookmarkEnd w:id="225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60" w:line="240" w:lineRule="auto"/>
        <w:ind w:left="0" w:right="0" w:firstLine="0"/>
        <w:jc w:val="left"/>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55"/>
      <w:bookmarkEnd w:id="2256"/>
      <w:bookmarkEnd w:id="2258"/>
    </w:p>
    <w:p>
      <w:pPr>
        <w:pStyle w:val="Style65"/>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59"/>
      <w:bookmarkEnd w:id="2260"/>
      <w:bookmarkEnd w:id="22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92,758,842.49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87,683,606.03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620,677,360.04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681,463,487.82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689,620.78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2,519,375.55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4,135,640.25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716,076,844.89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773,972,354.88</w:t>
            </w:r>
          </w:p>
        </w:tc>
      </w:tr>
    </w:tbl>
    <w:p>
      <w:pPr>
        <w:widowControl w:val="0"/>
        <w:spacing w:after="339" w:line="1" w:lineRule="exact"/>
      </w:pPr>
    </w:p>
    <w:p>
      <w:pPr>
        <w:pStyle w:val="Style65"/>
        <w:keepNext/>
        <w:keepLines/>
        <w:widowControl w:val="0"/>
        <w:shd w:val="clear" w:color="auto" w:fill="auto"/>
        <w:bidi w:val="0"/>
        <w:spacing w:before="0" w:after="400" w:line="240" w:lineRule="auto"/>
        <w:ind w:left="0" w:right="0" w:firstLine="0"/>
        <w:jc w:val="left"/>
      </w:pPr>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2"/>
      <w:bookmarkEnd w:id="2263"/>
      <w:bookmarkEnd w:id="22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91,757,999.89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51,660,000.52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143,418,000.41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50,783,794.62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15,085,339.48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65,869,134.10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142,541,794.51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66,745,340.00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209,287,134.51</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本期发生损失准备变动的其他应收款账面余额显著变动，主要由于评估为第三阶段的其他应收款计提坏账准备。 评估为第三阶段的其他应收款款项信息如下：</w:t>
      </w:r>
    </w:p>
    <w:tbl>
      <w:tblPr>
        <w:tblOverlap w:val="never"/>
        <w:jc w:val="center"/>
        <w:tblLayout w:type="fixed"/>
      </w:tblPr>
      <w:tblGrid>
        <w:gridCol w:w="2261"/>
        <w:gridCol w:w="1416"/>
        <w:gridCol w:w="1478"/>
        <w:gridCol w:w="1589"/>
        <w:gridCol w:w="1080"/>
        <w:gridCol w:w="1814"/>
      </w:tblGrid>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债务人名称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预期信用损</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划分理由</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五洋建设集团股份有限公司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已发生信用减值</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浙江霖优航生物制药有限公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已发生信用减值</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浙江易健生物制品有限公司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已发生信用减值</w:t>
            </w:r>
          </w:p>
        </w:tc>
      </w:tr>
    </w:tbl>
    <w:p>
      <w:pPr>
        <w:widowControl w:val="0"/>
        <w:spacing w:after="3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284,369,678.68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11,772,866.98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274,228,864.35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145,705,434.88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113,473,633.46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963,151.50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31,268,649.92</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716,076,844.89</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3</w:t>
      </w:r>
      <w:bookmarkEnd w:id="2267"/>
      <w:r>
        <w:rPr>
          <w:color w:val="000000"/>
          <w:spacing w:val="0"/>
          <w:w w:val="100"/>
          <w:position w:val="0"/>
        </w:rPr>
        <w:t>）本期计提、收回或转回的坏账准备情况</w:t>
      </w:r>
      <w:bookmarkEnd w:id="2265"/>
      <w:bookmarkEnd w:id="2266"/>
      <w:bookmarkEnd w:id="226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4</w:t>
      </w:r>
      <w:bookmarkEnd w:id="2271"/>
      <w:r>
        <w:rPr>
          <w:color w:val="000000"/>
          <w:spacing w:val="0"/>
          <w:w w:val="100"/>
          <w:position w:val="0"/>
        </w:rPr>
        <w:t>）本期实际核销的其他应收款情况</w:t>
      </w:r>
      <w:bookmarkEnd w:id="2269"/>
      <w:bookmarkEnd w:id="2270"/>
      <w:bookmarkEnd w:id="227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5</w:t>
      </w:r>
      <w:bookmarkEnd w:id="2275"/>
      <w:r>
        <w:rPr>
          <w:color w:val="000000"/>
          <w:spacing w:val="0"/>
          <w:w w:val="100"/>
          <w:position w:val="0"/>
        </w:rPr>
        <w:t>）按欠款方归集的期末余额前五名的其他应收款情况</w:t>
      </w:r>
      <w:bookmarkEnd w:id="2273"/>
      <w:bookmarkEnd w:id="2274"/>
      <w:bookmarkEnd w:id="22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329,091,083.02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51,872,217.53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128,872,973.84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40,965,758.70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6,823,740.00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47,738,214.83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32,924,832.65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643,502,271.69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162,586,548.88</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both"/>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6</w:t>
      </w:r>
      <w:bookmarkEnd w:id="2279"/>
      <w:r>
        <w:rPr>
          <w:color w:val="000000"/>
          <w:spacing w:val="0"/>
          <w:w w:val="100"/>
          <w:position w:val="0"/>
        </w:rPr>
        <w:t>）涉及政府补助的应收款项</w:t>
      </w:r>
      <w:bookmarkEnd w:id="2277"/>
      <w:bookmarkEnd w:id="2278"/>
      <w:bookmarkEnd w:id="228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65"/>
        <w:keepNext/>
        <w:keepLines/>
        <w:widowControl w:val="0"/>
        <w:shd w:val="clear" w:color="auto" w:fill="auto"/>
        <w:tabs>
          <w:tab w:pos="392" w:val="left"/>
        </w:tabs>
        <w:bidi w:val="0"/>
        <w:spacing w:before="0" w:after="38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7</w:t>
      </w:r>
      <w:bookmarkEnd w:id="2283"/>
      <w:r>
        <w:rPr>
          <w:color w:val="000000"/>
          <w:spacing w:val="0"/>
          <w:w w:val="100"/>
          <w:position w:val="0"/>
        </w:rPr>
        <w:t>）</w:t>
        <w:tab/>
        <w:t>因金融资产转移而终止确认的其他应收款</w:t>
      </w:r>
      <w:bookmarkEnd w:id="2281"/>
      <w:bookmarkEnd w:id="2282"/>
      <w:bookmarkEnd w:id="2284"/>
    </w:p>
    <w:p>
      <w:pPr>
        <w:pStyle w:val="Style65"/>
        <w:keepNext/>
        <w:keepLines/>
        <w:widowControl w:val="0"/>
        <w:shd w:val="clear" w:color="auto" w:fill="auto"/>
        <w:tabs>
          <w:tab w:pos="397" w:val="left"/>
        </w:tabs>
        <w:bidi w:val="0"/>
        <w:spacing w:before="0" w:after="380" w:line="240" w:lineRule="auto"/>
        <w:ind w:left="0" w:right="0" w:firstLine="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8</w:t>
      </w:r>
      <w:bookmarkEnd w:id="2287"/>
      <w:r>
        <w:rPr>
          <w:color w:val="000000"/>
          <w:spacing w:val="0"/>
          <w:w w:val="100"/>
          <w:position w:val="0"/>
        </w:rPr>
        <w:t>）</w:t>
        <w:tab/>
        <w:t>转移其他应收款且继续涉入形成的资产、负债金额</w:t>
      </w:r>
      <w:bookmarkEnd w:id="2285"/>
      <w:bookmarkEnd w:id="2286"/>
      <w:bookmarkEnd w:id="228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3</w:t>
      </w:r>
      <w:bookmarkEnd w:id="2291"/>
      <w:r>
        <w:rPr>
          <w:color w:val="000000"/>
          <w:spacing w:val="0"/>
          <w:w w:val="100"/>
          <w:position w:val="0"/>
        </w:rPr>
        <w:t>、长期股权投资</w:t>
      </w:r>
      <w:bookmarkEnd w:id="2289"/>
      <w:bookmarkEnd w:id="2290"/>
      <w:bookmarkEnd w:id="229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1,198,120,873.03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1,198,120,873.03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1,265,307,587.24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1,265,307,587.24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160,038,523.76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9,112,048.91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150,926,474.85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93,635,237.70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93,635,237.70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1,358,159,396.79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9,112,048.91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1,349,047,347.88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1,358,942,824.94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1,358,942,824.94</w:t>
            </w:r>
          </w:p>
        </w:tc>
      </w:tr>
    </w:tbl>
    <w:p>
      <w:pPr>
        <w:widowControl w:val="0"/>
        <w:spacing w:after="379" w:line="1" w:lineRule="exact"/>
      </w:pPr>
    </w:p>
    <w:p>
      <w:pPr>
        <w:pStyle w:val="Style44"/>
        <w:keepNext/>
        <w:keepLines/>
        <w:widowControl w:val="0"/>
        <w:shd w:val="clear" w:color="auto" w:fill="auto"/>
        <w:bidi w:val="0"/>
        <w:spacing w:before="0" w:line="240" w:lineRule="auto"/>
        <w:ind w:left="0" w:right="0" w:firstLine="140"/>
        <w:jc w:val="left"/>
      </w:pPr>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3"/>
      <w:bookmarkEnd w:id="2294"/>
      <w:bookmarkEnd w:id="229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上海汉鼎信息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海峡创新信息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49,655,638.79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49,655,638.79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汉鼎国际发展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11,737,064.19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11,737,064.19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浙江汉鼎宇佑 金融服务有限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479,968,170.0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479,968,170.05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杭州汉鼎宇佑 金控投资有限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浙江汉鼎宇佑 资本管理有限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杭州海峡创新 互动娱乐管理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商业发展有限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霍尔果斯吉良 先道信息科技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好医友医疗科 技集团有限公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70,986,714.21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70,986,714.21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好医友互联网 医院（平潭）有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浙江海峡创新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1,265,307,587.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71,186,714.21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1,198,120,873.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6"/>
      <w:bookmarkEnd w:id="2297"/>
      <w:bookmarkEnd w:id="22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蜂助手股 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75,656,94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16,780,28</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92,934,23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广东悦伍 纪网络技 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8,527,830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-960,606.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8,595,010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四川通普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9,450,464</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-3,920,04</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2,676,450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2,853,965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2,676,450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好医友医 疗科技集 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2,842,552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46,543,26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6,435,598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93,635,23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11,873,63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417,703.8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150,926,4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9,112,048</w:t>
            </w:r>
          </w:p>
        </w:tc>
      </w:tr>
    </w:tbl>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93,635,23</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5,519,002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150,926,4</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339" w:line="1" w:lineRule="exact"/>
      </w:pPr>
    </w:p>
    <w:p>
      <w:pPr>
        <w:pStyle w:val="Style44"/>
        <w:keepNext/>
        <w:keepLines/>
        <w:widowControl w:val="0"/>
        <w:numPr>
          <w:ilvl w:val="0"/>
          <w:numId w:val="85"/>
        </w:numPr>
        <w:shd w:val="clear" w:color="auto" w:fill="auto"/>
        <w:bidi w:val="0"/>
        <w:spacing w:before="0" w:after="340" w:line="240" w:lineRule="auto"/>
        <w:ind w:left="0" w:right="0" w:firstLine="0"/>
        <w:jc w:val="left"/>
      </w:pPr>
      <w:bookmarkStart w:id="2299" w:name="bookmark2299"/>
      <w:bookmarkStart w:id="2300" w:name="bookmark2300"/>
      <w:bookmarkStart w:id="2301" w:name="bookmark2301"/>
      <w:bookmarkStart w:id="2302" w:name="bookmark2302"/>
      <w:bookmarkEnd w:id="2301"/>
      <w:r>
        <w:rPr>
          <w:color w:val="000000"/>
          <w:spacing w:val="0"/>
          <w:w w:val="100"/>
          <w:position w:val="0"/>
        </w:rPr>
        <w:t>其他说明</w:t>
      </w:r>
      <w:bookmarkEnd w:id="2299"/>
      <w:bookmarkEnd w:id="2300"/>
      <w:bookmarkEnd w:id="2302"/>
    </w:p>
    <w:p>
      <w:pPr>
        <w:pStyle w:val="Style31"/>
        <w:keepNext/>
        <w:keepLines/>
        <w:widowControl w:val="0"/>
        <w:shd w:val="clear" w:color="auto" w:fill="auto"/>
        <w:bidi w:val="0"/>
        <w:spacing w:before="0" w:after="380" w:line="240" w:lineRule="auto"/>
        <w:ind w:left="0" w:right="0" w:firstLine="0"/>
        <w:jc w:val="left"/>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4</w:t>
      </w:r>
      <w:bookmarkEnd w:id="2305"/>
      <w:r>
        <w:rPr>
          <w:color w:val="000000"/>
          <w:spacing w:val="0"/>
          <w:w w:val="100"/>
          <w:position w:val="0"/>
        </w:rPr>
        <w:t>、营业收入和营业成本</w:t>
      </w:r>
      <w:bookmarkEnd w:id="2303"/>
      <w:bookmarkEnd w:id="2304"/>
      <w:bookmarkEnd w:id="230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290,762,476.16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273,192,031.47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295,485,312.05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286,082,867.24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1,368,523.16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3,266,521.74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4,984,337.00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3,931,146.46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292,130,999.32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276,458,553.21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300,469,649.05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290,014,013.70</w:t>
            </w:r>
          </w:p>
        </w:tc>
      </w:tr>
    </w:tbl>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5</w:t>
      </w:r>
      <w:bookmarkEnd w:id="2309"/>
      <w:r>
        <w:rPr>
          <w:color w:val="000000"/>
          <w:spacing w:val="0"/>
          <w:w w:val="100"/>
          <w:position w:val="0"/>
        </w:rPr>
        <w:t>、投资收益</w:t>
      </w:r>
      <w:bookmarkEnd w:id="2307"/>
      <w:bookmarkEnd w:id="2308"/>
      <w:bookmarkEnd w:id="231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8,813,205.82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11,509,919.87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879,405.48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-4,988,465.24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9,692,611.30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6,521,454.63</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6</w:t>
      </w:r>
      <w:bookmarkEnd w:id="2313"/>
      <w:r>
        <w:rPr>
          <w:color w:val="000000"/>
          <w:spacing w:val="0"/>
          <w:w w:val="100"/>
          <w:position w:val="0"/>
        </w:rPr>
        <w:t>、其他</w:t>
      </w:r>
      <w:bookmarkEnd w:id="2311"/>
      <w:bookmarkEnd w:id="2312"/>
      <w:bookmarkEnd w:id="2314"/>
    </w:p>
    <w:p>
      <w:pPr>
        <w:pStyle w:val="Style25"/>
        <w:keepNext/>
        <w:keepLines/>
        <w:widowControl w:val="0"/>
        <w:shd w:val="clear" w:color="auto" w:fill="auto"/>
        <w:bidi w:val="0"/>
        <w:spacing w:before="0" w:after="340" w:line="240" w:lineRule="auto"/>
        <w:ind w:left="0" w:right="0" w:firstLine="0"/>
        <w:jc w:val="left"/>
      </w:pPr>
      <w:bookmarkStart w:id="2315" w:name="bookmark2315"/>
      <w:bookmarkStart w:id="2316" w:name="bookmark2316"/>
      <w:bookmarkStart w:id="2317" w:name="bookmark2317"/>
      <w:r>
        <w:rPr>
          <w:color w:val="000000"/>
          <w:spacing w:val="0"/>
          <w:w w:val="100"/>
          <w:position w:val="0"/>
          <w:sz w:val="24"/>
          <w:szCs w:val="24"/>
        </w:rPr>
        <w:t>十八、补充资料</w:t>
      </w:r>
      <w:bookmarkEnd w:id="2315"/>
      <w:bookmarkEnd w:id="2316"/>
      <w:bookmarkEnd w:id="2317"/>
    </w:p>
    <w:p>
      <w:pPr>
        <w:pStyle w:val="Style31"/>
        <w:keepNext/>
        <w:keepLines/>
        <w:widowControl w:val="0"/>
        <w:shd w:val="clear" w:color="auto" w:fill="auto"/>
        <w:bidi w:val="0"/>
        <w:spacing w:before="0" w:after="380" w:line="240" w:lineRule="auto"/>
        <w:ind w:left="0" w:right="0" w:firstLine="0"/>
        <w:jc w:val="left"/>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18"/>
      <w:bookmarkEnd w:id="2319"/>
      <w:bookmarkEnd w:id="232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1,415,801.80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8,953,754.81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主要系因被担保人违约而确认的预计负 债</w:t>
            </w:r>
            <w:r>
              <w:rPr>
                <w:rFonts w:ascii="Times New Roman" w:eastAsia="Times New Roman" w:hAnsi="Times New Roman" w:cs="Times New Roman"/>
                <w:color w:val="000000"/>
                <w:spacing w:val="0"/>
                <w:w w:val="100"/>
                <w:position w:val="0"/>
                <w:sz w:val="18"/>
                <w:szCs w:val="18"/>
              </w:rPr>
              <w:t>8,803,453.36</w:t>
            </w:r>
            <w:r>
              <w:rPr>
                <w:color w:val="000000"/>
                <w:spacing w:val="0"/>
                <w:w w:val="100"/>
                <w:position w:val="0"/>
              </w:rPr>
              <w:t>元，详见本附注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 承诺及或有事项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-245,228,790.34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主要系金融资产公允价值变动损益。其 中</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 xml:space="preserve">公允价值变动影响数为 </w:t>
            </w:r>
            <w:r>
              <w:rPr>
                <w:rFonts w:ascii="Times New Roman" w:eastAsia="Times New Roman" w:hAnsi="Times New Roman" w:cs="Times New Roman"/>
                <w:color w:val="000000"/>
                <w:spacing w:val="0"/>
                <w:w w:val="100"/>
                <w:position w:val="0"/>
                <w:sz w:val="18"/>
                <w:szCs w:val="18"/>
              </w:rPr>
              <w:t>-102,269,860.96</w:t>
            </w:r>
            <w:r>
              <w:rPr>
                <w:color w:val="000000"/>
                <w:spacing w:val="0"/>
                <w:w w:val="100"/>
                <w:position w:val="0"/>
              </w:rPr>
              <w:t>元,海润影视公允价值变 动影响数为</w:t>
            </w:r>
            <w:r>
              <w:rPr>
                <w:rFonts w:ascii="Times New Roman" w:eastAsia="Times New Roman" w:hAnsi="Times New Roman" w:cs="Times New Roman"/>
                <w:color w:val="000000"/>
                <w:spacing w:val="0"/>
                <w:w w:val="100"/>
                <w:position w:val="0"/>
                <w:sz w:val="18"/>
                <w:szCs w:val="18"/>
              </w:rPr>
              <w:t>-87,500,558.40</w:t>
            </w:r>
            <w:r>
              <w:rPr>
                <w:color w:val="000000"/>
                <w:spacing w:val="0"/>
                <w:w w:val="100"/>
                <w:position w:val="0"/>
              </w:rPr>
              <w:t>元，微贷网股 价波动影响数为</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22,002,747.05</w:t>
            </w:r>
            <w:r>
              <w:rPr>
                <w:color w:val="000000"/>
                <w:spacing w:val="0"/>
                <w:w w:val="100"/>
                <w:position w:val="0"/>
              </w:rPr>
              <w:t>元。</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-859,784.20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-62,143,128.72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主要系微贷网由权益法转换为公允价值 计量且其变动计入当期损益的金融资产 形成的投资损失。</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-4,768,762.36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66,950.52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-300,613,788.17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both"/>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1"/>
      <w:bookmarkEnd w:id="2322"/>
      <w:bookmarkEnd w:id="2323"/>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3</w:t>
      </w:r>
      <w:bookmarkEnd w:id="2326"/>
      <w:r>
        <w:rPr>
          <w:color w:val="000000"/>
          <w:spacing w:val="0"/>
          <w:w w:val="100"/>
          <w:position w:val="0"/>
        </w:rPr>
        <w:t>、境内外会计准则下会计数据差异</w:t>
      </w:r>
      <w:bookmarkEnd w:id="2324"/>
      <w:bookmarkEnd w:id="2325"/>
      <w:bookmarkEnd w:id="2327"/>
    </w:p>
    <w:p>
      <w:pPr>
        <w:pStyle w:val="Style44"/>
        <w:keepNext/>
        <w:keepLines/>
        <w:widowControl w:val="0"/>
        <w:shd w:val="clear" w:color="auto" w:fill="auto"/>
        <w:bidi w:val="0"/>
        <w:spacing w:before="0" w:after="360" w:line="240" w:lineRule="auto"/>
        <w:ind w:left="0" w:right="0" w:firstLine="0"/>
        <w:jc w:val="both"/>
      </w:pPr>
      <w:bookmarkStart w:id="2328" w:name="bookmark2328"/>
      <w:bookmarkStart w:id="2329" w:name="bookmark2329"/>
      <w:bookmarkStart w:id="2330" w:name="bookmark2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28"/>
      <w:bookmarkEnd w:id="2329"/>
      <w:bookmarkEnd w:id="2330"/>
    </w:p>
    <w:p>
      <w:pPr>
        <w:pStyle w:val="Style27"/>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numPr>
          <w:ilvl w:val="0"/>
          <w:numId w:val="87"/>
        </w:numPr>
        <w:shd w:val="clear" w:color="auto" w:fill="auto"/>
        <w:tabs>
          <w:tab w:pos="493" w:val="left"/>
        </w:tabs>
        <w:bidi w:val="0"/>
        <w:spacing w:before="0" w:line="331" w:lineRule="exact"/>
        <w:ind w:left="0" w:right="0" w:firstLine="0"/>
        <w:jc w:val="left"/>
      </w:pPr>
      <w:bookmarkStart w:id="2331" w:name="bookmark2331"/>
      <w:bookmarkStart w:id="2332" w:name="bookmark2332"/>
      <w:bookmarkStart w:id="2333" w:name="bookmark2333"/>
      <w:bookmarkStart w:id="2334" w:name="bookmark2334"/>
      <w:bookmarkEnd w:id="2333"/>
      <w:r>
        <w:rPr>
          <w:color w:val="000000"/>
          <w:spacing w:val="0"/>
          <w:w w:val="100"/>
          <w:position w:val="0"/>
        </w:rPr>
        <w:t>同时按照境外会计准则与按中国会计准则披露的财务报告中净利润和净资产差异情况</w:t>
      </w:r>
      <w:bookmarkEnd w:id="2331"/>
      <w:bookmarkEnd w:id="2332"/>
      <w:bookmarkEnd w:id="2334"/>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87"/>
        </w:numPr>
        <w:shd w:val="clear" w:color="auto" w:fill="auto"/>
        <w:bidi w:val="0"/>
        <w:spacing w:before="0" w:after="280" w:line="331" w:lineRule="exact"/>
        <w:ind w:left="0" w:right="0" w:firstLine="0"/>
        <w:jc w:val="left"/>
      </w:pPr>
      <w:bookmarkStart w:id="2335" w:name="bookmark2335"/>
      <w:bookmarkStart w:id="2336" w:name="bookmark2336"/>
      <w:bookmarkStart w:id="2337" w:name="bookmark2337"/>
      <w:bookmarkStart w:id="2338" w:name="bookmark2338"/>
      <w:bookmarkEnd w:id="2337"/>
      <w:r>
        <w:rPr>
          <w:color w:val="000000"/>
          <w:spacing w:val="0"/>
          <w:w w:val="100"/>
          <w:position w:val="0"/>
        </w:rPr>
        <w:t xml:space="preserve"> 境内外会计准则下会计数据差异原因说明，对已经境外审计机构审计的数据进行差异调节的，应注 明该境外机构的名称</w:t>
      </w:r>
      <w:bookmarkEnd w:id="2335"/>
      <w:bookmarkEnd w:id="2336"/>
      <w:bookmarkEnd w:id="2338"/>
    </w:p>
    <w:p>
      <w:pPr>
        <w:pStyle w:val="Style31"/>
        <w:keepNext/>
        <w:keepLines/>
        <w:widowControl w:val="0"/>
        <w:shd w:val="clear" w:color="auto" w:fill="auto"/>
        <w:bidi w:val="0"/>
        <w:spacing w:before="0" w:after="320" w:line="331" w:lineRule="exact"/>
        <w:ind w:left="0" w:right="0" w:firstLine="0"/>
        <w:jc w:val="left"/>
        <w:sectPr>
          <w:footnotePr>
            <w:pos w:val="pageBottom"/>
            <w:numFmt w:val="decimal"/>
            <w:numRestart w:val="continuous"/>
          </w:footnotePr>
          <w:pgSz w:w="11900" w:h="16840"/>
          <w:pgMar w:top="1388" w:right="1067" w:bottom="1455" w:left="1045" w:header="0" w:footer="3" w:gutter="0"/>
          <w:cols w:space="720"/>
          <w:noEndnote/>
          <w:rtlGutter w:val="0"/>
          <w:docGrid w:linePitch="360"/>
        </w:sectPr>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4</w:t>
      </w:r>
      <w:bookmarkEnd w:id="2341"/>
      <w:r>
        <w:rPr>
          <w:color w:val="000000"/>
          <w:spacing w:val="0"/>
          <w:w w:val="100"/>
          <w:position w:val="0"/>
        </w:rPr>
        <w:t>、其他</w:t>
      </w:r>
      <w:bookmarkEnd w:id="2339"/>
      <w:bookmarkEnd w:id="2340"/>
      <w:bookmarkEnd w:id="2342"/>
    </w:p>
    <w:p>
      <w:pPr>
        <w:pStyle w:val="Style16"/>
        <w:keepNext/>
        <w:keepLines/>
        <w:widowControl w:val="0"/>
        <w:shd w:val="clear" w:color="auto" w:fill="auto"/>
        <w:bidi w:val="0"/>
        <w:spacing w:before="0" w:after="600" w:line="240" w:lineRule="auto"/>
        <w:ind w:left="0" w:right="0" w:firstLine="0"/>
        <w:jc w:val="center"/>
      </w:pPr>
      <w:bookmarkStart w:id="2343" w:name="bookmark2343"/>
      <w:bookmarkStart w:id="2344" w:name="bookmark2344"/>
      <w:bookmarkStart w:id="2345" w:name="bookmark2345"/>
      <w:r>
        <w:rPr>
          <w:color w:val="000000"/>
          <w:spacing w:val="0"/>
          <w:w w:val="100"/>
          <w:position w:val="0"/>
        </w:rPr>
        <w:t>第十三节备查文件目录</w:t>
      </w:r>
      <w:bookmarkEnd w:id="2343"/>
      <w:bookmarkEnd w:id="2344"/>
      <w:bookmarkEnd w:id="2345"/>
    </w:p>
    <w:p>
      <w:pPr>
        <w:pStyle w:val="Style27"/>
        <w:keepNext w:val="0"/>
        <w:keepLines w:val="0"/>
        <w:widowControl w:val="0"/>
        <w:shd w:val="clear" w:color="auto" w:fill="auto"/>
        <w:tabs>
          <w:tab w:pos="435" w:val="left"/>
        </w:tabs>
        <w:bidi w:val="0"/>
        <w:spacing w:before="0" w:line="240" w:lineRule="auto"/>
        <w:ind w:left="0" w:right="0" w:firstLine="0"/>
        <w:jc w:val="left"/>
      </w:pPr>
      <w:bookmarkStart w:id="2346" w:name="bookmark2346"/>
      <w:bookmarkStart w:id="2347" w:name="bookmark2347"/>
      <w:r>
        <w:rPr>
          <w:color w:val="000000"/>
          <w:spacing w:val="0"/>
          <w:w w:val="100"/>
          <w:position w:val="0"/>
        </w:rPr>
        <w:t>一</w:t>
      </w:r>
      <w:bookmarkEnd w:id="2347"/>
      <w:r>
        <w:rPr>
          <w:color w:val="000000"/>
          <w:spacing w:val="0"/>
          <w:w w:val="100"/>
          <w:position w:val="0"/>
        </w:rPr>
        <w:t>、</w:t>
        <w:tab/>
        <w:t>载有公司法定代表人、主管会计工作的公司负责人、公司会计机构负责人（会计主管人员）签名并盖章的财务报表。</w:t>
      </w:r>
      <w:bookmarkEnd w:id="2346"/>
    </w:p>
    <w:p>
      <w:pPr>
        <w:pStyle w:val="Style27"/>
        <w:keepNext w:val="0"/>
        <w:keepLines w:val="0"/>
        <w:widowControl w:val="0"/>
        <w:shd w:val="clear" w:color="auto" w:fill="auto"/>
        <w:tabs>
          <w:tab w:pos="435" w:val="left"/>
        </w:tabs>
        <w:bidi w:val="0"/>
        <w:spacing w:before="0" w:line="240" w:lineRule="auto"/>
        <w:ind w:left="0" w:right="0" w:firstLine="0"/>
        <w:jc w:val="left"/>
      </w:pPr>
      <w:bookmarkStart w:id="2348" w:name="bookmark2348"/>
      <w:r>
        <w:rPr>
          <w:color w:val="000000"/>
          <w:spacing w:val="0"/>
          <w:w w:val="100"/>
          <w:position w:val="0"/>
        </w:rPr>
        <w:t>二</w:t>
      </w:r>
      <w:bookmarkEnd w:id="2348"/>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5" w:val="left"/>
        </w:tabs>
        <w:bidi w:val="0"/>
        <w:spacing w:before="0" w:line="240" w:lineRule="auto"/>
        <w:ind w:left="0" w:right="0" w:firstLine="0"/>
        <w:jc w:val="left"/>
      </w:pPr>
      <w:bookmarkStart w:id="2349" w:name="bookmark2349"/>
      <w:r>
        <w:rPr>
          <w:color w:val="000000"/>
          <w:spacing w:val="0"/>
          <w:w w:val="100"/>
          <w:position w:val="0"/>
        </w:rPr>
        <w:t>三</w:t>
      </w:r>
      <w:bookmarkEnd w:id="2349"/>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435" w:val="left"/>
        </w:tabs>
        <w:bidi w:val="0"/>
        <w:spacing w:before="0" w:line="240" w:lineRule="auto"/>
        <w:ind w:left="0" w:right="0" w:firstLine="0"/>
        <w:jc w:val="left"/>
      </w:pPr>
      <w:bookmarkStart w:id="2350" w:name="bookmark2350"/>
      <w:r>
        <w:rPr>
          <w:color w:val="000000"/>
          <w:spacing w:val="0"/>
          <w:w w:val="100"/>
          <w:position w:val="0"/>
        </w:rPr>
        <w:t>四</w:t>
      </w:r>
      <w:bookmarkEnd w:id="2350"/>
      <w:r>
        <w:rPr>
          <w:color w:val="000000"/>
          <w:spacing w:val="0"/>
          <w:w w:val="100"/>
          <w:position w:val="0"/>
        </w:rPr>
        <w:t>、</w:t>
        <w:tab/>
        <w:t>其他相关资料。</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62" w:right="1203" w:bottom="166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3725545</wp:posOffset>
              </wp:positionH>
              <wp:positionV relativeFrom="page">
                <wp:posOffset>9961245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35000000000002pt;margin-top:784.3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3725545</wp:posOffset>
              </wp:positionH>
              <wp:positionV relativeFrom="page">
                <wp:posOffset>9961245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35000000000002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3759835</wp:posOffset>
              </wp:positionH>
              <wp:positionV relativeFrom="page">
                <wp:posOffset>10132060</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6.05000000000001pt;margin-top:797.80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6408420</wp:posOffset>
              </wp:positionH>
              <wp:positionV relativeFrom="page">
                <wp:posOffset>9561830</wp:posOffset>
              </wp:positionV>
              <wp:extent cx="445135" cy="106680"/>
              <wp:wrapNone/>
              <wp:docPr id="30" name="Shape 3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6" type="#_x0000_t202" style="position:absolute;margin-left:504.60000000000002pt;margin-top:752.89999999999998pt;width:35.050000000000004pt;height:8.4000000000000004pt;z-index:-188744048;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3719830</wp:posOffset>
              </wp:positionH>
              <wp:positionV relativeFrom="page">
                <wp:posOffset>10140950</wp:posOffset>
              </wp:positionV>
              <wp:extent cx="158750" cy="79375"/>
              <wp:wrapNone/>
              <wp:docPr id="32" name="Shape 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92.90000000000003pt;margin-top:798.5pt;width:12.5pt;height:6.25pt;z-index:-188744046;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3725545</wp:posOffset>
              </wp:positionH>
              <wp:positionV relativeFrom="page">
                <wp:posOffset>9961245</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293.35000000000002pt;margin-top:784.35000000000002pt;width:7.7000000000000002pt;height:6.25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3725545</wp:posOffset>
              </wp:positionH>
              <wp:positionV relativeFrom="page">
                <wp:posOffset>9961245</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293.35000000000002pt;margin-top:784.35000000000002pt;width:7.7000000000000002pt;height:6.25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3725545</wp:posOffset>
              </wp:positionH>
              <wp:positionV relativeFrom="page">
                <wp:posOffset>9961245</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3.35000000000002pt;margin-top:784.35000000000002pt;width:7.7000000000000002pt;height:6.25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4262120</wp:posOffset>
              </wp:positionH>
              <wp:positionV relativeFrom="page">
                <wp:posOffset>478790</wp:posOffset>
              </wp:positionV>
              <wp:extent cx="2569210" cy="106680"/>
              <wp:wrapNone/>
              <wp:docPr id="1" name="Shape 1"/>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5.60000000000002pt;margin-top:37.700000000000003pt;width:202.3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697230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4.899999999999999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4262120</wp:posOffset>
              </wp:positionH>
              <wp:positionV relativeFrom="page">
                <wp:posOffset>478790</wp:posOffset>
              </wp:positionV>
              <wp:extent cx="2569210" cy="106680"/>
              <wp:wrapNone/>
              <wp:docPr id="6" name="Shape 6"/>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5.60000000000002pt;margin-top:37.700000000000003pt;width:202.3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697230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4.899999999999999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4269105</wp:posOffset>
              </wp:positionH>
              <wp:positionV relativeFrom="page">
                <wp:posOffset>476250</wp:posOffset>
              </wp:positionV>
              <wp:extent cx="2569210" cy="106680"/>
              <wp:wrapNone/>
              <wp:docPr id="11" name="Shape 11"/>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36.15000000000003pt;margin-top:37.5pt;width:202.3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4283710</wp:posOffset>
              </wp:positionH>
              <wp:positionV relativeFrom="page">
                <wp:posOffset>694690</wp:posOffset>
              </wp:positionV>
              <wp:extent cx="2569210" cy="106680"/>
              <wp:wrapNone/>
              <wp:docPr id="27" name="Shape 27"/>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337.30000000000001pt;margin-top:54.700000000000003pt;width:202.30000000000001pt;height:8.4000000000000004pt;z-index:-188744050;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海峡创新互联网股份有限公司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889635</wp:posOffset>
              </wp:positionV>
              <wp:extent cx="6160135" cy="0"/>
              <wp:wrapNone/>
              <wp:docPr id="29" name="Shape 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5pt;margin-top:70.049999999999997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4262120</wp:posOffset>
              </wp:positionH>
              <wp:positionV relativeFrom="page">
                <wp:posOffset>478790</wp:posOffset>
              </wp:positionV>
              <wp:extent cx="2569210" cy="106680"/>
              <wp:wrapNone/>
              <wp:docPr id="34" name="Shape 34"/>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35.60000000000002pt;margin-top:37.700000000000003pt;width:202.30000000000001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697230</wp:posOffset>
              </wp:positionV>
              <wp:extent cx="6160135" cy="0"/>
              <wp:wrapNone/>
              <wp:docPr id="36" name="Shape 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4.899999999999999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4262120</wp:posOffset>
              </wp:positionH>
              <wp:positionV relativeFrom="page">
                <wp:posOffset>478790</wp:posOffset>
              </wp:positionV>
              <wp:extent cx="2569210" cy="106680"/>
              <wp:wrapNone/>
              <wp:docPr id="39" name="Shape 39"/>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5" type="#_x0000_t202" style="position:absolute;margin-left:335.60000000000002pt;margin-top:37.700000000000003pt;width:202.30000000000001pt;height:8.4000000000000004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697230</wp:posOffset>
              </wp:positionV>
              <wp:extent cx="6160135" cy="0"/>
              <wp:wrapNone/>
              <wp:docPr id="41" name="Shape 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4.899999999999999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4262120</wp:posOffset>
              </wp:positionH>
              <wp:positionV relativeFrom="page">
                <wp:posOffset>478790</wp:posOffset>
              </wp:positionV>
              <wp:extent cx="2569210" cy="106680"/>
              <wp:wrapNone/>
              <wp:docPr id="44" name="Shape 44"/>
              <a:graphic xmlns:a="http://schemas.openxmlformats.org/drawingml/2006/main">
                <a:graphicData uri="http://schemas.microsoft.com/office/word/2010/wordprocessingShape">
                  <wps:wsp>
                    <wps:cNvSpPr txBox="1"/>
                    <wps:spPr>
                      <a:xfrm>
                        <a:ext cx="25692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335.60000000000002pt;margin-top:37.700000000000003pt;width:202.30000000000001pt;height:8.4000000000000004pt;z-index:-1887440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海峡创新互联网股份有限公司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697230</wp:posOffset>
              </wp:positionV>
              <wp:extent cx="6160135" cy="0"/>
              <wp:wrapNone/>
              <wp:docPr id="46" name="Shape 4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4.89999999999999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48"/>
      <w:szCs w:val="48"/>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4">
    <w:name w:val="正文文本 (8)_"/>
    <w:basedOn w:val="DefaultParagraphFont"/>
    <w:link w:val="Style53"/>
    <w:rPr>
      <w:rFonts w:ascii="SimSun" w:eastAsia="SimSun" w:hAnsi="SimSun" w:cs="SimSun"/>
      <w:b/>
      <w:bCs/>
      <w:i w:val="0"/>
      <w:iCs w:val="0"/>
      <w:smallCaps w:val="0"/>
      <w:strike w:val="0"/>
      <w:sz w:val="36"/>
      <w:szCs w:val="36"/>
      <w:u w:val="none"/>
      <w:shd w:val="clear" w:color="auto" w:fill="auto"/>
    </w:rPr>
  </w:style>
  <w:style w:type="character" w:customStyle="1" w:styleId="CharStyle58">
    <w:name w:val="正文文本 (7)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正文文本 (4)"/>
    <w:basedOn w:val="Normal"/>
    <w:link w:val="CharStyle11"/>
    <w:pPr>
      <w:widowControl w:val="0"/>
      <w:shd w:val="clear" w:color="auto" w:fill="auto"/>
      <w:spacing w:after="970"/>
      <w:jc w:val="center"/>
    </w:pPr>
    <w:rPr>
      <w:rFonts w:ascii="SimSun" w:eastAsia="SimSun" w:hAnsi="SimSun" w:cs="SimSun"/>
      <w:b/>
      <w:bCs/>
      <w:i w:val="0"/>
      <w:iCs w:val="0"/>
      <w:smallCaps w:val="0"/>
      <w:strike w:val="0"/>
      <w:sz w:val="48"/>
      <w:szCs w:val="48"/>
      <w:u w:val="none"/>
      <w:shd w:val="clear" w:color="auto" w:fill="auto"/>
    </w:rPr>
  </w:style>
  <w:style w:type="paragraph" w:customStyle="1" w:styleId="Style16">
    <w:name w:val="标题 #1"/>
    <w:basedOn w:val="Normal"/>
    <w:link w:val="CharStyle17"/>
    <w:pPr>
      <w:widowControl w:val="0"/>
      <w:shd w:val="clear" w:color="auto" w:fill="auto"/>
      <w:spacing w:before="52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3)"/>
    <w:basedOn w:val="Normal"/>
    <w:link w:val="CharStyle19"/>
    <w:pPr>
      <w:widowControl w:val="0"/>
      <w:shd w:val="clear" w:color="auto" w:fill="auto"/>
      <w:spacing w:after="80" w:line="628"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正文文本 (2)"/>
    <w:basedOn w:val="Normal"/>
    <w:link w:val="CharStyle28"/>
    <w:pPr>
      <w:widowControl w:val="0"/>
      <w:shd w:val="clear" w:color="auto" w:fill="auto"/>
      <w:spacing w:after="120" w:line="314"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4">
    <w:name w:val="标题 #4"/>
    <w:basedOn w:val="Normal"/>
    <w:link w:val="CharStyle4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正文文本 (8)"/>
    <w:basedOn w:val="Normal"/>
    <w:link w:val="CharStyle54"/>
    <w:pPr>
      <w:widowControl w:val="0"/>
      <w:shd w:val="clear" w:color="auto" w:fill="auto"/>
      <w:spacing w:after="3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7">
    <w:name w:val="正文文本 (7)"/>
    <w:basedOn w:val="Normal"/>
    <w:link w:val="CharStyle5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5">
    <w:name w:val="标题 #5"/>
    <w:basedOn w:val="Normal"/>
    <w:link w:val="CharStyle6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1">
    <w:name w:val="页眉或页脚"/>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海峡创新互联网股份有限公司2020年年度报告全文</dc:title>
  <dc:subject/>
  <dc:creator>海峡创新互联网股份有限公司</dc:creator>
  <cp:keywords/>
</cp:coreProperties>
</file>