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00" w:lineRule="exact"/>
        <w:ind w:left="41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1127760" cy="3810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127760" cy="381000"/>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601" w:right="2607" w:firstLine="0"/>
        <w:jc w:val="center"/>
        <w:rPr>
          <w:rFonts w:ascii="宋体" w:hAnsi="宋体" w:cs="宋体" w:eastAsia="宋体" w:hint="default"/>
          <w:sz w:val="36"/>
          <w:szCs w:val="36"/>
        </w:rPr>
      </w:pPr>
      <w:r>
        <w:rPr>
          <w:rFonts w:ascii="宋体" w:hAnsi="宋体" w:cs="宋体" w:eastAsia="宋体" w:hint="default"/>
          <w:b/>
          <w:bCs/>
          <w:sz w:val="36"/>
          <w:szCs w:val="36"/>
        </w:rPr>
        <w:t>任子行网络技术股份有限公司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1" w:right="26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601" w:right="26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1"/>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3"/>
          <w:szCs w:val="13"/>
        </w:rPr>
      </w:pPr>
    </w:p>
    <w:p>
      <w:pPr>
        <w:spacing w:line="384" w:lineRule="auto" w:before="14"/>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公司负责人景晓军、主管会计工作负责人陈文及会计机构负责人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钟海川声明：保证年度报告中财务报告的真实、准确、完整。</w:t>
      </w:r>
      <w:r>
        <w:rPr>
          <w:rFonts w:ascii="宋体" w:hAnsi="宋体" w:cs="宋体" w:eastAsia="宋体" w:hint="default"/>
          <w:sz w:val="28"/>
          <w:szCs w:val="28"/>
        </w:rPr>
      </w:r>
    </w:p>
    <w:p>
      <w:pPr>
        <w:spacing w:line="408" w:lineRule="auto" w:before="151"/>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260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27</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38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43</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财务报告</w:t>
            </w:r>
            <w:r>
              <w:rPr>
                <w:rFonts w:ascii="Times New Roman" w:hAnsi="Times New Roman" w:cs="Times New Roman" w:eastAsia="Times New Roman" w:hint="default"/>
              </w:rPr>
              <w:tab/>
              <w:t>45</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9">
            <w:r>
              <w:rPr/>
              <w:t>第十节 备查文件目录</w:t>
            </w:r>
            <w:r>
              <w:rPr>
                <w:rFonts w:ascii="Times New Roman" w:hAnsi="Times New Roman" w:cs="Times New Roman" w:eastAsia="Times New Roman" w:hint="default"/>
              </w:rPr>
              <w:tab/>
              <w:t>118</w:t>
            </w:r>
          </w:hyperlink>
        </w:p>
        <w:p>
          <w:pPr/>
          <w:r>
            <w:fldChar w:fldCharType="end"/>
          </w:r>
        </w:p>
      </w:sdtContent>
    </w:sdt>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0"/>
          <w:szCs w:val="30"/>
        </w:rPr>
      </w:pPr>
    </w:p>
    <w:p>
      <w:pPr>
        <w:spacing w:before="0"/>
        <w:ind w:left="2601" w:right="260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任子行、公司或本公司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公司全资子公司深圳市任网游科技发展有限公司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公司全资子公司深圳市任子行科技开发有限公司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博海通讯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深圳市博海通讯技术有限公司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中华人民共和国国家税务总局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CNNIC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中国互联网络信息中心（</w:t>
            </w:r>
            <w:r>
              <w:rPr>
                <w:rFonts w:ascii="Times New Roman" w:hAnsi="Times New Roman" w:cs="Times New Roman" w:eastAsia="Times New Roman" w:hint="default"/>
                <w:sz w:val="18"/>
                <w:szCs w:val="18"/>
              </w:rPr>
              <w:t>China Internet Network Information</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保荐机构、国信证券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125" w:right="0"/>
        <w:jc w:val="left"/>
        <w:rPr>
          <w:b w:val="0"/>
          <w:bCs w:val="0"/>
        </w:rPr>
      </w:pPr>
      <w:bookmarkStart w:name="_bookmark1" w:id="2"/>
      <w:bookmarkEnd w:id="2"/>
      <w:r>
        <w:rPr>
          <w:b w:val="0"/>
          <w:bCs w:val="0"/>
        </w:rPr>
      </w:r>
      <w:r>
        <w:rPr/>
        <w:t>第二节</w:t>
      </w:r>
      <w:r>
        <w:rPr>
          <w:spacing w:val="-6"/>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任子行</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300311</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任子行</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Surfilter Network Technology</w:t>
            </w:r>
            <w:r>
              <w:rPr>
                <w:rFonts w:ascii="Times New Roman"/>
                <w:spacing w:val="-27"/>
                <w:sz w:val="18"/>
              </w:rPr>
              <w:t> </w:t>
            </w:r>
            <w:r>
              <w:rPr>
                <w:rFonts w:ascii="Times New Roman"/>
                <w:sz w:val="18"/>
              </w:rPr>
              <w:t>Co.,Ltd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Surfilter</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景晓军</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www.1218.com.cn</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北京永拓会计师事务所有限责任公司</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北京市朝阳区关东店北街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号国安大厦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13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吴宁莉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张冰</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p>
          <w:p>
            <w:pPr>
              <w:pStyle w:val="TableParagraph"/>
              <w:spacing w:line="240" w:lineRule="auto" w:before="76"/>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0755-86156779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0755-86156779</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0755-86168355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0755-86168355</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wuningli@1218.com.cn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zhangbing@1218.com.cn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深圳市福田区振兴 路建艺大厦西座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4403011047227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440301723005104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72300510-4</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120"/>
              <w:jc w:val="left"/>
              <w:rPr>
                <w:rFonts w:ascii="宋体" w:hAnsi="宋体" w:cs="宋体" w:eastAsia="宋体" w:hint="default"/>
                <w:sz w:val="18"/>
                <w:szCs w:val="18"/>
              </w:rPr>
            </w:pPr>
            <w:r>
              <w:rPr>
                <w:rFonts w:ascii="宋体" w:hAnsi="宋体" w:cs="宋体" w:eastAsia="宋体" w:hint="default"/>
                <w:sz w:val="18"/>
                <w:szCs w:val="18"/>
              </w:rPr>
              <w:t>变更为股份有限公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深圳市南山区高新 区科技中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路软件</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440301103406723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440301723005104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72300510-4</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变更为上市股份有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深圳市南山区高新 区科技中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路软件</w:t>
            </w:r>
          </w:p>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440301103406723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440301723005104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72300510-4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38" w:lineRule="auto" w:before="117"/>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08"/>
        <w:gridCol w:w="1749"/>
        <w:gridCol w:w="1740"/>
        <w:gridCol w:w="1738"/>
        <w:gridCol w:w="1736"/>
      </w:tblGrid>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192,974,175.08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175,113,472.96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138,781,265.65</w:t>
            </w:r>
          </w:p>
        </w:tc>
      </w:tr>
      <w:tr>
        <w:trPr>
          <w:trHeight w:val="404"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23,788,673.48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35,383,020.40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29,777,406.79</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40,460,186.22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44,359,384.03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34,375,249.27</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39,007,060.36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38,566,119.01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30,144,897.08</w:t>
            </w:r>
          </w:p>
        </w:tc>
      </w:tr>
      <w:tr>
        <w:trPr>
          <w:trHeight w:val="71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31,900,050.58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34,375,771.36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28,280,793.30</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75,195,020.28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40,783,184.48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36,405,239.30</w:t>
            </w:r>
          </w:p>
        </w:tc>
      </w:tr>
      <w:tr>
        <w:trPr>
          <w:trHeight w:val="161" w:hRule="exact"/>
        </w:trPr>
        <w:tc>
          <w:tcPr>
            <w:tcW w:w="2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0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535,744,611.99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196,813,509.39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135,323,863.95</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129,012,545.34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54,300,752.76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31,377,226.33</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405,529,803.99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142,512,756.63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103,946,637.62</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53,000,000.00</w:t>
            </w:r>
          </w:p>
        </w:tc>
      </w:tr>
    </w:tbl>
    <w:p>
      <w:pPr>
        <w:pStyle w:val="BodyText"/>
        <w:spacing w:line="240" w:lineRule="auto" w:before="49"/>
        <w:ind w:right="0"/>
        <w:jc w:val="left"/>
      </w:pPr>
      <w:r>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6"/>
      </w:tblGrid>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0.60</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0.60</w:t>
            </w:r>
          </w:p>
        </w:tc>
      </w:tr>
      <w:tr>
        <w:trPr>
          <w:trHeight w:val="716"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0.57</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39.15%</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27.21%</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4"/>
        <w:gridCol w:w="1738"/>
        <w:gridCol w:w="1736"/>
        <w:gridCol w:w="1738"/>
        <w:gridCol w:w="1736"/>
      </w:tblGrid>
      <w:tr>
        <w:trPr>
          <w:trHeight w:val="362"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0.69</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113.32%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w:t>
            </w:r>
          </w:p>
        </w:tc>
      </w:tr>
      <w:tr>
        <w:trPr>
          <w:trHeight w:val="40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5"/>
        <w:gridCol w:w="1741"/>
        <w:gridCol w:w="2004"/>
        <w:gridCol w:w="1769"/>
        <w:gridCol w:w="1772"/>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0"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39,007,060.36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0" w:right="0"/>
              <w:jc w:val="left"/>
              <w:rPr>
                <w:rFonts w:ascii="Times New Roman" w:hAnsi="Times New Roman" w:cs="Times New Roman" w:eastAsia="Times New Roman" w:hint="default"/>
                <w:sz w:val="18"/>
                <w:szCs w:val="18"/>
              </w:rPr>
            </w:pPr>
            <w:r>
              <w:rPr>
                <w:rFonts w:ascii="Times New Roman"/>
                <w:sz w:val="18"/>
              </w:rPr>
              <w:t>38,566,119.01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405,529,803.99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142,512,756.63</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85"/>
        <w:gridCol w:w="1729"/>
        <w:gridCol w:w="2004"/>
        <w:gridCol w:w="1769"/>
        <w:gridCol w:w="1772"/>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39,007,060.36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0" w:right="0"/>
              <w:jc w:val="left"/>
              <w:rPr>
                <w:rFonts w:ascii="Times New Roman" w:hAnsi="Times New Roman" w:cs="Times New Roman" w:eastAsia="Times New Roman" w:hint="default"/>
                <w:sz w:val="18"/>
                <w:szCs w:val="18"/>
              </w:rPr>
            </w:pPr>
            <w:r>
              <w:rPr>
                <w:rFonts w:ascii="Times New Roman"/>
                <w:sz w:val="18"/>
              </w:rPr>
              <w:t>38,566,119.01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405,529,803.99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142,512,756.63</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三、报告期内非经常性损益的项目及金额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9,860,249.96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4,920,000.00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1,730,000.04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98,060.38</w:t>
            </w: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2"/>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-11,577.18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161,202.00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-52,526.80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21,397.94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203,800.85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-1,715,800.00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980,312.20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739,473.11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328,959.49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7,107,009.78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4,190,347.65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1,864,103.78</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27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四、重大风险提示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rFonts w:ascii="Times New Roman" w:hAnsi="Times New Roman" w:cs="Times New Roman" w:eastAsia="Times New Roman" w:hint="default"/>
        </w:rPr>
        <w:t>1</w:t>
      </w:r>
      <w:r>
        <w:rPr/>
        <w:t>、公司产品与服务销售的季节性波动风险 </w:t>
      </w:r>
      <w:r>
        <w:rPr>
          <w:spacing w:val="-2"/>
        </w:rPr>
        <w:t>基于客户市场需求因素的影响，公司的销售呈现较明显的上下半年不均衡的分布特征，公司产品和服务销售收入的实现主要</w:t>
      </w:r>
      <w:r>
        <w:rPr>
          <w:spacing w:val="-64"/>
        </w:rPr>
        <w:t> </w:t>
      </w:r>
      <w:r>
        <w:rPr>
          <w:spacing w:val="-64"/>
        </w:rPr>
      </w:r>
      <w:r>
        <w:rPr/>
        <w:t>体现在下半年，上半年尤其第一季度由于客户预算制定和春节假期等因素而呈现更为明显的季节性特征。</w:t>
      </w:r>
    </w:p>
    <w:p>
      <w:pPr>
        <w:pStyle w:val="BodyText"/>
        <w:spacing w:line="312" w:lineRule="auto" w:before="24"/>
        <w:ind w:right="289"/>
        <w:jc w:val="left"/>
      </w:pPr>
      <w:r>
        <w:rPr>
          <w:rFonts w:ascii="Times New Roman" w:hAnsi="Times New Roman" w:cs="Times New Roman" w:eastAsia="Times New Roman" w:hint="default"/>
        </w:rPr>
        <w:t>2</w:t>
      </w:r>
      <w:r>
        <w:rPr/>
        <w:t>、市场竞争风险 </w:t>
      </w:r>
      <w:r>
        <w:rPr>
          <w:spacing w:val="-2"/>
        </w:rPr>
        <w:t>近些年来，我国信息安全行业得到了快速发展，但行业规模还比较小，产业链上的各类厂商还处在发展初期，产品的竞争力</w:t>
      </w:r>
      <w:r>
        <w:rPr>
          <w:spacing w:val="-65"/>
        </w:rPr>
        <w:t> </w:t>
      </w:r>
      <w:r>
        <w:rPr>
          <w:spacing w:val="-65"/>
        </w:rPr>
      </w:r>
      <w:r>
        <w:rPr>
          <w:spacing w:val="-5"/>
        </w:rPr>
        <w:t>还需要不断的提升。此外，新技术、新应用使得产业边界不断扩大，行业潜在竞争者逐步增多，平台软件厂商、互联网厂商、</w:t>
      </w:r>
      <w:r>
        <w:rPr>
          <w:spacing w:val="-79"/>
        </w:rPr>
        <w:t> </w:t>
      </w:r>
      <w:r>
        <w:rPr>
          <w:spacing w:val="-79"/>
        </w:rPr>
      </w:r>
      <w:r>
        <w:rPr/>
        <w:t>存储和网络设备厂商等纷纷加大对安全市场的投入，业内现有厂商面临着更严峻的竞争格局。</w:t>
      </w:r>
    </w:p>
    <w:p>
      <w:pPr>
        <w:pStyle w:val="BodyText"/>
        <w:spacing w:line="312" w:lineRule="auto" w:before="22"/>
        <w:ind w:right="0"/>
        <w:jc w:val="left"/>
      </w:pPr>
      <w:r>
        <w:rPr>
          <w:rFonts w:ascii="Times New Roman" w:hAnsi="Times New Roman" w:cs="Times New Roman" w:eastAsia="Times New Roman" w:hint="default"/>
        </w:rPr>
        <w:t>3</w:t>
      </w:r>
      <w:r>
        <w:rPr/>
        <w:t>、技术进步带来的创新风险 </w:t>
      </w:r>
      <w:r>
        <w:rPr>
          <w:rFonts w:ascii="Times New Roman" w:hAnsi="Times New Roman" w:cs="Times New Roman" w:eastAsia="Times New Roman" w:hint="default"/>
          <w:spacing w:val="-2"/>
        </w:rPr>
        <w:t>IT</w:t>
      </w:r>
      <w:r>
        <w:rPr>
          <w:spacing w:val="-2"/>
        </w:rPr>
        <w:t>环境日趋复杂和新技术的不断涌现对信息安全提出了更高的要求。云计算、物联网、移动互联网等的不断涌现，使得信息</w:t>
      </w:r>
      <w:r>
        <w:rPr>
          <w:spacing w:val="-51"/>
        </w:rPr>
        <w:t> </w:t>
      </w:r>
      <w:r>
        <w:rPr>
          <w:spacing w:val="-51"/>
        </w:rPr>
      </w:r>
      <w:r>
        <w:rPr>
          <w:spacing w:val="-2"/>
        </w:rPr>
        <w:t>的获取方式、存储形态、传输渠道和处理方式都发生了变化。用户的爆炸性增长、数据的快速膨胀不断增加了信息安全保护</w:t>
      </w:r>
      <w:r>
        <w:rPr>
          <w:spacing w:val="-66"/>
        </w:rPr>
        <w:t> </w:t>
      </w:r>
      <w:r>
        <w:rPr>
          <w:spacing w:val="-66"/>
        </w:rPr>
      </w:r>
      <w:r>
        <w:rPr>
          <w:spacing w:val="-2"/>
        </w:rPr>
        <w:t>的难度，也要求信息安全产品具备更高的性能、更丰富的功能和更高的智能化。信息安全产品的形态不断发生变化，信息安</w:t>
      </w:r>
      <w:r>
        <w:rPr>
          <w:spacing w:val="-65"/>
        </w:rPr>
        <w:t> </w:t>
      </w:r>
      <w:r>
        <w:rPr>
          <w:spacing w:val="-65"/>
        </w:rPr>
      </w:r>
      <w:r>
        <w:rPr>
          <w:spacing w:val="-2"/>
        </w:rPr>
        <w:t>全产品和设备之间加快融合，都带来了信息安全产业的重大变革。如果公司不能准确把握技术、产品及市场的发展趋势，及</w:t>
      </w:r>
      <w:r>
        <w:rPr>
          <w:spacing w:val="-63"/>
        </w:rPr>
        <w:t> </w:t>
      </w:r>
      <w:r>
        <w:rPr>
          <w:spacing w:val="-63"/>
        </w:rPr>
      </w:r>
      <w:r>
        <w:rPr/>
        <w:t>时调整新技术和新产品的开发方向，并研发出符合市场需求的新产品；将导致公司丧失技术和市场优势。 </w:t>
      </w:r>
      <w:r>
        <w:rPr>
          <w:rFonts w:ascii="Times New Roman" w:hAnsi="Times New Roman" w:cs="Times New Roman" w:eastAsia="Times New Roman" w:hint="default"/>
        </w:rPr>
        <w:t>4</w:t>
      </w:r>
      <w:r>
        <w:rPr/>
        <w:t>、公司快速发展引致的管理及经营风险 </w:t>
      </w:r>
      <w:r>
        <w:rPr>
          <w:spacing w:val="-2"/>
        </w:rPr>
        <w:t>随着公司主营业务不断拓展和经营规模的扩大，尤其是随着募集资金的到位和投资项目陆续实施完成，公司总体经营规模将</w:t>
      </w:r>
      <w:r>
        <w:rPr>
          <w:spacing w:val="-64"/>
        </w:rPr>
        <w:t> </w:t>
      </w:r>
      <w:r>
        <w:rPr>
          <w:spacing w:val="-64"/>
        </w:rPr>
      </w:r>
      <w:r>
        <w:rPr>
          <w:spacing w:val="-2"/>
        </w:rPr>
        <w:t>进一步扩大。这将对公司在战略规划、组织机构、内部控制、运营管理、财务管理等方面提出更高要求。如果公司管理层不</w:t>
      </w:r>
      <w:r>
        <w:rPr>
          <w:spacing w:val="-68"/>
        </w:rPr>
        <w:t> </w:t>
      </w:r>
      <w:r>
        <w:rPr>
          <w:spacing w:val="-68"/>
        </w:rPr>
      </w:r>
      <w:r>
        <w:rPr/>
        <w:t>能结合公司实际情况适时调整和优化管理体系，将可能影响公司的长远发展。</w:t>
      </w:r>
    </w:p>
    <w:p>
      <w:pPr>
        <w:pStyle w:val="BodyText"/>
        <w:spacing w:line="314" w:lineRule="auto" w:before="22"/>
        <w:ind w:right="0"/>
        <w:jc w:val="left"/>
      </w:pPr>
      <w:r>
        <w:rPr>
          <w:rFonts w:ascii="Times New Roman" w:hAnsi="Times New Roman" w:cs="Times New Roman" w:eastAsia="Times New Roman" w:hint="default"/>
        </w:rPr>
        <w:t>5</w:t>
      </w:r>
      <w:r>
        <w:rPr/>
        <w:t>、核心人才流失风险 </w:t>
      </w:r>
      <w:r>
        <w:rPr>
          <w:spacing w:val="-2"/>
        </w:rPr>
        <w:t>作为一家知识和技术密集型企业，公司持续保持市场竞争优势很大程度上依赖于长期发展过程中掌握的核心技术和公司培养、</w:t>
      </w:r>
      <w:r>
        <w:rPr>
          <w:spacing w:val="-62"/>
        </w:rPr>
        <w:t> </w:t>
      </w:r>
      <w:r>
        <w:rPr>
          <w:spacing w:val="-62"/>
        </w:rPr>
      </w:r>
      <w:r>
        <w:rPr/>
        <w:t>引进、积累的一批研发等技术人员，这些核心技术人才是公司持续发展的重要资源和基础。目前公司的核心技术人员均在本</w:t>
      </w:r>
      <w:r>
        <w:rPr/>
        <w:t> 公司任职，且多数为中高级管理人员，有利于公司的长期稳定发展。随着行业竞争格局的不断变化，对技术人才的争夺必将 日趋激烈，若公司未来不能在发展前景、薪酬福利、工作环境等方面持续提供具有竞争力的待遇和激励机制，可能会造成技 术人才队伍的不稳定，从而对公司的业务及长远发展造成不利影响。 </w:t>
      </w:r>
      <w:r>
        <w:rPr>
          <w:rFonts w:ascii="Times New Roman" w:hAnsi="Times New Roman" w:cs="Times New Roman" w:eastAsia="Times New Roman" w:hint="default"/>
        </w:rPr>
        <w:t>6</w:t>
      </w:r>
      <w:r>
        <w:rPr/>
        <w:t>、固定资产折旧、摊销费用增加影响未来经营成果的风险 随着募集资金项目建成投产后陆续产生效益，公司销售收入和盈利水平将大幅提高，新增折旧、摊销费用所增加的生产成本 将会被募集资金投资项目新增的销售收入消化。虽然公司在对项目进行可行性研究时，已经充分考虑了折旧、摊销费用等因 素，但如果募投项目完成后，不能如期产生效益或实际收益低于盈亏平衡点的收益，则新增的折旧、摊销费用将对公司的经 营业绩造成不利影响。</w:t>
      </w:r>
    </w:p>
    <w:p>
      <w:pPr>
        <w:spacing w:after="0" w:line="314" w:lineRule="auto"/>
        <w:jc w:val="left"/>
        <w:sectPr>
          <w:pgSz w:w="11910" w:h="16840"/>
          <w:pgMar w:header="745" w:footer="980" w:top="1060" w:bottom="1160" w:left="98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31"/>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8"/>
        <w:jc w:val="left"/>
        <w:rPr>
          <w:b w:val="0"/>
          <w:bCs w:val="0"/>
        </w:rPr>
      </w:pPr>
      <w:r>
        <w:rPr/>
        <w:t>一、管理层讨论与分析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8" w:firstLine="288"/>
        <w:jc w:val="left"/>
      </w:pPr>
      <w:r>
        <w:rPr>
          <w:rFonts w:ascii="Times New Roman" w:hAnsi="Times New Roman" w:cs="Times New Roman" w:eastAsia="Times New Roman" w:hint="default"/>
          <w:spacing w:val="-2"/>
        </w:rPr>
        <w:t>2012</w:t>
      </w:r>
      <w:r>
        <w:rPr>
          <w:spacing w:val="-2"/>
        </w:rPr>
        <w:t>年是公司发展历程上具有里程碑意义的一年。这一年，经中国证券监督管理委员会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[2012]411</w:t>
      </w:r>
      <w:r>
        <w:rPr>
          <w:spacing w:val="-2"/>
        </w:rPr>
        <w:t>号</w:t>
      </w:r>
      <w:r>
        <w:rPr>
          <w:rFonts w:ascii="Times New Roman" w:hAnsi="Times New Roman" w:cs="Times New Roman" w:eastAsia="Times New Roman" w:hint="default"/>
          <w:spacing w:val="-2"/>
        </w:rPr>
        <w:t>”</w:t>
      </w:r>
      <w:r>
        <w:rPr>
          <w:spacing w:val="-2"/>
        </w:rPr>
        <w:t>文件核准，</w:t>
      </w:r>
      <w:r>
        <w:rPr/>
        <w:t> 公司公开发行</w:t>
      </w:r>
      <w:r>
        <w:rPr>
          <w:rFonts w:ascii="Times New Roman" w:hAnsi="Times New Roman" w:cs="Times New Roman" w:eastAsia="Times New Roman" w:hint="default"/>
        </w:rPr>
        <w:t>1,770</w:t>
      </w:r>
      <w:r>
        <w:rPr/>
        <w:t>万股人民币普通股，并经深圳证券交易所《关于任子行网络技术股份有限公司人民币普通股股票在创业 板上市的通知》（深证上</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rFonts w:ascii="Times New Roman" w:hAnsi="Times New Roman" w:cs="Times New Roman" w:eastAsia="Times New Roman" w:hint="default"/>
        </w:rPr>
        <w:t>102</w:t>
      </w:r>
      <w:r>
        <w:rPr/>
        <w:t>号）同意，公司公开发行的人民币普通股股票于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日起在深圳证券交易所创业 板上市交易，公司将迎来全新的发展阶段。</w:t>
      </w:r>
    </w:p>
    <w:p>
      <w:pPr>
        <w:pStyle w:val="BodyText"/>
        <w:spacing w:line="240" w:lineRule="auto" w:before="31"/>
        <w:ind w:right="98"/>
        <w:jc w:val="left"/>
      </w:pPr>
      <w:r>
        <w:rPr/>
        <w:t>（一）主营业务发展平稳</w:t>
      </w:r>
    </w:p>
    <w:p>
      <w:pPr>
        <w:pStyle w:val="BodyText"/>
        <w:spacing w:line="309" w:lineRule="auto" w:before="76"/>
        <w:ind w:right="98" w:firstLine="288"/>
        <w:jc w:val="left"/>
      </w:pPr>
      <w:r>
        <w:rPr>
          <w:rFonts w:ascii="Times New Roman" w:hAnsi="Times New Roman" w:cs="Times New Roman" w:eastAsia="Times New Roman" w:hint="default"/>
          <w:spacing w:val="-1"/>
        </w:rPr>
        <w:t>2012</w:t>
      </w:r>
      <w:r>
        <w:rPr>
          <w:spacing w:val="-1"/>
        </w:rPr>
        <w:t>年度，在外部宏观经济形势充满不确定性的大背景下，公司以登陆资本市场为契机，紧紧抓住国家不断加强互联网</w:t>
      </w:r>
      <w:r>
        <w:rPr/>
        <w:t> </w:t>
      </w:r>
      <w:r>
        <w:rPr>
          <w:spacing w:val="-2"/>
        </w:rPr>
        <w:t>安全管理的契机，通过不断加大研发投入和技术创新力度，拓展和优化营销网络，使公司经营业绩在市场竞争日益严峻的环</w:t>
      </w:r>
      <w:r>
        <w:rPr>
          <w:spacing w:val="-62"/>
        </w:rPr>
        <w:t> </w:t>
      </w:r>
      <w:r>
        <w:rPr>
          <w:spacing w:val="-62"/>
        </w:rPr>
      </w:r>
      <w:r>
        <w:rPr/>
        <w:t>境下，保持了营业收入的平稳增长，并在市场上初步树立了网络应用审计专家的品牌形象。 </w:t>
      </w:r>
      <w:r>
        <w:rPr>
          <w:rFonts w:ascii="Times New Roman" w:hAnsi="Times New Roman" w:cs="Times New Roman" w:eastAsia="Times New Roman" w:hint="default"/>
        </w:rPr>
        <w:t>2012</w:t>
      </w:r>
      <w:r>
        <w:rPr/>
        <w:t>年度，公司实现营业收入为</w:t>
      </w:r>
      <w:r>
        <w:rPr>
          <w:rFonts w:ascii="Times New Roman" w:hAnsi="Times New Roman" w:cs="Times New Roman" w:eastAsia="Times New Roman" w:hint="default"/>
        </w:rPr>
        <w:t>19297.42</w:t>
      </w:r>
      <w:r>
        <w:rPr/>
        <w:t>万元，较上年同期增长</w:t>
      </w:r>
      <w:r>
        <w:rPr>
          <w:rFonts w:ascii="Times New Roman" w:hAnsi="Times New Roman" w:cs="Times New Roman" w:eastAsia="Times New Roman" w:hint="default"/>
        </w:rPr>
        <w:t>10.20%</w:t>
      </w:r>
      <w:r>
        <w:rPr/>
        <w:t>，实现归属于母公司所有者的净利润</w:t>
      </w:r>
      <w:r>
        <w:rPr>
          <w:rFonts w:ascii="Times New Roman" w:hAnsi="Times New Roman" w:cs="Times New Roman" w:eastAsia="Times New Roman" w:hint="default"/>
        </w:rPr>
        <w:t>3900.71</w:t>
      </w:r>
      <w:r>
        <w:rPr/>
        <w:t>万元， 较上年同期增长</w:t>
      </w:r>
      <w:r>
        <w:rPr>
          <w:rFonts w:ascii="Times New Roman" w:hAnsi="Times New Roman" w:cs="Times New Roman" w:eastAsia="Times New Roman" w:hint="default"/>
        </w:rPr>
        <w:t>1.14%</w:t>
      </w:r>
      <w:r>
        <w:rPr/>
        <w:t>。由于本年度公司大幅增加了研发支出和市场开发费用，导致营业利润比上年降低</w:t>
      </w:r>
      <w:r>
        <w:rPr>
          <w:rFonts w:ascii="Times New Roman" w:hAnsi="Times New Roman" w:cs="Times New Roman" w:eastAsia="Times New Roman" w:hint="default"/>
        </w:rPr>
        <w:t>32.77%</w:t>
      </w:r>
      <w:r>
        <w:rPr/>
        <w:t>。</w:t>
      </w:r>
    </w:p>
    <w:p>
      <w:pPr>
        <w:pStyle w:val="BodyText"/>
        <w:spacing w:line="316" w:lineRule="auto" w:before="5"/>
        <w:ind w:left="441" w:right="345" w:hanging="289"/>
        <w:jc w:val="left"/>
      </w:pPr>
      <w:r>
        <w:rPr/>
        <w:t>（二）募集资金投资项目有序推进 报告期内，随着募集资金的到位，公司开始全面推进募集资金投资项目建设，截至报告期末，公司累计投入募集资金</w:t>
      </w:r>
    </w:p>
    <w:p>
      <w:pPr>
        <w:pStyle w:val="BodyText"/>
        <w:spacing w:line="240" w:lineRule="auto" w:before="19"/>
        <w:ind w:right="98"/>
        <w:jc w:val="left"/>
        <w:rPr>
          <w:rFonts w:ascii="Times New Roman" w:hAnsi="Times New Roman" w:cs="Times New Roman" w:eastAsia="Times New Roman" w:hint="default"/>
        </w:rPr>
      </w:pPr>
      <w:r>
        <w:rPr>
          <w:rFonts w:ascii="Times New Roman" w:hAnsi="Times New Roman" w:cs="Times New Roman" w:eastAsia="Times New Roman" w:hint="default"/>
          <w:spacing w:val="-4"/>
        </w:rPr>
        <w:t>7425.34</w:t>
      </w:r>
      <w:r>
        <w:rPr>
          <w:spacing w:val="-4"/>
        </w:rPr>
        <w:t>万元。其中，使用超募资金</w:t>
      </w:r>
      <w:r>
        <w:rPr>
          <w:rFonts w:ascii="Times New Roman" w:hAnsi="Times New Roman" w:cs="Times New Roman" w:eastAsia="Times New Roman" w:hint="default"/>
          <w:spacing w:val="-4"/>
        </w:rPr>
        <w:t>500</w:t>
      </w:r>
      <w:r>
        <w:rPr>
          <w:spacing w:val="-4"/>
        </w:rPr>
        <w:t>万元向北京中天信安科技有限责任公司进行增资，增资完成后，公司持有中天信安</w:t>
      </w:r>
      <w:r>
        <w:rPr>
          <w:rFonts w:ascii="Times New Roman" w:hAnsi="Times New Roman" w:cs="Times New Roman" w:eastAsia="Times New Roman" w:hint="default"/>
          <w:spacing w:val="-4"/>
        </w:rPr>
        <w:t>20%</w:t>
      </w:r>
    </w:p>
    <w:p>
      <w:pPr>
        <w:pStyle w:val="BodyText"/>
        <w:spacing w:line="240" w:lineRule="auto" w:before="63"/>
        <w:ind w:right="98"/>
        <w:jc w:val="left"/>
      </w:pPr>
      <w:r>
        <w:rPr/>
        <w:t>的股权。</w:t>
      </w:r>
    </w:p>
    <w:p>
      <w:pPr>
        <w:pStyle w:val="BodyText"/>
        <w:spacing w:line="316" w:lineRule="auto" w:before="76"/>
        <w:ind w:left="441" w:right="255" w:hanging="289"/>
        <w:jc w:val="left"/>
      </w:pPr>
      <w:r>
        <w:rPr/>
        <w:t>（三）研发投入不断加大 报告期内，公司加大了研发费用投入，扩充了研发队伍，截至报告期末公司研发人员已达</w:t>
      </w:r>
      <w:r>
        <w:rPr>
          <w:rFonts w:ascii="Times New Roman" w:hAnsi="Times New Roman" w:cs="Times New Roman" w:eastAsia="Times New Roman" w:hint="default"/>
        </w:rPr>
        <w:t>194</w:t>
      </w:r>
      <w:r>
        <w:rPr/>
        <w:t>人，累计投入研发费用达</w:t>
      </w:r>
    </w:p>
    <w:p>
      <w:pPr>
        <w:pStyle w:val="BodyText"/>
        <w:spacing w:line="309" w:lineRule="auto"/>
        <w:ind w:right="191"/>
        <w:jc w:val="both"/>
      </w:pPr>
      <w:r>
        <w:rPr>
          <w:rFonts w:ascii="Times New Roman" w:hAnsi="Times New Roman" w:cs="Times New Roman" w:eastAsia="Times New Roman" w:hint="default"/>
        </w:rPr>
        <w:t>2254.04</w:t>
      </w:r>
      <w:r>
        <w:rPr/>
        <w:t>万元，占全年营业总收入的</w:t>
      </w:r>
      <w:r>
        <w:rPr>
          <w:rFonts w:ascii="Times New Roman" w:hAnsi="Times New Roman" w:cs="Times New Roman" w:eastAsia="Times New Roman" w:hint="default"/>
        </w:rPr>
        <w:t>11.68%</w:t>
      </w:r>
      <w:r>
        <w:rPr/>
        <w:t>。通过引进软件能力成熟度模型（</w:t>
      </w:r>
      <w:r>
        <w:rPr>
          <w:rFonts w:ascii="Times New Roman" w:hAnsi="Times New Roman" w:cs="Times New Roman" w:eastAsia="Times New Roman" w:hint="default"/>
        </w:rPr>
        <w:t>CMM3</w:t>
      </w:r>
      <w:r>
        <w:rPr/>
        <w:t>）认证，公司理顺了研发体系完善了产 </w:t>
      </w:r>
      <w:r>
        <w:rPr>
          <w:spacing w:val="-2"/>
        </w:rPr>
        <w:t>品中心和技术中心的组织架构和考核体系，研发活动与业务一线联系更加紧密。报告期内，公司开展了多个项目的研究，并</w:t>
      </w:r>
      <w:r>
        <w:rPr>
          <w:spacing w:val="-64"/>
        </w:rPr>
        <w:t> </w:t>
      </w:r>
      <w:r>
        <w:rPr>
          <w:spacing w:val="-64"/>
        </w:rPr>
      </w:r>
      <w:r>
        <w:rPr/>
        <w:t>取得了</w:t>
      </w:r>
      <w:r>
        <w:rPr>
          <w:rFonts w:ascii="Times New Roman" w:hAnsi="Times New Roman" w:cs="Times New Roman" w:eastAsia="Times New Roman" w:hint="default"/>
        </w:rPr>
        <w:t>6</w:t>
      </w:r>
      <w:r>
        <w:rPr/>
        <w:t>项授权专利（含</w:t>
      </w:r>
      <w:r>
        <w:rPr>
          <w:rFonts w:ascii="Times New Roman" w:hAnsi="Times New Roman" w:cs="Times New Roman" w:eastAsia="Times New Roman" w:hint="default"/>
        </w:rPr>
        <w:t>1</w:t>
      </w:r>
      <w:r>
        <w:rPr/>
        <w:t>项发明专利），新增受审发明专利</w:t>
      </w:r>
      <w:r>
        <w:rPr>
          <w:rFonts w:ascii="Times New Roman" w:hAnsi="Times New Roman" w:cs="Times New Roman" w:eastAsia="Times New Roman" w:hint="default"/>
        </w:rPr>
        <w:t>5</w:t>
      </w:r>
      <w:r>
        <w:rPr/>
        <w:t>项，新增计算机软件著作权</w:t>
      </w:r>
      <w:r>
        <w:rPr>
          <w:rFonts w:ascii="Times New Roman" w:hAnsi="Times New Roman" w:cs="Times New Roman" w:eastAsia="Times New Roman" w:hint="default"/>
        </w:rPr>
        <w:t>3</w:t>
      </w:r>
      <w:r>
        <w:rPr/>
        <w:t>项。</w:t>
      </w:r>
    </w:p>
    <w:p>
      <w:pPr>
        <w:pStyle w:val="BodyText"/>
        <w:spacing w:line="316" w:lineRule="auto" w:before="5"/>
        <w:ind w:left="441" w:right="98" w:hanging="289"/>
        <w:jc w:val="left"/>
      </w:pPr>
      <w:r>
        <w:rPr/>
        <w:t>（四）加强内控制度建设，规范和完善管理流程 </w:t>
      </w:r>
      <w:r>
        <w:rPr>
          <w:spacing w:val="-1"/>
        </w:rPr>
        <w:t>报告期内，公司进一步加强了内部控制，完善了治理结构，治理层与管理层权责明确，充分发挥董事会及其专门委员会</w:t>
      </w:r>
    </w:p>
    <w:p>
      <w:pPr>
        <w:pStyle w:val="BodyText"/>
        <w:spacing w:line="312" w:lineRule="auto" w:before="19"/>
        <w:ind w:right="188"/>
        <w:jc w:val="both"/>
      </w:pPr>
      <w:r>
        <w:rPr>
          <w:spacing w:val="-2"/>
        </w:rPr>
        <w:t>的作用；其次进一步完善内控体系，制订或修订了《内幕信息知情人登记管理制度》、《年报信息披露重大差错责任追究制</w:t>
      </w:r>
      <w:r>
        <w:rPr>
          <w:spacing w:val="-67"/>
        </w:rPr>
        <w:t> </w:t>
      </w:r>
      <w:r>
        <w:rPr>
          <w:spacing w:val="-67"/>
        </w:rPr>
      </w:r>
      <w:r>
        <w:rPr>
          <w:spacing w:val="-2"/>
        </w:rPr>
        <w:t>度》、《重大事项内部报告制度》、《董事、监事和高级管理人员所持本公司股份变动管理制度》、《会计师事务所选聘制</w:t>
      </w:r>
      <w:r>
        <w:rPr>
          <w:spacing w:val="-71"/>
        </w:rPr>
        <w:t> </w:t>
      </w:r>
      <w:r>
        <w:rPr>
          <w:spacing w:val="-71"/>
        </w:rPr>
      </w:r>
      <w:r>
        <w:rPr>
          <w:spacing w:val="-17"/>
          <w:w w:val="99"/>
        </w:rPr>
        <w:t>度》、《现金分红管理制度》、《财务负责人管理制度等制度》等多项内部控制管理制度；通过引进软件能力成熟度模型（</w:t>
      </w:r>
      <w:r>
        <w:rPr>
          <w:rFonts w:ascii="Times New Roman" w:hAnsi="Times New Roman" w:cs="Times New Roman" w:eastAsia="Times New Roman" w:hint="default"/>
          <w:spacing w:val="-17"/>
          <w:w w:val="99"/>
        </w:rPr>
        <w:t>CMM3</w:t>
      </w:r>
      <w:r>
        <w:rPr>
          <w:spacing w:val="-17"/>
          <w:w w:val="99"/>
        </w:rPr>
        <w:t>），</w:t>
      </w:r>
      <w:r>
        <w:rPr>
          <w:spacing w:val="-89"/>
          <w:w w:val="99"/>
        </w:rPr>
        <w:t> </w:t>
      </w:r>
      <w:r>
        <w:rPr/>
        <w:t>进一步加强和规范了研发管理，确保了产品研发的质量和进度。</w:t>
      </w:r>
    </w:p>
    <w:p>
      <w:pPr>
        <w:pStyle w:val="BodyText"/>
        <w:spacing w:line="316" w:lineRule="auto" w:before="22"/>
        <w:ind w:left="441" w:right="98" w:hanging="289"/>
        <w:jc w:val="left"/>
      </w:pPr>
      <w:r>
        <w:rPr/>
        <w:t>（五）引进各类人才，推进人力资源建设 </w:t>
      </w:r>
      <w:r>
        <w:rPr>
          <w:spacing w:val="-1"/>
        </w:rPr>
        <w:t>作为创新型高新技术企业，人力资源被公司视为最重要的资源，报告期内，公司通过各种方式引进和培养专业人才，建</w:t>
      </w:r>
    </w:p>
    <w:p>
      <w:pPr>
        <w:pStyle w:val="BodyText"/>
        <w:spacing w:line="307" w:lineRule="auto" w:before="19"/>
        <w:ind w:right="94"/>
        <w:jc w:val="left"/>
      </w:pPr>
      <w:r>
        <w:rPr/>
        <w:t>立了梯队化的人才储备制度。截至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日，公司（包括两家全资子公司）拥有员工</w:t>
      </w:r>
      <w:r>
        <w:rPr>
          <w:rFonts w:ascii="Times New Roman" w:hAnsi="Times New Roman" w:cs="Times New Roman" w:eastAsia="Times New Roman" w:hint="default"/>
        </w:rPr>
        <w:t>446</w:t>
      </w:r>
      <w:r>
        <w:rPr/>
        <w:t>人，其中，研发人员</w:t>
      </w:r>
      <w:r>
        <w:rPr>
          <w:rFonts w:ascii="Times New Roman" w:hAnsi="Times New Roman" w:cs="Times New Roman" w:eastAsia="Times New Roman" w:hint="default"/>
        </w:rPr>
        <w:t>194</w:t>
      </w:r>
      <w:r>
        <w:rPr/>
        <w:t>人，</w:t>
      </w:r>
      <w:r>
        <w:rPr>
          <w:spacing w:val="2"/>
        </w:rPr>
        <w:t> </w:t>
      </w:r>
      <w:r>
        <w:rPr>
          <w:spacing w:val="-3"/>
        </w:rPr>
        <w:t>占员工总数</w:t>
      </w:r>
      <w:r>
        <w:rPr>
          <w:rFonts w:ascii="Times New Roman" w:hAnsi="Times New Roman" w:cs="Times New Roman" w:eastAsia="Times New Roman" w:hint="default"/>
          <w:spacing w:val="-3"/>
        </w:rPr>
        <w:t>43.50%</w:t>
      </w:r>
      <w:r>
        <w:rPr>
          <w:spacing w:val="-3"/>
        </w:rPr>
        <w:t>，本科以上学历人员占员工总人数的</w:t>
      </w:r>
      <w:r>
        <w:rPr>
          <w:rFonts w:ascii="Times New Roman" w:hAnsi="Times New Roman" w:cs="Times New Roman" w:eastAsia="Times New Roman" w:hint="default"/>
          <w:spacing w:val="-3"/>
        </w:rPr>
        <w:t>59.64%</w:t>
      </w:r>
      <w:r>
        <w:rPr>
          <w:spacing w:val="-3"/>
        </w:rPr>
        <w:t>，</w:t>
      </w:r>
      <w:r>
        <w:rPr>
          <w:rFonts w:ascii="Times New Roman" w:hAnsi="Times New Roman" w:cs="Times New Roman" w:eastAsia="Times New Roman" w:hint="default"/>
          <w:spacing w:val="-3"/>
        </w:rPr>
        <w:t>30</w:t>
      </w:r>
      <w:r>
        <w:rPr>
          <w:spacing w:val="-3"/>
        </w:rPr>
        <w:t>岁以下的人员占总人数的比例为</w:t>
      </w:r>
      <w:r>
        <w:rPr>
          <w:rFonts w:ascii="Times New Roman" w:hAnsi="Times New Roman" w:cs="Times New Roman" w:eastAsia="Times New Roman" w:hint="default"/>
          <w:spacing w:val="-3"/>
        </w:rPr>
        <w:t>73.09%</w:t>
      </w:r>
      <w:r>
        <w:rPr>
          <w:spacing w:val="-3"/>
        </w:rPr>
        <w:t>，形成了年轻化、</w:t>
      </w:r>
      <w:r>
        <w:rPr>
          <w:spacing w:val="-28"/>
        </w:rPr>
        <w:t> </w:t>
      </w:r>
      <w:r>
        <w:rPr>
          <w:spacing w:val="-28"/>
        </w:rPr>
      </w:r>
      <w:r>
        <w:rPr>
          <w:spacing w:val="-2"/>
        </w:rPr>
        <w:t>知识化、创新化的人才梯队，为公司产品的研发、生产、销售奠定了坚实的人才基础。与此同时，公司还大力加强企业文化</w:t>
      </w:r>
      <w:r>
        <w:rPr>
          <w:spacing w:val="-68"/>
        </w:rPr>
        <w:t> </w:t>
      </w:r>
      <w:r>
        <w:rPr>
          <w:spacing w:val="-68"/>
        </w:rPr>
      </w:r>
      <w:r>
        <w:rPr/>
        <w:t>建设，努力为员工提供轻松和谐的工作氛围，员工在专业技能和专业素质方面都有了较大提高。</w:t>
      </w:r>
    </w:p>
    <w:p>
      <w:pPr>
        <w:spacing w:after="0" w:line="307"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说明</w:t>
      </w:r>
    </w:p>
    <w:p>
      <w:pPr>
        <w:pStyle w:val="BodyText"/>
        <w:spacing w:line="240" w:lineRule="auto" w:before="115"/>
        <w:ind w:left="513" w:right="0"/>
        <w:jc w:val="left"/>
      </w:pPr>
      <w:r>
        <w:rPr/>
        <w:t>报告期内，公司实现营业收入</w:t>
      </w:r>
      <w:r>
        <w:rPr>
          <w:rFonts w:ascii="Times New Roman" w:hAnsi="Times New Roman" w:cs="Times New Roman" w:eastAsia="Times New Roman" w:hint="default"/>
        </w:rPr>
        <w:t>19,297.42</w:t>
      </w:r>
      <w:r>
        <w:rPr/>
        <w:t>万元，比上年同期增长</w:t>
      </w:r>
      <w:r>
        <w:rPr>
          <w:rFonts w:ascii="Times New Roman" w:hAnsi="Times New Roman" w:cs="Times New Roman" w:eastAsia="Times New Roman" w:hint="default"/>
        </w:rPr>
        <w:t>10.20%</w:t>
      </w:r>
      <w:r>
        <w:rPr/>
        <w:t>。面对市场日益加剧的竞争压力，公司收入保持</w:t>
      </w:r>
    </w:p>
    <w:p>
      <w:pPr>
        <w:pStyle w:val="BodyText"/>
        <w:spacing w:line="316" w:lineRule="auto" w:before="63"/>
        <w:ind w:right="4374"/>
        <w:jc w:val="left"/>
      </w:pPr>
      <w:r>
        <w:rPr/>
        <w:t>稳定增长主要原因有： 一、通过增强市场开发力度和营销网络建设，不断提高营销能力； 二、在品牌宣传、市场拓展等方面的持续投入，深层次挖掘新客户； 三、继续加大研发力度，提高公司产品的综合竞争力。</w:t>
      </w:r>
    </w:p>
    <w:p>
      <w:pPr>
        <w:pStyle w:val="BodyText"/>
        <w:spacing w:line="240" w:lineRule="auto" w:before="59"/>
        <w:ind w:right="0"/>
        <w:jc w:val="left"/>
      </w:pPr>
      <w:r>
        <w:rPr/>
        <w:t>公司实物销售收入是否大于劳务收入</w:t>
      </w:r>
    </w:p>
    <w:p>
      <w:pPr>
        <w:pStyle w:val="BodyText"/>
        <w:spacing w:line="240" w:lineRule="auto" w:before="11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3"/>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公司重大的在手订单情况</w:t>
      </w:r>
    </w:p>
    <w:p>
      <w:pPr>
        <w:pStyle w:val="BodyText"/>
        <w:spacing w:line="340" w:lineRule="auto" w:before="39"/>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数量分散的订单情况</w:t>
      </w:r>
    </w:p>
    <w:p>
      <w:pPr>
        <w:pStyle w:val="BodyText"/>
        <w:spacing w:line="338" w:lineRule="auto" w:before="41"/>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硬件采购成本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71,482,770.30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67,867,277.60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人工及服务费成 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12,478,624.02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8,333,744.63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20,163,367.28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16,499,821.24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22.2%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销售规模扩大所致</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58,676,134.15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43,781,781.87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34.02%</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增加了研发投入、人员工资及固定资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产折旧</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-472,374.22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-523,200.11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3,252,918.59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5,793,265.02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68"/>
              <w:jc w:val="both"/>
              <w:rPr>
                <w:rFonts w:ascii="宋体" w:hAnsi="宋体" w:cs="宋体" w:eastAsia="宋体" w:hint="default"/>
                <w:sz w:val="18"/>
                <w:szCs w:val="18"/>
              </w:rPr>
            </w:pPr>
            <w:r>
              <w:rPr>
                <w:rFonts w:ascii="宋体" w:hAnsi="宋体" w:cs="宋体" w:eastAsia="宋体" w:hint="default"/>
                <w:sz w:val="18"/>
                <w:szCs w:val="18"/>
              </w:rPr>
              <w:t>被认定为国家规划布局内重点软件 企业，本年度所得税率减按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 算。</w:t>
            </w:r>
          </w:p>
        </w:tc>
      </w:tr>
    </w:tbl>
    <w:p>
      <w:pPr>
        <w:spacing w:line="240" w:lineRule="auto" w:before="3"/>
        <w:rPr>
          <w:rFonts w:ascii="宋体" w:hAnsi="宋体" w:cs="宋体" w:eastAsia="宋体" w:hint="default"/>
          <w:sz w:val="19"/>
          <w:szCs w:val="19"/>
        </w:rPr>
      </w:pPr>
    </w:p>
    <w:p>
      <w:pPr>
        <w:pStyle w:val="Heading3"/>
        <w:spacing w:line="240" w:lineRule="auto" w:before="36"/>
        <w:ind w:right="98"/>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40"/>
        </w:sectPr>
      </w:pPr>
    </w:p>
    <w:p>
      <w:pPr>
        <w:spacing w:line="240" w:lineRule="auto" w:before="0"/>
        <w:rPr>
          <w:rFonts w:ascii="宋体" w:hAnsi="宋体" w:cs="宋体" w:eastAsia="宋体" w:hint="default"/>
          <w:b/>
          <w:bCs/>
          <w:sz w:val="18"/>
          <w:szCs w:val="18"/>
        </w:rPr>
      </w:pPr>
    </w:p>
    <w:p>
      <w:pPr>
        <w:pStyle w:val="BodyText"/>
        <w:spacing w:line="240" w:lineRule="auto" w:before="121"/>
        <w:ind w:right="-18"/>
        <w:jc w:val="left"/>
      </w:pPr>
      <w:r>
        <w:rPr/>
        <w:t>为</w:t>
      </w:r>
      <w:r>
        <w:rPr>
          <w:rFonts w:ascii="Times New Roman" w:hAnsi="Times New Roman" w:cs="Times New Roman" w:eastAsia="Times New Roman" w:hint="default"/>
        </w:rPr>
        <w:t>0</w:t>
      </w:r>
      <w:r>
        <w:rPr/>
        <w:t>。</w:t>
      </w:r>
    </w:p>
    <w:p>
      <w:pPr>
        <w:pStyle w:val="BodyText"/>
        <w:spacing w:line="240" w:lineRule="auto" w:before="44"/>
        <w:ind w:left="12" w:right="0"/>
        <w:jc w:val="left"/>
      </w:pPr>
      <w:r>
        <w:rPr/>
        <w:br w:type="column"/>
      </w:r>
      <w:r>
        <w:rPr/>
        <w:t>报告期内，公司研发投入</w:t>
      </w:r>
      <w:r>
        <w:rPr>
          <w:rFonts w:ascii="Times New Roman" w:hAnsi="Times New Roman" w:cs="Times New Roman" w:eastAsia="Times New Roman" w:hint="default"/>
        </w:rPr>
        <w:t>2254.04</w:t>
      </w:r>
      <w:r>
        <w:rPr/>
        <w:t>万元，比上年同期增长</w:t>
      </w:r>
      <w:r>
        <w:rPr>
          <w:rFonts w:ascii="Times New Roman" w:hAnsi="Times New Roman" w:cs="Times New Roman" w:eastAsia="Times New Roman" w:hint="default"/>
        </w:rPr>
        <w:t>25.55%</w:t>
      </w:r>
      <w:r>
        <w:rPr/>
        <w:t>，占营业收入的比重为</w:t>
      </w:r>
      <w:r>
        <w:rPr>
          <w:rFonts w:ascii="Times New Roman" w:hAnsi="Times New Roman" w:cs="Times New Roman" w:eastAsia="Times New Roman" w:hint="default"/>
        </w:rPr>
        <w:t>11.68%</w:t>
      </w:r>
      <w:r>
        <w:rPr/>
        <w:t>，研发支出资本化金额</w:t>
      </w:r>
    </w:p>
    <w:p>
      <w:pPr>
        <w:spacing w:line="240" w:lineRule="auto" w:before="0"/>
        <w:rPr>
          <w:rFonts w:ascii="宋体" w:hAnsi="宋体" w:cs="宋体" w:eastAsia="宋体" w:hint="default"/>
          <w:sz w:val="18"/>
          <w:szCs w:val="18"/>
        </w:rPr>
      </w:pPr>
    </w:p>
    <w:p>
      <w:pPr>
        <w:pStyle w:val="BodyText"/>
        <w:spacing w:line="240" w:lineRule="auto" w:before="139"/>
        <w:ind w:left="84" w:right="0"/>
        <w:jc w:val="left"/>
      </w:pPr>
      <w:r>
        <w:rPr>
          <w:rFonts w:ascii="Times New Roman" w:hAnsi="Times New Roman" w:cs="Times New Roman" w:eastAsia="Times New Roman" w:hint="default"/>
        </w:rPr>
        <w:t>2012</w:t>
      </w:r>
      <w:r>
        <w:rPr/>
        <w:t>年，随着公司上市成功，募集资金到位，</w:t>
      </w:r>
      <w:r>
        <w:rPr>
          <w:spacing w:val="47"/>
        </w:rPr>
        <w:t> </w:t>
      </w:r>
      <w:r>
        <w:rPr/>
        <w:t>公司加大了研发投入，多方引进人才，在信息安全领域里不断创新，</w:t>
      </w:r>
    </w:p>
    <w:p>
      <w:pPr>
        <w:spacing w:after="0" w:line="240" w:lineRule="auto"/>
        <w:jc w:val="left"/>
        <w:sectPr>
          <w:type w:val="continuous"/>
          <w:pgSz w:w="11910" w:h="16840"/>
          <w:pgMar w:top="1060" w:bottom="1160" w:left="980" w:right="940"/>
          <w:cols w:num="2" w:equalWidth="0">
            <w:col w:w="605" w:space="40"/>
            <w:col w:w="9345"/>
          </w:cols>
        </w:sectPr>
      </w:pPr>
    </w:p>
    <w:p>
      <w:pPr>
        <w:pStyle w:val="BodyText"/>
        <w:spacing w:line="300" w:lineRule="auto" w:before="63"/>
        <w:ind w:right="98"/>
        <w:jc w:val="left"/>
      </w:pPr>
      <w:r>
        <w:rPr>
          <w:spacing w:val="-1"/>
        </w:rPr>
        <w:t>围绕</w:t>
      </w:r>
      <w:r>
        <w:rPr>
          <w:rFonts w:ascii="Times New Roman" w:hAnsi="Times New Roman" w:cs="Times New Roman" w:eastAsia="Times New Roman" w:hint="default"/>
          <w:spacing w:val="-1"/>
        </w:rPr>
        <w:t>“</w:t>
      </w:r>
      <w:r>
        <w:rPr>
          <w:spacing w:val="-1"/>
        </w:rPr>
        <w:t>网络内容与行为审计产品升级优化项目</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网络信息安全监管平台建设项目</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研发中心扩建项目</w:t>
      </w:r>
      <w:r>
        <w:rPr>
          <w:rFonts w:ascii="Times New Roman" w:hAnsi="Times New Roman" w:cs="Times New Roman" w:eastAsia="Times New Roman" w:hint="default"/>
          <w:spacing w:val="-1"/>
        </w:rPr>
        <w:t>”</w:t>
      </w:r>
      <w:r>
        <w:rPr>
          <w:spacing w:val="-1"/>
        </w:rPr>
        <w:t>三个募投项目展开</w:t>
      </w:r>
      <w:r>
        <w:rPr>
          <w:spacing w:val="-60"/>
        </w:rPr>
        <w:t> </w:t>
      </w:r>
      <w:r>
        <w:rPr/>
        <w:t>创新研发。</w:t>
      </w:r>
    </w:p>
    <w:p>
      <w:pPr>
        <w:pStyle w:val="BodyText"/>
        <w:spacing w:line="240" w:lineRule="auto" w:before="72"/>
        <w:ind w:right="98"/>
        <w:jc w:val="left"/>
      </w:pPr>
      <w:r>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951"/>
        <w:gridCol w:w="145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22,540,430.09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17,953,106.33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16,092,231.53</w:t>
            </w:r>
          </w:p>
        </w:tc>
      </w:tr>
      <w:tr>
        <w:trPr>
          <w:trHeight w:val="403"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51"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78" w:right="0"/>
              <w:jc w:val="left"/>
              <w:rPr>
                <w:rFonts w:ascii="Times New Roman" w:hAnsi="Times New Roman" w:cs="Times New Roman" w:eastAsia="Times New Roman" w:hint="default"/>
                <w:sz w:val="18"/>
                <w:szCs w:val="18"/>
              </w:rPr>
            </w:pPr>
            <w:r>
              <w:rPr>
                <w:rFonts w:ascii="Times New Roman"/>
                <w:sz w:val="18"/>
              </w:rPr>
              <w:t>11.68%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w:t>
            </w:r>
          </w:p>
        </w:tc>
      </w:tr>
    </w:tbl>
    <w:p>
      <w:pPr>
        <w:spacing w:line="240" w:lineRule="auto" w:before="3"/>
        <w:rPr>
          <w:rFonts w:ascii="宋体" w:hAnsi="宋体" w:cs="宋体" w:eastAsia="宋体" w:hint="default"/>
          <w:sz w:val="19"/>
          <w:szCs w:val="19"/>
        </w:rPr>
      </w:pPr>
    </w:p>
    <w:p>
      <w:pPr>
        <w:pStyle w:val="Heading3"/>
        <w:spacing w:line="240" w:lineRule="auto" w:before="36"/>
        <w:ind w:right="98"/>
        <w:jc w:val="left"/>
        <w:rPr>
          <w:b w:val="0"/>
          <w:bCs w:val="0"/>
        </w:rPr>
      </w:pPr>
      <w:r>
        <w:rPr/>
        <w:pict>
          <v:group style="position:absolute;margin-left:177.740005pt;margin-top:-32.736317pt;width:116.8pt;height:19.7pt;mso-position-horizontal-relative:page;mso-position-vertical-relative:paragraph;z-index:-654016" coordorigin="3555,-655" coordsize="2336,394">
            <v:shape style="position:absolute;left:3555;top:-655;width:2336;height:394" coordorigin="3555,-655" coordsize="2336,394" path="m3555,-261l5890,-261,5890,-655,3555,-655,3555,-261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266,017,001.93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223,298,877.15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19.13%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190,821,981.65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182,515,692.67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75,195,020.28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40,783,184.48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84.38%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37,090,195.99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50,740,841.77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-37,090,195.99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-50,740,841.77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241,192,000.00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14,294,506.51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226,897,493.49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265,002,317.78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-9,957,657.29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19" w:lineRule="auto" w:before="101"/>
        <w:ind w:right="16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报告期内，经营活动产生的现金流量净额比上年同期增长</w:t>
      </w:r>
      <w:r>
        <w:rPr>
          <w:rFonts w:ascii="Times New Roman" w:hAnsi="Times New Roman" w:cs="Times New Roman" w:eastAsia="Times New Roman" w:hint="default"/>
        </w:rPr>
        <w:t>84.38%</w:t>
      </w:r>
      <w:r>
        <w:rPr/>
        <w:t>，主要原因是收到客户预收款项增加。 筹资活动现金流入增加主要原因是</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月公司上市募集到资金。</w:t>
      </w:r>
    </w:p>
    <w:p>
      <w:pPr>
        <w:pStyle w:val="BodyText"/>
        <w:spacing w:line="240" w:lineRule="auto" w:before="38"/>
        <w:ind w:right="98"/>
        <w:jc w:val="left"/>
      </w:pPr>
      <w:r>
        <w:rPr/>
        <w:t>报告期内公司经营活动的现金流量与本年度净利润存在重大差异的原因说明</w:t>
      </w:r>
    </w:p>
    <w:p>
      <w:pPr>
        <w:pStyle w:val="BodyText"/>
        <w:spacing w:line="240" w:lineRule="auto" w:before="114"/>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70,078,512.71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36.31%</w:t>
            </w:r>
          </w:p>
        </w:tc>
      </w:tr>
    </w:tbl>
    <w:p>
      <w:pPr>
        <w:pStyle w:val="BodyText"/>
        <w:spacing w:line="240" w:lineRule="auto" w:before="49"/>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44,072,254.25</w:t>
            </w:r>
          </w:p>
        </w:tc>
      </w:tr>
      <w:tr>
        <w:trPr>
          <w:trHeight w:val="401" w:hRule="exact"/>
        </w:trPr>
        <w:tc>
          <w:tcPr>
            <w:tcW w:w="42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0" w:space="0" w:color="FFFFFF"/>
              <w:bottom w:val="single" w:sz="4" w:space="0" w:color="000000"/>
              <w:right w:val="single" w:sz="4" w:space="0" w:color="000000"/>
            </w:tcBorders>
          </w:tcPr>
          <w:p>
            <w:pPr>
              <w:pStyle w:val="TableParagraph"/>
              <w:tabs>
                <w:tab w:pos="4719" w:val="left" w:leader="none"/>
              </w:tabs>
              <w:spacing w:line="240" w:lineRule="auto" w:before="49"/>
              <w:ind w:left="-133" w:right="1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50.71%</w:t>
            </w:r>
          </w:p>
        </w:tc>
      </w:tr>
    </w:tbl>
    <w:p>
      <w:pPr>
        <w:pStyle w:val="BodyText"/>
        <w:spacing w:line="240" w:lineRule="auto" w:before="49"/>
        <w:ind w:right="0"/>
        <w:jc w:val="left"/>
      </w:pPr>
      <w:r>
        <w:rPr/>
        <w:pict>
          <v:group style="position:absolute;margin-left:271.010010pt;margin-top:-20.03828pt;width:262.75pt;height:19.6pt;mso-position-horizontal-relative:page;mso-position-vertical-relative:paragraph;z-index:-653992"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首次公开发行招股说明书中披露的未来发展与规划在本报告期的实施情况</w:t>
      </w:r>
    </w:p>
    <w:p>
      <w:pPr>
        <w:pStyle w:val="BodyText"/>
        <w:spacing w:line="338" w:lineRule="auto" w:before="117"/>
        <w:ind w:right="4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公司回顾总结前期披露的发展战略和经营计划在报告期内的进展情况</w:t>
      </w:r>
    </w:p>
    <w:p>
      <w:pPr>
        <w:pStyle w:val="BodyText"/>
        <w:spacing w:line="312" w:lineRule="auto" w:before="43"/>
        <w:ind w:right="150" w:firstLine="288"/>
        <w:jc w:val="both"/>
      </w:pPr>
      <w:r>
        <w:rPr>
          <w:rFonts w:ascii="Times New Roman" w:hAnsi="Times New Roman" w:cs="Times New Roman" w:eastAsia="Times New Roman" w:hint="default"/>
          <w:spacing w:val="-1"/>
        </w:rPr>
        <w:t>2012</w:t>
      </w:r>
      <w:r>
        <w:rPr>
          <w:spacing w:val="-1"/>
        </w:rPr>
        <w:t>年以来，公司抓住国家不断加强互联网安全管理的契机，通过持续的研发投入和技术创新，开发深入贴近用户需求</w:t>
      </w:r>
      <w:r>
        <w:rPr/>
        <w:t> </w:t>
      </w:r>
      <w:r>
        <w:rPr>
          <w:spacing w:val="-2"/>
        </w:rPr>
        <w:t>的产品和服务，创新经营模式，健全市场营销网络体系，巩固和扩大公司在网络内容与行为审计和监管市场的领先地位，打</w:t>
      </w:r>
      <w:r>
        <w:rPr>
          <w:spacing w:val="-66"/>
        </w:rPr>
        <w:t> </w:t>
      </w:r>
      <w:r>
        <w:rPr>
          <w:spacing w:val="-66"/>
        </w:rPr>
      </w:r>
      <w:r>
        <w:rPr>
          <w:spacing w:val="-2"/>
        </w:rPr>
        <w:t>造网络应用审计专家品牌；进一步拓展包括酒店、会所等在内的公共上网场所市场，利用庞大的客户资源优势，深度挖掘客</w:t>
      </w:r>
      <w:r>
        <w:rPr>
          <w:spacing w:val="-65"/>
        </w:rPr>
        <w:t> </w:t>
      </w:r>
      <w:r>
        <w:rPr>
          <w:spacing w:val="-65"/>
        </w:rPr>
      </w:r>
      <w:r>
        <w:rPr/>
        <w:t>户需求，为客户提供延伸产品和服务，不断加强公司的核心竞争力和提升公司的盈利能力，实现了业务收入的平稳增长</w:t>
      </w:r>
    </w:p>
    <w:p>
      <w:pPr>
        <w:pStyle w:val="BodyText"/>
        <w:spacing w:line="240" w:lineRule="auto" w:before="63"/>
        <w:ind w:right="0"/>
        <w:jc w:val="left"/>
      </w:pPr>
      <w:r>
        <w:rPr/>
        <w:t>公司实际经营业绩较曾公开披露过的本年度盈利预测低于或高于</w:t>
      </w:r>
      <w:r>
        <w:rPr>
          <w:spacing w:val="-44"/>
        </w:rPr>
        <w:t> </w:t>
      </w:r>
      <w:r>
        <w:rPr>
          <w:rFonts w:ascii="Times New Roman" w:hAnsi="Times New Roman" w:cs="Times New Roman" w:eastAsia="Times New Roman" w:hint="default"/>
        </w:rPr>
        <w:t>20%</w:t>
      </w:r>
      <w:r>
        <w:rPr/>
        <w:t>以上的差异原因</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6"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8"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64,486,286.87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102,046,432.84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70,617,479.15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服务类收入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26,432,881.08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12,478,624.02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专用安全审计产 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51,630,903.71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23,748,180.63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通用安全审计产 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59,898,969.48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13,253,569.16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34.72%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网络监管产品及 安全集成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75,286,018.28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41,824,938.11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6,149,709.32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5,134,706.42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30,704,136.64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4,052,616.38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7,561,571.66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2,114,625.95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54,666,097.04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30,042,072.64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-31.69%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12,523,295.87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7,307,610.54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63.51%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41,267,670.90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19,206,194.96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11,798,567.28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7,382,315.54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66.01%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16,624,189.24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6,536,489.22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17,820,072.16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7,319,469.09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80.41%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-12.15%</w:t>
            </w:r>
          </w:p>
        </w:tc>
      </w:tr>
    </w:tbl>
    <w:p>
      <w:pPr>
        <w:pStyle w:val="BodyText"/>
        <w:spacing w:line="240" w:lineRule="auto" w:before="4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325,614,507.9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60.78%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58,889,310.06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29.92%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30.86%</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公司成功上市，募集资金所致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40,883,734.28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17,069,307.17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32,166,662.20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19,092,283.06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551,440.06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563,017.24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4,557,748.49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108,724,281.5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20.29%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88,584,290.37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45.01%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-24.72%</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2,662,833.33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8" w:right="0"/>
              <w:jc w:val="left"/>
              <w:rPr>
                <w:rFonts w:ascii="Times New Roman" w:hAnsi="Times New Roman" w:cs="Times New Roman" w:eastAsia="Times New Roman" w:hint="default"/>
                <w:sz w:val="18"/>
                <w:szCs w:val="18"/>
              </w:rPr>
            </w:pPr>
            <w:r>
              <w:rPr>
                <w:rFonts w:ascii="Times New Roman"/>
                <w:sz w:val="18"/>
              </w:rPr>
              <w:t>0.5%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博海通讯公司向银行借款所致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报告期内，公司股票在创业板首发上市，公司的资金实力与品牌知名度得到了增强，公司在研发投入、市场营销、经营</w:t>
      </w:r>
      <w:r>
        <w:rPr/>
        <w:t> 管理、人力资源等方面的优势继续扩大，公司的整体核心竞争力得到了进一步的提升。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23,108</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7,425.34</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7,425.34</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0"/>
        <w:gridCol w:w="781"/>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网络内容与行为审计 产品升级优化项目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7,532.45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7,532.45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2,589.11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网络信息安全监管平 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5,652.47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5,652.47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2,669.88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2,669.88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研发中心扩建项目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3,299.55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3,299.55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1,666.34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1,666.34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16,484.47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16,484.47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6,925.33</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6,925.33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7pt;margin-top:71.999985pt;width:478.7pt;height:692.1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8"/>
                    <w:gridCol w:w="779"/>
                    <w:gridCol w:w="791"/>
                    <w:gridCol w:w="780"/>
                    <w:gridCol w:w="780"/>
                    <w:gridCol w:w="780"/>
                    <w:gridCol w:w="780"/>
                    <w:gridCol w:w="780"/>
                    <w:gridCol w:w="780"/>
                    <w:gridCol w:w="781"/>
                    <w:gridCol w:w="780"/>
                  </w:tblGrid>
                  <w:tr>
                    <w:trPr>
                      <w:trHeight w:val="401"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779"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16,984.47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16,984.47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7,425.33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7,425.33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7"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公司首次公开发行股票实际募集资金净额人民币</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r>
                          <w:rPr>
                            <w:rFonts w:ascii="宋体" w:hAnsi="宋体" w:cs="宋体" w:eastAsia="宋体"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其中超额募集资金为</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3  </w:t>
                        </w:r>
                        <w:r>
                          <w:rPr>
                            <w:rFonts w:ascii="宋体" w:hAnsi="宋体" w:cs="宋体" w:eastAsia="宋体" w:hint="default"/>
                            <w:sz w:val="18"/>
                            <w:szCs w:val="18"/>
                          </w:rPr>
                          <w:t>元</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年第三次临时股东大会审</w:t>
                        </w:r>
                        <w:r>
                          <w:rPr>
                            <w:rFonts w:ascii="宋体" w:hAnsi="宋体" w:cs="宋体" w:eastAsia="宋体" w:hint="default"/>
                            <w:spacing w:val="-3"/>
                            <w:sz w:val="18"/>
                            <w:szCs w:val="18"/>
                          </w:rPr>
                          <w:t>议</w:t>
                        </w:r>
                        <w:r>
                          <w:rPr>
                            <w:rFonts w:ascii="宋体" w:hAnsi="宋体" w:cs="宋体" w:eastAsia="宋体" w:hint="default"/>
                            <w:sz w:val="18"/>
                            <w:szCs w:val="18"/>
                          </w:rPr>
                          <w:t>通过了关于使用超募资金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万元向北</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京中天信安科技有限责任公司（以下简称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中天信安</w:t>
                        </w:r>
                        <w:r>
                          <w:rPr>
                            <w:rFonts w:ascii="Times New Roman" w:hAnsi="Times New Roman" w:cs="Times New Roman" w:eastAsia="Times New Roman" w:hint="default"/>
                            <w:sz w:val="18"/>
                            <w:szCs w:val="18"/>
                          </w:rPr>
                          <w:t>”</w:t>
                        </w:r>
                        <w:r>
                          <w:rPr>
                            <w:rFonts w:ascii="宋体" w:hAnsi="宋体" w:cs="宋体" w:eastAsia="宋体" w:hint="default"/>
                            <w:sz w:val="18"/>
                            <w:szCs w:val="18"/>
                          </w:rPr>
                          <w:t>）增资的议案。</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日，本公司与</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中天信安及其股东刘宏伟、刘健签订增资扩股协议，以人民币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万元向中天信安增资，增资完成</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后本公司占中天信安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的股权比例，中天信安的注册资本由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万变为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1250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日，完成了相关的工商变更登记手续。上述议案使用资金占超募资金总额的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7.66%</w:t>
                        </w:r>
                        <w:r>
                          <w:rPr>
                            <w:rFonts w:ascii="宋体" w:hAnsi="宋体" w:cs="宋体" w:eastAsia="宋体" w:hint="default"/>
                            <w:sz w:val="18"/>
                            <w:szCs w:val="18"/>
                          </w:rPr>
                          <w:t>。</w:t>
                        </w:r>
                      </w:p>
                    </w:tc>
                  </w:tr>
                  <w:tr>
                    <w:trPr>
                      <w:trHeight w:val="706"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11" w:type="dxa"/>
                        <w:gridSpan w:val="10"/>
                        <w:vMerge/>
                        <w:tcBorders>
                          <w:left w:val="single" w:sz="10" w:space="0" w:color="D2D2D2"/>
                          <w:right w:val="single" w:sz="4" w:space="0" w:color="000000"/>
                        </w:tcBorders>
                      </w:tcPr>
                      <w:p>
                        <w:pPr/>
                      </w:p>
                    </w:tc>
                  </w:tr>
                  <w:tr>
                    <w:trPr>
                      <w:trHeight w:val="828"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08"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28"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日，公司募集资金投资项目自筹资金实际已投入的资金总额为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5,380.75  </w:t>
                        </w:r>
                        <w:r>
                          <w:rPr>
                            <w:rFonts w:ascii="宋体" w:hAnsi="宋体" w:cs="宋体" w:eastAsia="宋体" w:hint="default"/>
                            <w:sz w:val="18"/>
                            <w:szCs w:val="18"/>
                          </w:rPr>
                          <w:t>万元。</w:t>
                        </w:r>
                      </w:p>
                      <w:p>
                        <w:pPr>
                          <w:pStyle w:val="TableParagraph"/>
                          <w:spacing w:line="240" w:lineRule="auto" w:before="63"/>
                          <w:ind w:left="28" w:right="0"/>
                          <w:jc w:val="both"/>
                          <w:rPr>
                            <w:rFonts w:ascii="宋体" w:hAnsi="宋体" w:cs="宋体" w:eastAsia="宋体" w:hint="default"/>
                            <w:sz w:val="18"/>
                            <w:szCs w:val="18"/>
                          </w:rPr>
                        </w:pPr>
                        <w:r>
                          <w:rPr>
                            <w:rFonts w:ascii="宋体" w:hAnsi="宋体" w:cs="宋体" w:eastAsia="宋体" w:hint="default"/>
                            <w:sz w:val="18"/>
                            <w:szCs w:val="18"/>
                          </w:rPr>
                          <w:t>其中网络内容与行为审计产品升级优化项目先期投入 </w:t>
                        </w:r>
                        <w:r>
                          <w:rPr>
                            <w:rFonts w:ascii="Times New Roman" w:hAnsi="Times New Roman" w:cs="Times New Roman" w:eastAsia="Times New Roman" w:hint="default"/>
                            <w:sz w:val="18"/>
                            <w:szCs w:val="18"/>
                          </w:rPr>
                          <w:t>2,077.64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万元，网络信息安全监管平台建设项</w:t>
                        </w:r>
                      </w:p>
                      <w:p>
                        <w:pPr>
                          <w:pStyle w:val="TableParagraph"/>
                          <w:spacing w:line="240" w:lineRule="auto" w:before="63"/>
                          <w:ind w:left="28" w:right="0"/>
                          <w:jc w:val="both"/>
                          <w:rPr>
                            <w:rFonts w:ascii="宋体" w:hAnsi="宋体" w:cs="宋体" w:eastAsia="宋体" w:hint="default"/>
                            <w:sz w:val="18"/>
                            <w:szCs w:val="18"/>
                          </w:rPr>
                        </w:pPr>
                        <w:r>
                          <w:rPr>
                            <w:rFonts w:ascii="宋体" w:hAnsi="宋体" w:cs="宋体" w:eastAsia="宋体" w:hint="default"/>
                            <w:sz w:val="18"/>
                            <w:szCs w:val="18"/>
                          </w:rPr>
                          <w:t>目先期投入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1,954.85 </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万元，研发中心扩建项目先期投入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1,348.26 </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万元。北京永拓会计师事务所有限</w:t>
                        </w:r>
                      </w:p>
                      <w:p>
                        <w:pPr>
                          <w:pStyle w:val="TableParagraph"/>
                          <w:spacing w:line="240" w:lineRule="auto" w:before="63"/>
                          <w:ind w:left="28" w:right="0"/>
                          <w:jc w:val="both"/>
                          <w:rPr>
                            <w:rFonts w:ascii="宋体" w:hAnsi="宋体" w:cs="宋体" w:eastAsia="宋体" w:hint="default"/>
                            <w:sz w:val="18"/>
                            <w:szCs w:val="18"/>
                          </w:rPr>
                        </w:pPr>
                        <w:r>
                          <w:rPr>
                            <w:rFonts w:ascii="宋体" w:hAnsi="宋体" w:cs="宋体" w:eastAsia="宋体" w:hint="default"/>
                            <w:sz w:val="18"/>
                            <w:szCs w:val="18"/>
                          </w:rPr>
                          <w:t>责任公司对本公司上述募集资金投资项目预先已投入的实际情况进行了审核并于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8" w:right="0"/>
                          <w:jc w:val="both"/>
                          <w:rPr>
                            <w:rFonts w:ascii="宋体" w:hAnsi="宋体" w:cs="宋体" w:eastAsia="宋体" w:hint="default"/>
                            <w:sz w:val="18"/>
                            <w:szCs w:val="18"/>
                          </w:rPr>
                        </w:pPr>
                        <w:r>
                          <w:rPr>
                            <w:rFonts w:ascii="宋体" w:hAnsi="宋体" w:cs="宋体" w:eastAsia="宋体" w:hint="default"/>
                            <w:spacing w:val="-3"/>
                            <w:sz w:val="18"/>
                            <w:szCs w:val="18"/>
                          </w:rPr>
                          <w:t>出具京永专字（</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）第 </w:t>
                        </w:r>
                        <w:r>
                          <w:rPr>
                            <w:rFonts w:ascii="Times New Roman" w:hAnsi="Times New Roman" w:cs="Times New Roman" w:eastAsia="Times New Roman" w:hint="default"/>
                            <w:sz w:val="18"/>
                            <w:szCs w:val="18"/>
                          </w:rPr>
                          <w:t>31063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号《关于任子行网络技术股份有限公司以募集资金置换预先投入募</w:t>
                        </w:r>
                      </w:p>
                      <w:p>
                        <w:pPr>
                          <w:pStyle w:val="TableParagraph"/>
                          <w:spacing w:line="307" w:lineRule="auto" w:before="63"/>
                          <w:ind w:left="28" w:right="20"/>
                          <w:jc w:val="both"/>
                          <w:rPr>
                            <w:rFonts w:ascii="宋体" w:hAnsi="宋体" w:cs="宋体" w:eastAsia="宋体" w:hint="default"/>
                            <w:sz w:val="18"/>
                            <w:szCs w:val="18"/>
                          </w:rPr>
                        </w:pPr>
                        <w:r>
                          <w:rPr>
                            <w:rFonts w:ascii="宋体" w:hAnsi="宋体" w:cs="宋体" w:eastAsia="宋体" w:hint="default"/>
                            <w:spacing w:val="-4"/>
                            <w:sz w:val="18"/>
                            <w:szCs w:val="18"/>
                          </w:rPr>
                          <w:t>集资金投资项目的自筹资金的鉴证报告》。</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日，本公司第一届董事会第十四次会议 </w:t>
                        </w:r>
                        <w:r>
                          <w:rPr>
                            <w:rFonts w:ascii="宋体" w:hAnsi="宋体" w:cs="宋体" w:eastAsia="宋体" w:hint="default"/>
                            <w:spacing w:val="-3"/>
                            <w:sz w:val="18"/>
                            <w:szCs w:val="18"/>
                          </w:rPr>
                          <w:t>和第一届监事会第七次会议，审议通过了《关于使用募集资金置换预先已投入募投资项目自筹资金</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的议案，同意公司使用募集资金 </w:t>
                        </w:r>
                        <w:r>
                          <w:rPr>
                            <w:rFonts w:ascii="Times New Roman" w:hAnsi="Times New Roman" w:cs="Times New Roman" w:eastAsia="Times New Roman" w:hint="default"/>
                            <w:sz w:val="18"/>
                            <w:szCs w:val="18"/>
                          </w:rPr>
                          <w:t>5,380.75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万元置换预先已投入募集资金投资项目的同等金额自筹资 金。保荐机构国信证券股份有限公司进行了核查，对公司本次募集资金置换预先已投入募集资金投 资项目的自筹资金事项发表无异议核查意见。公司已经在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年上半年完成募集资金投资项目先 期投入的置换工作。</w:t>
                        </w:r>
                      </w:p>
                    </w:tc>
                  </w:tr>
                  <w:tr>
                    <w:trPr>
                      <w:trHeight w:val="706"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1" w:type="dxa"/>
                        <w:gridSpan w:val="10"/>
                        <w:vMerge/>
                        <w:tcBorders>
                          <w:left w:val="single" w:sz="10" w:space="0" w:color="D2D2D2"/>
                          <w:right w:val="single" w:sz="4" w:space="0" w:color="000000"/>
                        </w:tcBorders>
                      </w:tcPr>
                      <w:p>
                        <w:pPr/>
                      </w:p>
                    </w:tc>
                  </w:tr>
                  <w:tr>
                    <w:trPr>
                      <w:trHeight w:val="1608"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14"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尚未使用的募集资金（包括超募资金）均存放在公司募集资金专户，公司将有计划、分步骤地投资 于三个募投项目和其他与主营业务相关的营运资金项目。</w:t>
                        </w:r>
                      </w:p>
                    </w:tc>
                  </w:tr>
                  <w:tr>
                    <w:trPr>
                      <w:trHeight w:val="1027"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3"/>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44"/>
        <w:ind w:left="0" w:right="15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57"/>
        <w:jc w:val="right"/>
      </w:pPr>
      <w:r>
        <w:rPr/>
        <w:t>》</w:t>
      </w:r>
    </w:p>
    <w:p>
      <w:pPr>
        <w:spacing w:after="0" w:line="240" w:lineRule="auto"/>
        <w:jc w:val="righ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441" w:right="215" w:hanging="289"/>
        <w:jc w:val="left"/>
      </w:pPr>
      <w:r>
        <w:rPr>
          <w:rFonts w:ascii="Times New Roman" w:hAnsi="Times New Roman" w:cs="Times New Roman" w:eastAsia="Times New Roman" w:hint="default"/>
        </w:rPr>
        <w:t>1</w:t>
      </w:r>
      <w:r>
        <w:rPr/>
        <w:t>、深圳市任网游科技发展有限公司 深圳市任网游科技发展有限公司，成立于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月，注册资本为人民币</w:t>
      </w:r>
      <w:r>
        <w:rPr>
          <w:rFonts w:ascii="Times New Roman" w:hAnsi="Times New Roman" w:cs="Times New Roman" w:eastAsia="Times New Roman" w:hint="default"/>
        </w:rPr>
        <w:t>1000</w:t>
      </w:r>
      <w:r>
        <w:rPr/>
        <w:t>万元，是公司的全资子公司。经营范围为</w:t>
      </w:r>
    </w:p>
    <w:p>
      <w:pPr>
        <w:pStyle w:val="BodyText"/>
        <w:spacing w:line="307" w:lineRule="auto" w:before="13"/>
        <w:ind w:right="153"/>
        <w:jc w:val="both"/>
      </w:pPr>
      <w:r>
        <w:rPr>
          <w:spacing w:val="-2"/>
        </w:rPr>
        <w:t>计算机软硬件的技术开发和销售、</w:t>
      </w:r>
      <w:r>
        <w:rPr>
          <w:rFonts w:ascii="Times New Roman" w:hAnsi="Times New Roman" w:cs="Times New Roman" w:eastAsia="Times New Roman" w:hint="default"/>
          <w:spacing w:val="-2"/>
        </w:rPr>
        <w:t>IC</w:t>
      </w:r>
      <w:r>
        <w:rPr>
          <w:spacing w:val="-2"/>
        </w:rPr>
        <w:t>卡技术开发、网络系统集成技术的咨询、经济信息咨询；从事广告业务（以上法律、行</w:t>
      </w:r>
      <w:r>
        <w:rPr>
          <w:spacing w:val="-66"/>
        </w:rPr>
        <w:t> </w:t>
      </w:r>
      <w:r>
        <w:rPr>
          <w:spacing w:val="-66"/>
        </w:rPr>
      </w:r>
      <w:r>
        <w:rPr>
          <w:spacing w:val="-2"/>
        </w:rPr>
        <w:t>政法规、国务院决定禁止的项目除外，限制的项目须取得许可后方可经营）；信息服务业务（仅限互联网信息服务业务，增</w:t>
      </w:r>
      <w:r>
        <w:rPr>
          <w:spacing w:val="-70"/>
        </w:rPr>
        <w:t> </w:t>
      </w:r>
      <w:r>
        <w:rPr>
          <w:spacing w:val="-70"/>
        </w:rPr>
      </w:r>
      <w:r>
        <w:rPr/>
        <w:t>值电信业务经营许可证有效期至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日），经营进出口业务（法律、行政法规、国务院决定禁止的项目除外，限制 的项目须取得许可后方可经营）。</w:t>
      </w:r>
    </w:p>
    <w:p>
      <w:pPr>
        <w:pStyle w:val="BodyText"/>
        <w:spacing w:line="240" w:lineRule="auto" w:before="26"/>
        <w:ind w:left="441"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日，任网游总资产</w:t>
      </w:r>
      <w:r>
        <w:rPr>
          <w:rFonts w:ascii="Times New Roman" w:hAnsi="Times New Roman" w:cs="Times New Roman" w:eastAsia="Times New Roman" w:hint="default"/>
        </w:rPr>
        <w:t>1622.74</w:t>
      </w:r>
      <w:r>
        <w:rPr/>
        <w:t>万元，净资产</w:t>
      </w:r>
      <w:r>
        <w:rPr>
          <w:rFonts w:ascii="Times New Roman" w:hAnsi="Times New Roman" w:cs="Times New Roman" w:eastAsia="Times New Roman" w:hint="default"/>
        </w:rPr>
        <w:t>1402.34</w:t>
      </w:r>
      <w:r>
        <w:rPr/>
        <w:t>万元，</w:t>
      </w:r>
      <w:r>
        <w:rPr>
          <w:rFonts w:ascii="Times New Roman" w:hAnsi="Times New Roman" w:cs="Times New Roman" w:eastAsia="Times New Roman" w:hint="default"/>
        </w:rPr>
        <w:t>2012</w:t>
      </w:r>
      <w:r>
        <w:rPr/>
        <w:t>年度实现营业收入</w:t>
      </w:r>
      <w:r>
        <w:rPr>
          <w:rFonts w:ascii="Times New Roman" w:hAnsi="Times New Roman" w:cs="Times New Roman" w:eastAsia="Times New Roman" w:hint="default"/>
        </w:rPr>
        <w:t>533.69</w:t>
      </w:r>
      <w:r>
        <w:rPr/>
        <w:t>万元，实现净利润</w:t>
      </w:r>
    </w:p>
    <w:p>
      <w:pPr>
        <w:pStyle w:val="BodyText"/>
        <w:spacing w:line="240" w:lineRule="auto" w:before="63"/>
        <w:ind w:right="0"/>
        <w:jc w:val="left"/>
      </w:pPr>
      <w:r>
        <w:rPr>
          <w:rFonts w:ascii="Times New Roman" w:hAnsi="Times New Roman" w:cs="Times New Roman" w:eastAsia="Times New Roman" w:hint="default"/>
        </w:rPr>
        <w:t>254.49</w:t>
      </w:r>
      <w:r>
        <w:rPr/>
        <w:t>万元。</w:t>
      </w:r>
    </w:p>
    <w:p>
      <w:pPr>
        <w:pStyle w:val="BodyText"/>
        <w:spacing w:line="307" w:lineRule="auto" w:before="63"/>
        <w:ind w:right="0"/>
        <w:jc w:val="left"/>
      </w:pPr>
      <w:r>
        <w:rPr>
          <w:rFonts w:ascii="Times New Roman" w:hAnsi="Times New Roman" w:cs="Times New Roman" w:eastAsia="Times New Roman" w:hint="default"/>
        </w:rPr>
        <w:t>2</w:t>
      </w:r>
      <w:r>
        <w:rPr/>
        <w:t>、深圳市任子行科技开发有限公司 </w:t>
      </w:r>
      <w:r>
        <w:rPr>
          <w:spacing w:val="-2"/>
        </w:rPr>
        <w:t>深圳市任子行科技开发有限公司，成立于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月，注册资本为人民币</w:t>
      </w:r>
      <w:r>
        <w:rPr>
          <w:rFonts w:ascii="Times New Roman" w:hAnsi="Times New Roman" w:cs="Times New Roman" w:eastAsia="Times New Roman" w:hint="default"/>
          <w:spacing w:val="-2"/>
        </w:rPr>
        <w:t>2000</w:t>
      </w:r>
      <w:r>
        <w:rPr>
          <w:spacing w:val="-2"/>
        </w:rPr>
        <w:t>万元，是公司的全资子公司。经营范围为：计</w:t>
      </w:r>
      <w:r>
        <w:rPr>
          <w:spacing w:val="-46"/>
        </w:rPr>
        <w:t> </w:t>
      </w:r>
      <w:r>
        <w:rPr>
          <w:spacing w:val="-46"/>
        </w:rPr>
      </w:r>
      <w:r>
        <w:rPr>
          <w:spacing w:val="-2"/>
        </w:rPr>
        <w:t>算机软硬件技术开发、销售及相关技术服务，计算机信息系统集成（以上法律、行政法规、国务院决定规定登记前需审批的</w:t>
      </w:r>
      <w:r>
        <w:rPr>
          <w:spacing w:val="-67"/>
        </w:rPr>
        <w:t> </w:t>
      </w:r>
      <w:r>
        <w:rPr>
          <w:spacing w:val="-67"/>
        </w:rPr>
      </w:r>
      <w:r>
        <w:rPr/>
        <w:t>项目除外）。</w:t>
      </w:r>
    </w:p>
    <w:p>
      <w:pPr>
        <w:pStyle w:val="BodyText"/>
        <w:spacing w:line="300" w:lineRule="auto" w:before="26"/>
        <w:ind w:right="182" w:firstLine="288"/>
        <w:jc w:val="both"/>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日，任子行科技总资产</w:t>
      </w:r>
      <w:r>
        <w:rPr>
          <w:rFonts w:ascii="Times New Roman" w:hAnsi="Times New Roman" w:cs="Times New Roman" w:eastAsia="Times New Roman" w:hint="default"/>
        </w:rPr>
        <w:t>2074.97</w:t>
      </w:r>
      <w:r>
        <w:rPr/>
        <w:t>万元，净资产</w:t>
      </w:r>
      <w:r>
        <w:rPr>
          <w:rFonts w:ascii="Times New Roman" w:hAnsi="Times New Roman" w:cs="Times New Roman" w:eastAsia="Times New Roman" w:hint="default"/>
        </w:rPr>
        <w:t>1971.13</w:t>
      </w:r>
      <w:r>
        <w:rPr/>
        <w:t>万元，</w:t>
      </w:r>
      <w:r>
        <w:rPr>
          <w:rFonts w:ascii="Times New Roman" w:hAnsi="Times New Roman" w:cs="Times New Roman" w:eastAsia="Times New Roman" w:hint="default"/>
        </w:rPr>
        <w:t>2012</w:t>
      </w:r>
      <w:r>
        <w:rPr/>
        <w:t>年前度实现营业收入</w:t>
      </w:r>
      <w:r>
        <w:rPr>
          <w:rFonts w:ascii="Times New Roman" w:hAnsi="Times New Roman" w:cs="Times New Roman" w:eastAsia="Times New Roman" w:hint="default"/>
        </w:rPr>
        <w:t>2839.72</w:t>
      </w:r>
      <w:r>
        <w:rPr/>
        <w:t>万元，实 现净利润</w:t>
      </w:r>
      <w:r>
        <w:rPr>
          <w:rFonts w:ascii="Times New Roman" w:hAnsi="Times New Roman" w:cs="Times New Roman" w:eastAsia="Times New Roman" w:hint="default"/>
        </w:rPr>
        <w:t>132.38</w:t>
      </w:r>
      <w:r>
        <w:rPr/>
        <w:t>万元。</w:t>
      </w:r>
    </w:p>
    <w:p>
      <w:pPr>
        <w:pStyle w:val="BodyText"/>
        <w:spacing w:line="309" w:lineRule="auto" w:before="13"/>
        <w:ind w:right="144"/>
        <w:jc w:val="left"/>
      </w:pPr>
      <w:r>
        <w:rPr>
          <w:rFonts w:ascii="Times New Roman" w:hAnsi="Times New Roman" w:cs="Times New Roman" w:eastAsia="Times New Roman" w:hint="default"/>
        </w:rPr>
        <w:t>3</w:t>
      </w:r>
      <w:r>
        <w:rPr/>
        <w:t>、深圳市博海通讯技术有限公司 深圳市博海通讯技术有限公司，成立于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11</w:t>
      </w:r>
      <w:r>
        <w:rPr/>
        <w:t>月，注册资本为人民币</w:t>
      </w:r>
      <w:r>
        <w:rPr>
          <w:rFonts w:ascii="Times New Roman" w:hAnsi="Times New Roman" w:cs="Times New Roman" w:eastAsia="Times New Roman" w:hint="default"/>
        </w:rPr>
        <w:t>600</w:t>
      </w:r>
      <w:r>
        <w:rPr/>
        <w:t>万元，是公司的控股子公司。经营范围为：通讯 </w:t>
      </w:r>
      <w:r>
        <w:rPr>
          <w:spacing w:val="-2"/>
        </w:rPr>
        <w:t>产品、计算机软件的开发及销售，其他国内贸易（以上均不含法律、行政法规、国务院规定需前置审批和禁止的项目）；经</w:t>
      </w:r>
      <w:r>
        <w:rPr>
          <w:spacing w:val="-73"/>
        </w:rPr>
        <w:t> </w:t>
      </w:r>
      <w:r>
        <w:rPr>
          <w:spacing w:val="-73"/>
        </w:rPr>
      </w:r>
      <w:r>
        <w:rPr>
          <w:spacing w:val="-2"/>
        </w:rPr>
        <w:t>营进出口业务（法律、法规禁止的项目除外；法律、法规限制的项目需取得许可后方可经营）；组装生产功率放大器（不含</w:t>
      </w:r>
      <w:r>
        <w:rPr>
          <w:spacing w:val="-72"/>
        </w:rPr>
        <w:t> </w:t>
      </w:r>
      <w:r>
        <w:rPr>
          <w:spacing w:val="-72"/>
        </w:rPr>
      </w:r>
      <w:r>
        <w:rPr/>
        <w:t>限制项目）。</w:t>
      </w:r>
    </w:p>
    <w:p>
      <w:pPr>
        <w:pStyle w:val="BodyText"/>
        <w:spacing w:line="300" w:lineRule="auto" w:before="24"/>
        <w:ind w:right="151" w:firstLine="288"/>
        <w:jc w:val="both"/>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日，博海通讯总资产</w:t>
      </w:r>
      <w:r>
        <w:rPr>
          <w:rFonts w:ascii="Times New Roman" w:hAnsi="Times New Roman" w:cs="Times New Roman" w:eastAsia="Times New Roman" w:hint="default"/>
        </w:rPr>
        <w:t>4171.37</w:t>
      </w:r>
      <w:r>
        <w:rPr/>
        <w:t>万元，净资产</w:t>
      </w:r>
      <w:r>
        <w:rPr>
          <w:rFonts w:ascii="Times New Roman" w:hAnsi="Times New Roman" w:cs="Times New Roman" w:eastAsia="Times New Roman" w:hint="default"/>
        </w:rPr>
        <w:t>245.36</w:t>
      </w:r>
      <w:r>
        <w:rPr/>
        <w:t>万元，</w:t>
      </w:r>
      <w:r>
        <w:rPr>
          <w:rFonts w:ascii="Times New Roman" w:hAnsi="Times New Roman" w:cs="Times New Roman" w:eastAsia="Times New Roman" w:hint="default"/>
        </w:rPr>
        <w:t>2012</w:t>
      </w:r>
      <w:r>
        <w:rPr/>
        <w:t>年下半年产生营业收入</w:t>
      </w:r>
      <w:r>
        <w:rPr>
          <w:rFonts w:ascii="Times New Roman" w:hAnsi="Times New Roman" w:cs="Times New Roman" w:eastAsia="Times New Roman" w:hint="default"/>
        </w:rPr>
        <w:t>615.13</w:t>
      </w:r>
      <w:r>
        <w:rPr/>
        <w:t>万元，实现 净利</w:t>
      </w:r>
      <w:r>
        <w:rPr>
          <w:rFonts w:ascii="Times New Roman" w:hAnsi="Times New Roman" w:cs="Times New Roman" w:eastAsia="Times New Roman" w:hint="default"/>
        </w:rPr>
        <w:t>-367.30</w:t>
      </w:r>
      <w:r>
        <w:rPr/>
        <w:t>万元。受通讯行业整体影响，运营商的投入减少，</w:t>
      </w:r>
      <w:r>
        <w:rPr>
          <w:rFonts w:ascii="Times New Roman" w:hAnsi="Times New Roman" w:cs="Times New Roman" w:eastAsia="Times New Roman" w:hint="default"/>
        </w:rPr>
        <w:t>2012</w:t>
      </w:r>
      <w:r>
        <w:rPr/>
        <w:t>年博海通讯销售额较低，而月度间的研发投入、人员工 </w:t>
      </w:r>
      <w:r>
        <w:rPr>
          <w:spacing w:val="-2"/>
        </w:rPr>
        <w:t>资及其他费用支出则均衡发生，导致博海通讯在本年亏损。</w:t>
      </w:r>
      <w:r>
        <w:rPr>
          <w:rFonts w:ascii="Times New Roman" w:hAnsi="Times New Roman" w:cs="Times New Roman" w:eastAsia="Times New Roman" w:hint="default"/>
          <w:spacing w:val="-2"/>
        </w:rPr>
        <w:t>2013</w:t>
      </w:r>
      <w:r>
        <w:rPr>
          <w:spacing w:val="-2"/>
        </w:rPr>
        <w:t>年，随着通讯行业的稳定需求的增长，以及三网融合、城市</w:t>
      </w:r>
      <w:r>
        <w:rPr>
          <w:spacing w:val="-61"/>
        </w:rPr>
        <w:t> </w:t>
      </w:r>
      <w:r>
        <w:rPr>
          <w:spacing w:val="-61"/>
        </w:rPr>
      </w:r>
      <w:r>
        <w:rPr/>
        <w:t>化、信息化等进程的持续推进和</w:t>
      </w:r>
      <w:r>
        <w:rPr>
          <w:rFonts w:ascii="Times New Roman" w:hAnsi="Times New Roman" w:cs="Times New Roman" w:eastAsia="Times New Roman" w:hint="default"/>
        </w:rPr>
        <w:t>4G</w:t>
      </w:r>
      <w:r>
        <w:rPr/>
        <w:t>网络铺设的不断扩大，运营商的资本投入将有所增大，势必会拉动公司未来营业收入和 利润的增长。</w:t>
      </w:r>
    </w:p>
    <w:p>
      <w:pPr>
        <w:pStyle w:val="BodyText"/>
        <w:spacing w:line="300" w:lineRule="auto" w:before="31"/>
        <w:ind w:left="513" w:right="143" w:hanging="361"/>
        <w:jc w:val="left"/>
      </w:pPr>
      <w:r>
        <w:rPr>
          <w:rFonts w:ascii="Times New Roman" w:hAnsi="Times New Roman" w:cs="Times New Roman" w:eastAsia="Times New Roman" w:hint="default"/>
        </w:rPr>
        <w:t>4</w:t>
      </w:r>
      <w:r>
        <w:rPr/>
        <w:t>、北京中天信安科技有限责任公司 北京中天信安科技有限责任公司，成立于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月，注册资本</w:t>
      </w:r>
      <w:r>
        <w:rPr>
          <w:rFonts w:ascii="Times New Roman" w:hAnsi="Times New Roman" w:cs="Times New Roman" w:eastAsia="Times New Roman" w:hint="default"/>
        </w:rPr>
        <w:t>1250</w:t>
      </w:r>
      <w:r>
        <w:rPr/>
        <w:t>万元，经营范围为：技术开发、技术转让、技术咨</w:t>
      </w:r>
    </w:p>
    <w:p>
      <w:pPr>
        <w:pStyle w:val="BodyText"/>
        <w:spacing w:line="240" w:lineRule="auto" w:before="13"/>
        <w:ind w:right="0"/>
        <w:jc w:val="left"/>
      </w:pPr>
      <w:r>
        <w:rPr/>
        <w:t>询、技术服务；计算机系统服务；数据处理；销售电子产品、计算机、软件及辅助设备、通讯设备。</w:t>
      </w:r>
    </w:p>
    <w:p>
      <w:pPr>
        <w:pStyle w:val="BodyText"/>
        <w:spacing w:line="300" w:lineRule="auto" w:before="76"/>
        <w:ind w:left="441" w:right="151" w:hanging="28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日，公司使用超募资金</w:t>
      </w:r>
      <w:r>
        <w:rPr>
          <w:rFonts w:ascii="Times New Roman" w:hAnsi="Times New Roman" w:cs="Times New Roman" w:eastAsia="Times New Roman" w:hint="default"/>
        </w:rPr>
        <w:t>500</w:t>
      </w:r>
      <w:r>
        <w:rPr/>
        <w:t>万元向北京中天信安进行增资，获得其</w:t>
      </w:r>
      <w:r>
        <w:rPr>
          <w:rFonts w:ascii="Times New Roman" w:hAnsi="Times New Roman" w:cs="Times New Roman" w:eastAsia="Times New Roman" w:hint="default"/>
        </w:rPr>
        <w:t>20%</w:t>
      </w:r>
      <w:r>
        <w:rPr/>
        <w:t>的股权。 </w:t>
      </w:r>
      <w:r>
        <w:rPr>
          <w:spacing w:val="-2"/>
        </w:rPr>
        <w:t>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日，中天信安总资产</w:t>
      </w:r>
      <w:r>
        <w:rPr>
          <w:rFonts w:ascii="Times New Roman" w:hAnsi="Times New Roman" w:cs="Times New Roman" w:eastAsia="Times New Roman" w:hint="default"/>
          <w:spacing w:val="-2"/>
        </w:rPr>
        <w:t>806.56</w:t>
      </w:r>
      <w:r>
        <w:rPr>
          <w:spacing w:val="-2"/>
        </w:rPr>
        <w:t>万元，净资产</w:t>
      </w:r>
      <w:r>
        <w:rPr>
          <w:rFonts w:ascii="Times New Roman" w:hAnsi="Times New Roman" w:cs="Times New Roman" w:eastAsia="Times New Roman" w:hint="default"/>
          <w:spacing w:val="-2"/>
        </w:rPr>
        <w:t>778.87</w:t>
      </w:r>
      <w:r>
        <w:rPr>
          <w:spacing w:val="-2"/>
        </w:rPr>
        <w:t>万元，</w:t>
      </w:r>
      <w:r>
        <w:rPr>
          <w:rFonts w:ascii="Times New Roman" w:hAnsi="Times New Roman" w:cs="Times New Roman" w:eastAsia="Times New Roman" w:hint="default"/>
          <w:spacing w:val="-2"/>
        </w:rPr>
        <w:t>2012</w:t>
      </w:r>
      <w:r>
        <w:rPr>
          <w:spacing w:val="-2"/>
        </w:rPr>
        <w:t>年度未产生收入，实现净利润</w:t>
      </w:r>
      <w:r>
        <w:rPr>
          <w:rFonts w:ascii="Times New Roman" w:hAnsi="Times New Roman" w:cs="Times New Roman" w:eastAsia="Times New Roman" w:hint="default"/>
          <w:spacing w:val="-2"/>
        </w:rPr>
        <w:t>-221.13</w:t>
      </w:r>
      <w:r>
        <w:rPr>
          <w:spacing w:val="-2"/>
        </w:rPr>
        <w:t>万元。</w:t>
      </w:r>
    </w:p>
    <w:p>
      <w:pPr>
        <w:pStyle w:val="BodyText"/>
        <w:spacing w:line="316" w:lineRule="auto" w:before="13"/>
        <w:ind w:right="0"/>
        <w:jc w:val="left"/>
      </w:pPr>
      <w:r>
        <w:rPr>
          <w:spacing w:val="-2"/>
        </w:rPr>
        <w:t>安全芯片类信息安全产品在我国处于起步阶段，未来的一段时间，中国安全存储芯片市场将进入高速增长期，预计中天信安</w:t>
      </w:r>
      <w:r>
        <w:rPr>
          <w:spacing w:val="-63"/>
        </w:rPr>
        <w:t> </w:t>
      </w:r>
      <w:r>
        <w:rPr>
          <w:spacing w:val="-63"/>
        </w:rPr>
      </w:r>
      <w:r>
        <w:rPr/>
        <w:t>将会给公司带来较好的投资回报。</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三、公司未来发展的展望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（一）行业格局和趋势</w:t>
      </w:r>
    </w:p>
    <w:p>
      <w:pPr>
        <w:pStyle w:val="BodyText"/>
        <w:spacing w:line="300" w:lineRule="auto" w:before="76"/>
        <w:ind w:left="573" w:right="173"/>
        <w:jc w:val="left"/>
      </w:pPr>
      <w:r>
        <w:rPr>
          <w:rFonts w:ascii="Times New Roman" w:hAnsi="Times New Roman" w:cs="Times New Roman" w:eastAsia="Times New Roman" w:hint="default"/>
        </w:rPr>
        <w:t>1</w:t>
      </w:r>
      <w:r>
        <w:rPr/>
        <w:t>、信息安全行业进入快速发展阶段 我国的信息安全行业经过</w:t>
      </w:r>
      <w:r>
        <w:rPr>
          <w:rFonts w:ascii="Times New Roman" w:hAnsi="Times New Roman" w:cs="Times New Roman" w:eastAsia="Times New Roman" w:hint="default"/>
        </w:rPr>
        <w:t>20</w:t>
      </w:r>
      <w:r>
        <w:rPr/>
        <w:t>多年的发展，走过了萌芽期，逐渐过渡到快速发展期。随着各行业对信息安全重视程度越</w:t>
      </w:r>
    </w:p>
    <w:p>
      <w:pPr>
        <w:pStyle w:val="BodyText"/>
        <w:spacing w:line="300" w:lineRule="auto" w:before="13"/>
        <w:ind w:right="0"/>
        <w:jc w:val="left"/>
      </w:pPr>
      <w:r>
        <w:rPr>
          <w:spacing w:val="-2"/>
        </w:rPr>
        <w:t>来越高，安全投入占</w:t>
      </w:r>
      <w:r>
        <w:rPr>
          <w:rFonts w:ascii="Times New Roman" w:hAnsi="Times New Roman" w:cs="Times New Roman" w:eastAsia="Times New Roman" w:hint="default"/>
          <w:spacing w:val="-2"/>
        </w:rPr>
        <w:t>IT</w:t>
      </w:r>
      <w:r>
        <w:rPr>
          <w:spacing w:val="-2"/>
        </w:rPr>
        <w:t>投入的比例不断提高，为安全产品市场提供巨大的成长空间。赛迪顾问的数据显示，</w:t>
      </w:r>
      <w:r>
        <w:rPr>
          <w:rFonts w:ascii="Times New Roman" w:hAnsi="Times New Roman" w:cs="Times New Roman" w:eastAsia="Times New Roman" w:hint="default"/>
          <w:spacing w:val="-2"/>
        </w:rPr>
        <w:t>2011</w:t>
      </w:r>
      <w:r>
        <w:rPr>
          <w:spacing w:val="-2"/>
        </w:rPr>
        <w:t>年，全球信</w:t>
      </w:r>
      <w:r>
        <w:rPr>
          <w:spacing w:val="-51"/>
        </w:rPr>
        <w:t> </w:t>
      </w:r>
      <w:r>
        <w:rPr>
          <w:spacing w:val="-51"/>
        </w:rPr>
      </w:r>
      <w:r>
        <w:rPr/>
        <w:t>息安全产品市场总体规模达到</w:t>
      </w:r>
      <w:r>
        <w:rPr>
          <w:rFonts w:ascii="Times New Roman" w:hAnsi="Times New Roman" w:cs="Times New Roman" w:eastAsia="Times New Roman" w:hint="default"/>
        </w:rPr>
        <w:t>778.55</w:t>
      </w:r>
      <w:r>
        <w:rPr/>
        <w:t>亿美元，较</w:t>
      </w:r>
      <w:r>
        <w:rPr>
          <w:rFonts w:ascii="Times New Roman" w:hAnsi="Times New Roman" w:cs="Times New Roman" w:eastAsia="Times New Roman" w:hint="default"/>
        </w:rPr>
        <w:t>2010</w:t>
      </w:r>
      <w:r>
        <w:rPr/>
        <w:t>年增长</w:t>
      </w:r>
      <w:r>
        <w:rPr>
          <w:rFonts w:ascii="Times New Roman" w:hAnsi="Times New Roman" w:cs="Times New Roman" w:eastAsia="Times New Roman" w:hint="default"/>
        </w:rPr>
        <w:t>12%</w:t>
      </w:r>
      <w:r>
        <w:rPr/>
        <w:t>；中国信息安全产品市场规模达到</w:t>
      </w:r>
      <w:r>
        <w:rPr>
          <w:rFonts w:ascii="Times New Roman" w:hAnsi="Times New Roman" w:cs="Times New Roman" w:eastAsia="Times New Roman" w:hint="default"/>
        </w:rPr>
        <w:t>130.84</w:t>
      </w:r>
      <w:r>
        <w:rPr/>
        <w:t>亿元，比</w:t>
      </w:r>
      <w:r>
        <w:rPr>
          <w:rFonts w:ascii="Times New Roman" w:hAnsi="Times New Roman" w:cs="Times New Roman" w:eastAsia="Times New Roman" w:hint="default"/>
        </w:rPr>
        <w:t>2010</w:t>
      </w:r>
      <w:r>
        <w:rPr/>
        <w:t>年增</w:t>
      </w:r>
      <w:r>
        <w:rPr>
          <w:spacing w:val="-3"/>
        </w:rPr>
        <w:t> </w:t>
      </w:r>
      <w:r>
        <w:rPr/>
        <w:t>长</w:t>
      </w:r>
      <w:r>
        <w:rPr>
          <w:rFonts w:ascii="Times New Roman" w:hAnsi="Times New Roman" w:cs="Times New Roman" w:eastAsia="Times New Roman" w:hint="default"/>
        </w:rPr>
        <w:t>19.3%</w:t>
      </w:r>
      <w:r>
        <w:rPr/>
        <w:t>，高于全球平均增速。未来三年信息安全产品市场仍将保持快速增长态势，年均复合增长率为</w:t>
      </w:r>
      <w:r>
        <w:rPr>
          <w:rFonts w:ascii="Times New Roman" w:hAnsi="Times New Roman" w:cs="Times New Roman" w:eastAsia="Times New Roman" w:hint="default"/>
        </w:rPr>
        <w:t>20.3%</w:t>
      </w:r>
      <w:r>
        <w:rPr/>
        <w:t>，</w:t>
      </w:r>
      <w:r>
        <w:rPr>
          <w:rFonts w:ascii="Times New Roman" w:hAnsi="Times New Roman" w:cs="Times New Roman" w:eastAsia="Times New Roman" w:hint="default"/>
        </w:rPr>
        <w:t>2014</w:t>
      </w:r>
      <w:r>
        <w:rPr/>
        <w:t>年市场 规模将达到</w:t>
      </w:r>
      <w:r>
        <w:rPr>
          <w:rFonts w:ascii="Times New Roman" w:hAnsi="Times New Roman" w:cs="Times New Roman" w:eastAsia="Times New Roman" w:hint="default"/>
        </w:rPr>
        <w:t>228.03</w:t>
      </w:r>
      <w:r>
        <w:rPr/>
        <w:t>亿元。</w:t>
      </w:r>
    </w:p>
    <w:p>
      <w:pPr>
        <w:pStyle w:val="BodyText"/>
        <w:spacing w:line="240" w:lineRule="auto" w:before="13"/>
        <w:ind w:left="573" w:right="0"/>
        <w:jc w:val="left"/>
      </w:pP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2014</w:t>
      </w:r>
      <w:r>
        <w:rPr/>
        <w:t>年中国信息安全产品市场规模：</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3880" w:lineRule="exact"/>
        <w:ind w:left="604"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342759" cy="246411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5342759" cy="2464117"/>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10"/>
        <w:rPr>
          <w:rFonts w:ascii="宋体" w:hAnsi="宋体" w:cs="宋体" w:eastAsia="宋体" w:hint="default"/>
          <w:sz w:val="26"/>
          <w:szCs w:val="26"/>
        </w:rPr>
      </w:pPr>
    </w:p>
    <w:p>
      <w:pPr>
        <w:pStyle w:val="BodyText"/>
        <w:spacing w:line="307" w:lineRule="auto" w:before="44"/>
        <w:ind w:right="309" w:firstLine="420"/>
        <w:jc w:val="both"/>
      </w:pPr>
      <w:r>
        <w:rPr>
          <w:spacing w:val="-3"/>
        </w:rPr>
        <w:t>在信息安全产品中，已经形成了防火墙</w:t>
      </w:r>
      <w:r>
        <w:rPr>
          <w:rFonts w:ascii="Times New Roman" w:hAnsi="Times New Roman" w:cs="Times New Roman" w:eastAsia="Times New Roman" w:hint="default"/>
          <w:spacing w:val="-3"/>
        </w:rPr>
        <w:t>/VPN</w:t>
      </w:r>
      <w:r>
        <w:rPr>
          <w:spacing w:val="-3"/>
        </w:rPr>
        <w:t>、</w:t>
      </w:r>
      <w:r>
        <w:rPr>
          <w:rFonts w:ascii="Times New Roman" w:hAnsi="Times New Roman" w:cs="Times New Roman" w:eastAsia="Times New Roman" w:hint="default"/>
          <w:spacing w:val="-3"/>
        </w:rPr>
        <w:t>IDS</w:t>
      </w:r>
      <w:r>
        <w:rPr>
          <w:spacing w:val="-3"/>
        </w:rPr>
        <w:t>（入侵检测系统）</w:t>
      </w:r>
      <w:r>
        <w:rPr>
          <w:rFonts w:ascii="Times New Roman" w:hAnsi="Times New Roman" w:cs="Times New Roman" w:eastAsia="Times New Roman" w:hint="default"/>
          <w:spacing w:val="-3"/>
        </w:rPr>
        <w:t>/IPS</w:t>
      </w:r>
      <w:r>
        <w:rPr>
          <w:spacing w:val="-3"/>
        </w:rPr>
        <w:t>（入侵防御系统）、</w:t>
      </w:r>
      <w:r>
        <w:rPr>
          <w:rFonts w:ascii="Times New Roman" w:hAnsi="Times New Roman" w:cs="Times New Roman" w:eastAsia="Times New Roman" w:hint="default"/>
          <w:spacing w:val="-3"/>
        </w:rPr>
        <w:t>UTM</w:t>
      </w:r>
      <w:r>
        <w:rPr>
          <w:spacing w:val="-3"/>
        </w:rPr>
        <w:t>（统一威胁管理）、</w:t>
      </w:r>
      <w:r>
        <w:rPr/>
        <w:t> </w:t>
      </w:r>
      <w:r>
        <w:rPr>
          <w:rFonts w:ascii="Times New Roman" w:hAnsi="Times New Roman" w:cs="Times New Roman" w:eastAsia="Times New Roman" w:hint="default"/>
        </w:rPr>
        <w:t>SOC</w:t>
      </w:r>
      <w:r>
        <w:rPr/>
        <w:t>（安全管理平台）、信息加密</w:t>
      </w:r>
      <w:r>
        <w:rPr>
          <w:rFonts w:ascii="Times New Roman" w:hAnsi="Times New Roman" w:cs="Times New Roman" w:eastAsia="Times New Roman" w:hint="default"/>
        </w:rPr>
        <w:t>/</w:t>
      </w:r>
      <w:r>
        <w:rPr/>
        <w:t>身份认证、内容与行为审计、内容安全管理（防病毒、邮件安全等）、安全服务等多类 </w:t>
      </w:r>
      <w:r>
        <w:rPr>
          <w:spacing w:val="-2"/>
        </w:rPr>
        <w:t>主流产品，并不断涌现一些新技术和应用。政府、通信运营商、金融、能源、军队等仍然是公司关注的重点行业，交通、教</w:t>
      </w:r>
      <w:r>
        <w:rPr>
          <w:spacing w:val="-65"/>
        </w:rPr>
        <w:t> </w:t>
      </w:r>
      <w:r>
        <w:rPr>
          <w:spacing w:val="-65"/>
        </w:rPr>
      </w:r>
      <w:r>
        <w:rPr/>
        <w:t>育、制造等新兴市场需求强劲，为信息安全市场注入了新的活力。</w:t>
      </w:r>
    </w:p>
    <w:p>
      <w:pPr>
        <w:pStyle w:val="BodyText"/>
        <w:spacing w:line="240" w:lineRule="auto" w:before="26"/>
        <w:ind w:left="573" w:right="0"/>
        <w:jc w:val="left"/>
      </w:pPr>
      <w:r>
        <w:rPr>
          <w:rFonts w:ascii="Times New Roman" w:hAnsi="Times New Roman" w:cs="Times New Roman" w:eastAsia="Times New Roman" w:hint="default"/>
        </w:rPr>
        <w:t>2011</w:t>
      </w:r>
      <w:r>
        <w:rPr/>
        <w:t>年底以来，国家有关部门先后出台了一系列有利于信息安全行业发展的规划，指导意见等详细如下：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17"/>
        <w:jc w:val="right"/>
      </w:pPr>
      <w:r>
        <w:rPr/>
        <w:pict>
          <v:shape style="position:absolute;margin-left:55.200001pt;margin-top:-194.188278pt;width:490.55pt;height:390.2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14"/>
                    <w:gridCol w:w="1783"/>
                    <w:gridCol w:w="1292"/>
                    <w:gridCol w:w="5579"/>
                  </w:tblGrid>
                  <w:tr>
                    <w:trPr>
                      <w:trHeight w:val="355" w:hRule="exact"/>
                    </w:trPr>
                    <w:tc>
                      <w:tcPr>
                        <w:tcW w:w="11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23" w:right="0"/>
                          <w:jc w:val="left"/>
                          <w:rPr>
                            <w:rFonts w:ascii="宋体" w:hAnsi="宋体" w:cs="宋体" w:eastAsia="宋体" w:hint="default"/>
                            <w:sz w:val="18"/>
                            <w:szCs w:val="18"/>
                          </w:rPr>
                        </w:pPr>
                        <w:r>
                          <w:rPr>
                            <w:rFonts w:ascii="宋体" w:hAnsi="宋体" w:cs="宋体" w:eastAsia="宋体" w:hint="default"/>
                            <w:b/>
                            <w:bCs/>
                            <w:sz w:val="18"/>
                            <w:szCs w:val="18"/>
                          </w:rPr>
                          <w:t>文件名称</w:t>
                        </w:r>
                        <w:r>
                          <w:rPr>
                            <w:rFonts w:ascii="宋体" w:hAnsi="宋体" w:cs="宋体" w:eastAsia="宋体" w:hint="default"/>
                            <w:sz w:val="18"/>
                            <w:szCs w:val="18"/>
                          </w:rPr>
                        </w: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发文单位</w:t>
                        </w:r>
                        <w:r>
                          <w:rPr>
                            <w:rFonts w:ascii="宋体" w:hAnsi="宋体" w:cs="宋体" w:eastAsia="宋体" w:hint="default"/>
                            <w:sz w:val="18"/>
                            <w:szCs w:val="18"/>
                          </w:rPr>
                        </w:r>
                      </w:p>
                    </w:tc>
                    <w:tc>
                      <w:tcPr>
                        <w:tcW w:w="55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b/>
                            <w:bCs/>
                            <w:sz w:val="18"/>
                            <w:szCs w:val="18"/>
                          </w:rPr>
                          <w:t>涉及内容概要</w:t>
                        </w:r>
                        <w:r>
                          <w:rPr>
                            <w:rFonts w:ascii="宋体" w:hAnsi="宋体" w:cs="宋体" w:eastAsia="宋体" w:hint="default"/>
                            <w:sz w:val="18"/>
                            <w:szCs w:val="18"/>
                          </w:rPr>
                        </w:r>
                      </w:p>
                    </w:tc>
                  </w:tr>
                  <w:tr>
                    <w:trPr>
                      <w:trHeight w:val="1296" w:hRule="exact"/>
                    </w:trPr>
                    <w:tc>
                      <w:tcPr>
                        <w:tcW w:w="111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7"/>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p>
                        <w:pPr>
                          <w:pStyle w:val="TableParagraph"/>
                          <w:spacing w:line="240" w:lineRule="auto" w:before="63"/>
                          <w:ind w:left="2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78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7"/>
                          <w:ind w:left="393" w:right="122" w:hanging="269"/>
                          <w:jc w:val="left"/>
                          <w:rPr>
                            <w:rFonts w:ascii="宋体" w:hAnsi="宋体" w:cs="宋体" w:eastAsia="宋体" w:hint="default"/>
                            <w:sz w:val="18"/>
                            <w:szCs w:val="18"/>
                          </w:rPr>
                        </w:pPr>
                        <w:r>
                          <w:rPr>
                            <w:rFonts w:ascii="宋体" w:hAnsi="宋体" w:cs="宋体" w:eastAsia="宋体" w:hint="default"/>
                            <w:sz w:val="18"/>
                            <w:szCs w:val="18"/>
                          </w:rPr>
                          <w:t>信息安全产业</w:t>
                        </w:r>
                        <w:r>
                          <w:rPr>
                            <w:rFonts w:ascii="Times New Roman" w:hAnsi="Times New Roman" w:cs="Times New Roman" w:eastAsia="Times New Roman" w:hint="default"/>
                            <w:sz w:val="18"/>
                            <w:szCs w:val="18"/>
                          </w:rPr>
                          <w:t>“</w:t>
                        </w:r>
                        <w:r>
                          <w:rPr>
                            <w:rFonts w:ascii="宋体" w:hAnsi="宋体" w:cs="宋体" w:eastAsia="宋体" w:hint="default"/>
                            <w:sz w:val="18"/>
                            <w:szCs w:val="18"/>
                          </w:rPr>
                          <w:t>十二 五</w:t>
                        </w:r>
                        <w:r>
                          <w:rPr>
                            <w:rFonts w:ascii="Times New Roman" w:hAnsi="Times New Roman" w:cs="Times New Roman" w:eastAsia="Times New Roman" w:hint="default"/>
                            <w:sz w:val="18"/>
                            <w:szCs w:val="18"/>
                          </w:rPr>
                          <w:t>”</w:t>
                        </w:r>
                        <w:r>
                          <w:rPr>
                            <w:rFonts w:ascii="宋体" w:hAnsi="宋体" w:cs="宋体" w:eastAsia="宋体" w:hint="default"/>
                            <w:sz w:val="18"/>
                            <w:szCs w:val="18"/>
                          </w:rPr>
                          <w:t>发展规划</w:t>
                        </w:r>
                      </w:p>
                    </w:tc>
                    <w:tc>
                      <w:tcPr>
                        <w:tcW w:w="12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工业和信息化部</w:t>
                        </w:r>
                      </w:p>
                    </w:tc>
                    <w:tc>
                      <w:tcPr>
                        <w:tcW w:w="5579"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7"/>
                          <w:ind w:left="2" w:right="8"/>
                          <w:jc w:val="left"/>
                          <w:rPr>
                            <w:rFonts w:ascii="宋体" w:hAnsi="宋体" w:cs="宋体" w:eastAsia="宋体" w:hint="default"/>
                            <w:sz w:val="18"/>
                            <w:szCs w:val="18"/>
                          </w:rPr>
                        </w:pPr>
                        <w:r>
                          <w:rPr>
                            <w:rFonts w:ascii="宋体" w:hAnsi="宋体" w:cs="宋体" w:eastAsia="宋体" w:hint="default"/>
                            <w:spacing w:val="-1"/>
                            <w:sz w:val="18"/>
                            <w:szCs w:val="18"/>
                          </w:rPr>
                          <w:t>紧紧围绕国家信息安全保障要求，以提升对国家信息安全保障的支撑能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力为目标，以保障基础信息网络安全和重要信息系统安全为中心，推动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信息安全产业向体系化，规模化，特色化，高端化方向发 展，做大做强信息安全产业的发展思路。</w:t>
                        </w:r>
                      </w:p>
                    </w:tc>
                  </w:tr>
                  <w:tr>
                    <w:trPr>
                      <w:trHeight w:val="1611" w:hRule="exact"/>
                    </w:trPr>
                    <w:tc>
                      <w:tcPr>
                        <w:tcW w:w="111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20"/>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p>
                        <w:pPr>
                          <w:pStyle w:val="TableParagraph"/>
                          <w:spacing w:line="240" w:lineRule="auto" w:before="63"/>
                          <w:ind w:left="2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783"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20"/>
                          <w:ind w:left="84" w:right="72" w:hanging="10"/>
                          <w:jc w:val="left"/>
                          <w:rPr>
                            <w:rFonts w:ascii="宋体" w:hAnsi="宋体" w:cs="宋体" w:eastAsia="宋体" w:hint="default"/>
                            <w:sz w:val="18"/>
                            <w:szCs w:val="18"/>
                          </w:rPr>
                        </w:pPr>
                        <w:r>
                          <w:rPr>
                            <w:rFonts w:ascii="宋体" w:hAnsi="宋体" w:cs="宋体" w:eastAsia="宋体" w:hint="default"/>
                            <w:sz w:val="18"/>
                            <w:szCs w:val="18"/>
                          </w:rPr>
                          <w:t>软件和信息技术服务 业</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发展规划</w:t>
                        </w:r>
                      </w:p>
                    </w:tc>
                    <w:tc>
                      <w:tcPr>
                        <w:tcW w:w="12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工业和信息化部</w:t>
                        </w:r>
                      </w:p>
                    </w:tc>
                    <w:tc>
                      <w:tcPr>
                        <w:tcW w:w="5579" w:type="dxa"/>
                        <w:tcBorders>
                          <w:top w:val="single" w:sz="12" w:space="0" w:color="000000"/>
                          <w:left w:val="single" w:sz="6" w:space="0" w:color="000000"/>
                          <w:bottom w:val="single" w:sz="12" w:space="0" w:color="000000"/>
                          <w:right w:val="nil" w:sz="6" w:space="0" w:color="auto"/>
                        </w:tcBorders>
                      </w:tcPr>
                      <w:p>
                        <w:pPr>
                          <w:pStyle w:val="TableParagraph"/>
                          <w:spacing w:line="319" w:lineRule="auto" w:before="20"/>
                          <w:ind w:left="2" w:right="8"/>
                          <w:jc w:val="both"/>
                          <w:rPr>
                            <w:rFonts w:ascii="宋体" w:hAnsi="宋体" w:cs="宋体" w:eastAsia="宋体" w:hint="default"/>
                            <w:sz w:val="18"/>
                            <w:szCs w:val="18"/>
                          </w:rPr>
                        </w:pPr>
                        <w:r>
                          <w:rPr>
                            <w:rFonts w:ascii="宋体" w:hAnsi="宋体" w:cs="宋体" w:eastAsia="宋体" w:hint="default"/>
                            <w:spacing w:val="-1"/>
                            <w:sz w:val="18"/>
                            <w:szCs w:val="18"/>
                          </w:rPr>
                          <w:t>加强网络安全、数据安全、可信计算、安全测评等关键技术的研发与产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业化，重点发展安全可靠的安全基础产品、电子认证公共服务平台、网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络与边界安全产品、信息安全支撑工具等，发展云计算、物联网等新一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代信息技术应用环境下的安全技术产品。加大相关标准的研制力度，推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进国家信息安全产品制度建设。</w:t>
                        </w:r>
                      </w:p>
                    </w:tc>
                  </w:tr>
                  <w:tr>
                    <w:trPr>
                      <w:trHeight w:val="1922" w:hRule="exact"/>
                    </w:trPr>
                    <w:tc>
                      <w:tcPr>
                        <w:tcW w:w="111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20"/>
                          <w:ind w:left="2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p>
                      <w:p>
                        <w:pPr>
                          <w:pStyle w:val="TableParagraph"/>
                          <w:spacing w:line="240" w:lineRule="auto" w:before="63"/>
                          <w:ind w:left="24"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78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74" w:right="72"/>
                          <w:jc w:val="both"/>
                          <w:rPr>
                            <w:rFonts w:ascii="宋体" w:hAnsi="宋体" w:cs="宋体" w:eastAsia="宋体" w:hint="default"/>
                            <w:sz w:val="18"/>
                            <w:szCs w:val="18"/>
                          </w:rPr>
                        </w:pPr>
                        <w:r>
                          <w:rPr>
                            <w:rFonts w:ascii="宋体" w:hAnsi="宋体" w:cs="宋体" w:eastAsia="宋体" w:hint="default"/>
                            <w:sz w:val="18"/>
                            <w:szCs w:val="18"/>
                          </w:rPr>
                          <w:t>《关于大力推进信息 化发展和切实保障信 息安全的若干意见》</w:t>
                        </w:r>
                      </w:p>
                    </w:tc>
                    <w:tc>
                      <w:tcPr>
                        <w:tcW w:w="12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国务院</w:t>
                        </w:r>
                      </w:p>
                    </w:tc>
                    <w:tc>
                      <w:tcPr>
                        <w:tcW w:w="5579"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20"/>
                          <w:ind w:left="2" w:right="8"/>
                          <w:jc w:val="left"/>
                          <w:rPr>
                            <w:rFonts w:ascii="宋体" w:hAnsi="宋体" w:cs="宋体" w:eastAsia="宋体" w:hint="default"/>
                            <w:sz w:val="18"/>
                            <w:szCs w:val="18"/>
                          </w:rPr>
                        </w:pPr>
                        <w:r>
                          <w:rPr>
                            <w:rFonts w:ascii="宋体" w:hAnsi="宋体" w:cs="宋体" w:eastAsia="宋体" w:hint="default"/>
                            <w:spacing w:val="-1"/>
                            <w:sz w:val="18"/>
                            <w:szCs w:val="18"/>
                          </w:rPr>
                          <w:t>提升网络与信息安全监管能力。完善国家网络与信息安全基础设施，加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强网络与信息安全专业骨干队伍和应急技术支撑队伍建设，提高风险隐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患发现、监测预警和突发事件处置能力。加强信息共享和交流平台建设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健全网络与信息安全信息通报机制。加大对网络违法犯罪活动的打击力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度。进一步完善监管体制，充实监管力量，加强对基础信息网络安全工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作的指导和监督管理。</w:t>
                        </w:r>
                      </w:p>
                    </w:tc>
                  </w:tr>
                  <w:tr>
                    <w:trPr>
                      <w:trHeight w:val="1611" w:hRule="exact"/>
                    </w:trPr>
                    <w:tc>
                      <w:tcPr>
                        <w:tcW w:w="111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783"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《坚定不移沿着中国 特色社会主义道路前 进</w:t>
                        </w:r>
                        <w:r>
                          <w:rPr>
                            <w:rFonts w:ascii="宋体" w:hAnsi="宋体" w:cs="宋体" w:eastAsia="宋体" w:hint="default"/>
                            <w:spacing w:val="-18"/>
                            <w:sz w:val="18"/>
                            <w:szCs w:val="18"/>
                          </w:rPr>
                          <w:t> </w:t>
                        </w:r>
                        <w:r>
                          <w:rPr>
                            <w:rFonts w:ascii="宋体" w:hAnsi="宋体" w:cs="宋体" w:eastAsia="宋体" w:hint="default"/>
                            <w:sz w:val="18"/>
                            <w:szCs w:val="18"/>
                          </w:rPr>
                          <w:t>为全面建成小康社</w:t>
                        </w:r>
                        <w:r>
                          <w:rPr>
                            <w:rFonts w:ascii="宋体" w:hAnsi="宋体" w:cs="宋体" w:eastAsia="宋体" w:hint="default"/>
                            <w:sz w:val="18"/>
                            <w:szCs w:val="18"/>
                          </w:rPr>
                          <w:t> </w:t>
                        </w:r>
                        <w:r>
                          <w:rPr>
                            <w:rFonts w:ascii="宋体" w:hAnsi="宋体" w:cs="宋体" w:eastAsia="宋体" w:hint="default"/>
                            <w:spacing w:val="-4"/>
                            <w:sz w:val="18"/>
                            <w:szCs w:val="18"/>
                          </w:rPr>
                          <w:t>会而奋斗》（十八大报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w:t>
                        </w:r>
                      </w:p>
                    </w:tc>
                    <w:tc>
                      <w:tcPr>
                        <w:tcW w:w="129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20"/>
                          <w:ind w:left="4" w:right="11"/>
                          <w:jc w:val="both"/>
                          <w:rPr>
                            <w:rFonts w:ascii="宋体" w:hAnsi="宋体" w:cs="宋体" w:eastAsia="宋体" w:hint="default"/>
                            <w:sz w:val="18"/>
                            <w:szCs w:val="18"/>
                          </w:rPr>
                        </w:pPr>
                        <w:r>
                          <w:rPr>
                            <w:rFonts w:ascii="宋体" w:hAnsi="宋体" w:cs="宋体" w:eastAsia="宋体" w:hint="default"/>
                            <w:sz w:val="18"/>
                            <w:szCs w:val="18"/>
                          </w:rPr>
                          <w:t>中国共产党第十 八次全国代表大 会</w:t>
                        </w:r>
                      </w:p>
                    </w:tc>
                    <w:tc>
                      <w:tcPr>
                        <w:tcW w:w="5579"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20"/>
                          <w:ind w:left="2" w:right="10"/>
                          <w:jc w:val="left"/>
                          <w:rPr>
                            <w:rFonts w:ascii="宋体" w:hAnsi="宋体" w:cs="宋体" w:eastAsia="宋体" w:hint="default"/>
                            <w:sz w:val="18"/>
                            <w:szCs w:val="18"/>
                          </w:rPr>
                        </w:pPr>
                        <w:r>
                          <w:rPr>
                            <w:rFonts w:ascii="宋体" w:hAnsi="宋体" w:cs="宋体" w:eastAsia="宋体" w:hint="default"/>
                            <w:spacing w:val="-1"/>
                            <w:sz w:val="18"/>
                            <w:szCs w:val="18"/>
                          </w:rPr>
                          <w:t>建设下一代信息基础设施，发展现代信息技术产业体系，健全信息安全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保障体系，推进信息网络技术广泛运用。</w:t>
                        </w:r>
                      </w:p>
                    </w:tc>
                  </w:tr>
                  <w:tr>
                    <w:trPr>
                      <w:trHeight w:val="986" w:hRule="exact"/>
                    </w:trPr>
                    <w:tc>
                      <w:tcPr>
                        <w:tcW w:w="111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78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2" w:right="144"/>
                          <w:jc w:val="left"/>
                          <w:rPr>
                            <w:rFonts w:ascii="宋体" w:hAnsi="宋体" w:cs="宋体" w:eastAsia="宋体" w:hint="default"/>
                            <w:sz w:val="18"/>
                            <w:szCs w:val="18"/>
                          </w:rPr>
                        </w:pPr>
                        <w:r>
                          <w:rPr>
                            <w:rFonts w:ascii="宋体" w:hAnsi="宋体" w:cs="宋体" w:eastAsia="宋体" w:hint="default"/>
                            <w:sz w:val="18"/>
                            <w:szCs w:val="18"/>
                          </w:rPr>
                          <w:t>关于加强网络信息保 护的决定</w:t>
                        </w:r>
                      </w:p>
                    </w:tc>
                    <w:tc>
                      <w:tcPr>
                        <w:tcW w:w="129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4" w:right="11"/>
                          <w:jc w:val="both"/>
                          <w:rPr>
                            <w:rFonts w:ascii="宋体" w:hAnsi="宋体" w:cs="宋体" w:eastAsia="宋体" w:hint="default"/>
                            <w:sz w:val="18"/>
                            <w:szCs w:val="18"/>
                          </w:rPr>
                        </w:pPr>
                        <w:r>
                          <w:rPr>
                            <w:rFonts w:ascii="宋体" w:hAnsi="宋体" w:cs="宋体" w:eastAsia="宋体" w:hint="default"/>
                            <w:sz w:val="18"/>
                            <w:szCs w:val="18"/>
                          </w:rPr>
                          <w:t>第十一届全国人 民代表大会常务 委员会第三十次</w:t>
                        </w:r>
                      </w:p>
                    </w:tc>
                    <w:tc>
                      <w:tcPr>
                        <w:tcW w:w="5579"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20"/>
                          <w:ind w:left="2" w:right="11"/>
                          <w:jc w:val="both"/>
                          <w:rPr>
                            <w:rFonts w:ascii="宋体" w:hAnsi="宋体" w:cs="宋体" w:eastAsia="宋体" w:hint="default"/>
                            <w:sz w:val="18"/>
                            <w:szCs w:val="18"/>
                          </w:rPr>
                        </w:pPr>
                        <w:r>
                          <w:rPr>
                            <w:rFonts w:ascii="宋体" w:hAnsi="宋体" w:cs="宋体" w:eastAsia="宋体" w:hint="default"/>
                            <w:spacing w:val="-1"/>
                            <w:sz w:val="18"/>
                            <w:szCs w:val="18"/>
                          </w:rPr>
                          <w:t>网络服务提供者应当加强对其用户发布的信息的管理，发现法律、法规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禁止发布或者传输的信息的，应当立即停止传输该信息，采取消除等处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置措施，保存有关记录，并向有关主管部门报告。</w:t>
                        </w:r>
                      </w:p>
                    </w:tc>
                  </w:tr>
                </w:tbl>
                <w:p>
                  <w:pPr/>
                </w:p>
              </w:txbxContent>
            </v:textbox>
            <w10:wrap type="none"/>
          </v:shape>
        </w:pict>
      </w:r>
      <w:r>
        <w:rPr/>
        <w:t>，</w:t>
      </w:r>
    </w:p>
    <w:p>
      <w:pPr>
        <w:spacing w:after="0" w:line="240" w:lineRule="auto"/>
        <w:jc w:val="right"/>
        <w:sectPr>
          <w:pgSz w:w="11910" w:h="16840"/>
          <w:pgMar w:header="745" w:footer="980" w:top="1060" w:bottom="1160" w:left="980" w:right="820"/>
        </w:sectPr>
      </w:pPr>
    </w:p>
    <w:p>
      <w:pPr>
        <w:spacing w:line="240" w:lineRule="auto" w:before="12"/>
        <w:rPr>
          <w:rFonts w:ascii="宋体" w:hAnsi="宋体" w:cs="宋体" w:eastAsia="宋体" w:hint="default"/>
          <w:sz w:val="27"/>
          <w:szCs w:val="27"/>
        </w:rPr>
      </w:pPr>
    </w:p>
    <w:p>
      <w:pPr>
        <w:spacing w:line="384" w:lineRule="exact"/>
        <w:ind w:left="1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9.85pt;height:19.25pt;mso-position-horizontal-relative:char;mso-position-vertical-relative:line" coordorigin="0,0" coordsize="9797,385">
            <v:group style="position:absolute;left:29;top:15;width:1093;height:2" coordorigin="29,15" coordsize="1093,2">
              <v:shape style="position:absolute;left:29;top:15;width:1093;height:2" coordorigin="29,15" coordsize="1093,0" path="m29,15l1121,15e" filled="false" stroked="true" strokeweight=".72pt" strokecolor="#000000">
                <v:path arrowok="t"/>
              </v:shape>
            </v:group>
            <v:group style="position:absolute;left:1136;top:15;width:1769;height:2" coordorigin="1136,15" coordsize="1769,2">
              <v:shape style="position:absolute;left:1136;top:15;width:1769;height:2" coordorigin="1136,15" coordsize="1769,0" path="m1136,15l2904,15e" filled="false" stroked="true" strokeweight=".72pt" strokecolor="#000000">
                <v:path arrowok="t"/>
              </v:shape>
            </v:group>
            <v:group style="position:absolute;left:2919;top:15;width:1277;height:2" coordorigin="2919,15" coordsize="1277,2">
              <v:shape style="position:absolute;left:2919;top:15;width:1277;height:2" coordorigin="2919,15" coordsize="1277,0" path="m2919,15l4196,15e" filled="false" stroked="true" strokeweight=".72pt" strokecolor="#000000">
                <v:path arrowok="t"/>
              </v:shape>
            </v:group>
            <v:group style="position:absolute;left:4211;top:15;width:5572;height:2" coordorigin="4211,15" coordsize="5572,2">
              <v:shape style="position:absolute;left:4211;top:15;width:5572;height:2" coordorigin="4211,15" coordsize="5572,0" path="m4211,15l9782,15e" filled="false" stroked="true" strokeweight=".72pt" strokecolor="#000000">
                <v:path arrowok="t"/>
              </v:shape>
            </v:group>
            <v:group style="position:absolute;left:14;top:370;width:1107;height:2" coordorigin="14,370" coordsize="1107,2">
              <v:shape style="position:absolute;left:14;top:370;width:1107;height:2" coordorigin="14,370" coordsize="1107,0" path="m14,370l1121,370e" filled="false" stroked="true" strokeweight="1.44pt" strokecolor="#000000">
                <v:path arrowok="t"/>
              </v:shape>
            </v:group>
            <v:group style="position:absolute;left:1128;top:7;width:2;height:348" coordorigin="1128,7" coordsize="2,348">
              <v:shape style="position:absolute;left:1128;top:7;width:2;height:348" coordorigin="1128,7" coordsize="0,348" path="m1128,7l1128,355e" filled="false" stroked="true" strokeweight=".72pt" strokecolor="#000000">
                <v:path arrowok="t"/>
              </v:shape>
            </v:group>
            <v:group style="position:absolute;left:1121;top:370;width:29;height:2" coordorigin="1121,370" coordsize="29,2">
              <v:shape style="position:absolute;left:1121;top:370;width:29;height:2" coordorigin="1121,370" coordsize="29,0" path="m1121,370l1150,370e" filled="false" stroked="true" strokeweight="1.44pt" strokecolor="#000000">
                <v:path arrowok="t"/>
              </v:shape>
            </v:group>
            <v:group style="position:absolute;left:1150;top:370;width:1755;height:2" coordorigin="1150,370" coordsize="1755,2">
              <v:shape style="position:absolute;left:1150;top:370;width:1755;height:2" coordorigin="1150,370" coordsize="1755,0" path="m1150,370l2904,370e" filled="false" stroked="true" strokeweight="1.44pt" strokecolor="#000000">
                <v:path arrowok="t"/>
              </v:shape>
            </v:group>
            <v:group style="position:absolute;left:2912;top:7;width:2;height:348" coordorigin="2912,7" coordsize="2,348">
              <v:shape style="position:absolute;left:2912;top:7;width:2;height:348" coordorigin="2912,7" coordsize="0,348" path="m2912,7l2912,355e" filled="false" stroked="true" strokeweight=".744pt" strokecolor="#000000">
                <v:path arrowok="t"/>
              </v:shape>
            </v:group>
            <v:group style="position:absolute;left:2904;top:370;width:30;height:2" coordorigin="2904,370" coordsize="30,2">
              <v:shape style="position:absolute;left:2904;top:370;width:30;height:2" coordorigin="2904,370" coordsize="30,0" path="m2904,370l2934,370e" filled="false" stroked="true" strokeweight="1.44pt" strokecolor="#000000">
                <v:path arrowok="t"/>
              </v:shape>
            </v:group>
            <v:group style="position:absolute;left:2934;top:370;width:1263;height:2" coordorigin="2934,370" coordsize="1263,2">
              <v:shape style="position:absolute;left:2934;top:370;width:1263;height:2" coordorigin="2934,370" coordsize="1263,0" path="m2934,370l4196,370e" filled="false" stroked="true" strokeweight="1.44pt" strokecolor="#000000">
                <v:path arrowok="t"/>
              </v:shape>
            </v:group>
            <v:group style="position:absolute;left:4203;top:7;width:2;height:348" coordorigin="4203,7" coordsize="2,348">
              <v:shape style="position:absolute;left:4203;top:7;width:2;height:348" coordorigin="4203,7" coordsize="0,348" path="m4203,7l4203,355e" filled="false" stroked="true" strokeweight=".72pt" strokecolor="#000000">
                <v:path arrowok="t"/>
              </v:shape>
            </v:group>
            <v:group style="position:absolute;left:4196;top:370;width:29;height:2" coordorigin="4196,370" coordsize="29,2">
              <v:shape style="position:absolute;left:4196;top:370;width:29;height:2" coordorigin="4196,370" coordsize="29,0" path="m4196,370l4225,370e" filled="false" stroked="true" strokeweight="1.44pt" strokecolor="#000000">
                <v:path arrowok="t"/>
              </v:shape>
            </v:group>
            <v:group style="position:absolute;left:4225;top:370;width:5557;height:2" coordorigin="4225,370" coordsize="5557,2">
              <v:shape style="position:absolute;left:4225;top:370;width:5557;height:2" coordorigin="4225,370" coordsize="5557,0" path="m4225,370l9782,370e" filled="false" stroked="true" strokeweight="1.44pt" strokecolor="#000000">
                <v:path arrowok="t"/>
              </v:shape>
              <v:shape style="position:absolute;left:2912;top:15;width:1292;height:356" type="#_x0000_t202" filled="false" stroked="false">
                <v:textbox inset="0,0,0,0">
                  <w:txbxContent>
                    <w:p>
                      <w:pPr>
                        <w:spacing w:before="25"/>
                        <w:ind w:left="12" w:right="0" w:firstLine="0"/>
                        <w:jc w:val="left"/>
                        <w:rPr>
                          <w:rFonts w:ascii="宋体" w:hAnsi="宋体" w:cs="宋体" w:eastAsia="宋体" w:hint="default"/>
                          <w:sz w:val="18"/>
                          <w:szCs w:val="18"/>
                        </w:rPr>
                      </w:pPr>
                      <w:r>
                        <w:rPr>
                          <w:rFonts w:ascii="宋体" w:hAnsi="宋体" w:cs="宋体" w:eastAsia="宋体" w:hint="default"/>
                          <w:sz w:val="18"/>
                          <w:szCs w:val="18"/>
                        </w:rPr>
                        <w:t>会议</w:t>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21"/>
          <w:szCs w:val="21"/>
        </w:rPr>
      </w:pPr>
    </w:p>
    <w:p>
      <w:pPr>
        <w:pStyle w:val="BodyText"/>
        <w:spacing w:line="300" w:lineRule="auto" w:before="44"/>
        <w:ind w:left="573" w:right="253"/>
        <w:jc w:val="left"/>
      </w:pPr>
      <w:r>
        <w:rPr>
          <w:rFonts w:ascii="Times New Roman" w:hAnsi="Times New Roman" w:cs="Times New Roman" w:eastAsia="Times New Roman" w:hint="default"/>
        </w:rPr>
        <w:t>2</w:t>
      </w:r>
      <w:r>
        <w:rPr/>
        <w:t>、网络内容与行为审计市场初具规模 在政策监管执行力度逐年加强以及政府机关、企亊业单位等的信息安全意识逐步增强并对网络内容与行为审计和监管</w:t>
      </w:r>
    </w:p>
    <w:p>
      <w:pPr>
        <w:pStyle w:val="BodyText"/>
        <w:spacing w:line="300" w:lineRule="auto" w:before="31"/>
        <w:ind w:right="228"/>
        <w:jc w:val="both"/>
      </w:pPr>
      <w:r>
        <w:rPr>
          <w:spacing w:val="-1"/>
        </w:rPr>
        <w:t>需求不断增加的背景下，市场将涌现出越来越多的创新产品和应用，中国网络内容与行为审计和监管市场将保持不低于</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39"/>
        </w:rPr>
        <w:t> </w:t>
      </w:r>
      <w:r>
        <w:rPr/>
        <w:t>的年均增长率，预计</w:t>
      </w:r>
      <w:r>
        <w:rPr>
          <w:rFonts w:ascii="Times New Roman" w:hAnsi="Times New Roman" w:cs="Times New Roman" w:eastAsia="Times New Roman" w:hint="default"/>
        </w:rPr>
        <w:t>2015</w:t>
      </w:r>
      <w:r>
        <w:rPr/>
        <w:t>年市场规模将达到</w:t>
      </w:r>
      <w:r>
        <w:rPr>
          <w:rFonts w:ascii="Times New Roman" w:hAnsi="Times New Roman" w:cs="Times New Roman" w:eastAsia="Times New Roman" w:hint="default"/>
        </w:rPr>
        <w:t>21.8</w:t>
      </w:r>
      <w:r>
        <w:rPr/>
        <w:t>亿元。</w:t>
      </w:r>
    </w:p>
    <w:p>
      <w:pPr>
        <w:pStyle w:val="BodyText"/>
        <w:spacing w:line="240" w:lineRule="auto" w:before="13"/>
        <w:ind w:left="573" w:right="253"/>
        <w:jc w:val="left"/>
      </w:pPr>
      <w:r>
        <w:rPr>
          <w:rFonts w:ascii="Times New Roman" w:hAnsi="Times New Roman" w:cs="Times New Roman" w:eastAsia="Times New Roman" w:hint="default"/>
        </w:rPr>
        <w:t>1</w:t>
      </w:r>
      <w:r>
        <w:rPr/>
        <w:t>）专用安全审计市场</w:t>
      </w:r>
    </w:p>
    <w:p>
      <w:pPr>
        <w:pStyle w:val="BodyText"/>
        <w:spacing w:line="240" w:lineRule="auto" w:before="63"/>
        <w:ind w:left="573" w:right="253"/>
        <w:jc w:val="left"/>
      </w:pPr>
      <w:r>
        <w:rPr/>
        <w:t>①网吧安全审计市场</w:t>
      </w:r>
    </w:p>
    <w:p>
      <w:pPr>
        <w:pStyle w:val="BodyText"/>
        <w:spacing w:line="300" w:lineRule="auto" w:before="76"/>
        <w:ind w:right="0" w:firstLine="420"/>
        <w:jc w:val="left"/>
      </w:pPr>
      <w:r>
        <w:rPr>
          <w:rFonts w:ascii="Times New Roman" w:hAnsi="Times New Roman" w:cs="Times New Roman" w:eastAsia="Times New Roman" w:hint="default"/>
        </w:rPr>
        <w:t>CNNIC</w:t>
      </w:r>
      <w:r>
        <w:rPr/>
        <w:t>《第</w:t>
      </w:r>
      <w:r>
        <w:rPr>
          <w:rFonts w:ascii="Times New Roman" w:hAnsi="Times New Roman" w:cs="Times New Roman" w:eastAsia="Times New Roman" w:hint="default"/>
        </w:rPr>
        <w:t>31</w:t>
      </w:r>
      <w:r>
        <w:rPr/>
        <w:t>次中国互联网络发展状况统计报告》显示，截至</w:t>
      </w:r>
      <w:r>
        <w:rPr>
          <w:rFonts w:ascii="Times New Roman" w:hAnsi="Times New Roman" w:cs="Times New Roman" w:eastAsia="Times New Roman" w:hint="default"/>
        </w:rPr>
        <w:t>2012</w:t>
      </w:r>
      <w:r>
        <w:rPr/>
        <w:t>年底，中国网民人数已经达到达</w:t>
      </w:r>
      <w:r>
        <w:rPr>
          <w:rFonts w:ascii="Times New Roman" w:hAnsi="Times New Roman" w:cs="Times New Roman" w:eastAsia="Times New Roman" w:hint="default"/>
        </w:rPr>
        <w:t>5.64</w:t>
      </w:r>
      <w:r>
        <w:rPr/>
        <w:t>亿人，全年新</w:t>
      </w:r>
      <w:r>
        <w:rPr>
          <w:w w:val="99"/>
        </w:rPr>
        <w:t> </w:t>
      </w:r>
      <w:r>
        <w:rPr>
          <w:spacing w:val="-3"/>
        </w:rPr>
        <w:t>增网民</w:t>
      </w:r>
      <w:r>
        <w:rPr>
          <w:rFonts w:ascii="Times New Roman" w:hAnsi="Times New Roman" w:cs="Times New Roman" w:eastAsia="Times New Roman" w:hint="default"/>
          <w:spacing w:val="-3"/>
        </w:rPr>
        <w:t>5090</w:t>
      </w:r>
      <w:r>
        <w:rPr>
          <w:spacing w:val="-3"/>
        </w:rPr>
        <w:t>万，互联网普及率达</w:t>
      </w:r>
      <w:r>
        <w:rPr>
          <w:rFonts w:ascii="Times New Roman" w:hAnsi="Times New Roman" w:cs="Times New Roman" w:eastAsia="Times New Roman" w:hint="default"/>
          <w:spacing w:val="-3"/>
        </w:rPr>
        <w:t>42.1%</w:t>
      </w:r>
      <w:r>
        <w:rPr>
          <w:spacing w:val="-3"/>
        </w:rPr>
        <w:t>，较</w:t>
      </w:r>
      <w:r>
        <w:rPr>
          <w:rFonts w:ascii="Times New Roman" w:hAnsi="Times New Roman" w:cs="Times New Roman" w:eastAsia="Times New Roman" w:hint="default"/>
          <w:spacing w:val="-3"/>
        </w:rPr>
        <w:t>2011</w:t>
      </w:r>
      <w:r>
        <w:rPr>
          <w:spacing w:val="-3"/>
        </w:rPr>
        <w:t>年底提升</w:t>
      </w:r>
      <w:r>
        <w:rPr>
          <w:rFonts w:ascii="Times New Roman" w:hAnsi="Times New Roman" w:cs="Times New Roman" w:eastAsia="Times New Roman" w:hint="default"/>
          <w:spacing w:val="-3"/>
        </w:rPr>
        <w:t>3.8</w:t>
      </w:r>
      <w:r>
        <w:rPr>
          <w:spacing w:val="-3"/>
        </w:rPr>
        <w:t>个百分点。其中，在网吧上网的网民占网民总数的</w:t>
      </w:r>
      <w:r>
        <w:rPr>
          <w:rFonts w:ascii="Times New Roman" w:hAnsi="Times New Roman" w:cs="Times New Roman" w:eastAsia="Times New Roman" w:hint="default"/>
          <w:spacing w:val="-3"/>
        </w:rPr>
        <w:t>22.4%</w:t>
      </w:r>
      <w:r>
        <w:rPr>
          <w:spacing w:val="-3"/>
        </w:rPr>
        <w:t>，较</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年下降了</w:t>
      </w:r>
      <w:r>
        <w:rPr>
          <w:rFonts w:ascii="Times New Roman" w:hAnsi="Times New Roman" w:cs="Times New Roman" w:eastAsia="Times New Roman" w:hint="default"/>
        </w:rPr>
        <w:t>5.5</w:t>
      </w:r>
      <w:r>
        <w:rPr/>
        <w:t>个百分点，连续第二年出现负增长。</w:t>
      </w:r>
    </w:p>
    <w:p>
      <w:pPr>
        <w:pStyle w:val="BodyText"/>
        <w:spacing w:line="240" w:lineRule="auto" w:before="13"/>
        <w:ind w:left="573" w:right="253"/>
        <w:jc w:val="left"/>
      </w:pPr>
      <w:r>
        <w:rPr>
          <w:rFonts w:ascii="Times New Roman" w:hAnsi="Times New Roman" w:cs="Times New Roman" w:eastAsia="Times New Roman" w:hint="default"/>
        </w:rPr>
        <w:t>2003-2012</w:t>
      </w:r>
      <w:r>
        <w:rPr/>
        <w:t>年网吧用户规模增长变化情况：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2899" w:lineRule="exact"/>
        <w:ind w:left="604"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5058045" cy="1841373"/>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5058045" cy="1841373"/>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300" w:lineRule="auto"/>
        <w:ind w:right="267" w:firstLine="420"/>
        <w:jc w:val="both"/>
      </w:pPr>
      <w:r>
        <w:rPr/>
        <w:t>随着笔记本电脑、智能手机等移动上网设备普及，在网吧上网的网民数量在</w:t>
      </w:r>
      <w:r>
        <w:rPr>
          <w:rFonts w:ascii="Times New Roman" w:hAnsi="Times New Roman" w:cs="Times New Roman" w:eastAsia="Times New Roman" w:hint="default"/>
        </w:rPr>
        <w:t>2010</w:t>
      </w:r>
      <w:r>
        <w:rPr/>
        <w:t>年达到高峰后开始回落，相比</w:t>
      </w:r>
      <w:r>
        <w:rPr>
          <w:rFonts w:ascii="Times New Roman" w:hAnsi="Times New Roman" w:cs="Times New Roman" w:eastAsia="Times New Roman" w:hint="default"/>
        </w:rPr>
        <w:t>2011</w:t>
      </w:r>
      <w:r>
        <w:rPr/>
        <w:t>年 在网吧上网网民规模的下降速度</w:t>
      </w:r>
      <w:r>
        <w:rPr>
          <w:rFonts w:ascii="Times New Roman" w:hAnsi="Times New Roman" w:cs="Times New Roman" w:eastAsia="Times New Roman" w:hint="default"/>
        </w:rPr>
        <w:t>7.8%</w:t>
      </w:r>
      <w:r>
        <w:rPr/>
        <w:t>，</w:t>
      </w:r>
      <w:r>
        <w:rPr>
          <w:rFonts w:ascii="Times New Roman" w:hAnsi="Times New Roman" w:cs="Times New Roman" w:eastAsia="Times New Roman" w:hint="default"/>
        </w:rPr>
        <w:t>2012</w:t>
      </w:r>
      <w:r>
        <w:rPr/>
        <w:t>年的下降速度趋缓，我们预计网吧的用户规模将在今后几年继续保持缓慢的下 降趋势，并对公司专用安全审计产品收入产生一定的不利影响。</w:t>
      </w:r>
    </w:p>
    <w:p>
      <w:pPr>
        <w:pStyle w:val="BodyText"/>
        <w:spacing w:line="309" w:lineRule="auto" w:before="31"/>
        <w:ind w:right="230" w:firstLine="420"/>
        <w:jc w:val="both"/>
      </w:pPr>
      <w:r>
        <w:rPr/>
        <w:t>虽然网吧上网的网民数量持续下降，但应该看到我国网吧市场自</w:t>
      </w:r>
      <w:r>
        <w:rPr>
          <w:rFonts w:ascii="Times New Roman" w:hAnsi="Times New Roman" w:cs="Times New Roman" w:eastAsia="Times New Roman" w:hint="default"/>
        </w:rPr>
        <w:t>2010</w:t>
      </w:r>
      <w:r>
        <w:rPr/>
        <w:t>年后出现的一系列新变化：截至</w:t>
      </w:r>
      <w:r>
        <w:rPr>
          <w:rFonts w:ascii="Times New Roman" w:hAnsi="Times New Roman" w:cs="Times New Roman" w:eastAsia="Times New Roman" w:hint="default"/>
        </w:rPr>
        <w:t>2011</w:t>
      </w:r>
      <w:r>
        <w:rPr/>
        <w:t>年底，全国 </w:t>
      </w:r>
      <w:r>
        <w:rPr>
          <w:spacing w:val="-1"/>
        </w:rPr>
        <w:t>的网吧连锁率已近</w:t>
      </w:r>
      <w:r>
        <w:rPr>
          <w:rFonts w:ascii="Times New Roman" w:hAnsi="Times New Roman" w:cs="Times New Roman" w:eastAsia="Times New Roman" w:hint="default"/>
          <w:spacing w:val="-1"/>
        </w:rPr>
        <w:t>40%</w:t>
      </w:r>
      <w:r>
        <w:rPr>
          <w:spacing w:val="-1"/>
        </w:rPr>
        <w:t>，部分省份（如江苏）已达</w:t>
      </w:r>
      <w:r>
        <w:rPr>
          <w:rFonts w:ascii="Times New Roman" w:hAnsi="Times New Roman" w:cs="Times New Roman" w:eastAsia="Times New Roman" w:hint="default"/>
          <w:spacing w:val="-1"/>
        </w:rPr>
        <w:t>90%</w:t>
      </w:r>
      <w:r>
        <w:rPr>
          <w:spacing w:val="-1"/>
        </w:rPr>
        <w:t>，已形成全国网吧连锁企业</w:t>
      </w:r>
      <w:r>
        <w:rPr>
          <w:rFonts w:ascii="Times New Roman" w:hAnsi="Times New Roman" w:cs="Times New Roman" w:eastAsia="Times New Roman" w:hint="default"/>
          <w:spacing w:val="-1"/>
        </w:rPr>
        <w:t>4</w:t>
      </w:r>
      <w:r>
        <w:rPr>
          <w:spacing w:val="-1"/>
        </w:rPr>
        <w:t>家，省级连锁企业</w:t>
      </w:r>
      <w:r>
        <w:rPr>
          <w:rFonts w:ascii="Times New Roman" w:hAnsi="Times New Roman" w:cs="Times New Roman" w:eastAsia="Times New Roman" w:hint="default"/>
          <w:spacing w:val="-1"/>
        </w:rPr>
        <w:t>232</w:t>
      </w:r>
      <w:r>
        <w:rPr>
          <w:spacing w:val="-1"/>
        </w:rPr>
        <w:t>家，区域性连锁企</w:t>
      </w:r>
      <w:r>
        <w:rPr>
          <w:spacing w:val="-58"/>
        </w:rPr>
        <w:t> </w:t>
      </w:r>
      <w:r>
        <w:rPr>
          <w:spacing w:val="-58"/>
        </w:rPr>
      </w:r>
      <w:r>
        <w:rPr/>
        <w:t>业</w:t>
      </w:r>
      <w:r>
        <w:rPr>
          <w:rFonts w:ascii="Times New Roman" w:hAnsi="Times New Roman" w:cs="Times New Roman" w:eastAsia="Times New Roman" w:hint="default"/>
        </w:rPr>
        <w:t>343</w:t>
      </w:r>
      <w:r>
        <w:rPr/>
        <w:t>家。一方面，随着网吧的连锁率逐步提升，连锁企业为提升服务质量，加强对各连锁门店的管理，对网络内容与行为 </w:t>
      </w:r>
      <w:r>
        <w:rPr>
          <w:spacing w:val="-5"/>
        </w:rPr>
        <w:t>审计和监管产品的技术水平将提出更高的要求，另一方面，由于网吧业务范围的不断拓展，与咖啡屋、网络游戏、网络教育、</w:t>
      </w:r>
      <w:r>
        <w:rPr>
          <w:spacing w:val="-80"/>
        </w:rPr>
        <w:t> </w:t>
      </w:r>
      <w:r>
        <w:rPr>
          <w:spacing w:val="-80"/>
        </w:rPr>
      </w:r>
      <w:r>
        <w:rPr>
          <w:spacing w:val="-2"/>
        </w:rPr>
        <w:t>影视娱乐等多行业有机融合，推动网吧从单一的上网服务场所向以上网为基础的多元化运用平台方向发展，业务的复杂性增</w:t>
      </w:r>
      <w:r>
        <w:rPr>
          <w:spacing w:val="-64"/>
        </w:rPr>
        <w:t> </w:t>
      </w:r>
      <w:r>
        <w:rPr>
          <w:spacing w:val="-64"/>
        </w:rPr>
      </w:r>
      <w:r>
        <w:rPr>
          <w:spacing w:val="-2"/>
        </w:rPr>
        <w:t>加了监管的难度，这些因素均将促进专用审计产品的更新换代，在为公司产品带来持续的需求空间的同时，也将为公司开辟</w:t>
      </w:r>
      <w:r>
        <w:rPr>
          <w:spacing w:val="-63"/>
        </w:rPr>
        <w:t> </w:t>
      </w:r>
      <w:r>
        <w:rPr>
          <w:spacing w:val="-63"/>
        </w:rPr>
      </w:r>
      <w:r>
        <w:rPr/>
        <w:t>新的网吧增值业务提供便利条件。</w:t>
      </w:r>
    </w:p>
    <w:p>
      <w:pPr>
        <w:pStyle w:val="BodyText"/>
        <w:spacing w:line="316" w:lineRule="auto" w:before="24"/>
        <w:ind w:right="233" w:firstLine="420"/>
        <w:jc w:val="both"/>
      </w:pPr>
      <w:r>
        <w:rPr>
          <w:spacing w:val="-3"/>
        </w:rPr>
        <w:t>截至目前，网吧已经基本完成了由实名上网登记卡到二代身份证刷卡上网的经营模式转换，相比销售实名上网登记卡，</w:t>
      </w:r>
      <w:r>
        <w:rPr/>
        <w:t> </w:t>
      </w:r>
      <w:r>
        <w:rPr>
          <w:spacing w:val="-2"/>
        </w:rPr>
        <w:t>公司通过收取二代身份证刷卡、手机认证、指纹认证等实名审计服务费能够获得更高的毛利率，这将冲抵因在网吧上网人数</w:t>
      </w:r>
      <w:r>
        <w:rPr>
          <w:spacing w:val="-66"/>
        </w:rPr>
        <w:t> </w:t>
      </w:r>
      <w:r>
        <w:rPr>
          <w:spacing w:val="-66"/>
        </w:rPr>
      </w:r>
      <w:r>
        <w:rPr/>
        <w:t>减少对公司专用安全审计业务收益的影响。</w:t>
      </w:r>
    </w:p>
    <w:p>
      <w:pPr>
        <w:pStyle w:val="BodyText"/>
        <w:spacing w:line="316" w:lineRule="auto" w:before="19"/>
        <w:ind w:left="573" w:right="253"/>
        <w:jc w:val="left"/>
      </w:pPr>
      <w:r>
        <w:rPr/>
        <w:t>②非经营性上网服务场所 酒店、宾馆、咖啡厅等非经营性上网服务场所数量众多，根据易观智库的数据显示，当前我国酒店及民宿的数量约有</w:t>
      </w:r>
    </w:p>
    <w:p>
      <w:pPr>
        <w:pStyle w:val="BodyText"/>
        <w:spacing w:line="314" w:lineRule="auto" w:before="19"/>
        <w:ind w:right="230"/>
        <w:jc w:val="both"/>
      </w:pPr>
      <w:r>
        <w:rPr>
          <w:rFonts w:ascii="Times New Roman" w:hAnsi="Times New Roman" w:cs="Times New Roman" w:eastAsia="Times New Roman" w:hint="default"/>
          <w:spacing w:val="-5"/>
        </w:rPr>
        <w:t>30</w:t>
      </w:r>
      <w:r>
        <w:rPr>
          <w:spacing w:val="-5"/>
        </w:rPr>
        <w:t>万家。在这</w:t>
      </w:r>
      <w:r>
        <w:rPr>
          <w:rFonts w:ascii="Times New Roman" w:hAnsi="Times New Roman" w:cs="Times New Roman" w:eastAsia="Times New Roman" w:hint="default"/>
          <w:spacing w:val="-5"/>
        </w:rPr>
        <w:t>30</w:t>
      </w:r>
      <w:r>
        <w:rPr>
          <w:spacing w:val="-5"/>
        </w:rPr>
        <w:t>多万家酒店及民宿中，星级酒店数量不到</w:t>
      </w:r>
      <w:r>
        <w:rPr>
          <w:rFonts w:ascii="Times New Roman" w:hAnsi="Times New Roman" w:cs="Times New Roman" w:eastAsia="Times New Roman" w:hint="default"/>
          <w:spacing w:val="-5"/>
        </w:rPr>
        <w:t>2</w:t>
      </w:r>
      <w:r>
        <w:rPr>
          <w:spacing w:val="-5"/>
        </w:rPr>
        <w:t>万家（据国家旅游局统计，截至</w:t>
      </w:r>
      <w:r>
        <w:rPr>
          <w:rFonts w:ascii="Times New Roman" w:hAnsi="Times New Roman" w:cs="Times New Roman" w:eastAsia="Times New Roman" w:hint="default"/>
          <w:spacing w:val="-5"/>
        </w:rPr>
        <w:t>2011</w:t>
      </w:r>
      <w:r>
        <w:rPr>
          <w:spacing w:val="-5"/>
        </w:rPr>
        <w:t>年底，全国共有星级饭店</w:t>
      </w:r>
      <w:r>
        <w:rPr>
          <w:rFonts w:ascii="Times New Roman" w:hAnsi="Times New Roman" w:cs="Times New Roman" w:eastAsia="Times New Roman" w:hint="default"/>
          <w:spacing w:val="-5"/>
        </w:rPr>
        <w:t>13513</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家），其余的非星级酒店包括经济型酒店、客栈、家庭旅馆、酒店式公寓、青年旅社、特色酒店等，经营规模大小不一，随</w:t>
      </w:r>
      <w:r>
        <w:rPr>
          <w:spacing w:val="-70"/>
        </w:rPr>
        <w:t> </w:t>
      </w:r>
      <w:r>
        <w:rPr>
          <w:spacing w:val="-70"/>
        </w:rPr>
      </w:r>
      <w:r>
        <w:rPr>
          <w:spacing w:val="-2"/>
        </w:rPr>
        <w:t>着互联网宽带资费的下降，不少非星级酒店已经提供互联网接入服务作为揽客入住的重要举措之一，在为旅客提供便捷通讯</w:t>
      </w:r>
      <w:r>
        <w:rPr>
          <w:spacing w:val="-64"/>
        </w:rPr>
        <w:t> </w:t>
      </w:r>
      <w:r>
        <w:rPr>
          <w:spacing w:val="-64"/>
        </w:rPr>
      </w:r>
      <w:r>
        <w:rPr>
          <w:spacing w:val="-2"/>
        </w:rPr>
        <w:t>服务的同时，与之对应的游客上网内容与行为审计需求随之凸显。随着有关管理部门对酒店等非经营性上网服务场所落实安</w:t>
      </w:r>
      <w:r>
        <w:rPr>
          <w:spacing w:val="-64"/>
        </w:rPr>
        <w:t> </w:t>
      </w:r>
      <w:r>
        <w:rPr>
          <w:spacing w:val="-64"/>
        </w:rPr>
      </w:r>
      <w:r>
        <w:rPr/>
        <w:t>全保护技术措施力度的加大，该领域对专用安全审计产品的需求将不断释放。</w:t>
      </w:r>
    </w:p>
    <w:p>
      <w:pPr>
        <w:spacing w:after="0" w:line="314" w:lineRule="auto"/>
        <w:jc w:val="both"/>
        <w:sectPr>
          <w:pgSz w:w="11910" w:h="16840"/>
          <w:pgMar w:header="745" w:footer="980" w:top="1060" w:bottom="1160" w:left="980" w:right="900"/>
        </w:sectPr>
      </w:pPr>
    </w:p>
    <w:p>
      <w:pPr>
        <w:spacing w:line="240" w:lineRule="auto" w:before="9"/>
        <w:rPr>
          <w:rFonts w:ascii="宋体" w:hAnsi="宋体" w:cs="宋体" w:eastAsia="宋体" w:hint="default"/>
          <w:sz w:val="25"/>
          <w:szCs w:val="25"/>
        </w:rPr>
      </w:pPr>
    </w:p>
    <w:p>
      <w:pPr>
        <w:pStyle w:val="BodyText"/>
        <w:spacing w:line="319" w:lineRule="auto" w:before="44"/>
        <w:ind w:left="573" w:right="0"/>
        <w:jc w:val="left"/>
      </w:pPr>
      <w:r>
        <w:rPr/>
        <w:t>③无线审计 </w:t>
      </w: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月底，我国手机网民规模为</w:t>
      </w:r>
      <w:r>
        <w:rPr>
          <w:rFonts w:ascii="Times New Roman" w:hAnsi="Times New Roman" w:cs="Times New Roman" w:eastAsia="Times New Roman" w:hint="default"/>
          <w:spacing w:val="-1"/>
        </w:rPr>
        <w:t>4.2</w:t>
      </w:r>
      <w:r>
        <w:rPr>
          <w:spacing w:val="-1"/>
        </w:rPr>
        <w:t>亿，网民中使用手机上网的人群占比由上年底的</w:t>
      </w:r>
      <w:r>
        <w:rPr>
          <w:rFonts w:ascii="Times New Roman" w:hAnsi="Times New Roman" w:cs="Times New Roman" w:eastAsia="Times New Roman" w:hint="default"/>
          <w:spacing w:val="-1"/>
        </w:rPr>
        <w:t>69.3%</w:t>
      </w:r>
      <w:r>
        <w:rPr>
          <w:spacing w:val="-1"/>
        </w:rPr>
        <w:t>提升至</w:t>
      </w:r>
      <w:r>
        <w:rPr>
          <w:rFonts w:ascii="Times New Roman" w:hAnsi="Times New Roman" w:cs="Times New Roman" w:eastAsia="Times New Roman" w:hint="default"/>
          <w:spacing w:val="-1"/>
        </w:rPr>
        <w:t>74.5%</w:t>
      </w:r>
      <w:r>
        <w:rPr>
          <w:spacing w:val="-1"/>
        </w:rPr>
        <w:t>，智能</w:t>
      </w:r>
    </w:p>
    <w:p>
      <w:pPr>
        <w:pStyle w:val="BodyText"/>
        <w:spacing w:line="300" w:lineRule="auto"/>
        <w:ind w:right="144"/>
        <w:jc w:val="left"/>
      </w:pPr>
      <w:r>
        <w:rPr>
          <w:spacing w:val="-1"/>
        </w:rPr>
        <w:t>手机等移动智能终端的普及，将为网民通过</w:t>
      </w:r>
      <w:r>
        <w:rPr>
          <w:rFonts w:ascii="Times New Roman" w:hAnsi="Times New Roman" w:cs="Times New Roman" w:eastAsia="Times New Roman" w:hint="default"/>
          <w:spacing w:val="-1"/>
        </w:rPr>
        <w:t>WiFi</w:t>
      </w:r>
      <w:r>
        <w:rPr>
          <w:spacing w:val="-1"/>
        </w:rPr>
        <w:t>上网提供了极大的便利。截至</w:t>
      </w:r>
      <w:r>
        <w:rPr>
          <w:rFonts w:ascii="Times New Roman" w:hAnsi="Times New Roman" w:cs="Times New Roman" w:eastAsia="Times New Roman" w:hint="default"/>
          <w:spacing w:val="-1"/>
        </w:rPr>
        <w:t>2012</w:t>
      </w:r>
      <w:r>
        <w:rPr>
          <w:spacing w:val="-1"/>
        </w:rPr>
        <w:t>年底，中国移动的</w:t>
      </w:r>
      <w:r>
        <w:rPr>
          <w:rFonts w:ascii="Times New Roman" w:hAnsi="Times New Roman" w:cs="Times New Roman" w:eastAsia="Times New Roman" w:hint="default"/>
          <w:spacing w:val="-1"/>
        </w:rPr>
        <w:t>WiFi</w:t>
      </w:r>
      <w:r>
        <w:rPr>
          <w:spacing w:val="-1"/>
        </w:rPr>
        <w:t>热点总量达</w:t>
      </w:r>
      <w:r>
        <w:rPr>
          <w:rFonts w:ascii="Times New Roman" w:hAnsi="Times New Roman" w:cs="Times New Roman" w:eastAsia="Times New Roman" w:hint="default"/>
          <w:spacing w:val="-1"/>
        </w:rPr>
        <w:t>378</w:t>
      </w:r>
      <w:r>
        <w:rPr>
          <w:spacing w:val="-1"/>
        </w:rPr>
        <w:t>万</w:t>
      </w:r>
      <w:r>
        <w:rPr>
          <w:spacing w:val="-47"/>
        </w:rPr>
        <w:t> </w:t>
      </w:r>
      <w:r>
        <w:rPr>
          <w:spacing w:val="-1"/>
        </w:rPr>
        <w:t>个，而根据中国电信和中国联通的既定计划，其</w:t>
      </w:r>
      <w:r>
        <w:rPr>
          <w:rFonts w:ascii="Times New Roman" w:hAnsi="Times New Roman" w:cs="Times New Roman" w:eastAsia="Times New Roman" w:hint="default"/>
          <w:spacing w:val="-1"/>
        </w:rPr>
        <w:t>2012</w:t>
      </w:r>
      <w:r>
        <w:rPr>
          <w:spacing w:val="-1"/>
        </w:rPr>
        <w:t>年底的</w:t>
      </w:r>
      <w:r>
        <w:rPr>
          <w:rFonts w:ascii="Times New Roman" w:hAnsi="Times New Roman" w:cs="Times New Roman" w:eastAsia="Times New Roman" w:hint="default"/>
          <w:spacing w:val="-1"/>
        </w:rPr>
        <w:t>WiFi</w:t>
      </w:r>
      <w:r>
        <w:rPr>
          <w:spacing w:val="-1"/>
        </w:rPr>
        <w:t>热点总量将分别达到</w:t>
      </w:r>
      <w:r>
        <w:rPr>
          <w:rFonts w:ascii="Times New Roman" w:hAnsi="Times New Roman" w:cs="Times New Roman" w:eastAsia="Times New Roman" w:hint="default"/>
          <w:spacing w:val="-1"/>
        </w:rPr>
        <w:t>120</w:t>
      </w:r>
      <w:r>
        <w:rPr>
          <w:spacing w:val="-1"/>
        </w:rPr>
        <w:t>万个和</w:t>
      </w:r>
      <w:r>
        <w:rPr>
          <w:rFonts w:ascii="Times New Roman" w:hAnsi="Times New Roman" w:cs="Times New Roman" w:eastAsia="Times New Roman" w:hint="default"/>
          <w:spacing w:val="-1"/>
        </w:rPr>
        <w:t>90</w:t>
      </w:r>
      <w:r>
        <w:rPr>
          <w:spacing w:val="-1"/>
        </w:rPr>
        <w:t>万个，随着</w:t>
      </w:r>
      <w:r>
        <w:rPr>
          <w:rFonts w:ascii="Times New Roman" w:hAnsi="Times New Roman" w:cs="Times New Roman" w:eastAsia="Times New Roman" w:hint="default"/>
          <w:spacing w:val="-1"/>
        </w:rPr>
        <w:t>WiFi</w:t>
      </w:r>
      <w:r>
        <w:rPr>
          <w:spacing w:val="-1"/>
        </w:rPr>
        <w:t>的规模化</w:t>
      </w:r>
      <w:r>
        <w:rPr>
          <w:spacing w:val="-48"/>
        </w:rPr>
        <w:t> </w:t>
      </w:r>
      <w:r>
        <w:rPr/>
        <w:t>建设的加速，用户将可以在家庭、单位、公共场所享受至无缝式的网络服务。公司于</w:t>
      </w:r>
      <w:r>
        <w:rPr>
          <w:rFonts w:ascii="Times New Roman" w:hAnsi="Times New Roman" w:cs="Times New Roman" w:eastAsia="Times New Roman" w:hint="default"/>
        </w:rPr>
        <w:t>2012</w:t>
      </w:r>
      <w:r>
        <w:rPr/>
        <w:t>年推出了附带审计功能的</w:t>
      </w:r>
      <w:r>
        <w:rPr>
          <w:rFonts w:ascii="Times New Roman" w:hAnsi="Times New Roman" w:cs="Times New Roman" w:eastAsia="Times New Roman" w:hint="default"/>
        </w:rPr>
        <w:t>WLan</w:t>
      </w:r>
      <w:r>
        <w:rPr/>
        <w:t>产 品，并在宾馆、餐饮等领域获得了推广应用，但由于技术原因，各厂家难以提供稳定性和性价比俱佳的</w:t>
      </w:r>
      <w:r>
        <w:rPr>
          <w:rFonts w:ascii="Times New Roman" w:hAnsi="Times New Roman" w:cs="Times New Roman" w:eastAsia="Times New Roman" w:hint="default"/>
        </w:rPr>
        <w:t>WLan</w:t>
      </w:r>
      <w:r>
        <w:rPr/>
        <w:t>审计产品，短 期内的市场推广会受到一定局限，但相信随着</w:t>
      </w:r>
      <w:r>
        <w:rPr>
          <w:rFonts w:ascii="Times New Roman" w:hAnsi="Times New Roman" w:cs="Times New Roman" w:eastAsia="Times New Roman" w:hint="default"/>
        </w:rPr>
        <w:t>WiFi</w:t>
      </w:r>
      <w:r>
        <w:rPr/>
        <w:t>审计产品技术的不断成熟，移动互联网审计产品将迎来快速发展阶段， 公司的无线审计产品具备较强的收入增长潜力。</w:t>
      </w:r>
    </w:p>
    <w:p>
      <w:pPr>
        <w:pStyle w:val="BodyText"/>
        <w:spacing w:line="300" w:lineRule="auto" w:before="31"/>
        <w:ind w:left="573" w:right="173"/>
        <w:jc w:val="left"/>
      </w:pPr>
      <w:r>
        <w:rPr>
          <w:rFonts w:ascii="Times New Roman" w:hAnsi="Times New Roman" w:cs="Times New Roman" w:eastAsia="Times New Roman" w:hint="default"/>
        </w:rPr>
        <w:t>2</w:t>
      </w:r>
      <w:r>
        <w:rPr/>
        <w:t>）通用安全审计市场 未来该市场增长的动力主要来自两个方面：一方面，政府是最稳定的需求领域，电子政务网络安全系统建设的开展将</w:t>
      </w:r>
    </w:p>
    <w:p>
      <w:pPr>
        <w:pStyle w:val="BodyText"/>
        <w:spacing w:line="307" w:lineRule="auto" w:before="31"/>
        <w:ind w:right="149"/>
        <w:jc w:val="both"/>
      </w:pPr>
      <w:r>
        <w:rPr>
          <w:spacing w:val="-2"/>
        </w:rPr>
        <w:t>成为通用安全审计产品市场发展的机遇。另一方面，截至</w:t>
      </w:r>
      <w:r>
        <w:rPr>
          <w:rFonts w:ascii="Times New Roman" w:hAnsi="Times New Roman" w:cs="Times New Roman" w:eastAsia="Times New Roman" w:hint="default"/>
          <w:spacing w:val="-2"/>
        </w:rPr>
        <w:t>2011</w:t>
      </w:r>
      <w:r>
        <w:rPr>
          <w:spacing w:val="-2"/>
        </w:rPr>
        <w:t>年，我国各种形式的中小企业数量已近</w:t>
      </w:r>
      <w:r>
        <w:rPr>
          <w:rFonts w:ascii="Times New Roman" w:hAnsi="Times New Roman" w:cs="Times New Roman" w:eastAsia="Times New Roman" w:hint="default"/>
          <w:spacing w:val="-2"/>
        </w:rPr>
        <w:t>5000</w:t>
      </w:r>
      <w:r>
        <w:rPr>
          <w:spacing w:val="-2"/>
        </w:rPr>
        <w:t>万家，除去以个体</w:t>
      </w:r>
      <w:r>
        <w:rPr>
          <w:spacing w:val="-59"/>
        </w:rPr>
        <w:t> </w:t>
      </w:r>
      <w:r>
        <w:rPr>
          <w:spacing w:val="-59"/>
        </w:rPr>
      </w:r>
      <w:r>
        <w:rPr>
          <w:spacing w:val="-2"/>
        </w:rPr>
        <w:t>户登记的企业</w:t>
      </w:r>
      <w:r>
        <w:rPr>
          <w:rFonts w:ascii="Times New Roman" w:hAnsi="Times New Roman" w:cs="Times New Roman" w:eastAsia="Times New Roman" w:hint="default"/>
          <w:spacing w:val="-2"/>
        </w:rPr>
        <w:t>3600</w:t>
      </w:r>
      <w:r>
        <w:rPr>
          <w:spacing w:val="-2"/>
        </w:rPr>
        <w:t>万家外，以个人独资企业等形式的企业约有</w:t>
      </w:r>
      <w:r>
        <w:rPr>
          <w:rFonts w:ascii="Times New Roman" w:hAnsi="Times New Roman" w:cs="Times New Roman" w:eastAsia="Times New Roman" w:hint="default"/>
          <w:spacing w:val="-2"/>
        </w:rPr>
        <w:t>1100</w:t>
      </w:r>
      <w:r>
        <w:rPr>
          <w:spacing w:val="-2"/>
        </w:rPr>
        <w:t>万家，虽然绝大多数企业的安全需求尚未释放出来，但不</w:t>
      </w:r>
      <w:r>
        <w:rPr>
          <w:spacing w:val="-59"/>
        </w:rPr>
        <w:t> </w:t>
      </w:r>
      <w:r>
        <w:rPr>
          <w:spacing w:val="-59"/>
        </w:rPr>
      </w:r>
      <w:r>
        <w:rPr>
          <w:spacing w:val="-2"/>
        </w:rPr>
        <w:t>乏一些成长性突出的企业率先成为市场消费者。随着我国中小企业的快速成长及其信息系统建设的加速，中小企业信息安全</w:t>
      </w:r>
      <w:r>
        <w:rPr>
          <w:spacing w:val="-63"/>
        </w:rPr>
        <w:t> </w:t>
      </w:r>
      <w:r>
        <w:rPr>
          <w:spacing w:val="-63"/>
        </w:rPr>
      </w:r>
      <w:r>
        <w:rPr/>
        <w:t>市场的市场容量非常巨大。</w:t>
      </w:r>
    </w:p>
    <w:p>
      <w:pPr>
        <w:pStyle w:val="BodyText"/>
        <w:spacing w:line="316" w:lineRule="auto" w:before="26"/>
        <w:ind w:right="150" w:firstLine="420"/>
        <w:jc w:val="both"/>
      </w:pPr>
      <w:r>
        <w:rPr/>
        <w:t>目前市场呈现以深信服、网康科技、杭州华三通信技术有限公司为一线品牌企业，任子行、网御神州等为二线品牌企 </w:t>
      </w:r>
      <w:r>
        <w:rPr>
          <w:spacing w:val="-2"/>
        </w:rPr>
        <w:t>业的竞争格局。目前各公司实力比较均衡，各有优势，但通用安全产品市场由于用户数量大、单笔采购额较小，各公司市场</w:t>
      </w:r>
      <w:r>
        <w:rPr>
          <w:spacing w:val="-67"/>
        </w:rPr>
        <w:t> </w:t>
      </w:r>
      <w:r>
        <w:rPr>
          <w:spacing w:val="-67"/>
        </w:rPr>
      </w:r>
      <w:r>
        <w:rPr>
          <w:spacing w:val="-2"/>
        </w:rPr>
        <w:t>份额的大小很大部分源于开拓市场的力度、营销策略及服务网络的建设程度，考虑到该市场当前的竞争格局趋于稳定，预计</w:t>
      </w:r>
      <w:r>
        <w:rPr>
          <w:spacing w:val="-63"/>
        </w:rPr>
        <w:t> </w:t>
      </w:r>
      <w:r>
        <w:rPr>
          <w:spacing w:val="-63"/>
        </w:rPr>
      </w:r>
      <w:r>
        <w:rPr/>
        <w:t>该市场未来几年将保持小幅增长。</w:t>
      </w:r>
    </w:p>
    <w:p>
      <w:pPr>
        <w:pStyle w:val="BodyText"/>
        <w:spacing w:line="300" w:lineRule="auto" w:before="19"/>
        <w:ind w:left="573" w:right="146"/>
        <w:jc w:val="left"/>
      </w:pPr>
      <w:r>
        <w:rPr>
          <w:rFonts w:ascii="Times New Roman" w:hAnsi="Times New Roman" w:cs="Times New Roman" w:eastAsia="Times New Roman" w:hint="default"/>
        </w:rPr>
        <w:t>3</w:t>
      </w:r>
      <w:r>
        <w:rPr/>
        <w:t>）网络安全产品市场 </w:t>
      </w:r>
      <w:r>
        <w:rPr>
          <w:spacing w:val="-1"/>
        </w:rPr>
        <w:t>近年来，我国</w:t>
      </w:r>
      <w:r>
        <w:rPr>
          <w:rFonts w:ascii="Times New Roman" w:hAnsi="Times New Roman" w:cs="Times New Roman" w:eastAsia="Times New Roman" w:hint="default"/>
          <w:spacing w:val="-1"/>
        </w:rPr>
        <w:t>UTM</w:t>
      </w:r>
      <w:r>
        <w:rPr>
          <w:spacing w:val="-1"/>
        </w:rPr>
        <w:t>（统一威胁管理）市场一直都保持着较快的增长，防火墙与</w:t>
      </w:r>
      <w:r>
        <w:rPr>
          <w:rFonts w:ascii="Times New Roman" w:hAnsi="Times New Roman" w:cs="Times New Roman" w:eastAsia="Times New Roman" w:hint="default"/>
          <w:spacing w:val="-1"/>
        </w:rPr>
        <w:t>UTM</w:t>
      </w:r>
      <w:r>
        <w:rPr>
          <w:spacing w:val="-1"/>
        </w:rPr>
        <w:t>产品已经占据了安全硬件产品市场</w:t>
      </w:r>
    </w:p>
    <w:p>
      <w:pPr>
        <w:pStyle w:val="BodyText"/>
        <w:spacing w:line="300" w:lineRule="auto" w:before="13"/>
        <w:ind w:right="0"/>
        <w:jc w:val="left"/>
      </w:pPr>
      <w:r>
        <w:rPr/>
        <w:t>份额的</w:t>
      </w:r>
      <w:r>
        <w:rPr>
          <w:rFonts w:ascii="Times New Roman" w:hAnsi="Times New Roman" w:cs="Times New Roman" w:eastAsia="Times New Roman" w:hint="default"/>
        </w:rPr>
        <w:t>70%</w:t>
      </w:r>
      <w:r>
        <w:rPr/>
        <w:t>，市场规模达上百亿元，并且</w:t>
      </w:r>
      <w:r>
        <w:rPr>
          <w:rFonts w:ascii="Times New Roman" w:hAnsi="Times New Roman" w:cs="Times New Roman" w:eastAsia="Times New Roman" w:hint="default"/>
        </w:rPr>
        <w:t>UTM</w:t>
      </w:r>
      <w:r>
        <w:rPr/>
        <w:t>产品的增长速度已经远远超过了防火墙类产品。随着中小企业用户需求的进 </w:t>
      </w:r>
      <w:r>
        <w:rPr>
          <w:spacing w:val="-1"/>
        </w:rPr>
        <w:t>一步增加以及大型企业需求进一步普及，根据</w:t>
      </w:r>
      <w:r>
        <w:rPr>
          <w:rFonts w:ascii="Times New Roman" w:hAnsi="Times New Roman" w:cs="Times New Roman" w:eastAsia="Times New Roman" w:hint="default"/>
          <w:spacing w:val="-1"/>
        </w:rPr>
        <w:t>CCID</w:t>
      </w:r>
      <w:r>
        <w:rPr>
          <w:spacing w:val="-1"/>
        </w:rPr>
        <w:t>预计，至</w:t>
      </w:r>
      <w:r>
        <w:rPr>
          <w:rFonts w:ascii="Times New Roman" w:hAnsi="Times New Roman" w:cs="Times New Roman" w:eastAsia="Times New Roman" w:hint="default"/>
          <w:spacing w:val="-1"/>
        </w:rPr>
        <w:t>2015</w:t>
      </w:r>
      <w:r>
        <w:rPr>
          <w:spacing w:val="-1"/>
        </w:rPr>
        <w:t>年，未来我国</w:t>
      </w:r>
      <w:r>
        <w:rPr>
          <w:rFonts w:ascii="Times New Roman" w:hAnsi="Times New Roman" w:cs="Times New Roman" w:eastAsia="Times New Roman" w:hint="default"/>
          <w:spacing w:val="-1"/>
        </w:rPr>
        <w:t>UTM</w:t>
      </w:r>
      <w:r>
        <w:rPr>
          <w:spacing w:val="-1"/>
        </w:rPr>
        <w:t>市场将继续保持快速增长，年复合增长</w:t>
      </w:r>
      <w:r>
        <w:rPr>
          <w:spacing w:val="-54"/>
        </w:rPr>
        <w:t> </w:t>
      </w:r>
      <w:r>
        <w:rPr>
          <w:spacing w:val="-54"/>
        </w:rPr>
      </w:r>
      <w:r>
        <w:rPr/>
        <w:t>率达到</w:t>
      </w:r>
      <w:r>
        <w:rPr>
          <w:rFonts w:ascii="Times New Roman" w:hAnsi="Times New Roman" w:cs="Times New Roman" w:eastAsia="Times New Roman" w:hint="default"/>
        </w:rPr>
        <w:t>23%</w:t>
      </w:r>
      <w:r>
        <w:rPr/>
        <w:t>以上。</w:t>
      </w:r>
    </w:p>
    <w:p>
      <w:pPr>
        <w:pStyle w:val="BodyText"/>
        <w:spacing w:line="240" w:lineRule="auto" w:before="13"/>
        <w:ind w:left="573" w:right="0"/>
        <w:jc w:val="left"/>
      </w:pPr>
      <w:r>
        <w:rPr>
          <w:rFonts w:ascii="Times New Roman" w:hAnsi="Times New Roman" w:cs="Times New Roman" w:eastAsia="Times New Roman" w:hint="default"/>
        </w:rPr>
        <w:t>2013</w:t>
      </w:r>
      <w:r>
        <w:rPr/>
        <w:t>年，任子行将发力网络安全产品市场，，推出以下一代防火墙和</w:t>
      </w:r>
      <w:r>
        <w:rPr>
          <w:rFonts w:ascii="Times New Roman" w:hAnsi="Times New Roman" w:cs="Times New Roman" w:eastAsia="Times New Roman" w:hint="default"/>
        </w:rPr>
        <w:t>UTM</w:t>
      </w:r>
      <w:r>
        <w:rPr/>
        <w:t>为代表的多款网络安全产品：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44"/>
        <w:ind w:left="0" w:right="350"/>
        <w:jc w:val="right"/>
      </w:pPr>
      <w:r>
        <w:rPr/>
        <w:pict>
          <v:shape style="position:absolute;margin-left:62.639984pt;margin-top:-117.868263pt;width:462.6pt;height:247.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5"/>
                    <w:gridCol w:w="7545"/>
                  </w:tblGrid>
                  <w:tr>
                    <w:trPr>
                      <w:trHeight w:val="427" w:hRule="exact"/>
                    </w:trPr>
                    <w:tc>
                      <w:tcPr>
                        <w:tcW w:w="16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490"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5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b/>
                            <w:bCs/>
                            <w:sz w:val="18"/>
                            <w:szCs w:val="18"/>
                          </w:rPr>
                          <w:t>用途及功能特点</w:t>
                        </w:r>
                        <w:r>
                          <w:rPr>
                            <w:rFonts w:ascii="宋体" w:hAnsi="宋体" w:cs="宋体" w:eastAsia="宋体" w:hint="default"/>
                            <w:sz w:val="18"/>
                            <w:szCs w:val="18"/>
                          </w:rPr>
                        </w:r>
                      </w:p>
                    </w:tc>
                  </w:tr>
                  <w:tr>
                    <w:trPr>
                      <w:trHeight w:val="970" w:hRule="exact"/>
                    </w:trPr>
                    <w:tc>
                      <w:tcPr>
                        <w:tcW w:w="16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下一代防火墙</w:t>
                        </w:r>
                      </w:p>
                    </w:tc>
                    <w:tc>
                      <w:tcPr>
                        <w:tcW w:w="7545"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8"/>
                          <w:ind w:left="2" w:right="8"/>
                          <w:jc w:val="both"/>
                          <w:rPr>
                            <w:rFonts w:ascii="宋体" w:hAnsi="宋体" w:cs="宋体" w:eastAsia="宋体" w:hint="default"/>
                            <w:sz w:val="18"/>
                            <w:szCs w:val="18"/>
                          </w:rPr>
                        </w:pPr>
                        <w:r>
                          <w:rPr>
                            <w:rFonts w:ascii="宋体" w:hAnsi="宋体" w:cs="宋体" w:eastAsia="宋体" w:hint="default"/>
                            <w:spacing w:val="-1"/>
                            <w:sz w:val="18"/>
                            <w:szCs w:val="18"/>
                          </w:rPr>
                          <w:t>该防火墙基于用户识别技术，将网络安全、应用安全、管理安全有机地融合在一起，具备完整安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全防护能力。采用的多核并行处理架构，在为用户提供多样功能同时，保证了设备的性能与稳定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性，可应用于面向政府、军工、军队、金融、能源、电信、教育、工业制造等行业。</w:t>
                        </w:r>
                      </w:p>
                    </w:tc>
                  </w:tr>
                  <w:tr>
                    <w:trPr>
                      <w:trHeight w:val="972" w:hRule="exact"/>
                    </w:trPr>
                    <w:tc>
                      <w:tcPr>
                        <w:tcW w:w="16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WEB</w:t>
                        </w:r>
                        <w:r>
                          <w:rPr>
                            <w:rFonts w:ascii="宋体" w:hAnsi="宋体" w:cs="宋体" w:eastAsia="宋体" w:hint="default"/>
                            <w:sz w:val="18"/>
                            <w:szCs w:val="18"/>
                          </w:rPr>
                          <w:t>应用防火墙</w:t>
                        </w:r>
                      </w:p>
                    </w:tc>
                    <w:tc>
                      <w:tcPr>
                        <w:tcW w:w="7545"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0"/>
                          <w:ind w:left="2" w:right="-26"/>
                          <w:jc w:val="both"/>
                          <w:rPr>
                            <w:rFonts w:ascii="宋体" w:hAnsi="宋体" w:cs="宋体" w:eastAsia="宋体" w:hint="default"/>
                            <w:sz w:val="18"/>
                            <w:szCs w:val="18"/>
                          </w:rPr>
                        </w:pPr>
                        <w:r>
                          <w:rPr>
                            <w:rFonts w:ascii="宋体" w:hAnsi="宋体" w:cs="宋体" w:eastAsia="宋体" w:hint="default"/>
                            <w:sz w:val="18"/>
                            <w:szCs w:val="18"/>
                          </w:rPr>
                          <w:t>作为网关设备，该防火墙的防护对象为</w:t>
                        </w:r>
                        <w:r>
                          <w:rPr>
                            <w:rFonts w:ascii="Times New Roman" w:hAnsi="Times New Roman" w:cs="Times New Roman" w:eastAsia="Times New Roman" w:hint="default"/>
                            <w:sz w:val="18"/>
                            <w:szCs w:val="18"/>
                          </w:rPr>
                          <w:t>Web</w:t>
                        </w:r>
                        <w:r>
                          <w:rPr>
                            <w:rFonts w:ascii="宋体" w:hAnsi="宋体" w:cs="宋体" w:eastAsia="宋体" w:hint="default"/>
                            <w:sz w:val="18"/>
                            <w:szCs w:val="18"/>
                          </w:rPr>
                          <w:t>、</w:t>
                        </w:r>
                        <w:r>
                          <w:rPr>
                            <w:rFonts w:ascii="Times New Roman" w:hAnsi="Times New Roman" w:cs="Times New Roman" w:eastAsia="Times New Roman" w:hint="default"/>
                            <w:sz w:val="18"/>
                            <w:szCs w:val="18"/>
                          </w:rPr>
                          <w:t>Webmail</w:t>
                        </w:r>
                        <w:r>
                          <w:rPr>
                            <w:rFonts w:ascii="宋体" w:hAnsi="宋体" w:cs="宋体" w:eastAsia="宋体" w:hint="default"/>
                            <w:sz w:val="18"/>
                            <w:szCs w:val="18"/>
                          </w:rPr>
                          <w:t>服务器，可针对安全事件发生时序进行安 全建模，分别针对安全漏洞、攻击手段及最终攻击结果进行扫描、防护及诊断，提供综合</w:t>
                        </w:r>
                        <w:r>
                          <w:rPr>
                            <w:rFonts w:ascii="Times New Roman" w:hAnsi="Times New Roman" w:cs="Times New Roman" w:eastAsia="Times New Roman" w:hint="default"/>
                            <w:sz w:val="18"/>
                            <w:szCs w:val="18"/>
                          </w:rPr>
                          <w:t>Web</w:t>
                        </w:r>
                        <w:r>
                          <w:rPr>
                            <w:rFonts w:ascii="宋体" w:hAnsi="宋体" w:cs="宋体" w:eastAsia="宋体" w:hint="default"/>
                            <w:sz w:val="18"/>
                            <w:szCs w:val="18"/>
                          </w:rPr>
                          <w:t>应 用安全解决方案，可应用于政府、军队、公安、税务、教育、电力、保险、金融、交通等行业。</w:t>
                        </w:r>
                      </w:p>
                    </w:tc>
                  </w:tr>
                  <w:tr>
                    <w:trPr>
                      <w:trHeight w:val="1284" w:hRule="exact"/>
                    </w:trPr>
                    <w:tc>
                      <w:tcPr>
                        <w:tcW w:w="16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下一代统一威胁管理</w:t>
                        </w:r>
                      </w:p>
                    </w:tc>
                    <w:tc>
                      <w:tcPr>
                        <w:tcW w:w="7545" w:type="dxa"/>
                        <w:tcBorders>
                          <w:top w:val="single" w:sz="6" w:space="0" w:color="000000"/>
                          <w:left w:val="single" w:sz="6" w:space="0" w:color="000000"/>
                          <w:bottom w:val="single" w:sz="6" w:space="0" w:color="000000"/>
                          <w:right w:val="nil" w:sz="6" w:space="0" w:color="auto"/>
                        </w:tcBorders>
                      </w:tcPr>
                      <w:p>
                        <w:pPr>
                          <w:pStyle w:val="TableParagraph"/>
                          <w:spacing w:line="312" w:lineRule="auto" w:before="17"/>
                          <w:ind w:left="2" w:right="-26"/>
                          <w:jc w:val="left"/>
                          <w:rPr>
                            <w:rFonts w:ascii="宋体" w:hAnsi="宋体" w:cs="宋体" w:eastAsia="宋体" w:hint="default"/>
                            <w:sz w:val="18"/>
                            <w:szCs w:val="18"/>
                          </w:rPr>
                        </w:pPr>
                        <w:r>
                          <w:rPr>
                            <w:rFonts w:ascii="宋体" w:hAnsi="宋体" w:cs="宋体" w:eastAsia="宋体" w:hint="default"/>
                            <w:spacing w:val="-4"/>
                            <w:sz w:val="18"/>
                            <w:szCs w:val="18"/>
                          </w:rPr>
                          <w:t>该产品基于下一代</w:t>
                        </w:r>
                        <w:r>
                          <w:rPr>
                            <w:rFonts w:ascii="Times New Roman" w:hAnsi="Times New Roman" w:cs="Times New Roman" w:eastAsia="Times New Roman" w:hint="default"/>
                            <w:spacing w:val="-4"/>
                            <w:sz w:val="18"/>
                            <w:szCs w:val="18"/>
                          </w:rPr>
                          <w:t>UTM</w:t>
                        </w:r>
                        <w:r>
                          <w:rPr>
                            <w:rFonts w:ascii="宋体" w:hAnsi="宋体" w:cs="宋体" w:eastAsia="宋体" w:hint="default"/>
                            <w:spacing w:val="-4"/>
                            <w:sz w:val="18"/>
                            <w:szCs w:val="18"/>
                          </w:rPr>
                          <w:t>的设计理念，独有的多核并行操作系统架构，具有状态检测防火墙、</w:t>
                        </w:r>
                        <w:r>
                          <w:rPr>
                            <w:rFonts w:ascii="Times New Roman" w:hAnsi="Times New Roman" w:cs="Times New Roman" w:eastAsia="Times New Roman" w:hint="default"/>
                            <w:spacing w:val="-4"/>
                            <w:sz w:val="18"/>
                            <w:szCs w:val="18"/>
                          </w:rPr>
                          <w:t>VPN</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z w:val="18"/>
                            <w:szCs w:val="18"/>
                          </w:rPr>
                          <w:t>防病毒、入侵防护、网页过滤、应用拦截、带宽管理、反垃圾邮件、日志审计等安全防护功能。 </w:t>
                        </w:r>
                        <w:r>
                          <w:rPr>
                            <w:rFonts w:ascii="宋体" w:hAnsi="宋体" w:cs="宋体" w:eastAsia="宋体" w:hint="default"/>
                            <w:spacing w:val="-1"/>
                            <w:sz w:val="18"/>
                            <w:szCs w:val="18"/>
                          </w:rPr>
                          <w:t>同时还支持多种部署方式，并具有强大的审计报表功能，可应用于政府、军队、教育、能源、金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融、运营商、医疗、企业等行业。</w:t>
                        </w:r>
                      </w:p>
                    </w:tc>
                  </w:tr>
                  <w:tr>
                    <w:trPr>
                      <w:trHeight w:val="1282" w:hRule="exact"/>
                    </w:trPr>
                    <w:tc>
                      <w:tcPr>
                        <w:tcW w:w="16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安全管理流控系统</w:t>
                        </w:r>
                      </w:p>
                    </w:tc>
                    <w:tc>
                      <w:tcPr>
                        <w:tcW w:w="7545" w:type="dxa"/>
                        <w:tcBorders>
                          <w:top w:val="single" w:sz="6" w:space="0" w:color="000000"/>
                          <w:left w:val="single" w:sz="6" w:space="0" w:color="000000"/>
                          <w:bottom w:val="single" w:sz="6" w:space="0" w:color="000000"/>
                          <w:right w:val="nil" w:sz="6" w:space="0" w:color="auto"/>
                        </w:tcBorders>
                      </w:tcPr>
                      <w:p>
                        <w:pPr>
                          <w:pStyle w:val="TableParagraph"/>
                          <w:spacing w:line="307" w:lineRule="auto" w:before="17"/>
                          <w:ind w:left="2" w:right="7"/>
                          <w:jc w:val="left"/>
                          <w:rPr>
                            <w:rFonts w:ascii="宋体" w:hAnsi="宋体" w:cs="宋体" w:eastAsia="宋体" w:hint="default"/>
                            <w:sz w:val="18"/>
                            <w:szCs w:val="18"/>
                          </w:rPr>
                        </w:pPr>
                        <w:r>
                          <w:rPr>
                            <w:rFonts w:ascii="宋体" w:hAnsi="宋体" w:cs="宋体" w:eastAsia="宋体" w:hint="default"/>
                            <w:spacing w:val="-1"/>
                            <w:sz w:val="18"/>
                            <w:szCs w:val="18"/>
                          </w:rPr>
                          <w:t>该产品属应用层网络增值设备，提供专业的流量分析控制、先进的上网行为管理和高效的防火墙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功能，以排除在不作控制的情况下，诸如多线程的下载、在线视频、在线游戏、</w:t>
                        </w:r>
                        <w:r>
                          <w:rPr>
                            <w:rFonts w:ascii="Times New Roman" w:hAnsi="Times New Roman" w:cs="Times New Roman" w:eastAsia="Times New Roman" w:hint="default"/>
                            <w:sz w:val="18"/>
                            <w:szCs w:val="18"/>
                          </w:rPr>
                          <w:t>P2P</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应用、蠕虫</w:t>
                        </w:r>
                        <w:r>
                          <w:rPr>
                            <w:rFonts w:ascii="宋体" w:hAnsi="宋体" w:cs="宋体" w:eastAsia="宋体" w:hint="default"/>
                            <w:sz w:val="18"/>
                            <w:szCs w:val="18"/>
                          </w:rPr>
                          <w:t> 病毒、以及 </w:t>
                        </w:r>
                        <w:r>
                          <w:rPr>
                            <w:rFonts w:ascii="Times New Roman" w:hAnsi="Times New Roman" w:cs="Times New Roman" w:eastAsia="Times New Roman" w:hint="default"/>
                            <w:sz w:val="18"/>
                            <w:szCs w:val="18"/>
                          </w:rPr>
                          <w:t>DoS/DDoS</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攻击等多种新型的流量导致网络资源大消耗，进而引发的安全性风险。 该系列产品适用于政府、金融、保险、酒店、中小型企业、教育等行业的网络环境。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00" w:lineRule="auto" w:before="44"/>
        <w:ind w:left="573" w:right="193" w:firstLine="72"/>
        <w:jc w:val="left"/>
      </w:pPr>
      <w:r>
        <w:rPr>
          <w:rFonts w:ascii="Times New Roman" w:hAnsi="Times New Roman" w:cs="Times New Roman" w:eastAsia="Times New Roman" w:hint="default"/>
        </w:rPr>
        <w:t>4</w:t>
      </w:r>
      <w:r>
        <w:rPr/>
        <w:t>）行业监管市场 随着互联网行业的飞速发展，网络上也充斥着各种</w:t>
      </w:r>
      <w:r>
        <w:rPr>
          <w:rFonts w:ascii="Times New Roman" w:hAnsi="Times New Roman" w:cs="Times New Roman" w:eastAsia="Times New Roman" w:hint="default"/>
        </w:rPr>
        <w:t>“</w:t>
      </w:r>
      <w:r>
        <w:rPr/>
        <w:t>不和谐</w:t>
      </w:r>
      <w:r>
        <w:rPr>
          <w:rFonts w:ascii="Times New Roman" w:hAnsi="Times New Roman" w:cs="Times New Roman" w:eastAsia="Times New Roman" w:hint="default"/>
        </w:rPr>
        <w:t>”</w:t>
      </w:r>
      <w:r>
        <w:rPr/>
        <w:t>现象。治理网络乱象将成为我国政府监管部门重要工作。</w:t>
      </w:r>
    </w:p>
    <w:p>
      <w:pPr>
        <w:pStyle w:val="BodyText"/>
        <w:spacing w:line="240" w:lineRule="auto" w:before="13"/>
        <w:ind w:right="0"/>
        <w:jc w:val="left"/>
      </w:pPr>
      <w:r>
        <w:rPr/>
        <w:t>我公司产品主要面临两个领域，一是广电音视频节目监管产品。未来</w:t>
      </w:r>
      <w:r>
        <w:rPr>
          <w:rFonts w:ascii="Times New Roman" w:hAnsi="Times New Roman" w:cs="Times New Roman" w:eastAsia="Times New Roman" w:hint="default"/>
        </w:rPr>
        <w:t>1-3</w:t>
      </w:r>
      <w:r>
        <w:rPr/>
        <w:t>年公司将针对已经相对成熟的互联网视音频监管平</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93"/>
        <w:jc w:val="both"/>
      </w:pPr>
      <w:r>
        <w:rPr>
          <w:spacing w:val="-2"/>
        </w:rPr>
        <w:t>台进行进一步的升级换代，提供更加稳定可靠、搜索结果更全面、发现更及时、定位更准确、甄别更智能、自动化程度更高</w:t>
      </w:r>
      <w:r>
        <w:rPr>
          <w:spacing w:val="-68"/>
        </w:rPr>
        <w:t> </w:t>
      </w:r>
      <w:r>
        <w:rPr>
          <w:spacing w:val="-68"/>
        </w:rPr>
      </w:r>
      <w:r>
        <w:rPr/>
        <w:t>的产品，在三网融合背景下，研发针对智能手机，</w:t>
      </w:r>
      <w:r>
        <w:rPr>
          <w:rFonts w:ascii="Times New Roman" w:hAnsi="Times New Roman" w:cs="Times New Roman" w:eastAsia="Times New Roman" w:hint="default"/>
        </w:rPr>
        <w:t>IPAD</w:t>
      </w:r>
      <w:r>
        <w:rPr/>
        <w:t>等平板电脑的音视频相关应用的监管产品。</w:t>
      </w:r>
    </w:p>
    <w:p>
      <w:pPr>
        <w:pStyle w:val="BodyText"/>
        <w:spacing w:line="309" w:lineRule="auto"/>
        <w:ind w:right="190" w:firstLine="420"/>
        <w:jc w:val="both"/>
      </w:pPr>
      <w:r>
        <w:rPr/>
        <w:t>二是针对互联网数据中心的监管产品。随着《互联网数据中心技术及分级分类标准》的制定，据工信部相关技术专家 预测，到</w:t>
      </w:r>
      <w:r>
        <w:rPr>
          <w:rFonts w:ascii="Times New Roman" w:hAnsi="Times New Roman" w:cs="Times New Roman" w:eastAsia="Times New Roman" w:hint="default"/>
        </w:rPr>
        <w:t>2015</w:t>
      </w:r>
      <w:r>
        <w:rPr/>
        <w:t>年互联网流量将比</w:t>
      </w:r>
      <w:r>
        <w:rPr>
          <w:rFonts w:ascii="Times New Roman" w:hAnsi="Times New Roman" w:cs="Times New Roman" w:eastAsia="Times New Roman" w:hint="default"/>
        </w:rPr>
        <w:t>2011</w:t>
      </w:r>
      <w:r>
        <w:rPr/>
        <w:t>年底增加</w:t>
      </w:r>
      <w:r>
        <w:rPr>
          <w:rFonts w:ascii="Times New Roman" w:hAnsi="Times New Roman" w:cs="Times New Roman" w:eastAsia="Times New Roman" w:hint="default"/>
        </w:rPr>
        <w:t>7-10</w:t>
      </w:r>
      <w:r>
        <w:rPr/>
        <w:t>倍，即截至</w:t>
      </w:r>
      <w:r>
        <w:rPr>
          <w:rFonts w:ascii="Times New Roman" w:hAnsi="Times New Roman" w:cs="Times New Roman" w:eastAsia="Times New Roman" w:hint="default"/>
        </w:rPr>
        <w:t>2015</w:t>
      </w:r>
      <w:r>
        <w:rPr/>
        <w:t>年，中国需要新增</w:t>
      </w:r>
      <w:r>
        <w:rPr>
          <w:rFonts w:ascii="Times New Roman" w:hAnsi="Times New Roman" w:cs="Times New Roman" w:eastAsia="Times New Roman" w:hint="default"/>
        </w:rPr>
        <w:t>160</w:t>
      </w:r>
      <w:r>
        <w:rPr/>
        <w:t>万台以上的服务器，互联网数据中 </w:t>
      </w:r>
      <w:r>
        <w:rPr>
          <w:spacing w:val="-2"/>
        </w:rPr>
        <w:t>心的容量也要增加一倍。相应的，监管部门需要使用更新的技术手段来保障相关监管措施的落实，已有监管系统也必然面临</w:t>
      </w:r>
      <w:r>
        <w:rPr>
          <w:spacing w:val="-63"/>
        </w:rPr>
        <w:t> </w:t>
      </w:r>
      <w:r>
        <w:rPr>
          <w:spacing w:val="-63"/>
        </w:rPr>
      </w:r>
      <w:r>
        <w:rPr/>
        <w:t>系统升级扩容。公司研发的</w:t>
      </w:r>
      <w:r>
        <w:rPr>
          <w:rFonts w:ascii="Times New Roman" w:hAnsi="Times New Roman" w:cs="Times New Roman" w:eastAsia="Times New Roman" w:hint="default"/>
        </w:rPr>
        <w:t>IDC</w:t>
      </w:r>
      <w:r>
        <w:rPr/>
        <w:t>信息安全审计管理系统等相关产品已在部分省份进行试点，公司预计未来</w:t>
      </w:r>
      <w:r>
        <w:rPr>
          <w:rFonts w:ascii="Times New Roman" w:hAnsi="Times New Roman" w:cs="Times New Roman" w:eastAsia="Times New Roman" w:hint="default"/>
        </w:rPr>
        <w:t>3</w:t>
      </w:r>
      <w:r>
        <w:rPr/>
        <w:t>年该市场将实现 快速增长，公司也将借助在该市场的先发优势迅速占领和扩大市场份额。</w:t>
      </w:r>
    </w:p>
    <w:p>
      <w:pPr>
        <w:pStyle w:val="BodyText"/>
        <w:spacing w:line="240" w:lineRule="auto" w:before="24"/>
        <w:ind w:left="573" w:right="98"/>
        <w:jc w:val="left"/>
      </w:pPr>
      <w:r>
        <w:rPr>
          <w:rFonts w:ascii="Times New Roman" w:hAnsi="Times New Roman" w:cs="Times New Roman" w:eastAsia="Times New Roman" w:hint="default"/>
        </w:rPr>
        <w:t>3</w:t>
      </w:r>
      <w:r>
        <w:rPr/>
        <w:t>、公司主要竞争优势</w:t>
      </w:r>
    </w:p>
    <w:p>
      <w:pPr>
        <w:pStyle w:val="BodyText"/>
        <w:spacing w:line="300" w:lineRule="auto" w:before="63"/>
        <w:ind w:left="573" w:right="213"/>
        <w:jc w:val="left"/>
      </w:pPr>
      <w:r>
        <w:rPr>
          <w:rFonts w:ascii="Times New Roman" w:hAnsi="Times New Roman" w:cs="Times New Roman" w:eastAsia="Times New Roman" w:hint="default"/>
        </w:rPr>
        <w:t>1</w:t>
      </w:r>
      <w:r>
        <w:rPr/>
        <w:t>）深厚的技术积累和产品质量优势 公司研发团队经过多年的技术积累，已在信息安全领域拥有多项核心技术和产品，截至目前，公司（不含子公司）共</w:t>
      </w:r>
    </w:p>
    <w:p>
      <w:pPr>
        <w:pStyle w:val="BodyText"/>
        <w:spacing w:line="300" w:lineRule="auto" w:before="31"/>
        <w:ind w:right="189"/>
        <w:jc w:val="both"/>
      </w:pPr>
      <w:r>
        <w:rPr/>
        <w:t>取得</w:t>
      </w:r>
      <w:r>
        <w:rPr>
          <w:rFonts w:ascii="Times New Roman" w:hAnsi="Times New Roman" w:cs="Times New Roman" w:eastAsia="Times New Roman" w:hint="default"/>
        </w:rPr>
        <w:t>6</w:t>
      </w:r>
      <w:r>
        <w:rPr/>
        <w:t>项专利、</w:t>
      </w:r>
      <w:r>
        <w:rPr>
          <w:rFonts w:ascii="Times New Roman" w:hAnsi="Times New Roman" w:cs="Times New Roman" w:eastAsia="Times New Roman" w:hint="default"/>
        </w:rPr>
        <w:t>34</w:t>
      </w:r>
      <w:r>
        <w:rPr/>
        <w:t>项计算机软件著作权和</w:t>
      </w:r>
      <w:r>
        <w:rPr>
          <w:rFonts w:ascii="Times New Roman" w:hAnsi="Times New Roman" w:cs="Times New Roman" w:eastAsia="Times New Roman" w:hint="default"/>
        </w:rPr>
        <w:t>22</w:t>
      </w:r>
      <w:r>
        <w:rPr/>
        <w:t>项软件产品登记证书。</w:t>
      </w:r>
      <w:r>
        <w:rPr>
          <w:rFonts w:ascii="Times New Roman" w:hAnsi="Times New Roman" w:cs="Times New Roman" w:eastAsia="Times New Roman" w:hint="default"/>
        </w:rPr>
        <w:t>2012</w:t>
      </w:r>
      <w:r>
        <w:rPr/>
        <w:t>年，公司产品首次走出国门，便实现出口额逾</w:t>
      </w:r>
      <w:r>
        <w:rPr>
          <w:rFonts w:ascii="Times New Roman" w:hAnsi="Times New Roman" w:cs="Times New Roman" w:eastAsia="Times New Roman" w:hint="default"/>
        </w:rPr>
        <w:t>3000</w:t>
      </w:r>
      <w:r>
        <w:rPr/>
        <w:t>万 </w:t>
      </w:r>
      <w:r>
        <w:rPr>
          <w:spacing w:val="-2"/>
        </w:rPr>
        <w:t>元，不断开拓的境外信息安全市场将为公司未来发展带来持续的增长空间。</w:t>
      </w:r>
      <w:r>
        <w:rPr>
          <w:rFonts w:ascii="Times New Roman" w:hAnsi="Times New Roman" w:cs="Times New Roman" w:eastAsia="Times New Roman" w:hint="default"/>
          <w:spacing w:val="-2"/>
        </w:rPr>
        <w:t>2012</w:t>
      </w:r>
      <w:r>
        <w:rPr>
          <w:spacing w:val="-2"/>
        </w:rPr>
        <w:t>年下半年，公司开始引进软件能力成熟度模</w:t>
      </w:r>
      <w:r>
        <w:rPr>
          <w:spacing w:val="-59"/>
        </w:rPr>
        <w:t> </w:t>
      </w:r>
      <w:r>
        <w:rPr>
          <w:spacing w:val="-59"/>
        </w:rPr>
      </w:r>
      <w:r>
        <w:rPr>
          <w:spacing w:val="-2"/>
        </w:rPr>
        <w:t>型（</w:t>
      </w:r>
      <w:r>
        <w:rPr>
          <w:rFonts w:ascii="Times New Roman" w:hAnsi="Times New Roman" w:cs="Times New Roman" w:eastAsia="Times New Roman" w:hint="default"/>
          <w:spacing w:val="-2"/>
        </w:rPr>
        <w:t>CMM3</w:t>
      </w:r>
      <w:r>
        <w:rPr>
          <w:spacing w:val="-2"/>
        </w:rPr>
        <w:t>）认证，通过不断地对公司软件开发和生产过程进行规范和改进，研发效率得到较大提升，这确保公司能够及时</w:t>
      </w:r>
      <w:r>
        <w:rPr>
          <w:spacing w:val="-57"/>
        </w:rPr>
        <w:t> </w:t>
      </w:r>
      <w:r>
        <w:rPr>
          <w:spacing w:val="-57"/>
        </w:rPr>
      </w:r>
      <w:r>
        <w:rPr/>
        <w:t>根据市场和用户需求，开发出高品质的软件产品。</w:t>
      </w:r>
    </w:p>
    <w:p>
      <w:pPr>
        <w:pStyle w:val="BodyText"/>
        <w:spacing w:line="300" w:lineRule="auto" w:before="31"/>
        <w:ind w:left="573" w:right="98"/>
        <w:jc w:val="left"/>
      </w:pPr>
      <w:r>
        <w:rPr>
          <w:rFonts w:ascii="Times New Roman" w:hAnsi="Times New Roman" w:cs="Times New Roman" w:eastAsia="Times New Roman" w:hint="default"/>
        </w:rPr>
        <w:t>2</w:t>
      </w:r>
      <w:r>
        <w:rPr/>
        <w:t>）市场及品牌知名度优势 </w:t>
      </w:r>
      <w:r>
        <w:rPr>
          <w:spacing w:val="-2"/>
        </w:rPr>
        <w:t>截至目前，本公司已与超过</w:t>
      </w:r>
      <w:r>
        <w:rPr>
          <w:rFonts w:ascii="Times New Roman" w:hAnsi="Times New Roman" w:cs="Times New Roman" w:eastAsia="Times New Roman" w:hint="default"/>
          <w:spacing w:val="-2"/>
        </w:rPr>
        <w:t>300</w:t>
      </w:r>
      <w:r>
        <w:rPr>
          <w:spacing w:val="-2"/>
        </w:rPr>
        <w:t>家经销商建立了良好的合作关系，并建立了北京、佛山、荆州、南京、贵阳、上海、哈</w:t>
      </w:r>
    </w:p>
    <w:p>
      <w:pPr>
        <w:pStyle w:val="BodyText"/>
        <w:spacing w:line="312" w:lineRule="auto" w:before="13"/>
        <w:ind w:right="94"/>
        <w:jc w:val="left"/>
      </w:pPr>
      <w:r>
        <w:rPr>
          <w:spacing w:val="-2"/>
        </w:rPr>
        <w:t>尔滨分公司，并在主要大中城市设置了营销网点和技术支持中心，可以为客户提供</w:t>
      </w:r>
      <w:r>
        <w:rPr>
          <w:rFonts w:ascii="Times New Roman" w:hAnsi="Times New Roman" w:cs="Times New Roman" w:eastAsia="Times New Roman" w:hint="default"/>
          <w:spacing w:val="-2"/>
        </w:rPr>
        <w:t>24</w:t>
      </w:r>
      <w:r>
        <w:rPr>
          <w:spacing w:val="-2"/>
        </w:rPr>
        <w:t>小时不间断服务，第一时间处理用户在</w:t>
      </w:r>
      <w:r>
        <w:rPr>
          <w:spacing w:val="-61"/>
        </w:rPr>
        <w:t> </w:t>
      </w:r>
      <w:r>
        <w:rPr>
          <w:spacing w:val="-61"/>
        </w:rPr>
      </w:r>
      <w:r>
        <w:rPr/>
        <w:t>使用产品过程中遇到的各种问题。信息安全产品的竞争很大程度是品牌和渠道的比拚，随着信息安全市场的竞争日益激烈，</w:t>
      </w:r>
      <w:r>
        <w:rPr>
          <w:spacing w:val="-86"/>
        </w:rPr>
        <w:t> </w:t>
      </w:r>
      <w:r>
        <w:rPr>
          <w:spacing w:val="-86"/>
        </w:rPr>
      </w:r>
      <w:r>
        <w:rPr>
          <w:spacing w:val="-2"/>
        </w:rPr>
        <w:t>各信息安全厂家将在品牌推广和渠道上投入更多的力量。作为信息安全行业少数的上市公司之一，凭借公司独特的资本市场</w:t>
      </w:r>
      <w:r>
        <w:rPr>
          <w:spacing w:val="-62"/>
        </w:rPr>
        <w:t> </w:t>
      </w:r>
      <w:r>
        <w:rPr>
          <w:spacing w:val="-62"/>
        </w:rPr>
      </w:r>
      <w:r>
        <w:rPr/>
        <w:t>优势和已经确立的较高品牌知名度，将使公司能够最大程度的分享未来行业的发展。</w:t>
      </w:r>
    </w:p>
    <w:p>
      <w:pPr>
        <w:pStyle w:val="BodyText"/>
        <w:spacing w:line="300" w:lineRule="auto" w:before="22"/>
        <w:ind w:left="573" w:right="213"/>
        <w:jc w:val="left"/>
      </w:pPr>
      <w:r>
        <w:rPr>
          <w:rFonts w:ascii="Times New Roman" w:hAnsi="Times New Roman" w:cs="Times New Roman" w:eastAsia="Times New Roman" w:hint="default"/>
        </w:rPr>
        <w:t>3</w:t>
      </w:r>
      <w:r>
        <w:rPr/>
        <w:t>）人才优势 公司拥有一支技术根底扎实、应用开发经验丰富的高素质信息安全技术研发队伍。核心管理团队更是对我国信息安全</w:t>
      </w:r>
    </w:p>
    <w:p>
      <w:pPr>
        <w:pStyle w:val="BodyText"/>
        <w:spacing w:line="316" w:lineRule="auto" w:before="31"/>
        <w:ind w:right="191"/>
        <w:jc w:val="both"/>
      </w:pPr>
      <w:r>
        <w:rPr>
          <w:spacing w:val="-2"/>
        </w:rPr>
        <w:t>技术市场有着深刻的认识和丰富的经验，对国际国内同行业的技术发展动态具有较强的敏锐性和前瞻性，能够准确地把握市</w:t>
      </w:r>
      <w:r>
        <w:rPr>
          <w:spacing w:val="-64"/>
        </w:rPr>
        <w:t> </w:t>
      </w:r>
      <w:r>
        <w:rPr>
          <w:spacing w:val="-64"/>
        </w:rPr>
      </w:r>
      <w:r>
        <w:rPr>
          <w:spacing w:val="-4"/>
        </w:rPr>
        <w:t>场需求、调整产品规划和设计思路。目前，公司在北京、深圳等建立了研究中心，截至报告期末，已拥有</w:t>
      </w:r>
      <w:r>
        <w:rPr>
          <w:rFonts w:ascii="Times New Roman" w:hAnsi="Times New Roman" w:cs="Times New Roman" w:eastAsia="Times New Roman" w:hint="default"/>
          <w:spacing w:val="-4"/>
        </w:rPr>
        <w:t>194</w:t>
      </w:r>
      <w:r>
        <w:rPr>
          <w:spacing w:val="-4"/>
        </w:rPr>
        <w:t>人的研发团队。</w:t>
      </w:r>
    </w:p>
    <w:p>
      <w:pPr>
        <w:pStyle w:val="BodyText"/>
        <w:spacing w:line="319" w:lineRule="auto"/>
        <w:ind w:left="573" w:right="253"/>
        <w:jc w:val="left"/>
      </w:pPr>
      <w:r>
        <w:rPr>
          <w:rFonts w:ascii="宋体" w:hAnsi="宋体" w:cs="宋体" w:eastAsia="宋体" w:hint="default"/>
          <w:b/>
          <w:bCs/>
        </w:rPr>
        <w:t>（二）公司发展战略</w:t>
      </w:r>
      <w:r>
        <w:rPr>
          <w:rFonts w:ascii="宋体" w:hAnsi="宋体" w:cs="宋体" w:eastAsia="宋体" w:hint="default"/>
          <w:b/>
          <w:bCs/>
          <w:w w:val="99"/>
        </w:rPr>
        <w:t> </w:t>
      </w:r>
      <w:r>
        <w:rPr/>
        <w:t>今后的三到五年，公司将秉承</w:t>
      </w:r>
      <w:r>
        <w:rPr>
          <w:rFonts w:ascii="Times New Roman" w:hAnsi="Times New Roman" w:cs="Times New Roman" w:eastAsia="Times New Roman" w:hint="default"/>
        </w:rPr>
        <w:t>“</w:t>
      </w:r>
      <w:r>
        <w:rPr/>
        <w:t>诚信、敬业、协同、创新</w:t>
      </w:r>
      <w:r>
        <w:rPr>
          <w:rFonts w:ascii="Times New Roman" w:hAnsi="Times New Roman" w:cs="Times New Roman" w:eastAsia="Times New Roman" w:hint="default"/>
        </w:rPr>
        <w:t>”</w:t>
      </w:r>
      <w:r>
        <w:rPr/>
        <w:t>的企业精神，公司将坚持</w:t>
      </w:r>
      <w:r>
        <w:rPr>
          <w:rFonts w:ascii="Times New Roman" w:hAnsi="Times New Roman" w:cs="Times New Roman" w:eastAsia="Times New Roman" w:hint="default"/>
        </w:rPr>
        <w:t>“</w:t>
      </w:r>
      <w:r>
        <w:rPr/>
        <w:t>以客户为中心，市场为导向</w:t>
      </w:r>
      <w:r>
        <w:rPr>
          <w:rFonts w:ascii="Times New Roman" w:hAnsi="Times New Roman" w:cs="Times New Roman" w:eastAsia="Times New Roman" w:hint="default"/>
        </w:rPr>
        <w:t>”</w:t>
      </w:r>
      <w:r>
        <w:rPr/>
        <w:t>的经</w:t>
      </w:r>
    </w:p>
    <w:p>
      <w:pPr>
        <w:pStyle w:val="BodyText"/>
        <w:spacing w:line="316" w:lineRule="auto"/>
        <w:ind w:right="191"/>
        <w:jc w:val="both"/>
      </w:pPr>
      <w:r>
        <w:rPr>
          <w:spacing w:val="-2"/>
        </w:rPr>
        <w:t>营理念，积极探索信息安全行业新的发展机会，持续扩大研发投入，丰富产品线，为用户提供从个人终端到互联网的网络审</w:t>
      </w:r>
      <w:r>
        <w:rPr>
          <w:spacing w:val="-64"/>
        </w:rPr>
        <w:t> </w:t>
      </w:r>
      <w:r>
        <w:rPr>
          <w:spacing w:val="-64"/>
        </w:rPr>
      </w:r>
      <w:r>
        <w:rPr>
          <w:spacing w:val="-2"/>
        </w:rPr>
        <w:t>计和安全的整体解决方案，为用户创造一个绿色、安全、高效的互联网环境，使公司逐步发展成为中国最卓越的网络应用审</w:t>
      </w:r>
      <w:r>
        <w:rPr>
          <w:spacing w:val="-64"/>
        </w:rPr>
        <w:t> </w:t>
      </w:r>
      <w:r>
        <w:rPr>
          <w:spacing w:val="-64"/>
        </w:rPr>
      </w:r>
      <w:r>
        <w:rPr/>
        <w:t>计专家。</w:t>
      </w:r>
    </w:p>
    <w:p>
      <w:pPr>
        <w:pStyle w:val="BodyText"/>
        <w:spacing w:line="316" w:lineRule="auto" w:before="19"/>
        <w:ind w:left="633" w:right="98" w:hanging="60"/>
        <w:jc w:val="left"/>
      </w:pPr>
      <w:r>
        <w:rPr>
          <w:rFonts w:ascii="宋体" w:hAnsi="宋体" w:cs="宋体" w:eastAsia="宋体" w:hint="default"/>
          <w:b/>
          <w:bCs/>
        </w:rPr>
        <w:t>（三）经营计划</w:t>
      </w:r>
      <w:r>
        <w:rPr>
          <w:rFonts w:ascii="宋体" w:hAnsi="宋体" w:cs="宋体" w:eastAsia="宋体" w:hint="default"/>
          <w:b/>
          <w:bCs/>
          <w:w w:val="99"/>
        </w:rPr>
        <w:t> </w:t>
      </w:r>
      <w:r>
        <w:rPr>
          <w:spacing w:val="-3"/>
        </w:rPr>
        <w:t>公司将积极利用上市带来的契机，抓住近几年国家不断加强互联网安全管理的契机，通过持续的研发投入和技术创新，</w:t>
      </w:r>
    </w:p>
    <w:p>
      <w:pPr>
        <w:pStyle w:val="BodyText"/>
        <w:spacing w:line="316" w:lineRule="auto" w:before="19"/>
        <w:ind w:right="193"/>
        <w:jc w:val="both"/>
      </w:pPr>
      <w:r>
        <w:rPr>
          <w:spacing w:val="-2"/>
        </w:rPr>
        <w:t>开发深入贴近用户需求的产品和服务，创新经营模式，健全市场营销网络体系，巩固和扩大公司在网络内容与行为审计和监</w:t>
      </w:r>
      <w:r>
        <w:rPr>
          <w:spacing w:val="-66"/>
        </w:rPr>
        <w:t> </w:t>
      </w:r>
      <w:r>
        <w:rPr>
          <w:spacing w:val="-66"/>
        </w:rPr>
      </w:r>
      <w:r>
        <w:rPr/>
        <w:t>管市场的领先地位，打造中国网络应用审计第一品牌。根据这一整体目标，公司未来</w:t>
      </w:r>
      <w:r>
        <w:rPr>
          <w:rFonts w:ascii="Times New Roman" w:hAnsi="Times New Roman" w:cs="Times New Roman" w:eastAsia="Times New Roman" w:hint="default"/>
        </w:rPr>
        <w:t>1-3</w:t>
      </w:r>
      <w:r>
        <w:rPr/>
        <w:t>年主要经营目标如下：</w:t>
      </w:r>
    </w:p>
    <w:p>
      <w:pPr>
        <w:pStyle w:val="BodyText"/>
        <w:spacing w:line="240" w:lineRule="auto" w:before="119"/>
        <w:ind w:left="633" w:right="98"/>
        <w:jc w:val="left"/>
      </w:pPr>
      <w:r>
        <w:rPr>
          <w:rFonts w:ascii="Times New Roman" w:hAnsi="Times New Roman" w:cs="Times New Roman" w:eastAsia="Times New Roman" w:hint="default"/>
        </w:rPr>
        <w:t>1</w:t>
      </w:r>
      <w:r>
        <w:rPr/>
        <w:t>、营销体系建设计划</w:t>
      </w:r>
    </w:p>
    <w:p>
      <w:pPr>
        <w:spacing w:line="240" w:lineRule="auto" w:before="13"/>
        <w:rPr>
          <w:rFonts w:ascii="宋体" w:hAnsi="宋体" w:cs="宋体" w:eastAsia="宋体" w:hint="default"/>
          <w:sz w:val="13"/>
          <w:szCs w:val="13"/>
        </w:rPr>
      </w:pPr>
    </w:p>
    <w:p>
      <w:pPr>
        <w:pStyle w:val="BodyText"/>
        <w:spacing w:line="316" w:lineRule="auto"/>
        <w:ind w:right="191" w:firstLine="480"/>
        <w:jc w:val="both"/>
      </w:pPr>
      <w:r>
        <w:rPr>
          <w:spacing w:val="-1"/>
        </w:rPr>
        <w:t>目前公司已经形成了覆盖大多数省会和发达城市的销售网络，公司计划在此基础上为每个销售大区配置完备的营销和</w:t>
      </w:r>
      <w:r>
        <w:rPr/>
        <w:t> </w:t>
      </w:r>
      <w:r>
        <w:rPr>
          <w:spacing w:val="-2"/>
        </w:rPr>
        <w:t>服务体系，并进一步提高现有人员的素质，并根据业务开展需要进一步加强重点区域销售和技术服务人员的配置。同时，在</w:t>
      </w:r>
      <w:r>
        <w:rPr>
          <w:spacing w:val="-64"/>
        </w:rPr>
        <w:t> </w:t>
      </w:r>
      <w:r>
        <w:rPr>
          <w:spacing w:val="-64"/>
        </w:rPr>
      </w:r>
      <w:r>
        <w:rPr/>
        <w:t>公司目前销售比较薄弱的区域建立销售队伍，为业务拓展打下基础，创造更多的业务机会。</w:t>
      </w:r>
    </w:p>
    <w:p>
      <w:pPr>
        <w:pStyle w:val="BodyText"/>
        <w:spacing w:line="415" w:lineRule="auto" w:before="139"/>
        <w:ind w:left="633" w:right="98"/>
        <w:jc w:val="left"/>
      </w:pPr>
      <w:r>
        <w:rPr>
          <w:rFonts w:ascii="Times New Roman" w:hAnsi="Times New Roman" w:cs="Times New Roman" w:eastAsia="Times New Roman" w:hint="default"/>
        </w:rPr>
        <w:t>2</w:t>
      </w:r>
      <w:r>
        <w:rPr/>
        <w:t>、服务体系建设计划 </w:t>
      </w:r>
      <w:r>
        <w:rPr>
          <w:spacing w:val="-1"/>
        </w:rPr>
        <w:t>为了更好的为客户提供优质的产品服务，公司计划进一步加强产品服务体系建设，具体包括产品售前咨询，产品售后</w:t>
      </w:r>
    </w:p>
    <w:p>
      <w:pPr>
        <w:pStyle w:val="BodyText"/>
        <w:spacing w:line="194" w:lineRule="exact"/>
        <w:ind w:right="0"/>
        <w:jc w:val="both"/>
      </w:pPr>
      <w:r>
        <w:rPr/>
        <w:t>服务支持。</w:t>
      </w:r>
      <w:r>
        <w:rPr>
          <w:rFonts w:ascii="Times New Roman" w:hAnsi="Times New Roman" w:cs="Times New Roman" w:eastAsia="Times New Roman" w:hint="default"/>
        </w:rPr>
        <w:t>2013</w:t>
      </w:r>
      <w:r>
        <w:rPr/>
        <w:t>年，公司将继续完善</w:t>
      </w:r>
      <w:r>
        <w:rPr>
          <w:rFonts w:ascii="Times New Roman" w:hAnsi="Times New Roman" w:cs="Times New Roman" w:eastAsia="Times New Roman" w:hint="default"/>
        </w:rPr>
        <w:t>400</w:t>
      </w:r>
      <w:r>
        <w:rPr/>
        <w:t>服务体系，通过产品安装后的跟踪回访以及定期的产品满意度调查，确保每个用户</w:t>
      </w:r>
    </w:p>
    <w:p>
      <w:pPr>
        <w:pStyle w:val="BodyText"/>
        <w:spacing w:line="316" w:lineRule="auto" w:before="63"/>
        <w:ind w:right="191"/>
        <w:jc w:val="both"/>
      </w:pPr>
      <w:r>
        <w:rPr>
          <w:spacing w:val="-2"/>
        </w:rPr>
        <w:t>的使用感受都能反馈到公司。同时，针对公司各大区产品售前，公司将在各产品线建立产品培训体系，定期为市场提供产品</w:t>
      </w:r>
      <w:r>
        <w:rPr>
          <w:spacing w:val="-65"/>
        </w:rPr>
        <w:t> </w:t>
      </w:r>
      <w:r>
        <w:rPr>
          <w:spacing w:val="-65"/>
        </w:rPr>
      </w:r>
      <w:r>
        <w:rPr/>
        <w:t>解决方案培训，确保一线销售及产品售前及时准确的掌握公司产品动态发展，为客户提供专业的产品咨询和方案建议。</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417" w:lineRule="auto" w:before="44"/>
        <w:ind w:left="633" w:right="1773"/>
        <w:jc w:val="left"/>
      </w:pPr>
      <w:r>
        <w:rPr>
          <w:rFonts w:ascii="Times New Roman" w:hAnsi="Times New Roman" w:cs="Times New Roman" w:eastAsia="Times New Roman" w:hint="default"/>
        </w:rPr>
        <w:t>3</w:t>
      </w:r>
      <w:r>
        <w:rPr/>
        <w:t>、重点产品研发规划 公司将重点在专用审计，通用审计，行业监管等产品方面上进行重点研发，具体包括以下方面：</w:t>
      </w:r>
    </w:p>
    <w:p>
      <w:pPr>
        <w:pStyle w:val="BodyText"/>
        <w:spacing w:line="312" w:lineRule="auto" w:before="63"/>
        <w:ind w:right="191" w:firstLine="480"/>
        <w:jc w:val="both"/>
      </w:pPr>
      <w:r>
        <w:rPr/>
        <w:t>（</w:t>
      </w:r>
      <w:r>
        <w:rPr>
          <w:rFonts w:ascii="Times New Roman" w:hAnsi="Times New Roman" w:cs="Times New Roman" w:eastAsia="Times New Roman" w:hint="default"/>
        </w:rPr>
        <w:t>1</w:t>
      </w:r>
      <w:r>
        <w:rPr/>
        <w:t>）针对专用审计产品，深入挖掘网吧市场的潜力，改变以往单一的实名认证收入模式，丰富在网吧的运营模式。 </w:t>
      </w:r>
      <w:r>
        <w:rPr>
          <w:spacing w:val="-2"/>
        </w:rPr>
        <w:t>在网吧行业持续萎缩的背景下，通过增加新的产品，为网吧提供增值服务类的产品，如为网吧提供带有网络应用加速的审计</w:t>
      </w:r>
      <w:r>
        <w:rPr>
          <w:spacing w:val="-66"/>
        </w:rPr>
        <w:t> </w:t>
      </w:r>
      <w:r>
        <w:rPr>
          <w:spacing w:val="-66"/>
        </w:rPr>
      </w:r>
      <w:r>
        <w:rPr>
          <w:spacing w:val="-2"/>
        </w:rPr>
        <w:t>产品，帮助网吧节约网络带宽投入；为网吧业主提供安全可靠的在线支付服务，给网吧业主增加新的收入来源，给网吧网民</w:t>
      </w:r>
      <w:r>
        <w:rPr>
          <w:spacing w:val="-65"/>
        </w:rPr>
        <w:t> </w:t>
      </w:r>
      <w:r>
        <w:rPr>
          <w:spacing w:val="-65"/>
        </w:rPr>
      </w:r>
      <w:r>
        <w:rPr/>
        <w:t>提供可靠的网络支付手段。</w:t>
      </w:r>
    </w:p>
    <w:p>
      <w:pPr>
        <w:pStyle w:val="BodyText"/>
        <w:spacing w:line="300" w:lineRule="auto" w:before="142"/>
        <w:ind w:right="189" w:firstLine="480"/>
        <w:jc w:val="both"/>
      </w:pPr>
      <w:r>
        <w:rPr>
          <w:spacing w:val="-1"/>
        </w:rPr>
        <w:t>针对公共上网场所，根据公共上网场所的上网特点，如通过</w:t>
      </w:r>
      <w:r>
        <w:rPr>
          <w:rFonts w:ascii="Times New Roman" w:hAnsi="Times New Roman" w:cs="Times New Roman" w:eastAsia="Times New Roman" w:hint="default"/>
          <w:spacing w:val="-1"/>
        </w:rPr>
        <w:t>WIFI</w:t>
      </w:r>
      <w:r>
        <w:rPr>
          <w:spacing w:val="-1"/>
        </w:rPr>
        <w:t>上网的移动设备（智能手机，平板电脑）占比高的特</w:t>
      </w:r>
      <w:r>
        <w:rPr>
          <w:w w:val="99"/>
        </w:rPr>
        <w:t> </w:t>
      </w:r>
      <w:r>
        <w:rPr/>
        <w:t>点，公司将在</w:t>
      </w:r>
      <w:r>
        <w:rPr>
          <w:rFonts w:ascii="Times New Roman" w:hAnsi="Times New Roman" w:cs="Times New Roman" w:eastAsia="Times New Roman" w:hint="default"/>
        </w:rPr>
        <w:t>2013</w:t>
      </w:r>
      <w:r>
        <w:rPr/>
        <w:t>年重点推出针对无线及小场所的审计产品，具备</w:t>
      </w:r>
      <w:r>
        <w:rPr>
          <w:rFonts w:ascii="Times New Roman" w:hAnsi="Times New Roman" w:cs="Times New Roman" w:eastAsia="Times New Roman" w:hint="default"/>
        </w:rPr>
        <w:t>WIFI</w:t>
      </w:r>
      <w:r>
        <w:rPr/>
        <w:t>接入，路由管理，安全管理，云中心统一管理的高</w:t>
      </w:r>
      <w:r>
        <w:rPr>
          <w:spacing w:val="-35"/>
        </w:rPr>
        <w:t> </w:t>
      </w:r>
      <w:r>
        <w:rPr>
          <w:spacing w:val="-35"/>
        </w:rPr>
      </w:r>
      <w:r>
        <w:rPr/>
        <w:t>可靠，低成本产品，并在未来三年保持每年</w:t>
      </w:r>
      <w:r>
        <w:rPr>
          <w:rFonts w:ascii="Times New Roman" w:hAnsi="Times New Roman" w:cs="Times New Roman" w:eastAsia="Times New Roman" w:hint="default"/>
        </w:rPr>
        <w:t>30%</w:t>
      </w:r>
      <w:r>
        <w:rPr/>
        <w:t>以上的市场增长。</w:t>
      </w:r>
    </w:p>
    <w:p>
      <w:pPr>
        <w:pStyle w:val="BodyText"/>
        <w:spacing w:line="240" w:lineRule="auto" w:before="133"/>
        <w:ind w:left="633" w:right="98"/>
        <w:jc w:val="left"/>
      </w:pPr>
      <w:r>
        <w:rPr/>
        <w:t>（</w:t>
      </w:r>
      <w:r>
        <w:rPr>
          <w:rFonts w:ascii="Times New Roman" w:hAnsi="Times New Roman" w:cs="Times New Roman" w:eastAsia="Times New Roman" w:hint="default"/>
        </w:rPr>
        <w:t>2</w:t>
      </w:r>
      <w:r>
        <w:rPr/>
        <w:t>）针对通用审计产品。</w:t>
      </w:r>
    </w:p>
    <w:p>
      <w:pPr>
        <w:spacing w:line="240" w:lineRule="auto" w:before="13"/>
        <w:rPr>
          <w:rFonts w:ascii="宋体" w:hAnsi="宋体" w:cs="宋体" w:eastAsia="宋体" w:hint="default"/>
          <w:sz w:val="13"/>
          <w:szCs w:val="13"/>
        </w:rPr>
      </w:pPr>
    </w:p>
    <w:p>
      <w:pPr>
        <w:pStyle w:val="BodyText"/>
        <w:spacing w:line="300" w:lineRule="auto"/>
        <w:ind w:right="191" w:firstLine="480"/>
        <w:jc w:val="both"/>
      </w:pPr>
      <w:r>
        <w:rPr/>
        <w:t>在通用市场，公司的策略重点是丰富产品线。在未来</w:t>
      </w:r>
      <w:r>
        <w:rPr>
          <w:rFonts w:ascii="Times New Roman" w:hAnsi="Times New Roman" w:cs="Times New Roman" w:eastAsia="Times New Roman" w:hint="default"/>
        </w:rPr>
        <w:t>1-2</w:t>
      </w:r>
      <w:r>
        <w:rPr/>
        <w:t>年内，公司计划研发包括下一代防火墙（</w:t>
      </w:r>
      <w:r>
        <w:rPr>
          <w:rFonts w:ascii="Times New Roman" w:hAnsi="Times New Roman" w:cs="Times New Roman" w:eastAsia="Times New Roman" w:hint="default"/>
        </w:rPr>
        <w:t>NGFW</w:t>
      </w:r>
      <w:r>
        <w:rPr/>
        <w:t>），</w:t>
      </w:r>
      <w:r>
        <w:rPr>
          <w:rFonts w:ascii="Times New Roman" w:hAnsi="Times New Roman" w:cs="Times New Roman" w:eastAsia="Times New Roman" w:hint="default"/>
        </w:rPr>
        <w:t>WEB</w:t>
      </w:r>
      <w:r>
        <w:rPr/>
        <w:t>应 用防火墙，下一代统一威胁管理系统（</w:t>
      </w:r>
      <w:r>
        <w:rPr>
          <w:rFonts w:ascii="Times New Roman" w:hAnsi="Times New Roman" w:cs="Times New Roman" w:eastAsia="Times New Roman" w:hint="default"/>
        </w:rPr>
        <w:t>UTM</w:t>
      </w:r>
      <w:r>
        <w:rPr/>
        <w:t>），数据库审计产品，运维审计安全管理系统（堡垒机），未来三年，公司计</w:t>
      </w:r>
      <w:r>
        <w:rPr>
          <w:spacing w:val="-43"/>
        </w:rPr>
        <w:t> </w:t>
      </w:r>
      <w:r>
        <w:rPr>
          <w:spacing w:val="-43"/>
        </w:rPr>
      </w:r>
      <w:r>
        <w:rPr/>
        <w:t>划每年推出至少两款产品，并力争保持通用审计产品收入年均</w:t>
      </w:r>
      <w:r>
        <w:rPr>
          <w:rFonts w:ascii="Times New Roman" w:hAnsi="Times New Roman" w:cs="Times New Roman" w:eastAsia="Times New Roman" w:hint="default"/>
        </w:rPr>
        <w:t>30%</w:t>
      </w:r>
      <w:r>
        <w:rPr/>
        <w:t>的增幅。</w:t>
      </w:r>
    </w:p>
    <w:p>
      <w:pPr>
        <w:pStyle w:val="BodyText"/>
        <w:spacing w:line="415" w:lineRule="auto" w:before="133"/>
        <w:ind w:left="633" w:right="98"/>
        <w:jc w:val="left"/>
      </w:pPr>
      <w:r>
        <w:rPr/>
        <w:t>（</w:t>
      </w:r>
      <w:r>
        <w:rPr>
          <w:rFonts w:ascii="Times New Roman" w:hAnsi="Times New Roman" w:cs="Times New Roman" w:eastAsia="Times New Roman" w:hint="default"/>
        </w:rPr>
        <w:t>3</w:t>
      </w:r>
      <w:r>
        <w:rPr/>
        <w:t>）针对行业监管产品。 </w:t>
      </w:r>
      <w:r>
        <w:rPr>
          <w:spacing w:val="-1"/>
        </w:rPr>
        <w:t>公司一直积极参与互联网数据中心监管相关行业标准以及对应产品的研发，在行业内具有较好的品牌优势，公司计划</w:t>
      </w:r>
    </w:p>
    <w:p>
      <w:pPr>
        <w:pStyle w:val="BodyText"/>
        <w:spacing w:line="194" w:lineRule="exact"/>
        <w:ind w:right="0"/>
        <w:jc w:val="both"/>
      </w:pPr>
      <w:r>
        <w:rPr/>
        <w:t>在</w:t>
      </w:r>
      <w:r>
        <w:rPr>
          <w:rFonts w:ascii="Times New Roman" w:hAnsi="Times New Roman" w:cs="Times New Roman" w:eastAsia="Times New Roman" w:hint="default"/>
        </w:rPr>
        <w:t>2013</w:t>
      </w:r>
      <w:r>
        <w:rPr/>
        <w:t>年优先参与建设政府监管侧相关系统，如互联网综合管理平台，域名备案管理系统，系统将会重点整合数据分析挖掘</w:t>
      </w:r>
    </w:p>
    <w:p>
      <w:pPr>
        <w:pStyle w:val="BodyText"/>
        <w:spacing w:line="316" w:lineRule="auto" w:before="63"/>
        <w:ind w:right="195"/>
        <w:jc w:val="both"/>
      </w:pPr>
      <w:r>
        <w:rPr>
          <w:spacing w:val="-2"/>
        </w:rPr>
        <w:t>技术，特定网站分析技术，帮助监管部门建立起完备的互联网监管体系，并以此为契机，拓展运营商侧的相关市场，在产品</w:t>
      </w:r>
      <w:r>
        <w:rPr>
          <w:spacing w:val="-67"/>
        </w:rPr>
        <w:t> </w:t>
      </w:r>
      <w:r>
        <w:rPr>
          <w:spacing w:val="-67"/>
        </w:rPr>
      </w:r>
      <w:r>
        <w:rPr>
          <w:spacing w:val="-2"/>
        </w:rPr>
        <w:t>策略上，除满足政府监管标准外，将重点为运营商提供相关增值服务，例如，网站安全检测，数据中心安全防护等服务。公</w:t>
      </w:r>
      <w:r>
        <w:rPr>
          <w:spacing w:val="-70"/>
        </w:rPr>
        <w:t> </w:t>
      </w:r>
      <w:r>
        <w:rPr>
          <w:spacing w:val="-70"/>
        </w:rPr>
      </w:r>
      <w:r>
        <w:rPr/>
        <w:t>司预计，围绕着互联网数据中心的监管产品在未来三年将至少拥有</w:t>
      </w:r>
      <w:r>
        <w:rPr>
          <w:rFonts w:ascii="Times New Roman" w:hAnsi="Times New Roman" w:cs="Times New Roman" w:eastAsia="Times New Roman" w:hint="default"/>
        </w:rPr>
        <w:t>4.5</w:t>
      </w:r>
      <w:r>
        <w:rPr/>
        <w:t>亿的市场容量，公司力争在该市场取得</w:t>
      </w:r>
      <w:r>
        <w:rPr>
          <w:rFonts w:ascii="Times New Roman" w:hAnsi="Times New Roman" w:cs="Times New Roman" w:eastAsia="Times New Roman" w:hint="default"/>
        </w:rPr>
        <w:t>30%</w:t>
      </w:r>
      <w:r>
        <w:rPr/>
        <w:t>的份额。</w:t>
      </w:r>
    </w:p>
    <w:p>
      <w:pPr>
        <w:pStyle w:val="BodyText"/>
        <w:spacing w:line="319" w:lineRule="auto" w:before="119"/>
        <w:ind w:right="98" w:firstLine="480"/>
        <w:jc w:val="left"/>
      </w:pPr>
      <w:r>
        <w:rPr/>
        <w:t>在三网融合的宏观背景下，电信运营商、移动运营商、广电部门对多媒体数字内容，尤其是视音频内容在各自网络平 </w:t>
      </w:r>
      <w:r>
        <w:rPr>
          <w:spacing w:val="-4"/>
        </w:rPr>
        <w:t>台上监管需求不断加大，同时各网络平台间对不良数字内容的发现与监管也被重点关注。三网融合后信息传播载体范围扩大，</w:t>
      </w:r>
      <w:r>
        <w:rPr>
          <w:spacing w:val="-44"/>
        </w:rPr>
        <w:t> </w:t>
      </w:r>
      <w:r>
        <w:rPr>
          <w:spacing w:val="-44"/>
        </w:rPr>
      </w:r>
      <w:r>
        <w:rPr>
          <w:spacing w:val="-2"/>
        </w:rPr>
        <w:t>要求国家监管部门对互联网内容的监管重心从单一互联网平台向融合后的综合网络平台延伸。因此，面向视音频监管，首要</w:t>
      </w:r>
      <w:r>
        <w:rPr>
          <w:spacing w:val="-66"/>
        </w:rPr>
        <w:t> </w:t>
      </w:r>
      <w:r>
        <w:rPr>
          <w:spacing w:val="-66"/>
        </w:rPr>
      </w:r>
      <w:r>
        <w:rPr>
          <w:spacing w:val="-2"/>
        </w:rPr>
        <w:t>是将已经相对成熟的互联网音视频综合管理平台进一步升级换代，提供更加稳定，发现及时，定位准确的产品，其次，是研</w:t>
      </w:r>
      <w:r>
        <w:rPr>
          <w:spacing w:val="-65"/>
        </w:rPr>
        <w:t> </w:t>
      </w:r>
      <w:r>
        <w:rPr>
          <w:spacing w:val="-65"/>
        </w:rPr>
      </w:r>
      <w:r>
        <w:rPr/>
        <w:t>发针对智能手机，平板电脑在内的音视频监管产品。</w:t>
      </w:r>
    </w:p>
    <w:p>
      <w:pPr>
        <w:pStyle w:val="BodyText"/>
        <w:spacing w:line="432" w:lineRule="exact" w:before="1"/>
        <w:ind w:left="633" w:right="98"/>
        <w:jc w:val="left"/>
      </w:pPr>
      <w:r>
        <w:rPr>
          <w:rFonts w:ascii="Times New Roman" w:hAnsi="Times New Roman" w:cs="Times New Roman" w:eastAsia="Times New Roman" w:hint="default"/>
        </w:rPr>
        <w:t>4</w:t>
      </w:r>
      <w:r>
        <w:rPr/>
        <w:t>、产品质量体系建设计划 公司已经在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月份在研发体系启动</w:t>
      </w:r>
      <w:r>
        <w:rPr>
          <w:rFonts w:ascii="Times New Roman" w:hAnsi="Times New Roman" w:cs="Times New Roman" w:eastAsia="Times New Roman" w:hint="default"/>
        </w:rPr>
        <w:t>CMMI</w:t>
      </w:r>
      <w:r>
        <w:rPr/>
        <w:t>三级认证，公司计划在未来</w:t>
      </w:r>
      <w:r>
        <w:rPr>
          <w:rFonts w:ascii="Times New Roman" w:hAnsi="Times New Roman" w:cs="Times New Roman" w:eastAsia="Times New Roman" w:hint="default"/>
        </w:rPr>
        <w:t>2</w:t>
      </w:r>
      <w:r>
        <w:rPr/>
        <w:t>年内将持续落实</w:t>
      </w:r>
      <w:r>
        <w:rPr>
          <w:rFonts w:ascii="Times New Roman" w:hAnsi="Times New Roman" w:cs="Times New Roman" w:eastAsia="Times New Roman" w:hint="default"/>
        </w:rPr>
        <w:t>CMMI</w:t>
      </w:r>
      <w:r>
        <w:rPr/>
        <w:t>管理体系建设，通</w:t>
      </w:r>
    </w:p>
    <w:p>
      <w:pPr>
        <w:pStyle w:val="BodyText"/>
        <w:spacing w:line="316" w:lineRule="auto" w:before="15"/>
        <w:ind w:right="191"/>
        <w:jc w:val="both"/>
      </w:pPr>
      <w:r>
        <w:rPr>
          <w:spacing w:val="-2"/>
        </w:rPr>
        <w:t>过研发流程的梳理，达到缩短产品上市周期，提高产品质量竞争力，建立持续稳定的研发管理改进机制，推动公司所有产品</w:t>
      </w:r>
      <w:r>
        <w:rPr>
          <w:spacing w:val="-65"/>
        </w:rPr>
        <w:t> </w:t>
      </w:r>
      <w:r>
        <w:rPr>
          <w:spacing w:val="-65"/>
        </w:rPr>
      </w:r>
      <w:r>
        <w:rPr/>
        <w:t>研发单元</w:t>
      </w:r>
      <w:r>
        <w:rPr>
          <w:rFonts w:ascii="Times New Roman" w:hAnsi="Times New Roman" w:cs="Times New Roman" w:eastAsia="Times New Roman" w:hint="default"/>
        </w:rPr>
        <w:t>100%</w:t>
      </w:r>
      <w:r>
        <w:rPr/>
        <w:t>达到稳定的</w:t>
      </w:r>
      <w:r>
        <w:rPr>
          <w:rFonts w:ascii="Times New Roman" w:hAnsi="Times New Roman" w:cs="Times New Roman" w:eastAsia="Times New Roman" w:hint="default"/>
        </w:rPr>
        <w:t>CMMI</w:t>
      </w:r>
      <w:r>
        <w:rPr/>
        <w:t>三级标准，为未来更加激烈的产品竞争修炼好内功。</w:t>
      </w:r>
    </w:p>
    <w:p>
      <w:pPr>
        <w:pStyle w:val="BodyText"/>
        <w:spacing w:line="240" w:lineRule="auto" w:before="119"/>
        <w:ind w:left="633" w:right="98"/>
        <w:jc w:val="left"/>
      </w:pPr>
      <w:r>
        <w:rPr>
          <w:rFonts w:ascii="Times New Roman" w:hAnsi="Times New Roman" w:cs="Times New Roman" w:eastAsia="Times New Roman" w:hint="default"/>
        </w:rPr>
        <w:t>5</w:t>
      </w:r>
      <w:r>
        <w:rPr/>
        <w:t>、加强投资管理，提升公司投资企业的盈利能力</w:t>
      </w:r>
    </w:p>
    <w:p>
      <w:pPr>
        <w:spacing w:line="240" w:lineRule="auto" w:before="13"/>
        <w:rPr>
          <w:rFonts w:ascii="宋体" w:hAnsi="宋体" w:cs="宋体" w:eastAsia="宋体" w:hint="default"/>
          <w:sz w:val="13"/>
          <w:szCs w:val="13"/>
        </w:rPr>
      </w:pPr>
    </w:p>
    <w:p>
      <w:pPr>
        <w:pStyle w:val="BodyText"/>
        <w:spacing w:line="316" w:lineRule="auto"/>
        <w:ind w:right="191" w:firstLine="480"/>
        <w:jc w:val="both"/>
      </w:pPr>
      <w:r>
        <w:rPr>
          <w:spacing w:val="-1"/>
        </w:rPr>
        <w:t>公司计划在</w:t>
      </w:r>
      <w:r>
        <w:rPr>
          <w:rFonts w:ascii="宋体" w:hAnsi="宋体" w:cs="宋体" w:eastAsia="宋体" w:hint="default"/>
          <w:spacing w:val="-1"/>
        </w:rPr>
        <w:t>2013</w:t>
      </w:r>
      <w:r>
        <w:rPr>
          <w:spacing w:val="-1"/>
        </w:rPr>
        <w:t>年成立投资管理部门，以加强公司投资购并的战略研究和具体执行操作方面的工作。公司通过</w:t>
      </w:r>
      <w:r>
        <w:rPr>
          <w:rFonts w:ascii="宋体" w:hAnsi="宋体" w:cs="宋体" w:eastAsia="宋体" w:hint="default"/>
          <w:spacing w:val="-1"/>
        </w:rPr>
        <w:t>2012</w:t>
      </w:r>
      <w:r>
        <w:rPr>
          <w:spacing w:val="-1"/>
        </w:rPr>
        <w:t>年</w:t>
      </w:r>
      <w:r>
        <w:rPr/>
        <w:t> </w:t>
      </w:r>
      <w:r>
        <w:rPr>
          <w:spacing w:val="-2"/>
        </w:rPr>
        <w:t>的投资实践，公司积累了些投资经验，同时根据现在的投资情况，迫切需要加强对投资公司的监管和指导，切实提升投资公</w:t>
      </w:r>
      <w:r>
        <w:rPr>
          <w:spacing w:val="-65"/>
        </w:rPr>
        <w:t> </w:t>
      </w:r>
      <w:r>
        <w:rPr>
          <w:spacing w:val="-65"/>
        </w:rPr>
      </w:r>
      <w:r>
        <w:rPr/>
        <w:t>司的盈利能力，同时加强投资战略的规划。</w:t>
      </w:r>
    </w:p>
    <w:p>
      <w:pPr>
        <w:pStyle w:val="BodyText"/>
        <w:spacing w:line="319" w:lineRule="auto" w:before="139"/>
        <w:ind w:right="109" w:firstLine="480"/>
        <w:jc w:val="both"/>
      </w:pPr>
      <w:r>
        <w:rPr/>
        <w:t>特别提示：上述计划仅为公司制定的经营发展目标，不代表公司盈利预测，该计划不构成公司对投资者的实质承诺， 能否实现取决于市场状况变化、经营团队的努力程度等多种因素，存在较大不确定性，请投资者注意投资风险。</w:t>
      </w:r>
    </w:p>
    <w:p>
      <w:pPr>
        <w:spacing w:before="137"/>
        <w:ind w:left="573" w:right="98" w:firstLine="0"/>
        <w:jc w:val="left"/>
        <w:rPr>
          <w:rFonts w:ascii="宋体" w:hAnsi="宋体" w:cs="宋体" w:eastAsia="宋体" w:hint="default"/>
          <w:sz w:val="18"/>
          <w:szCs w:val="18"/>
        </w:rPr>
      </w:pPr>
      <w:r>
        <w:rPr>
          <w:rFonts w:ascii="宋体" w:hAnsi="宋体" w:cs="宋体" w:eastAsia="宋体" w:hint="default"/>
          <w:b/>
          <w:bCs/>
          <w:sz w:val="18"/>
          <w:szCs w:val="18"/>
        </w:rPr>
        <w:t>（四）可能面对的风险</w:t>
      </w:r>
      <w:r>
        <w:rPr>
          <w:rFonts w:ascii="宋体" w:hAnsi="宋体" w:cs="宋体" w:eastAsia="宋体" w:hint="default"/>
          <w:sz w:val="18"/>
          <w:szCs w:val="18"/>
        </w:rPr>
      </w:r>
    </w:p>
    <w:p>
      <w:pPr>
        <w:pStyle w:val="BodyText"/>
        <w:spacing w:line="300" w:lineRule="auto" w:before="76"/>
        <w:ind w:left="573" w:right="213"/>
        <w:jc w:val="left"/>
      </w:pPr>
      <w:r>
        <w:rPr>
          <w:rFonts w:ascii="Times New Roman" w:hAnsi="Times New Roman" w:cs="Times New Roman" w:eastAsia="Times New Roman" w:hint="default"/>
        </w:rPr>
        <w:t>1</w:t>
      </w:r>
      <w:r>
        <w:rPr/>
        <w:t>、市场竞争风险 近些年来，我国信息安全行业得到了快速发展，但行业规模还比较小，产业链上的各类厂商还处在发展初期，产品的</w:t>
      </w:r>
    </w:p>
    <w:p>
      <w:pPr>
        <w:pStyle w:val="BodyText"/>
        <w:spacing w:line="316" w:lineRule="auto" w:before="31"/>
        <w:ind w:right="193"/>
        <w:jc w:val="both"/>
      </w:pPr>
      <w:r>
        <w:rPr>
          <w:spacing w:val="-2"/>
        </w:rPr>
        <w:t>竞争力还需要不断的提升。此外，新技术、新应用使得产业边界不断扩大，行业潜在竞争者逐步增多，平台软件厂商、互联</w:t>
      </w:r>
      <w:r>
        <w:rPr>
          <w:spacing w:val="-68"/>
        </w:rPr>
        <w:t> </w:t>
      </w:r>
      <w:r>
        <w:rPr>
          <w:spacing w:val="-68"/>
        </w:rPr>
      </w:r>
      <w:r>
        <w:rPr/>
        <w:t>网厂商、存储和网络设备厂商等纷纷加大对安全市场的投入，业内现有厂商面临着更严峻的竞争格局。</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73" w:right="223"/>
        <w:jc w:val="left"/>
      </w:pPr>
      <w:r>
        <w:rPr>
          <w:rFonts w:ascii="Times New Roman" w:hAnsi="Times New Roman" w:cs="Times New Roman" w:eastAsia="Times New Roman" w:hint="default"/>
        </w:rPr>
        <w:t>2</w:t>
      </w:r>
      <w:r>
        <w:rPr/>
        <w:t>、技术进步带来的创新风险 </w:t>
      </w:r>
      <w:r>
        <w:rPr>
          <w:rFonts w:ascii="Times New Roman" w:hAnsi="Times New Roman" w:cs="Times New Roman" w:eastAsia="Times New Roman" w:hint="default"/>
        </w:rPr>
        <w:t>IT</w:t>
      </w:r>
      <w:r>
        <w:rPr/>
        <w:t>环境日趋复杂和新技术的不断涌现对信息安全提出了更高的要求。云计算、物联网、移动互联网等的不断涌现，使</w:t>
      </w:r>
    </w:p>
    <w:p>
      <w:pPr>
        <w:pStyle w:val="BodyText"/>
        <w:spacing w:line="316" w:lineRule="auto" w:before="13"/>
        <w:ind w:right="94"/>
        <w:jc w:val="left"/>
      </w:pPr>
      <w:r>
        <w:rPr>
          <w:spacing w:val="-2"/>
        </w:rPr>
        <w:t>得信息的获取方式、存储形态、传输渠道和处理方式都发生了变化。用户的爆炸性增长、数据的快速膨胀不断增加了信息安</w:t>
      </w:r>
      <w:r>
        <w:rPr>
          <w:spacing w:val="-64"/>
        </w:rPr>
        <w:t> </w:t>
      </w:r>
      <w:r>
        <w:rPr>
          <w:spacing w:val="-64"/>
        </w:rPr>
      </w:r>
      <w:r>
        <w:rPr/>
        <w:t>全保护的难度，也要求信息安全产品具备更高的性能、更丰富的功能和更高的智能化。信息安全产品的形态不断发生变化，</w:t>
      </w:r>
      <w:r>
        <w:rPr>
          <w:spacing w:val="-86"/>
        </w:rPr>
        <w:t> </w:t>
      </w:r>
      <w:r>
        <w:rPr>
          <w:spacing w:val="-86"/>
        </w:rPr>
      </w:r>
      <w:r>
        <w:rPr>
          <w:spacing w:val="-2"/>
        </w:rPr>
        <w:t>信息安全产品和设备之间加快融合，都带来了信息安全产业的重大变革。如果公司不能准确把握技术、产品及市场的发展趋</w:t>
      </w:r>
      <w:r>
        <w:rPr>
          <w:spacing w:val="-63"/>
        </w:rPr>
        <w:t> </w:t>
      </w:r>
      <w:r>
        <w:rPr>
          <w:spacing w:val="-63"/>
        </w:rPr>
      </w:r>
      <w:r>
        <w:rPr/>
        <w:t>势，及时调整新技术和新产品的开发方向，并研发出符合市场需求的新产品；将导致公司丧失技术和市场优势。</w:t>
      </w:r>
    </w:p>
    <w:p>
      <w:pPr>
        <w:pStyle w:val="BodyText"/>
        <w:spacing w:line="300" w:lineRule="auto" w:before="19"/>
        <w:ind w:left="573" w:right="213"/>
        <w:jc w:val="left"/>
      </w:pPr>
      <w:r>
        <w:rPr>
          <w:rFonts w:ascii="Times New Roman" w:hAnsi="Times New Roman" w:cs="Times New Roman" w:eastAsia="Times New Roman" w:hint="default"/>
        </w:rPr>
        <w:t>3</w:t>
      </w:r>
      <w:r>
        <w:rPr/>
        <w:t>、公司快速发展引致的管理及经营风险 随着公司主营业务不断拓展和经营规模的扩大，尤其是随着募集资金的到位和投资项目陆续实施完成，公司总体经营</w:t>
      </w:r>
    </w:p>
    <w:p>
      <w:pPr>
        <w:pStyle w:val="BodyText"/>
        <w:spacing w:line="316" w:lineRule="auto" w:before="31"/>
        <w:ind w:right="98"/>
        <w:jc w:val="left"/>
      </w:pPr>
      <w:r>
        <w:rPr>
          <w:spacing w:val="-2"/>
        </w:rPr>
        <w:t>规模将进一步扩大。这将对公司在战略规划、组织机构、内部控制、运营管理、财务管理等方面提出更高要求。如果公司管</w:t>
      </w:r>
      <w:r>
        <w:rPr>
          <w:spacing w:val="-68"/>
        </w:rPr>
        <w:t> </w:t>
      </w:r>
      <w:r>
        <w:rPr>
          <w:spacing w:val="-68"/>
        </w:rPr>
      </w:r>
      <w:r>
        <w:rPr/>
        <w:t>理层不能结合公司实际情况适时调整和优化管理体系，将可能影响公司的长远发展。</w:t>
      </w:r>
    </w:p>
    <w:p>
      <w:pPr>
        <w:pStyle w:val="BodyText"/>
        <w:spacing w:line="324" w:lineRule="auto" w:before="19"/>
        <w:ind w:right="98" w:firstLine="420"/>
        <w:jc w:val="left"/>
      </w:pPr>
      <w:r>
        <w:rPr>
          <w:rFonts w:ascii="Times New Roman" w:hAnsi="Times New Roman" w:cs="Times New Roman" w:eastAsia="Times New Roman" w:hint="default"/>
        </w:rPr>
        <w:t>4</w:t>
      </w:r>
      <w:r>
        <w:rPr/>
        <w:t>、固定资产折旧、摊销费用增加影响未来经营成果的风险 </w:t>
      </w:r>
      <w:r>
        <w:rPr>
          <w:spacing w:val="-2"/>
        </w:rPr>
        <w:t>随着募集资金项目建成投产后陆续产生效益，公司销售收入和盈利水平将大幅提高，新增折旧、摊销费用所增加的生产成本</w:t>
      </w:r>
      <w:r>
        <w:rPr>
          <w:spacing w:val="-62"/>
        </w:rPr>
        <w:t> </w:t>
      </w:r>
      <w:r>
        <w:rPr>
          <w:spacing w:val="-62"/>
        </w:rPr>
      </w:r>
      <w:r>
        <w:rPr>
          <w:spacing w:val="-2"/>
        </w:rPr>
        <w:t>将会被募集资金投资项目新增的销售收入消化。虽然公司在对项目进行可行性研究时，已经充分考虑了折旧、摊销费用等因</w:t>
      </w:r>
      <w:r>
        <w:rPr>
          <w:spacing w:val="-63"/>
        </w:rPr>
        <w:t> </w:t>
      </w:r>
      <w:r>
        <w:rPr>
          <w:spacing w:val="-63"/>
        </w:rPr>
      </w:r>
      <w:r>
        <w:rPr>
          <w:spacing w:val="-2"/>
        </w:rPr>
        <w:t>素，但如果募投项目完成后，不能如期产生效益或实际收益低于盈亏平衡点的收益，则新增的折旧、摊销费用将对公司的经</w:t>
      </w:r>
      <w:r>
        <w:rPr>
          <w:spacing w:val="-64"/>
        </w:rPr>
        <w:t> </w:t>
      </w:r>
      <w:r>
        <w:rPr>
          <w:spacing w:val="-64"/>
        </w:rPr>
      </w:r>
      <w:r>
        <w:rPr/>
        <w:t>营业绩造成不利影响。</w:t>
      </w:r>
    </w:p>
    <w:p>
      <w:pPr>
        <w:spacing w:line="240" w:lineRule="auto" w:before="3"/>
        <w:rPr>
          <w:rFonts w:ascii="宋体" w:hAnsi="宋体" w:cs="宋体" w:eastAsia="宋体" w:hint="default"/>
          <w:sz w:val="20"/>
          <w:szCs w:val="20"/>
        </w:rPr>
      </w:pPr>
    </w:p>
    <w:p>
      <w:pPr>
        <w:pStyle w:val="Heading2"/>
        <w:spacing w:line="240" w:lineRule="auto"/>
        <w:ind w:right="98"/>
        <w:jc w:val="left"/>
        <w:rPr>
          <w:b w:val="0"/>
          <w:bCs w:val="0"/>
        </w:rPr>
      </w:pPr>
      <w:r>
        <w:rPr/>
        <w:t>四、公司利润分配及分红派息情况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
        <w:jc w:val="left"/>
      </w:pPr>
      <w:r>
        <w:rPr/>
        <w:t>报告期内利润分配政策特别是现金分红政策的制定、执行或调整情况</w:t>
      </w:r>
    </w:p>
    <w:p>
      <w:pPr>
        <w:pStyle w:val="BodyText"/>
        <w:spacing w:line="240" w:lineRule="auto" w:before="117"/>
        <w:ind w:right="9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0"/>
        </w:rPr>
        <w:t> </w:t>
      </w:r>
      <w:r>
        <w:rPr/>
        <w:t>现金分红政策的制定情况</w:t>
      </w:r>
    </w:p>
    <w:p>
      <w:pPr>
        <w:pStyle w:val="BodyText"/>
        <w:spacing w:line="307" w:lineRule="auto" w:before="63"/>
        <w:ind w:right="98"/>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公司章程有关现金分红的规定 </w:t>
      </w:r>
      <w:r>
        <w:rPr>
          <w:spacing w:val="-2"/>
        </w:rPr>
        <w:t>为了进一步明晰利润分配政策，</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日，公司第一届董事会第十二次会议审议并通过了关于公司修订《任子行网络</w:t>
      </w:r>
      <w:r>
        <w:rPr>
          <w:spacing w:val="-60"/>
        </w:rPr>
        <w:t> </w:t>
      </w:r>
      <w:r>
        <w:rPr>
          <w:spacing w:val="-60"/>
        </w:rPr>
      </w:r>
      <w:r>
        <w:rPr>
          <w:spacing w:val="-2"/>
        </w:rPr>
        <w:t>技术股份有限公司章程（草案）》有关利润分配政策规定的议案，对《任子行网络技术股份有限公司章程（草案）》第一百</w:t>
      </w:r>
      <w:r>
        <w:rPr>
          <w:spacing w:val="-65"/>
        </w:rPr>
        <w:t> </w:t>
      </w:r>
      <w:r>
        <w:rPr>
          <w:spacing w:val="-65"/>
        </w:rPr>
      </w:r>
      <w:r>
        <w:rPr/>
        <w:t>五十七条内容修订如下：</w:t>
      </w:r>
    </w:p>
    <w:p>
      <w:pPr>
        <w:pStyle w:val="BodyText"/>
        <w:tabs>
          <w:tab w:pos="7992" w:val="left" w:leader="none"/>
          <w:tab w:pos="9533" w:val="left" w:leader="none"/>
        </w:tabs>
        <w:spacing w:line="316" w:lineRule="auto" w:before="26"/>
        <w:ind w:right="107"/>
        <w:jc w:val="left"/>
      </w:pPr>
      <w:r>
        <w:rPr/>
        <w:t>第一百五十七条</w:t>
      </w:r>
      <w:r>
        <w:rPr>
          <w:spacing w:val="26"/>
        </w:rPr>
        <w:t> </w:t>
      </w:r>
      <w:r>
        <w:rPr/>
        <w:t>公司实行持续、稳定的利润分配政策，公司的利润分配应当重视对投资者的合理投资回报并兼顾公司的可</w:t>
      </w:r>
      <w:r>
        <w:rPr/>
        <w:t> 持续发展。 </w:t>
      </w:r>
      <w:r>
        <w:rPr>
          <w:spacing w:val="-2"/>
        </w:rPr>
        <w:t>公司采取积极的现金或者股票方式分配股利，在公司当年经审计的净利润为正数的情况下，公司每年度采取的利润分配方式</w:t>
      </w:r>
      <w:r>
        <w:rPr>
          <w:spacing w:val="-64"/>
        </w:rPr>
        <w:t> </w:t>
      </w:r>
      <w:r>
        <w:rPr>
          <w:spacing w:val="-64"/>
        </w:rPr>
      </w:r>
      <w:r>
        <w:rPr>
          <w:spacing w:val="-2"/>
        </w:rPr>
        <w:t>中必须含有现金分配方式。公司每年度现金分红金额应不低于当年实现的可供分配利润（不含年初未分配利润）的百分之二</w:t>
      </w:r>
      <w:r>
        <w:rPr>
          <w:spacing w:val="-63"/>
        </w:rPr>
        <w:t> </w:t>
      </w:r>
      <w:r>
        <w:rPr>
          <w:spacing w:val="-63"/>
        </w:rPr>
      </w:r>
      <w:r>
        <w:rPr>
          <w:spacing w:val="-2"/>
        </w:rPr>
        <w:t>十。在有条件的情况下，公司可以进行中期现金分红。若公司营收增长迅速，并且董事会认为公司股票价格与公司股本规模</w:t>
      </w:r>
      <w:r>
        <w:rPr>
          <w:spacing w:val="-64"/>
        </w:rPr>
        <w:t> </w:t>
      </w:r>
      <w:r>
        <w:rPr>
          <w:spacing w:val="-64"/>
        </w:rPr>
      </w:r>
      <w:r>
        <w:rPr/>
        <w:t>不匹配时，可以在满足上述现金股利分配的同时，制定股票股利分配预案。 公司当年未分配利润将用于生产经营或者留待以后年度进行分配。 每个会计年度结束后，由公司董事会提出利润分配方案。公司董事会在利润分配方案论证过程中，需与独立董事充分讨论，</w:t>
      </w:r>
      <w:r>
        <w:rPr>
          <w:spacing w:val="-86"/>
        </w:rPr>
        <w:t> </w:t>
      </w:r>
      <w:r>
        <w:rPr>
          <w:spacing w:val="-86"/>
        </w:rPr>
      </w:r>
      <w:r>
        <w:rPr>
          <w:spacing w:val="-5"/>
        </w:rPr>
        <w:t>在考虑对全体股东持续、稳定、科学的回报基础上，形成利润分配预案。公司独立董事和监事会应对利润分配预案进行审核。</w:t>
      </w:r>
      <w:r>
        <w:rPr>
          <w:spacing w:val="-78"/>
        </w:rPr>
        <w:t> </w:t>
      </w:r>
      <w:r>
        <w:rPr>
          <w:spacing w:val="-78"/>
        </w:rPr>
      </w:r>
      <w:r>
        <w:rPr>
          <w:spacing w:val="-2"/>
        </w:rPr>
        <w:t>公司独立董事和监事会未对利润分配预案提出异议的，利润分配预案将提交公司董事会审议，经全体董事过半数以上表决通</w:t>
      </w:r>
      <w:r>
        <w:rPr>
          <w:spacing w:val="-63"/>
        </w:rPr>
        <w:t> </w:t>
      </w:r>
      <w:r>
        <w:rPr>
          <w:spacing w:val="-63"/>
        </w:rPr>
      </w:r>
      <w:r>
        <w:rPr>
          <w:spacing w:val="-2"/>
        </w:rPr>
        <w:t>过后提交股东大会审议，相关提案应当由出席股东大会的股东（包括股东代理人）所持表决权的二分之一以上表决通过。公</w:t>
      </w:r>
      <w:r>
        <w:rPr>
          <w:spacing w:val="-66"/>
        </w:rPr>
        <w:t> </w:t>
      </w:r>
      <w:r>
        <w:rPr>
          <w:spacing w:val="-66"/>
        </w:rPr>
      </w:r>
      <w:r>
        <w:rPr/>
        <w:t>司股东大会对利润分配方案作出决议后，公司董事会须在股东大会召开后</w:t>
      </w:r>
      <w:r>
        <w:rPr>
          <w:rFonts w:ascii="Times New Roman" w:hAnsi="Times New Roman" w:cs="Times New Roman" w:eastAsia="Times New Roman" w:hint="default"/>
        </w:rPr>
        <w:t>2</w:t>
      </w:r>
      <w:r>
        <w:rPr/>
        <w:t>个月内完成股利（或股份）的派发事项。</w:t>
        <w:tab/>
        <w:t>如 </w:t>
      </w:r>
      <w:r>
        <w:rPr>
          <w:spacing w:val="-2"/>
        </w:rPr>
        <w:t>公司董事会决定不实施利润分配，或利润分配方案中不含现金分配方式的，应在定期报告中披露不实施利润分配或利润分配</w:t>
      </w:r>
      <w:r>
        <w:rPr>
          <w:spacing w:val="-64"/>
        </w:rPr>
        <w:t> </w:t>
      </w:r>
      <w:r>
        <w:rPr>
          <w:spacing w:val="-64"/>
        </w:rPr>
      </w:r>
      <w:r>
        <w:rPr>
          <w:spacing w:val="-1"/>
        </w:rPr>
        <w:t>方案中不含现金分配方式的理由以及留存资金的具体用途，公司独立董事应对此发表独立意见。</w:t>
        <w:tab/>
      </w:r>
      <w:r>
        <w:rPr/>
        <w:t>公司的利润分配政策不</w:t>
      </w:r>
      <w:r>
        <w:rPr/>
        <w:t> </w:t>
      </w:r>
      <w:r>
        <w:rPr>
          <w:spacing w:val="-2"/>
        </w:rPr>
        <w:t>得随意变更。如现行政策与公司生产经营情况、投资规划和长期发展的需要确实发生冲突的，可以调整利润分配政策。调整</w:t>
      </w:r>
      <w:r>
        <w:rPr>
          <w:spacing w:val="-64"/>
        </w:rPr>
        <w:t> </w:t>
      </w:r>
      <w:r>
        <w:rPr>
          <w:spacing w:val="-64"/>
        </w:rPr>
      </w:r>
      <w:r>
        <w:rPr>
          <w:spacing w:val="-2"/>
        </w:rPr>
        <w:t>后的利润分配政策不得违反中国证监会和证券交易所的有关规定。调整利润分配政策的相关议案需分别经监事会和二分之一</w:t>
      </w:r>
      <w:r>
        <w:rPr>
          <w:spacing w:val="-64"/>
        </w:rPr>
        <w:t> </w:t>
      </w:r>
      <w:r>
        <w:rPr>
          <w:spacing w:val="-64"/>
        </w:rPr>
      </w:r>
      <w:r>
        <w:rPr/>
        <w:t>以上独立董事同意后提交董事会、股东大会批准，提交股东大会的相关提案中应详细说明修改利润分配政策的原因。</w:t>
      </w:r>
    </w:p>
    <w:p>
      <w:pPr>
        <w:pStyle w:val="BodyText"/>
        <w:spacing w:line="300" w:lineRule="auto" w:before="19"/>
        <w:ind w:right="3694"/>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分红回报计划 经公司第一届董事会第十二次会议审议通过，公司未来的分红回报规划如下：</w:t>
      </w:r>
    </w:p>
    <w:p>
      <w:pPr>
        <w:pStyle w:val="BodyText"/>
        <w:spacing w:line="240" w:lineRule="auto" w:before="31"/>
        <w:ind w:right="98"/>
        <w:jc w:val="left"/>
      </w:pPr>
      <w:r>
        <w:rPr/>
        <w:t>（</w:t>
      </w:r>
      <w:r>
        <w:rPr>
          <w:rFonts w:ascii="Times New Roman" w:hAnsi="Times New Roman" w:cs="Times New Roman" w:eastAsia="Times New Roman" w:hint="default"/>
        </w:rPr>
        <w:t>1</w:t>
      </w:r>
      <w:r>
        <w:rPr/>
        <w:t>）、公司股东回报规划制定原则</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8"/>
        <w:jc w:val="left"/>
      </w:pPr>
      <w:r>
        <w:rPr>
          <w:spacing w:val="-2"/>
        </w:rPr>
        <w:t>公司股东回报规划充分考虑和听取独立董事、股东特别是中小股东的意愿和要求，实行持续、稳定的现金股利和股票股利相</w:t>
      </w:r>
      <w:r>
        <w:rPr>
          <w:spacing w:val="-62"/>
        </w:rPr>
        <w:t> </w:t>
      </w:r>
      <w:r>
        <w:rPr>
          <w:spacing w:val="-62"/>
        </w:rPr>
      </w:r>
      <w:r>
        <w:rPr/>
        <w:t>结合的利润分配政策，并兼顾公司的可持续发展。</w:t>
      </w:r>
    </w:p>
    <w:p>
      <w:pPr>
        <w:pStyle w:val="BodyText"/>
        <w:spacing w:line="312" w:lineRule="auto" w:before="17"/>
        <w:ind w:right="94"/>
        <w:jc w:val="left"/>
      </w:pPr>
      <w:r>
        <w:rPr/>
        <w:t>（</w:t>
      </w:r>
      <w:r>
        <w:rPr>
          <w:rFonts w:ascii="Times New Roman" w:hAnsi="Times New Roman" w:cs="Times New Roman" w:eastAsia="Times New Roman" w:hint="default"/>
        </w:rPr>
        <w:t>2</w:t>
      </w:r>
      <w:r>
        <w:rPr/>
        <w:t>）、股东回报规划制定考虑因素 </w:t>
      </w:r>
      <w:r>
        <w:rPr>
          <w:spacing w:val="-2"/>
        </w:rPr>
        <w:t>公司将着眼于长远和可持续发展，综合考虑了行业发展趋势、公司实际经营状况、发展目标、股东意愿和要求、社会资金成</w:t>
      </w:r>
      <w:r>
        <w:rPr>
          <w:spacing w:val="-67"/>
        </w:rPr>
        <w:t> </w:t>
      </w:r>
      <w:r>
        <w:rPr>
          <w:spacing w:val="-67"/>
        </w:rPr>
      </w:r>
      <w:r>
        <w:rPr/>
        <w:t>本和外部融资环境等因素的基础上，建立对投资者持续、稳定、科学的回报规划与机制，从而对股利分配作出制度性安排，</w:t>
      </w:r>
      <w:r>
        <w:rPr>
          <w:spacing w:val="-86"/>
        </w:rPr>
        <w:t> </w:t>
      </w:r>
      <w:r>
        <w:rPr>
          <w:spacing w:val="-86"/>
        </w:rPr>
      </w:r>
      <w:r>
        <w:rPr/>
        <w:t>以保证股利分配政策的连续性和稳定性。</w:t>
      </w:r>
    </w:p>
    <w:p>
      <w:pPr>
        <w:pStyle w:val="BodyText"/>
        <w:spacing w:line="312" w:lineRule="auto" w:before="22"/>
        <w:ind w:right="98"/>
        <w:jc w:val="left"/>
      </w:pPr>
      <w:r>
        <w:rPr/>
        <w:t>（</w:t>
      </w:r>
      <w:r>
        <w:rPr>
          <w:rFonts w:ascii="Times New Roman" w:hAnsi="Times New Roman" w:cs="Times New Roman" w:eastAsia="Times New Roman" w:hint="default"/>
        </w:rPr>
        <w:t>3</w:t>
      </w:r>
      <w:r>
        <w:rPr/>
        <w:t>）、利润分配规划 </w:t>
      </w:r>
      <w:r>
        <w:rPr>
          <w:spacing w:val="-2"/>
        </w:rPr>
        <w:t>公司发行上市后，将着眼于长远和可持续发展，以股东利益最大化为公司价值目标，持续采取积极的现金及股票股利分配政</w:t>
      </w:r>
      <w:r>
        <w:rPr>
          <w:spacing w:val="-63"/>
        </w:rPr>
        <w:t> </w:t>
      </w:r>
      <w:r>
        <w:rPr>
          <w:spacing w:val="-63"/>
        </w:rPr>
      </w:r>
      <w:r>
        <w:rPr>
          <w:spacing w:val="-2"/>
        </w:rPr>
        <w:t>策，注重对投资者回报，切实履行上市公司社会责任，严格按照《中华人民共和国公司法》、《中华人民共和国证券法》以</w:t>
      </w:r>
      <w:r>
        <w:rPr>
          <w:spacing w:val="-65"/>
        </w:rPr>
        <w:t> </w:t>
      </w:r>
      <w:r>
        <w:rPr>
          <w:spacing w:val="-65"/>
        </w:rPr>
      </w:r>
      <w:r>
        <w:rPr/>
        <w:t>及中国证券监督管理委员会、深圳证券交易所有关规定，建立对投资者持续、稳定、科学的回报机制。</w:t>
      </w:r>
    </w:p>
    <w:p>
      <w:pPr>
        <w:pStyle w:val="BodyText"/>
        <w:spacing w:line="240" w:lineRule="auto" w:before="22"/>
        <w:ind w:right="98"/>
        <w:jc w:val="left"/>
      </w:pPr>
      <w:r>
        <w:rPr/>
        <w:t>（</w:t>
      </w:r>
      <w:r>
        <w:rPr>
          <w:rFonts w:ascii="Times New Roman" w:hAnsi="Times New Roman" w:cs="Times New Roman" w:eastAsia="Times New Roman" w:hint="default"/>
        </w:rPr>
        <w:t>4</w:t>
      </w:r>
      <w:r>
        <w:rPr/>
        <w:t>）、利润分配计划</w:t>
      </w:r>
    </w:p>
    <w:p>
      <w:pPr>
        <w:pStyle w:val="BodyText"/>
        <w:spacing w:line="314" w:lineRule="auto" w:before="63"/>
        <w:ind w:right="98"/>
        <w:jc w:val="left"/>
      </w:pPr>
      <w:r>
        <w:rPr>
          <w:rFonts w:ascii="Times New Roman" w:hAnsi="Times New Roman" w:cs="Times New Roman" w:eastAsia="Times New Roman" w:hint="default"/>
        </w:rPr>
        <w:t>2011-2015</w:t>
      </w:r>
      <w:r>
        <w:rPr/>
        <w:t>年股东分红回报计划：公司在足额预留法定公积金、盈余公积金以后，每年以现金方式分配的利润不少于当年实 </w:t>
      </w:r>
      <w:r>
        <w:rPr>
          <w:spacing w:val="-2"/>
        </w:rPr>
        <w:t>现的可分配利润（不含年初未分配利润）的百分之二十。在确保足额现金股利分配的前提下，公司可以另行增加股票股利分</w:t>
      </w:r>
      <w:r>
        <w:rPr>
          <w:spacing w:val="-64"/>
        </w:rPr>
        <w:t> </w:t>
      </w:r>
      <w:r>
        <w:rPr>
          <w:spacing w:val="-64"/>
        </w:rPr>
      </w:r>
      <w:r>
        <w:rPr>
          <w:spacing w:val="-5"/>
        </w:rPr>
        <w:t>配和公积金转增。公司在每个会计年度结束后，由公司董事会提出分红议案，并提交股东大会进行表决。公司接受所有股东、</w:t>
      </w:r>
      <w:r>
        <w:rPr>
          <w:spacing w:val="-73"/>
        </w:rPr>
        <w:t> </w:t>
      </w:r>
      <w:r>
        <w:rPr>
          <w:spacing w:val="-73"/>
        </w:rPr>
      </w:r>
      <w:r>
        <w:rPr/>
        <w:t>独立董事、监事和公众投资者对公司分红的建议和监督。 </w:t>
      </w:r>
      <w:r>
        <w:rPr>
          <w:spacing w:val="-2"/>
        </w:rPr>
        <w:t>公司所有股东出具了书面承诺，对第一届董事会第十二次会议关于修改和完善《公司章程（草案）》有关利润分配条款以及</w:t>
      </w:r>
      <w:r>
        <w:rPr>
          <w:spacing w:val="-65"/>
        </w:rPr>
        <w:t> </w:t>
      </w:r>
      <w:r>
        <w:rPr>
          <w:spacing w:val="-65"/>
        </w:rPr>
      </w:r>
      <w:r>
        <w:rPr>
          <w:spacing w:val="-2"/>
        </w:rPr>
        <w:t>分红回报规划的决议内容和程序表示赞同，并同时表示，公司上市后，股东大会在根据新修订章程的规定通过利润分配具体</w:t>
      </w:r>
      <w:r>
        <w:rPr>
          <w:spacing w:val="-66"/>
        </w:rPr>
        <w:t> </w:t>
      </w:r>
      <w:r>
        <w:rPr>
          <w:spacing w:val="-66"/>
        </w:rPr>
      </w:r>
      <w:r>
        <w:rPr/>
        <w:t>方案时，投赞成票。</w:t>
      </w:r>
    </w:p>
    <w:p>
      <w:pPr>
        <w:pStyle w:val="BodyText"/>
        <w:spacing w:line="240" w:lineRule="auto" w:before="20"/>
        <w:ind w:right="98"/>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0"/>
        </w:rPr>
        <w:t> </w:t>
      </w:r>
      <w:r>
        <w:rPr/>
        <w:t>现金分红政策的执行情况</w:t>
      </w:r>
    </w:p>
    <w:p>
      <w:pPr>
        <w:pStyle w:val="BodyText"/>
        <w:spacing w:line="300" w:lineRule="auto" w:before="63"/>
        <w:ind w:right="184"/>
        <w:jc w:val="left"/>
      </w:pPr>
      <w:r>
        <w:rPr/>
        <w:t>公司</w:t>
      </w:r>
      <w:r>
        <w:rPr>
          <w:rFonts w:ascii="Times New Roman" w:hAnsi="Times New Roman" w:cs="Times New Roman" w:eastAsia="Times New Roman" w:hint="default"/>
        </w:rPr>
        <w:t>2012</w:t>
      </w:r>
      <w:r>
        <w:rPr/>
        <w:t>年第四次临时股东大会通过利润分配预案，按</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1-6</w:t>
      </w:r>
      <w:r>
        <w:rPr/>
        <w:t>月公司实现净利润的</w:t>
      </w:r>
      <w:r>
        <w:rPr>
          <w:rFonts w:ascii="Times New Roman" w:hAnsi="Times New Roman" w:cs="Times New Roman" w:eastAsia="Times New Roman" w:hint="default"/>
        </w:rPr>
        <w:t>10%</w:t>
      </w:r>
      <w:r>
        <w:rPr/>
        <w:t>提取法定盈余公积金</w:t>
      </w:r>
      <w:r>
        <w:rPr>
          <w:rFonts w:ascii="Times New Roman" w:hAnsi="Times New Roman" w:cs="Times New Roman" w:eastAsia="Times New Roman" w:hint="default"/>
        </w:rPr>
        <w:t>1,323,207.72 </w:t>
      </w:r>
      <w:r>
        <w:rPr/>
        <w:t>元后，以截至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日的公司总股本</w:t>
      </w:r>
      <w:r>
        <w:rPr>
          <w:rFonts w:ascii="Times New Roman" w:hAnsi="Times New Roman" w:cs="Times New Roman" w:eastAsia="Times New Roman" w:hint="default"/>
        </w:rPr>
        <w:t>7070</w:t>
      </w:r>
      <w:r>
        <w:rPr/>
        <w:t>万股为基数，每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w:t>
      </w:r>
      <w:r>
        <w:rPr/>
        <w:t>元现金（含税），合计派发现金红利</w:t>
      </w:r>
      <w:r>
        <w:rPr>
          <w:rFonts w:ascii="Times New Roman" w:hAnsi="Times New Roman" w:cs="Times New Roman" w:eastAsia="Times New Roman" w:hint="default"/>
        </w:rPr>
        <w:t>7,070,000</w:t>
      </w:r>
      <w:r>
        <w:rPr/>
        <w:t>元。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日，公司在中国证监会指定媒体巨潮网发布权益分派公告：以公司现有总股本</w:t>
      </w:r>
      <w:r>
        <w:rPr>
          <w:rFonts w:ascii="Times New Roman" w:hAnsi="Times New Roman" w:cs="Times New Roman" w:eastAsia="Times New Roman" w:hint="default"/>
        </w:rPr>
        <w:t>70,700,000</w:t>
      </w:r>
      <w:r>
        <w:rPr/>
        <w:t>股为基数，向全体股 </w:t>
      </w:r>
      <w:r>
        <w:rPr>
          <w:spacing w:val="-4"/>
        </w:rPr>
        <w:t>东每</w:t>
      </w:r>
      <w:r>
        <w:rPr>
          <w:rFonts w:ascii="Times New Roman" w:hAnsi="Times New Roman" w:cs="Times New Roman" w:eastAsia="Times New Roman" w:hint="default"/>
          <w:spacing w:val="-4"/>
        </w:rPr>
        <w:t>10</w:t>
      </w:r>
      <w:r>
        <w:rPr>
          <w:spacing w:val="-4"/>
        </w:rPr>
        <w:t>股派</w:t>
      </w:r>
      <w:r>
        <w:rPr>
          <w:rFonts w:ascii="Times New Roman" w:hAnsi="Times New Roman" w:cs="Times New Roman" w:eastAsia="Times New Roman" w:hint="default"/>
          <w:spacing w:val="-4"/>
        </w:rPr>
        <w:t>1.000000</w:t>
      </w:r>
      <w:r>
        <w:rPr>
          <w:spacing w:val="-4"/>
        </w:rPr>
        <w:t>元人民币现金（含税；扣税后，个人、证券投资基金、</w:t>
      </w:r>
      <w:r>
        <w:rPr>
          <w:rFonts w:ascii="Times New Roman" w:hAnsi="Times New Roman" w:cs="Times New Roman" w:eastAsia="Times New Roman" w:hint="default"/>
          <w:spacing w:val="-4"/>
        </w:rPr>
        <w:t>QFII</w:t>
      </w:r>
      <w:r>
        <w:rPr>
          <w:spacing w:val="-4"/>
        </w:rPr>
        <w:t>、</w:t>
      </w:r>
      <w:r>
        <w:rPr>
          <w:rFonts w:ascii="Times New Roman" w:hAnsi="Times New Roman" w:cs="Times New Roman" w:eastAsia="Times New Roman" w:hint="default"/>
          <w:spacing w:val="-4"/>
        </w:rPr>
        <w:t>RQFII</w:t>
      </w:r>
      <w:r>
        <w:rPr>
          <w:spacing w:val="-4"/>
        </w:rPr>
        <w:t>实际每</w:t>
      </w:r>
      <w:r>
        <w:rPr>
          <w:rFonts w:ascii="Times New Roman" w:hAnsi="Times New Roman" w:cs="Times New Roman" w:eastAsia="Times New Roman" w:hint="default"/>
          <w:spacing w:val="-4"/>
        </w:rPr>
        <w:t>10</w:t>
      </w:r>
      <w:r>
        <w:rPr>
          <w:spacing w:val="-4"/>
        </w:rPr>
        <w:t>股派</w:t>
      </w:r>
      <w:r>
        <w:rPr>
          <w:rFonts w:ascii="Times New Roman" w:hAnsi="Times New Roman" w:cs="Times New Roman" w:eastAsia="Times New Roman" w:hint="default"/>
          <w:spacing w:val="-4"/>
        </w:rPr>
        <w:t>0.900000</w:t>
      </w:r>
      <w:r>
        <w:rPr>
          <w:spacing w:val="-4"/>
        </w:rPr>
        <w:t>元；对于</w:t>
      </w:r>
      <w:r>
        <w:rPr>
          <w:rFonts w:ascii="Times New Roman" w:hAnsi="Times New Roman" w:cs="Times New Roman" w:eastAsia="Times New Roman" w:hint="default"/>
          <w:spacing w:val="-4"/>
        </w:rPr>
        <w:t>QFII</w:t>
      </w:r>
      <w:r>
        <w:rPr>
          <w:spacing w:val="-4"/>
        </w:rPr>
        <w:t>、</w:t>
      </w:r>
      <w:r>
        <w:rPr>
          <w:spacing w:val="-79"/>
        </w:rPr>
        <w:t> </w:t>
      </w:r>
      <w:r>
        <w:rPr>
          <w:rFonts w:ascii="Times New Roman" w:hAnsi="Times New Roman" w:cs="Times New Roman" w:eastAsia="Times New Roman" w:hint="default"/>
          <w:spacing w:val="-1"/>
        </w:rPr>
        <w:t>RQFII</w:t>
      </w:r>
      <w:r>
        <w:rPr>
          <w:spacing w:val="-1"/>
        </w:rPr>
        <w:t>外的其他非居民企业，本公司未代扣代缴所得税，由纳税人在所得发生地缴纳）。本次权益分派股权登记日为</w:t>
      </w:r>
      <w:r>
        <w:rPr>
          <w:rFonts w:ascii="Times New Roman" w:hAnsi="Times New Roman" w:cs="Times New Roman" w:eastAsia="Times New Roman" w:hint="default"/>
          <w:spacing w:val="-1"/>
        </w:rPr>
        <w:t>2012</w:t>
      </w:r>
      <w:r>
        <w:rPr>
          <w:spacing w:val="-1"/>
        </w:rPr>
        <w:t>年</w:t>
      </w:r>
      <w:r>
        <w:rPr>
          <w:spacing w:val="-44"/>
        </w:rPr>
        <w:t>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日，除权除息日为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w:t>
      </w:r>
    </w:p>
    <w:p>
      <w:pPr>
        <w:pStyle w:val="BodyText"/>
        <w:spacing w:line="240" w:lineRule="auto" w:before="54"/>
        <w:ind w:right="98"/>
        <w:jc w:val="left"/>
      </w:pPr>
      <w:r>
        <w:rPr/>
        <w:t>公司报告期利润分配预案及资本公积金转增股本预案与公司章程和分红管理办法等的相关规定一致</w:t>
      </w:r>
    </w:p>
    <w:p>
      <w:pPr>
        <w:pStyle w:val="BodyText"/>
        <w:spacing w:line="350" w:lineRule="auto" w:before="115"/>
        <w:ind w:right="3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44"/>
        <w:ind w:left="0" w:right="196"/>
        <w:jc w:val="right"/>
      </w:pPr>
      <w:r>
        <w:rPr/>
        <w:pict>
          <v:shape style="position:absolute;margin-left:57pt;margin-top:-141.518265pt;width:478.7pt;height:208.1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70,700,000.00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7,777,000.00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91,322,641.08</w:t>
                        </w:r>
                      </w:p>
                    </w:tc>
                  </w:tr>
                  <w:tr>
                    <w:trPr>
                      <w:trHeight w:val="40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33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22"/>
                          <w:jc w:val="left"/>
                          <w:rPr>
                            <w:rFonts w:ascii="宋体" w:hAnsi="宋体" w:cs="宋体" w:eastAsia="宋体" w:hint="default"/>
                            <w:sz w:val="18"/>
                            <w:szCs w:val="18"/>
                          </w:rPr>
                        </w:pPr>
                        <w:r>
                          <w:rPr>
                            <w:rFonts w:ascii="宋体" w:hAnsi="宋体" w:cs="宋体" w:eastAsia="宋体" w:hint="default"/>
                            <w:sz w:val="18"/>
                            <w:szCs w:val="18"/>
                          </w:rPr>
                          <w:t>经北京永拓会计事务所有限责任公司审计，</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年度，公司母公司实现净利润为人民币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38,727,447.37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元，根据《公司法 和公司章程的规定提取法定盈余公积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3,872,744.74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元，加上年初未分配利润</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63,537,938.45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元，本年度可供股东分配的利润</w:t>
                        </w:r>
                      </w:p>
                      <w:p>
                        <w:pPr>
                          <w:pStyle w:val="TableParagraph"/>
                          <w:spacing w:line="240" w:lineRule="auto" w:before="13"/>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98,392,641.08 </w:t>
                        </w:r>
                        <w:r>
                          <w:rPr>
                            <w:rFonts w:ascii="宋体" w:hAnsi="宋体" w:cs="宋体" w:eastAsia="宋体" w:hint="default"/>
                            <w:spacing w:val="-13"/>
                            <w:sz w:val="18"/>
                            <w:szCs w:val="18"/>
                          </w:rPr>
                          <w:t>元，其中，</w:t>
                        </w:r>
                        <w:r>
                          <w:rPr>
                            <w:rFonts w:ascii="Times New Roman" w:hAnsi="Times New Roman" w:cs="Times New Roman" w:eastAsia="Times New Roman" w:hint="default"/>
                            <w:spacing w:val="-13"/>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年已分配利润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7,070,000.00 </w:t>
                        </w:r>
                        <w:r>
                          <w:rPr>
                            <w:rFonts w:ascii="宋体" w:hAnsi="宋体" w:cs="宋体" w:eastAsia="宋体" w:hint="default"/>
                            <w:spacing w:val="-15"/>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日未分配利润为人民币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91,322,641.08</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44"/>
        <w:ind w:right="98"/>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4" w:lineRule="auto" w:before="44"/>
        <w:ind w:right="14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年度，根据公司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日召开的第一届董事会第六次会议、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2010</w:t>
      </w:r>
      <w:r>
        <w:rPr/>
        <w:t>年第四次临时股东大会 决议，公司首次公开发行股票前不再进行利润分配，滚存利润由发行后的公司新老股东共享。 </w:t>
      </w:r>
      <w:r>
        <w:rPr>
          <w:rFonts w:ascii="Times New Roman" w:hAnsi="Times New Roman" w:cs="Times New Roman" w:eastAsia="Times New Roman" w:hint="default"/>
          <w:spacing w:val="-4"/>
        </w:rPr>
        <w:t>2</w:t>
      </w:r>
      <w:r>
        <w:rPr>
          <w:spacing w:val="-4"/>
        </w:rPr>
        <w:t>、公司第一届董事会第十八次会议审议通过，并经公司</w:t>
      </w:r>
      <w:r>
        <w:rPr>
          <w:rFonts w:ascii="Times New Roman" w:hAnsi="Times New Roman" w:cs="Times New Roman" w:eastAsia="Times New Roman" w:hint="default"/>
          <w:spacing w:val="-4"/>
        </w:rPr>
        <w:t>2012</w:t>
      </w:r>
      <w:r>
        <w:rPr>
          <w:spacing w:val="-4"/>
        </w:rPr>
        <w:t>年度第四次临时股东大会批准的《关于利润分配预案的议案》，</w:t>
      </w:r>
      <w:r>
        <w:rPr>
          <w:spacing w:val="-37"/>
        </w:rPr>
        <w:t> </w:t>
      </w:r>
      <w:r>
        <w:rPr>
          <w:spacing w:val="-37"/>
        </w:rPr>
      </w:r>
      <w:r>
        <w:rPr>
          <w:spacing w:val="-2"/>
        </w:rPr>
        <w:t>以截至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日的公司总股本</w:t>
      </w:r>
      <w:r>
        <w:rPr>
          <w:rFonts w:ascii="Times New Roman" w:hAnsi="Times New Roman" w:cs="Times New Roman" w:eastAsia="Times New Roman" w:hint="default"/>
          <w:spacing w:val="-2"/>
        </w:rPr>
        <w:t>7070</w:t>
      </w:r>
      <w:r>
        <w:rPr>
          <w:spacing w:val="-2"/>
        </w:rPr>
        <w:t>万股为基数，每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1</w:t>
      </w:r>
      <w:r>
        <w:rPr>
          <w:spacing w:val="-2"/>
        </w:rPr>
        <w:t>元现金（含税），合计派发现金红利</w:t>
      </w:r>
      <w:r>
        <w:rPr>
          <w:rFonts w:ascii="Times New Roman" w:hAnsi="Times New Roman" w:cs="Times New Roman" w:eastAsia="Times New Roman" w:hint="default"/>
          <w:spacing w:val="-2"/>
        </w:rPr>
        <w:t>7,070,000</w:t>
      </w:r>
      <w:r>
        <w:rPr>
          <w:spacing w:val="-2"/>
        </w:rPr>
        <w:t>元。本次权益</w:t>
      </w:r>
      <w:r>
        <w:rPr>
          <w:spacing w:val="-51"/>
        </w:rPr>
        <w:t> </w:t>
      </w:r>
      <w:r>
        <w:rPr>
          <w:spacing w:val="-51"/>
        </w:rPr>
      </w:r>
      <w:r>
        <w:rPr/>
        <w:t>分派股权登记日为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日，除权除息日为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w:t>
      </w:r>
    </w:p>
    <w:p>
      <w:pPr>
        <w:pStyle w:val="BodyText"/>
        <w:tabs>
          <w:tab w:pos="2490" w:val="left" w:leader="none"/>
        </w:tabs>
        <w:spacing w:line="300" w:lineRule="auto" w:before="9"/>
        <w:ind w:right="215"/>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2012</w:t>
      </w:r>
      <w:r>
        <w:rPr>
          <w:spacing w:val="-1"/>
        </w:rPr>
        <w:t>年度利润分配预案</w:t>
      </w:r>
      <w:r>
        <w:rPr>
          <w:rFonts w:ascii="Times New Roman" w:hAnsi="Times New Roman" w:cs="Times New Roman" w:eastAsia="Times New Roman" w:hint="default"/>
          <w:spacing w:val="-1"/>
        </w:rPr>
        <w:t>:</w:t>
        <w:tab/>
      </w:r>
      <w:r>
        <w:rPr>
          <w:spacing w:val="-1"/>
        </w:rPr>
        <w:t>以截至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日的公司总股本</w:t>
      </w:r>
      <w:r>
        <w:rPr>
          <w:rFonts w:ascii="Times New Roman" w:hAnsi="Times New Roman" w:cs="Times New Roman" w:eastAsia="Times New Roman" w:hint="default"/>
          <w:spacing w:val="-1"/>
        </w:rPr>
        <w:t>7070</w:t>
      </w:r>
      <w:r>
        <w:rPr>
          <w:spacing w:val="-1"/>
        </w:rPr>
        <w:t>万股为基数，每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1.1</w:t>
      </w:r>
      <w:r>
        <w:rPr>
          <w:spacing w:val="-1"/>
        </w:rPr>
        <w:t>元（含</w:t>
      </w:r>
      <w:r>
        <w:rPr>
          <w:spacing w:val="-50"/>
        </w:rPr>
        <w:t> </w:t>
      </w:r>
      <w:r>
        <w:rPr>
          <w:spacing w:val="-50"/>
        </w:rPr>
      </w:r>
      <w:r>
        <w:rPr/>
        <w:t>税），合计派发现金红利</w:t>
      </w:r>
      <w:r>
        <w:rPr>
          <w:rFonts w:ascii="Times New Roman" w:hAnsi="Times New Roman" w:cs="Times New Roman" w:eastAsia="Times New Roman" w:hint="default"/>
        </w:rPr>
        <w:t>7,777,000</w:t>
      </w:r>
      <w:r>
        <w:rPr/>
        <w:t>元，剩余未分配利润结转以后年度分配。</w:t>
      </w:r>
    </w:p>
    <w:p>
      <w:pPr>
        <w:pStyle w:val="BodyText"/>
        <w:spacing w:line="240" w:lineRule="auto" w:before="53"/>
        <w:ind w:right="0"/>
        <w:jc w:val="left"/>
      </w:pPr>
      <w:r>
        <w:rPr/>
        <w:t>公司近三年现金分红情况表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39,007,060.36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19.94%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38,566,119.01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30,144,897.08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both"/>
      </w:pPr>
      <w:r>
        <w:rPr/>
        <w:t>公司报告期内盈利且母公司未分配利润为正但未提出现金红利分配预案</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五、内幕信息知情人管理制度的建立和执行情况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53"/>
        <w:jc w:val="both"/>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日第一届董事会第十六次会议通过并建立了《内幕信息知情人登记管理制度》，并在报告期内严格按照 </w:t>
      </w:r>
      <w:r>
        <w:rPr>
          <w:spacing w:val="-2"/>
        </w:rPr>
        <w:t>制度执行，未发生内幕信息知情人买卖本公司股票及其衍生品种的情况；公司及相关人员未发生因内幕信息知情人登记管理</w:t>
      </w:r>
      <w:r>
        <w:rPr>
          <w:spacing w:val="-64"/>
        </w:rPr>
        <w:t> </w:t>
      </w:r>
      <w:r>
        <w:rPr>
          <w:spacing w:val="-64"/>
        </w:rPr>
      </w:r>
      <w:r>
        <w:rPr/>
        <w:t>制度执行或涉嫌内幕交易被监管部门采取监管措施及行政处罚的情况。</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六、报告期内接待调研、沟通、采访等活动登记表</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339"/>
        <w:gridCol w:w="1136"/>
        <w:gridCol w:w="1274"/>
        <w:gridCol w:w="2127"/>
        <w:gridCol w:w="2199"/>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14" w:right="101"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8"/>
                <w:sz w:val="18"/>
                <w:szCs w:val="18"/>
              </w:rPr>
              <w:t>海通证券股份有限公司、国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海证券股份有限公司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招商基金管理有限公司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z w:val="18"/>
                <w:szCs w:val="18"/>
              </w:rPr>
              <w:t>中国银河证券股份有限公 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马邦洲、苏建鸿</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民生证券有限责任公司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公司基本情况及产品展示，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339"/>
        <w:gridCol w:w="1136"/>
        <w:gridCol w:w="1274"/>
        <w:gridCol w:w="2127"/>
        <w:gridCol w:w="2199"/>
      </w:tblGrid>
      <w:tr>
        <w:trPr>
          <w:trHeight w:val="362"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未提供资料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南方基金管理有限公司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z w:val="18"/>
                <w:szCs w:val="18"/>
              </w:rPr>
              <w:t>华泰联合证券有限责任公 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大成基金管理有限公司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8"/>
                <w:sz w:val="18"/>
                <w:szCs w:val="18"/>
              </w:rPr>
              <w:t>平安证券有限责任公司、中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邮创业基金管理有限公司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477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8"/>
                <w:sz w:val="18"/>
                <w:szCs w:val="18"/>
              </w:rPr>
              <w:t>长城基金管理有限公司、长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安基金管理有限公司、国金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证券股份有限公司、国信证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券股份有限公司、民生证券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股份有限公司、深圳市金中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和投资管理有限公司、天马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资产管理有限公司、深圳市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林奇投资有限公司、深圳市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水木同创投资发展有限公 </w:t>
            </w:r>
            <w:r>
              <w:rPr>
                <w:rFonts w:ascii="宋体" w:hAnsi="宋体" w:cs="宋体" w:eastAsia="宋体" w:hint="default"/>
                <w:spacing w:val="-8"/>
                <w:sz w:val="18"/>
                <w:szCs w:val="18"/>
              </w:rPr>
              <w:t>司、深圳展博投资管理有限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公司、深圳市中证投资资讯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有限公司、远策投资管理有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限公司、深圳市泰瓴资产管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理有限公司、广东西域投资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公司基本情况及产品简介， 未提供资料</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575" w:right="31" w:hanging="540"/>
              <w:jc w:val="left"/>
              <w:rPr>
                <w:rFonts w:ascii="宋体" w:hAnsi="宋体" w:cs="宋体" w:eastAsia="宋体" w:hint="default"/>
                <w:sz w:val="18"/>
                <w:szCs w:val="18"/>
              </w:rPr>
            </w:pPr>
            <w:r>
              <w:rPr>
                <w:rFonts w:ascii="宋体" w:hAnsi="宋体" w:cs="宋体" w:eastAsia="宋体" w:hint="default"/>
                <w:sz w:val="18"/>
                <w:szCs w:val="18"/>
              </w:rPr>
              <w:t>董事会秘书办公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both"/>
              <w:rPr>
                <w:rFonts w:ascii="宋体" w:hAnsi="宋体" w:cs="宋体" w:eastAsia="宋体" w:hint="default"/>
                <w:sz w:val="18"/>
                <w:szCs w:val="18"/>
              </w:rPr>
            </w:pPr>
            <w:r>
              <w:rPr>
                <w:rFonts w:ascii="宋体" w:hAnsi="宋体" w:cs="宋体" w:eastAsia="宋体" w:hint="default"/>
                <w:spacing w:val="-8"/>
                <w:sz w:val="18"/>
                <w:szCs w:val="18"/>
              </w:rPr>
              <w:t>华夏基金管理有限公司、海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通证券股份有限公司、上海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艺海集团</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公司基本情况及产品展示， 未提供资料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75" w:right="31" w:hanging="540"/>
              <w:jc w:val="left"/>
              <w:rPr>
                <w:rFonts w:ascii="宋体" w:hAnsi="宋体" w:cs="宋体" w:eastAsia="宋体" w:hint="default"/>
                <w:sz w:val="18"/>
                <w:szCs w:val="18"/>
              </w:rPr>
            </w:pPr>
            <w:r>
              <w:rPr>
                <w:rFonts w:ascii="宋体" w:hAnsi="宋体" w:cs="宋体" w:eastAsia="宋体" w:hint="default"/>
                <w:sz w:val="18"/>
                <w:szCs w:val="18"/>
              </w:rPr>
              <w:t>董事会秘书办公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公司产品介绍，未提供资料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75" w:right="31" w:hanging="540"/>
              <w:jc w:val="left"/>
              <w:rPr>
                <w:rFonts w:ascii="宋体" w:hAnsi="宋体" w:cs="宋体" w:eastAsia="宋体" w:hint="default"/>
                <w:sz w:val="18"/>
                <w:szCs w:val="18"/>
              </w:rPr>
            </w:pPr>
            <w:r>
              <w:rPr>
                <w:rFonts w:ascii="宋体" w:hAnsi="宋体" w:cs="宋体" w:eastAsia="宋体" w:hint="default"/>
                <w:sz w:val="18"/>
                <w:szCs w:val="18"/>
              </w:rPr>
              <w:t>董事会秘书办公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日信证券有限责任公司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公司产品介绍及演示，未提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供资料</w:t>
            </w: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75" w:right="31" w:hanging="540"/>
              <w:jc w:val="left"/>
              <w:rPr>
                <w:rFonts w:ascii="宋体" w:hAnsi="宋体" w:cs="宋体" w:eastAsia="宋体" w:hint="default"/>
                <w:sz w:val="18"/>
                <w:szCs w:val="18"/>
              </w:rPr>
            </w:pPr>
            <w:r>
              <w:rPr>
                <w:rFonts w:ascii="宋体" w:hAnsi="宋体" w:cs="宋体" w:eastAsia="宋体" w:hint="default"/>
                <w:sz w:val="18"/>
                <w:szCs w:val="18"/>
              </w:rPr>
              <w:t>董事会秘书办公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z w:val="18"/>
                <w:szCs w:val="18"/>
              </w:rPr>
              <w:t>厦门普尔投资管理有限责 任公司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公司基本情况及产品介绍， 未提供资料</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2600"/>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938"/>
        <w:gridCol w:w="536"/>
        <w:gridCol w:w="883"/>
        <w:gridCol w:w="850"/>
        <w:gridCol w:w="566"/>
        <w:gridCol w:w="994"/>
        <w:gridCol w:w="566"/>
        <w:gridCol w:w="552"/>
        <w:gridCol w:w="737"/>
        <w:gridCol w:w="735"/>
        <w:gridCol w:w="737"/>
      </w:tblGrid>
      <w:tr>
        <w:trPr>
          <w:trHeight w:val="3210"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4" w:lineRule="auto"/>
              <w:ind w:left="81" w:right="82"/>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20"/>
              <w:ind w:left="81" w:right="82"/>
              <w:jc w:val="left"/>
              <w:rPr>
                <w:rFonts w:ascii="宋体" w:hAnsi="宋体" w:cs="宋体" w:eastAsia="宋体" w:hint="default"/>
                <w:sz w:val="18"/>
                <w:szCs w:val="18"/>
              </w:rPr>
            </w:pPr>
            <w:r>
              <w:rPr>
                <w:rFonts w:ascii="宋体" w:hAnsi="宋体" w:cs="宋体" w:eastAsia="宋体" w:hint="default"/>
                <w:sz w:val="18"/>
                <w:szCs w:val="18"/>
              </w:rPr>
              <w:t>（万 元）</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 w:right="74" w:firstLine="45"/>
              <w:jc w:val="both"/>
              <w:rPr>
                <w:rFonts w:ascii="宋体" w:hAnsi="宋体" w:cs="宋体" w:eastAsia="宋体" w:hint="default"/>
                <w:sz w:val="18"/>
                <w:szCs w:val="18"/>
              </w:rPr>
            </w:pPr>
            <w:r>
              <w:rPr>
                <w:rFonts w:ascii="宋体" w:hAnsi="宋体" w:cs="宋体" w:eastAsia="宋体" w:hint="default"/>
                <w:sz w:val="18"/>
                <w:szCs w:val="18"/>
              </w:rPr>
              <w:t>自购买日 起至报告 期末为上 市公司贡 献的净利 润（万元</w:t>
            </w:r>
          </w:p>
          <w:p>
            <w:pPr>
              <w:pStyle w:val="TableParagraph"/>
              <w:spacing w:line="319" w:lineRule="auto" w:before="19"/>
              <w:ind w:left="76" w:right="74"/>
              <w:jc w:val="both"/>
              <w:rPr>
                <w:rFonts w:ascii="宋体" w:hAnsi="宋体" w:cs="宋体" w:eastAsia="宋体" w:hint="default"/>
                <w:sz w:val="18"/>
                <w:szCs w:val="18"/>
              </w:rPr>
            </w:pPr>
            <w:r>
              <w:rPr>
                <w:rFonts w:ascii="宋体" w:hAnsi="宋体" w:cs="宋体" w:eastAsia="宋体" w:hint="default"/>
                <w:sz w:val="18"/>
                <w:szCs w:val="18"/>
              </w:rPr>
              <w:t>（适用于 非同一控 制下的企 业合并）</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0" w:right="59"/>
              <w:jc w:val="both"/>
              <w:rPr>
                <w:rFonts w:ascii="宋体" w:hAnsi="宋体" w:cs="宋体" w:eastAsia="宋体" w:hint="default"/>
                <w:sz w:val="18"/>
                <w:szCs w:val="18"/>
              </w:rPr>
            </w:pPr>
            <w:r>
              <w:rPr>
                <w:rFonts w:ascii="宋体" w:hAnsi="宋体" w:cs="宋体" w:eastAsia="宋体" w:hint="default"/>
                <w:sz w:val="18"/>
                <w:szCs w:val="18"/>
              </w:rPr>
              <w:t>自本期初 至报告期 末为上市 公司贡献 的净利润</w:t>
            </w:r>
          </w:p>
          <w:p>
            <w:pPr>
              <w:pStyle w:val="TableParagraph"/>
              <w:spacing w:line="240" w:lineRule="auto" w:before="19"/>
              <w:ind w:left="-13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3"/>
                <w:sz w:val="18"/>
                <w:szCs w:val="18"/>
              </w:rPr>
              <w:t> </w:t>
            </w:r>
            <w:r>
              <w:rPr>
                <w:rFonts w:ascii="宋体" w:hAnsi="宋体" w:cs="宋体" w:eastAsia="宋体" w:hint="default"/>
                <w:sz w:val="18"/>
                <w:szCs w:val="18"/>
              </w:rPr>
              <w:t>（万元）</w:t>
            </w:r>
          </w:p>
          <w:p>
            <w:pPr>
              <w:pStyle w:val="TableParagraph"/>
              <w:spacing w:line="319" w:lineRule="auto" w:before="76"/>
              <w:ind w:left="60" w:right="59"/>
              <w:jc w:val="both"/>
              <w:rPr>
                <w:rFonts w:ascii="宋体" w:hAnsi="宋体" w:cs="宋体" w:eastAsia="宋体" w:hint="default"/>
                <w:sz w:val="18"/>
                <w:szCs w:val="18"/>
              </w:rPr>
            </w:pPr>
            <w:r>
              <w:rPr>
                <w:rFonts w:ascii="宋体" w:hAnsi="宋体" w:cs="宋体" w:eastAsia="宋体" w:hint="default"/>
                <w:sz w:val="18"/>
                <w:szCs w:val="18"/>
              </w:rPr>
              <w:t>（适用于 同一控制 下的企业 合并）</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0"/>
              <w:ind w:left="223" w:right="39" w:hanging="180"/>
              <w:jc w:val="left"/>
              <w:rPr>
                <w:rFonts w:ascii="宋体" w:hAnsi="宋体" w:cs="宋体" w:eastAsia="宋体" w:hint="default"/>
                <w:sz w:val="18"/>
                <w:szCs w:val="18"/>
              </w:rPr>
            </w:pPr>
            <w:r>
              <w:rPr>
                <w:rFonts w:ascii="宋体" w:hAnsi="宋体" w:cs="宋体" w:eastAsia="宋体" w:hint="default"/>
                <w:sz w:val="18"/>
                <w:szCs w:val="18"/>
              </w:rPr>
              <w:t>资产收购定 价原则</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98" w:right="96"/>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91" w:right="89"/>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95"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23" w:right="-19"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r>
        <w:trPr>
          <w:trHeight w:val="352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4" w:right="20"/>
              <w:jc w:val="both"/>
              <w:rPr>
                <w:rFonts w:ascii="宋体" w:hAnsi="宋体" w:cs="宋体" w:eastAsia="宋体" w:hint="default"/>
                <w:sz w:val="18"/>
                <w:szCs w:val="18"/>
              </w:rPr>
            </w:pPr>
            <w:r>
              <w:rPr>
                <w:rFonts w:ascii="宋体" w:hAnsi="宋体" w:cs="宋体" w:eastAsia="宋体" w:hint="default"/>
                <w:spacing w:val="-11"/>
                <w:sz w:val="18"/>
                <w:szCs w:val="18"/>
              </w:rPr>
              <w:t>常俊、杜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卫华、曹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保忠、高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巍、彭荣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312" w:lineRule="exact"/>
              <w:ind w:left="23"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 博海通 讯技术 有限公 司 </w:t>
            </w:r>
            <w:r>
              <w:rPr>
                <w:rFonts w:ascii="Times New Roman" w:hAnsi="Times New Roman" w:cs="Times New Roman" w:eastAsia="Times New Roman" w:hint="default"/>
                <w:sz w:val="18"/>
                <w:szCs w:val="18"/>
              </w:rPr>
              <w:t>47.6386</w:t>
            </w:r>
          </w:p>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股权</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7"/>
              <w:jc w:val="left"/>
              <w:rPr>
                <w:rFonts w:ascii="宋体" w:hAnsi="宋体" w:cs="宋体" w:eastAsia="宋体" w:hint="default"/>
                <w:sz w:val="18"/>
                <w:szCs w:val="18"/>
              </w:rPr>
            </w:pPr>
            <w:r>
              <w:rPr>
                <w:rFonts w:ascii="宋体" w:hAnsi="宋体" w:cs="宋体" w:eastAsia="宋体" w:hint="default"/>
                <w:sz w:val="18"/>
                <w:szCs w:val="18"/>
              </w:rPr>
              <w:t>综合考虑博 海通讯及其 核心管理和 技术团队所 具有的市场 地位、技术 优势，并基 于对博海通 讯未来经营 市场的预 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1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24" w:right="159"/>
              <w:jc w:val="both"/>
              <w:rPr>
                <w:rFonts w:ascii="宋体" w:hAnsi="宋体" w:cs="宋体" w:eastAsia="宋体" w:hint="default"/>
                <w:sz w:val="18"/>
                <w:szCs w:val="18"/>
              </w:rPr>
            </w:pPr>
            <w:r>
              <w:rPr>
                <w:rFonts w:ascii="宋体" w:hAnsi="宋体" w:cs="宋体" w:eastAsia="宋体" w:hint="default"/>
                <w:sz w:val="18"/>
                <w:szCs w:val="18"/>
              </w:rPr>
              <w:t>深圳力 合创业 投资有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深圳市 博海通 讯技术 有限公 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938"/>
        <w:gridCol w:w="536"/>
        <w:gridCol w:w="883"/>
        <w:gridCol w:w="850"/>
        <w:gridCol w:w="566"/>
        <w:gridCol w:w="994"/>
        <w:gridCol w:w="566"/>
        <w:gridCol w:w="552"/>
        <w:gridCol w:w="737"/>
        <w:gridCol w:w="735"/>
        <w:gridCol w:w="737"/>
      </w:tblGrid>
      <w:tr>
        <w:trPr>
          <w:trHeight w:val="675" w:hRule="exact"/>
        </w:trPr>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3.3614%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93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159"/>
              <w:jc w:val="both"/>
              <w:rPr>
                <w:rFonts w:ascii="宋体" w:hAnsi="宋体" w:cs="宋体" w:eastAsia="宋体" w:hint="default"/>
                <w:sz w:val="18"/>
                <w:szCs w:val="18"/>
              </w:rPr>
            </w:pPr>
            <w:r>
              <w:rPr>
                <w:rFonts w:ascii="宋体" w:hAnsi="宋体" w:cs="宋体" w:eastAsia="宋体" w:hint="default"/>
                <w:sz w:val="18"/>
                <w:szCs w:val="18"/>
              </w:rPr>
              <w:t>北京中 天信安 科技有 限责任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北京中 天信安 科技有 限责任 公司 </w:t>
            </w:r>
            <w:r>
              <w:rPr>
                <w:rFonts w:ascii="Times New Roman" w:hAnsi="Times New Roman" w:cs="Times New Roman" w:eastAsia="Times New Roman" w:hint="default"/>
                <w:sz w:val="18"/>
                <w:szCs w:val="18"/>
              </w:rPr>
              <w:t>20%</w:t>
            </w:r>
            <w:r>
              <w:rPr>
                <w:rFonts w:ascii="宋体" w:hAnsi="宋体" w:cs="宋体" w:eastAsia="宋体" w:hint="default"/>
                <w:sz w:val="18"/>
                <w:szCs w:val="18"/>
              </w:rPr>
              <w:t>股</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-44.23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-44.23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474"/>
        <w:jc w:val="left"/>
      </w:pPr>
      <w:r>
        <w:rPr/>
        <w:t>收购资产情况说明 一、收购博海通讯的情况说明</w:t>
      </w:r>
    </w:p>
    <w:p>
      <w:pPr>
        <w:pStyle w:val="BodyText"/>
        <w:spacing w:line="236" w:lineRule="exact"/>
        <w:ind w:right="0"/>
        <w:jc w:val="left"/>
      </w:pPr>
      <w:r>
        <w:rPr/>
        <w:t>根据公司第一届董事会第十五次会议决议，决定收购深圳市博海通讯技术有限公司部分股权。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日，公司与彭荣巨</w:t>
      </w:r>
    </w:p>
    <w:p>
      <w:pPr>
        <w:pStyle w:val="BodyText"/>
        <w:spacing w:line="240" w:lineRule="auto" w:before="63"/>
        <w:ind w:right="98"/>
        <w:jc w:val="left"/>
      </w:pPr>
      <w:r>
        <w:rPr/>
        <w:t>先生签订了股权转让合同，以人民币</w:t>
      </w:r>
      <w:r>
        <w:rPr>
          <w:rFonts w:ascii="Times New Roman" w:hAnsi="Times New Roman" w:cs="Times New Roman" w:eastAsia="Times New Roman" w:hint="default"/>
        </w:rPr>
        <w:t>100</w:t>
      </w:r>
      <w:r>
        <w:rPr/>
        <w:t>万元的价格受让其持有的博海通讯</w:t>
      </w:r>
      <w:r>
        <w:rPr>
          <w:rFonts w:ascii="Times New Roman" w:hAnsi="Times New Roman" w:cs="Times New Roman" w:eastAsia="Times New Roman" w:hint="default"/>
        </w:rPr>
        <w:t>4.5798%</w:t>
      </w:r>
      <w:r>
        <w:rPr/>
        <w:t>股份。</w:t>
      </w:r>
    </w:p>
    <w:p>
      <w:pPr>
        <w:pStyle w:val="BodyText"/>
        <w:spacing w:line="240" w:lineRule="auto" w:before="63"/>
        <w:ind w:right="98"/>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日，公司与曹保忠先生、常峻先生、杜卫华先生、高巍先生签订了股权转让合同，分别以人民币</w:t>
      </w:r>
      <w:r>
        <w:rPr>
          <w:rFonts w:ascii="Times New Roman" w:hAnsi="Times New Roman" w:cs="Times New Roman" w:eastAsia="Times New Roman" w:hint="default"/>
        </w:rPr>
        <w:t>320.007</w:t>
      </w:r>
      <w:r>
        <w:rPr/>
        <w:t>万元、</w:t>
      </w:r>
    </w:p>
    <w:p>
      <w:pPr>
        <w:pStyle w:val="BodyText"/>
        <w:spacing w:line="240" w:lineRule="auto" w:before="63"/>
        <w:ind w:right="98"/>
        <w:jc w:val="left"/>
      </w:pPr>
      <w:r>
        <w:rPr>
          <w:rFonts w:ascii="Times New Roman" w:hAnsi="Times New Roman" w:cs="Times New Roman" w:eastAsia="Times New Roman" w:hint="default"/>
        </w:rPr>
        <w:t>589.4733</w:t>
      </w:r>
      <w:r>
        <w:rPr/>
        <w:t>万元、</w:t>
      </w:r>
      <w:r>
        <w:rPr>
          <w:rFonts w:ascii="Times New Roman" w:hAnsi="Times New Roman" w:cs="Times New Roman" w:eastAsia="Times New Roman" w:hint="default"/>
        </w:rPr>
        <w:t>589.4733</w:t>
      </w:r>
      <w:r>
        <w:rPr/>
        <w:t>万元和</w:t>
      </w:r>
      <w:r>
        <w:rPr>
          <w:rFonts w:ascii="Times New Roman" w:hAnsi="Times New Roman" w:cs="Times New Roman" w:eastAsia="Times New Roman" w:hint="default"/>
        </w:rPr>
        <w:t>101.0527</w:t>
      </w:r>
      <w:r>
        <w:rPr/>
        <w:t>万元（总计人民币</w:t>
      </w:r>
      <w:r>
        <w:rPr>
          <w:rFonts w:ascii="Times New Roman" w:hAnsi="Times New Roman" w:cs="Times New Roman" w:eastAsia="Times New Roman" w:hint="default"/>
        </w:rPr>
        <w:t>1600</w:t>
      </w:r>
      <w:r>
        <w:rPr/>
        <w:t>万元）受让前述人士持有的博海通讯</w:t>
      </w:r>
      <w:r>
        <w:rPr>
          <w:rFonts w:ascii="Times New Roman" w:hAnsi="Times New Roman" w:cs="Times New Roman" w:eastAsia="Times New Roman" w:hint="default"/>
        </w:rPr>
        <w:t>8.6118%</w:t>
      </w:r>
      <w:r>
        <w:rPr/>
        <w:t>、</w:t>
      </w:r>
      <w:r>
        <w:rPr>
          <w:rFonts w:ascii="Times New Roman" w:hAnsi="Times New Roman" w:cs="Times New Roman" w:eastAsia="Times New Roman" w:hint="default"/>
        </w:rPr>
        <w:t>15.8638%</w:t>
      </w:r>
      <w:r>
        <w:rPr/>
        <w:t>、</w:t>
      </w:r>
    </w:p>
    <w:p>
      <w:pPr>
        <w:pStyle w:val="BodyText"/>
        <w:spacing w:line="302" w:lineRule="auto" w:before="63"/>
        <w:ind w:right="102"/>
        <w:jc w:val="left"/>
      </w:pPr>
      <w:r>
        <w:rPr>
          <w:rFonts w:ascii="Times New Roman" w:hAnsi="Times New Roman" w:cs="Times New Roman" w:eastAsia="Times New Roman" w:hint="default"/>
        </w:rPr>
        <w:t>15.8638%</w:t>
      </w:r>
      <w:r>
        <w:rPr/>
        <w:t>和</w:t>
      </w:r>
      <w:r>
        <w:rPr>
          <w:rFonts w:ascii="Times New Roman" w:hAnsi="Times New Roman" w:cs="Times New Roman" w:eastAsia="Times New Roman" w:hint="default"/>
        </w:rPr>
        <w:t>2.7195%</w:t>
      </w:r>
      <w:r>
        <w:rPr/>
        <w:t>（总计</w:t>
      </w:r>
      <w:r>
        <w:rPr>
          <w:rFonts w:ascii="Times New Roman" w:hAnsi="Times New Roman" w:cs="Times New Roman" w:eastAsia="Times New Roman" w:hint="default"/>
        </w:rPr>
        <w:t>43.0589%</w:t>
      </w:r>
      <w:r>
        <w:rPr/>
        <w:t>）股份。股权转让款项分两期支付，其中第一期款项计人民币</w:t>
      </w:r>
      <w:r>
        <w:rPr>
          <w:rFonts w:ascii="Times New Roman" w:hAnsi="Times New Roman" w:cs="Times New Roman" w:eastAsia="Times New Roman" w:hint="default"/>
        </w:rPr>
        <w:t>400</w:t>
      </w:r>
      <w:r>
        <w:rPr/>
        <w:t>万元在合同生效后</w:t>
      </w:r>
      <w:r>
        <w:rPr>
          <w:rFonts w:ascii="Times New Roman" w:hAnsi="Times New Roman" w:cs="Times New Roman" w:eastAsia="Times New Roman" w:hint="default"/>
        </w:rPr>
        <w:t>5</w:t>
      </w:r>
      <w:r>
        <w:rPr/>
        <w:t>个 工作日内支付。第二期款项计人民币</w:t>
      </w:r>
      <w:r>
        <w:rPr>
          <w:rFonts w:ascii="Times New Roman" w:hAnsi="Times New Roman" w:cs="Times New Roman" w:eastAsia="Times New Roman" w:hint="default"/>
        </w:rPr>
        <w:t>1200</w:t>
      </w:r>
      <w:r>
        <w:rPr/>
        <w:t>万元的支付附带博海公司业绩完成条件：若博海通讯连续两年（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w:t>
      </w:r>
      <w:r>
        <w:rPr>
          <w:spacing w:val="2"/>
        </w:rPr>
        <w:t> </w:t>
      </w:r>
      <w:r>
        <w:rPr/>
        <w:t>实现扣非后净利润增长率不低于</w:t>
      </w:r>
      <w:r>
        <w:rPr>
          <w:rFonts w:ascii="Times New Roman" w:hAnsi="Times New Roman" w:cs="Times New Roman" w:eastAsia="Times New Roman" w:hint="default"/>
        </w:rPr>
        <w:t>30%</w:t>
      </w:r>
      <w:r>
        <w:rPr/>
        <w:t>，且连续两年扣非后净利润平均值不低于</w:t>
      </w:r>
      <w:r>
        <w:rPr>
          <w:rFonts w:ascii="Times New Roman" w:hAnsi="Times New Roman" w:cs="Times New Roman" w:eastAsia="Times New Roman" w:hint="default"/>
        </w:rPr>
        <w:t>1000</w:t>
      </w:r>
      <w:r>
        <w:rPr/>
        <w:t>万元，公司于博海通讯</w:t>
      </w:r>
      <w:r>
        <w:rPr>
          <w:rFonts w:ascii="Times New Roman" w:hAnsi="Times New Roman" w:cs="Times New Roman" w:eastAsia="Times New Roman" w:hint="default"/>
        </w:rPr>
        <w:t>2013</w:t>
      </w:r>
      <w:r>
        <w:rPr/>
        <w:t>年审计报告出 具后</w:t>
      </w:r>
      <w:r>
        <w:rPr>
          <w:rFonts w:ascii="Times New Roman" w:hAnsi="Times New Roman" w:cs="Times New Roman" w:eastAsia="Times New Roman" w:hint="default"/>
        </w:rPr>
        <w:t>20</w:t>
      </w:r>
      <w:r>
        <w:rPr/>
        <w:t>日内支付</w:t>
      </w:r>
      <w:r>
        <w:rPr>
          <w:rFonts w:ascii="Times New Roman" w:hAnsi="Times New Roman" w:cs="Times New Roman" w:eastAsia="Times New Roman" w:hint="default"/>
        </w:rPr>
        <w:t>1200</w:t>
      </w:r>
      <w:r>
        <w:rPr/>
        <w:t>万元转让款；若博海通讯连续两年实现扣非后净利润增长率不低于</w:t>
      </w:r>
      <w:r>
        <w:rPr>
          <w:rFonts w:ascii="Times New Roman" w:hAnsi="Times New Roman" w:cs="Times New Roman" w:eastAsia="Times New Roman" w:hint="default"/>
        </w:rPr>
        <w:t>30%</w:t>
      </w:r>
      <w:r>
        <w:rPr/>
        <w:t>，且连续两年扣非后平均净利润 高于</w:t>
      </w:r>
      <w:r>
        <w:rPr>
          <w:rFonts w:ascii="Times New Roman" w:hAnsi="Times New Roman" w:cs="Times New Roman" w:eastAsia="Times New Roman" w:hint="default"/>
        </w:rPr>
        <w:t>500</w:t>
      </w:r>
      <w:r>
        <w:rPr/>
        <w:t>万元低于</w:t>
      </w:r>
      <w:r>
        <w:rPr>
          <w:rFonts w:ascii="Times New Roman" w:hAnsi="Times New Roman" w:cs="Times New Roman" w:eastAsia="Times New Roman" w:hint="default"/>
        </w:rPr>
        <w:t>1000</w:t>
      </w:r>
      <w:r>
        <w:rPr/>
        <w:t>万元，则公司按照</w:t>
      </w:r>
      <w:r>
        <w:rPr>
          <w:rFonts w:ascii="Times New Roman" w:hAnsi="Times New Roman" w:cs="Times New Roman" w:eastAsia="Times New Roman" w:hint="default"/>
        </w:rPr>
        <w:t>1200*</w:t>
      </w:r>
      <w:r>
        <w:rPr/>
        <w:t>（两年扣非后净利润平均值</w:t>
      </w:r>
      <w:r>
        <w:rPr>
          <w:rFonts w:ascii="Times New Roman" w:hAnsi="Times New Roman" w:cs="Times New Roman" w:eastAsia="Times New Roman" w:hint="default"/>
        </w:rPr>
        <w:t>-500</w:t>
      </w:r>
      <w:r>
        <w:rPr/>
        <w:t>万）</w:t>
      </w:r>
      <w:r>
        <w:rPr>
          <w:rFonts w:ascii="Times New Roman" w:hAnsi="Times New Roman" w:cs="Times New Roman" w:eastAsia="Times New Roman" w:hint="default"/>
        </w:rPr>
        <w:t>/1000</w:t>
      </w:r>
      <w:r>
        <w:rPr/>
        <w:t>万的金额于博海通讯</w:t>
      </w:r>
      <w:r>
        <w:rPr>
          <w:rFonts w:ascii="Times New Roman" w:hAnsi="Times New Roman" w:cs="Times New Roman" w:eastAsia="Times New Roman" w:hint="default"/>
        </w:rPr>
        <w:t>2013</w:t>
      </w:r>
      <w:r>
        <w:rPr/>
        <w:t>年审计报 告出具后</w:t>
      </w:r>
      <w:r>
        <w:rPr>
          <w:rFonts w:ascii="Times New Roman" w:hAnsi="Times New Roman" w:cs="Times New Roman" w:eastAsia="Times New Roman" w:hint="default"/>
        </w:rPr>
        <w:t>20</w:t>
      </w:r>
      <w:r>
        <w:rPr/>
        <w:t>日内支付；若连续两年实现扣非后净利润增长率低于</w:t>
      </w:r>
      <w:r>
        <w:rPr>
          <w:rFonts w:ascii="Times New Roman" w:hAnsi="Times New Roman" w:cs="Times New Roman" w:eastAsia="Times New Roman" w:hint="default"/>
        </w:rPr>
        <w:t>30%</w:t>
      </w:r>
      <w:r>
        <w:rPr/>
        <w:t>或连续两年实现净利润的平均值低于</w:t>
      </w:r>
      <w:r>
        <w:rPr>
          <w:rFonts w:ascii="Times New Roman" w:hAnsi="Times New Roman" w:cs="Times New Roman" w:eastAsia="Times New Roman" w:hint="default"/>
        </w:rPr>
        <w:t>500</w:t>
      </w:r>
      <w:r>
        <w:rPr/>
        <w:t>万元（时）， 公司将不再支付剩余</w:t>
      </w:r>
      <w:r>
        <w:rPr>
          <w:rFonts w:ascii="Times New Roman" w:hAnsi="Times New Roman" w:cs="Times New Roman" w:eastAsia="Times New Roman" w:hint="default"/>
        </w:rPr>
        <w:t>1200</w:t>
      </w:r>
      <w:r>
        <w:rPr/>
        <w:t>万元股权转让款。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日，博海通讯的上述股权已办妥工商变更登记，且本公司已在其董事会五个席位中占有三个席位，并向其委派 了财务经理。自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日起，本公司将博海通讯纳入合并报表范围。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日，公司与深圳力合创业投资有限公司签订了企业国有产权转让合同，以人民币</w:t>
      </w:r>
      <w:r>
        <w:rPr>
          <w:rFonts w:ascii="Times New Roman" w:hAnsi="Times New Roman" w:cs="Times New Roman" w:eastAsia="Times New Roman" w:hint="default"/>
        </w:rPr>
        <w:t>260</w:t>
      </w:r>
      <w:r>
        <w:rPr/>
        <w:t>万元的价格受让其持有的 博海通讯</w:t>
      </w:r>
      <w:r>
        <w:rPr>
          <w:rFonts w:ascii="Times New Roman" w:hAnsi="Times New Roman" w:cs="Times New Roman" w:eastAsia="Times New Roman" w:hint="default"/>
        </w:rPr>
        <w:t>3.3614%</w:t>
      </w:r>
      <w:r>
        <w:rPr/>
        <w:t>股份。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日，本公司共计持有博海通讯</w:t>
      </w:r>
      <w:r>
        <w:rPr>
          <w:rFonts w:ascii="Times New Roman" w:hAnsi="Times New Roman" w:cs="Times New Roman" w:eastAsia="Times New Roman" w:hint="default"/>
        </w:rPr>
        <w:t>51.0001%</w:t>
      </w:r>
      <w:r>
        <w:rPr/>
        <w:t>的股份，并于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日办妥了工商登记手续。 二、购买中天信安的情况说明 根据公司第一届董事会第十七次会议决议和公司</w:t>
      </w:r>
      <w:r>
        <w:rPr>
          <w:rFonts w:ascii="Times New Roman" w:hAnsi="Times New Roman" w:cs="Times New Roman" w:eastAsia="Times New Roman" w:hint="default"/>
        </w:rPr>
        <w:t>2012</w:t>
      </w:r>
      <w:r>
        <w:rPr/>
        <w:t>年度第</w:t>
      </w:r>
      <w:r>
        <w:rPr>
          <w:rFonts w:ascii="Times New Roman" w:hAnsi="Times New Roman" w:cs="Times New Roman" w:eastAsia="Times New Roman" w:hint="default"/>
        </w:rPr>
        <w:t>3</w:t>
      </w:r>
      <w:r>
        <w:rPr/>
        <w:t>次临时股东大会决议，决定收购北京中天信安科技有限责任公 司部分股权。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日，公司使用超募资金</w:t>
      </w:r>
      <w:r>
        <w:rPr>
          <w:rFonts w:ascii="Times New Roman" w:hAnsi="Times New Roman" w:cs="Times New Roman" w:eastAsia="Times New Roman" w:hint="default"/>
        </w:rPr>
        <w:t>500</w:t>
      </w:r>
      <w:r>
        <w:rPr/>
        <w:t>万元向中天信安进行增资，获得其</w:t>
      </w:r>
      <w:r>
        <w:rPr>
          <w:rFonts w:ascii="Times New Roman" w:hAnsi="Times New Roman" w:cs="Times New Roman" w:eastAsia="Times New Roman" w:hint="default"/>
        </w:rPr>
        <w:t>20%</w:t>
      </w:r>
      <w:r>
        <w:rPr/>
        <w:t>的股权。</w:t>
      </w:r>
    </w:p>
    <w:p>
      <w:pPr>
        <w:spacing w:line="240" w:lineRule="auto" w:before="2"/>
        <w:rPr>
          <w:rFonts w:ascii="宋体" w:hAnsi="宋体" w:cs="宋体" w:eastAsia="宋体" w:hint="default"/>
          <w:sz w:val="22"/>
          <w:szCs w:val="22"/>
        </w:rPr>
      </w:pPr>
    </w:p>
    <w:p>
      <w:pPr>
        <w:pStyle w:val="Heading3"/>
        <w:spacing w:line="240" w:lineRule="auto"/>
        <w:ind w:right="98"/>
        <w:jc w:val="left"/>
        <w:rPr>
          <w:b w:val="0"/>
          <w:bCs w:val="0"/>
        </w:rPr>
      </w:pPr>
      <w:r>
        <w:rPr>
          <w:rFonts w:ascii="Times New Roman" w:hAnsi="Times New Roman" w:cs="Times New Roman" w:eastAsia="Times New Roman" w:hint="default"/>
        </w:rPr>
        <w:t>2</w:t>
      </w:r>
      <w:r>
        <w:rPr/>
        <w:t>、企业合并情况</w:t>
      </w:r>
      <w:r>
        <w:rPr>
          <w:b w:val="0"/>
          <w:bCs w:val="0"/>
        </w:rPr>
      </w:r>
    </w:p>
    <w:p>
      <w:pPr>
        <w:spacing w:line="240" w:lineRule="auto" w:before="2"/>
        <w:rPr>
          <w:rFonts w:ascii="宋体" w:hAnsi="宋体" w:cs="宋体" w:eastAsia="宋体" w:hint="default"/>
          <w:b/>
          <w:bCs/>
          <w:sz w:val="26"/>
          <w:szCs w:val="26"/>
        </w:rPr>
      </w:pPr>
    </w:p>
    <w:p>
      <w:pPr>
        <w:pStyle w:val="BodyText"/>
        <w:spacing w:line="307" w:lineRule="auto"/>
        <w:ind w:right="190"/>
        <w:jc w:val="both"/>
      </w:pPr>
      <w:r>
        <w:rPr/>
        <w:t>公司第一届董事会第十五会议审议通过了《关于收购深圳市博海通讯技术有限公司部分股权的议案》，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日，博 </w:t>
      </w:r>
      <w:r>
        <w:rPr>
          <w:spacing w:val="-2"/>
        </w:rPr>
        <w:t>海通讯取得了深圳市市场监督管理局换发的《企业法人营业执照》并完成相应的股权变更登记手续。鉴于公司已在其董事会</w:t>
      </w:r>
      <w:r>
        <w:rPr>
          <w:spacing w:val="-63"/>
        </w:rPr>
        <w:t> </w:t>
      </w:r>
      <w:r>
        <w:rPr>
          <w:spacing w:val="-63"/>
        </w:rPr>
      </w:r>
      <w:r>
        <w:rPr/>
        <w:t>五个席位中占有三个席位，并向其委派了财务经理。自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日起，公司将博海通讯纳入合并报表范围，公司将其新 纳入公司合并报表范围。</w:t>
      </w:r>
    </w:p>
    <w:p>
      <w:pPr>
        <w:spacing w:line="240" w:lineRule="auto" w:before="6"/>
        <w:rPr>
          <w:rFonts w:ascii="宋体" w:hAnsi="宋体" w:cs="宋体" w:eastAsia="宋体" w:hint="default"/>
          <w:sz w:val="21"/>
          <w:szCs w:val="21"/>
        </w:rPr>
      </w:pPr>
    </w:p>
    <w:p>
      <w:pPr>
        <w:pStyle w:val="Heading2"/>
        <w:spacing w:line="240" w:lineRule="auto"/>
        <w:ind w:right="98"/>
        <w:jc w:val="left"/>
        <w:rPr>
          <w:b w:val="0"/>
          <w:bCs w:val="0"/>
        </w:rPr>
      </w:pPr>
      <w:r>
        <w:rPr/>
        <w:t>四、重大关联交易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
        <w:jc w:val="left"/>
        <w:rPr>
          <w:b w:val="0"/>
          <w:bCs w:val="0"/>
        </w:rPr>
      </w:pPr>
      <w:r>
        <w:rPr>
          <w:rFonts w:ascii="Times New Roman" w:hAnsi="Times New Roman" w:cs="Times New Roman" w:eastAsia="Times New Roman" w:hint="default"/>
        </w:rPr>
        <w:t>1</w:t>
      </w:r>
      <w:r>
        <w:rPr/>
        <w:t>、关联债权债务往来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t>是否存在非经营性关联债权债务往来</w:t>
      </w:r>
    </w:p>
    <w:p>
      <w:pPr>
        <w:pStyle w:val="BodyText"/>
        <w:spacing w:line="240" w:lineRule="auto" w:before="117"/>
        <w:ind w:right="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6"/>
        <w:gridCol w:w="935"/>
        <w:gridCol w:w="940"/>
        <w:gridCol w:w="1216"/>
        <w:gridCol w:w="1174"/>
        <w:gridCol w:w="1093"/>
        <w:gridCol w:w="1018"/>
        <w:gridCol w:w="803"/>
        <w:gridCol w:w="787"/>
      </w:tblGrid>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9"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51"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9"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40"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3"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7"/>
              <w:ind w:left="424" w:right="151"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4"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7"/>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博海通讯</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2,000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2,000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7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w:t>
            </w:r>
          </w:p>
        </w:tc>
      </w:tr>
      <w:tr>
        <w:trPr>
          <w:trHeight w:val="718"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2,000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7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w:t>
            </w:r>
          </w:p>
        </w:tc>
      </w:tr>
      <w:tr>
        <w:trPr>
          <w:trHeight w:val="394"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2,000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1" w:right="7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w:t>
            </w:r>
          </w:p>
        </w:tc>
      </w:tr>
      <w:tr>
        <w:trPr>
          <w:trHeight w:val="715"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2,000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w:t>
            </w:r>
          </w:p>
        </w:tc>
      </w:tr>
      <w:tr>
        <w:trPr>
          <w:trHeight w:val="401" w:hRule="exact"/>
        </w:trPr>
        <w:tc>
          <w:tcPr>
            <w:tcW w:w="4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实际担保余额（即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）占公司净资产比例</w:t>
            </w:r>
          </w:p>
        </w:tc>
        <w:tc>
          <w:tcPr>
            <w:tcW w:w="487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Heading2"/>
        <w:spacing w:line="240" w:lineRule="auto" w:before="28"/>
        <w:ind w:left="140" w:right="0"/>
        <w:jc w:val="left"/>
        <w:rPr>
          <w:b w:val="0"/>
          <w:bCs w:val="0"/>
        </w:rPr>
      </w:pPr>
      <w:r>
        <w:rPr/>
        <w:pict>
          <v:shape style="position:absolute;margin-left:446.330017pt;margin-top:221.210007pt;width:128.8pt;height:139.35pt;mso-position-horizontal-relative:page;mso-position-vertical-relative:page;z-index:-65380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6"/>
                      <w:szCs w:val="26"/>
                    </w:rPr>
                  </w:pPr>
                </w:p>
                <w:p>
                  <w:pPr>
                    <w:pStyle w:val="BodyText"/>
                    <w:spacing w:line="240" w:lineRule="auto"/>
                    <w:ind w:left="0" w:right="0"/>
                    <w:jc w:val="left"/>
                  </w:pPr>
                  <w:r>
                    <w:rPr/>
                    <w:t>（有限合伙）</w:t>
                  </w:r>
                </w:p>
              </w:txbxContent>
            </v:textbox>
            <w10:wrap type="none"/>
          </v:shape>
        </w:pict>
      </w:r>
      <w:r>
        <w:rPr/>
        <w:pict>
          <v:group style="position:absolute;margin-left:70.559998pt;margin-top:2.195603pt;width:700.9pt;height:.1pt;mso-position-horizontal-relative:page;mso-position-vertical-relative:paragraph;z-index:-653776" coordorigin="1411,44" coordsize="14018,2">
            <v:shape style="position:absolute;left:1411;top:44;width:14018;height:2" coordorigin="1411,44" coordsize="14018,0" path="m1411,44l15429,44e" filled="false" stroked="true" strokeweight=".72pt" strokecolor="#000000">
              <v:path arrowok="t"/>
            </v:shape>
            <w10:wrap type="none"/>
          </v:group>
        </w:pict>
      </w:r>
      <w:r>
        <w:rPr/>
        <w:t>六、承诺事项履行情况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1419"/>
        <w:gridCol w:w="991"/>
        <w:gridCol w:w="6097"/>
        <w:gridCol w:w="1560"/>
        <w:gridCol w:w="2552"/>
        <w:gridCol w:w="1274"/>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5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both"/>
              <w:rPr>
                <w:rFonts w:ascii="宋体" w:hAnsi="宋体" w:cs="宋体" w:eastAsia="宋体" w:hint="default"/>
                <w:sz w:val="18"/>
                <w:szCs w:val="18"/>
              </w:rPr>
            </w:pPr>
            <w:r>
              <w:rPr>
                <w:rFonts w:ascii="宋体" w:hAnsi="宋体" w:cs="宋体" w:eastAsia="宋体" w:hint="default"/>
                <w:spacing w:val="-3"/>
                <w:sz w:val="18"/>
                <w:szCs w:val="18"/>
              </w:rPr>
              <w:t>公司控股股东、实际控制人景晓军先生向公司出具了《关于避免同业竞争的承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9"/>
                <w:sz w:val="18"/>
                <w:szCs w:val="18"/>
              </w:rPr>
              <w:t>诺函》，承诺在作为公司的控股股东和</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或实际控制人期间，不会以任何方式（包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括但不限于独立经营、合资经营和拥有在其他公司或企业的股票或权益）直接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或间接从事与公司相同或相似等有竞争或者可能构成竞争的业务或活动，将来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也不会从事与公司相同或者相似等有竞争或者可能构成竞争的业务或活动。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长期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1" w:right="-17"/>
              <w:jc w:val="left"/>
              <w:rPr>
                <w:rFonts w:ascii="宋体" w:hAnsi="宋体" w:cs="宋体" w:eastAsia="宋体" w:hint="default"/>
                <w:sz w:val="18"/>
                <w:szCs w:val="18"/>
              </w:rPr>
            </w:pPr>
            <w:r>
              <w:rPr>
                <w:rFonts w:ascii="宋体" w:hAnsi="宋体" w:cs="宋体" w:eastAsia="宋体" w:hint="default"/>
                <w:sz w:val="18"/>
                <w:szCs w:val="18"/>
              </w:rPr>
              <w:t>截至报告期末， 景晓军先生严 格遵守了承诺。</w:t>
            </w:r>
          </w:p>
        </w:tc>
      </w:tr>
      <w:tr>
        <w:trPr>
          <w:trHeight w:val="597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316" w:lineRule="auto"/>
              <w:ind w:left="21" w:right="59"/>
              <w:jc w:val="left"/>
              <w:rPr>
                <w:rFonts w:ascii="宋体" w:hAnsi="宋体" w:cs="宋体" w:eastAsia="宋体" w:hint="default"/>
                <w:sz w:val="18"/>
                <w:szCs w:val="18"/>
              </w:rPr>
            </w:pPr>
            <w:r>
              <w:rPr>
                <w:rFonts w:ascii="宋体" w:hAnsi="宋体" w:cs="宋体" w:eastAsia="宋体" w:hint="default"/>
                <w:sz w:val="18"/>
                <w:szCs w:val="18"/>
              </w:rPr>
              <w:t>发行前公司 股东及董 事、监事、 高级管理人 员</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控股股东景晓军先生、深圳市华信远景投资咨询有限公司、景晓东先生、沈智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杰先生、吴宁莉女士、唐海林先生、古元先生、师召辉先生承诺：自公司股票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个月内，不转让或者委托他人管理其直接或间接持有的公司公 </w:t>
            </w:r>
            <w:r>
              <w:rPr>
                <w:rFonts w:ascii="宋体" w:hAnsi="宋体" w:cs="宋体" w:eastAsia="宋体" w:hint="default"/>
                <w:spacing w:val="-3"/>
                <w:sz w:val="18"/>
                <w:szCs w:val="18"/>
              </w:rPr>
              <w:t>开发行股票前已发行的股份，也不由公司回购其直接或间接持有的公司公开发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行股票前已发行的股份。股东天津东方富海股权投资基金合伙企业</w:t>
            </w:r>
            <w:r>
              <w:rPr>
                <w:rFonts w:ascii="宋体" w:hAnsi="宋体" w:cs="宋体" w:eastAsia="宋体" w:hint="default"/>
                <w:sz w:val="18"/>
                <w:szCs w:val="18"/>
              </w:rPr>
              <w:t> 承诺：自完成增资工商变更登记之日起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个月内，不转让或者委托他人管理 </w:t>
            </w:r>
            <w:r>
              <w:rPr>
                <w:rFonts w:ascii="宋体" w:hAnsi="宋体" w:cs="宋体" w:eastAsia="宋体" w:hint="default"/>
                <w:spacing w:val="-3"/>
                <w:sz w:val="18"/>
                <w:szCs w:val="18"/>
              </w:rPr>
              <w:t>其直接或间接持有的公司公开发行股票前已发行的股份，也不由公司回购其直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接或间接持有的公司公开发行股票前已发行的股份。同时，自公司股票上市之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个月内，不转让或者委托他人管理首次公开发行前本人持有的公司股</w:t>
            </w:r>
          </w:p>
          <w:p>
            <w:pPr>
              <w:pStyle w:val="TableParagraph"/>
              <w:spacing w:line="304" w:lineRule="auto" w:before="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份，也不由公司回购本人持有的上述股份。此外，自公司股票上市之日起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Times New Roman" w:hAnsi="Times New Roman" w:cs="Times New Roman" w:eastAsia="Times New Roman" w:hint="default"/>
                <w:sz w:val="18"/>
                <w:szCs w:val="18"/>
              </w:rPr>
              <w:t>,</w:t>
            </w:r>
            <w:r>
              <w:rPr>
                <w:rFonts w:ascii="宋体" w:hAnsi="宋体" w:cs="宋体" w:eastAsia="宋体" w:hint="default"/>
                <w:sz w:val="18"/>
                <w:szCs w:val="18"/>
              </w:rPr>
              <w:t>转让的公司股份不超过其所持有公司股份总额的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。公司董事景晓 </w:t>
            </w:r>
            <w:r>
              <w:rPr>
                <w:rFonts w:ascii="宋体" w:hAnsi="宋体" w:cs="宋体" w:eastAsia="宋体" w:hint="default"/>
                <w:spacing w:val="-3"/>
                <w:sz w:val="18"/>
                <w:szCs w:val="18"/>
              </w:rPr>
              <w:t>军先生、景晓东先生均承诺：除上述锁定期外，在其及其关联方任职期间，每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年转让的股份不超过其所直接和间接持有公司股份总数的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；在其及其关 联方离职后半年内，不转让其所直接和间接持有的公司股份；在申报离任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300" w:lineRule="auto" w:before="9"/>
              <w:ind w:left="23" w:right="29"/>
              <w:jc w:val="left"/>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个月内通过证券交易所挂牌交易出售公司股票数量占其直接和间 接持有公司股票总数的比例不超过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；在公司股票上市之日起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个月内申 报离职的，自申报离职之日起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个月内不得转让其持有的公司股份；在公司</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股票上市之日起第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个月至第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个月之间申报离职的，自申报离职之日起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个月内不得转让其持有的公司股份。担任公司董事、监事、高级管理人员的沈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86" w:lineRule="exact"/>
              <w:ind w:right="-51"/>
              <w:jc w:val="left"/>
              <w:rPr>
                <w:rFonts w:ascii="宋体" w:hAnsi="宋体" w:cs="宋体" w:eastAsia="宋体" w:hint="default"/>
                <w:sz w:val="20"/>
                <w:szCs w:val="20"/>
              </w:rPr>
            </w:pPr>
            <w:r>
              <w:rPr>
                <w:rFonts w:ascii="宋体" w:hAnsi="宋体" w:cs="宋体" w:eastAsia="宋体" w:hint="default"/>
                <w:position w:val="-55"/>
                <w:sz w:val="20"/>
                <w:szCs w:val="20"/>
              </w:rPr>
              <w:pict>
                <v:group style="width:77.55pt;height:139.35pt;mso-position-horizontal-relative:char;mso-position-vertical-relative:line" coordorigin="0,0" coordsize="1551,2787">
                  <v:group style="position:absolute;left:0;top:0;width:1551;height:2787" coordorigin="0,0" coordsize="1551,2787">
                    <v:shape style="position:absolute;left:0;top:0;width:1551;height:2787" coordorigin="0,0" coordsize="1551,2787" path="m0,2787l1550,2787,1550,0,0,0,0,2787xe" filled="true" fillcolor="#ffffff" stroked="false">
                      <v:path arrowok="t"/>
                      <v:fill type="solid"/>
                    </v:shape>
                  </v:group>
                </v:group>
              </w:pict>
            </w:r>
            <w:r>
              <w:rPr>
                <w:rFonts w:ascii="宋体" w:hAnsi="宋体" w:cs="宋体" w:eastAsia="宋体" w:hint="default"/>
                <w:position w:val="-55"/>
                <w:sz w:val="20"/>
                <w:szCs w:val="20"/>
              </w:rPr>
            </w:r>
          </w:p>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314"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、公司控股股东、实际控制人 </w:t>
            </w:r>
            <w:r>
              <w:rPr>
                <w:rFonts w:ascii="宋体" w:hAnsi="宋体" w:cs="宋体" w:eastAsia="宋体" w:hint="default"/>
                <w:spacing w:val="-2"/>
                <w:sz w:val="18"/>
                <w:szCs w:val="18"/>
              </w:rPr>
              <w:t>景晓军先生、深圳市华信远景投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资咨询有限公司、景晓东先生、 </w:t>
            </w:r>
            <w:r>
              <w:rPr>
                <w:rFonts w:ascii="宋体" w:hAnsi="宋体" w:cs="宋体" w:eastAsia="宋体" w:hint="default"/>
                <w:spacing w:val="-2"/>
                <w:sz w:val="18"/>
                <w:szCs w:val="18"/>
              </w:rPr>
              <w:t>沈智杰先生、吴宁莉女士、唐海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林先生、古元先生、师召辉先生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及其它董事、监事、高级管理人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员的承诺期限为公司股票上市 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个月。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、股东天津东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方富海股权投资基金合伙企业</w:t>
            </w:r>
          </w:p>
          <w:p>
            <w:pPr>
              <w:pStyle w:val="TableParagraph"/>
              <w:spacing w:line="316" w:lineRule="auto" w:before="20"/>
              <w:ind w:left="21" w:right="22"/>
              <w:jc w:val="left"/>
              <w:rPr>
                <w:rFonts w:ascii="宋体" w:hAnsi="宋体" w:cs="宋体" w:eastAsia="宋体" w:hint="default"/>
                <w:sz w:val="18"/>
                <w:szCs w:val="18"/>
              </w:rPr>
            </w:pPr>
            <w:r>
              <w:rPr>
                <w:rFonts w:ascii="宋体" w:hAnsi="宋体" w:cs="宋体" w:eastAsia="宋体" w:hint="default"/>
                <w:spacing w:val="-2"/>
                <w:sz w:val="18"/>
                <w:szCs w:val="18"/>
              </w:rPr>
              <w:t>（有限合伙）的承诺期限为自公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316" w:lineRule="auto"/>
              <w:ind w:left="21" w:right="-17"/>
              <w:jc w:val="left"/>
              <w:rPr>
                <w:rFonts w:ascii="宋体" w:hAnsi="宋体" w:cs="宋体" w:eastAsia="宋体" w:hint="default"/>
                <w:sz w:val="18"/>
                <w:szCs w:val="18"/>
              </w:rPr>
            </w:pPr>
            <w:r>
              <w:rPr>
                <w:rFonts w:ascii="宋体" w:hAnsi="宋体" w:cs="宋体" w:eastAsia="宋体" w:hint="default"/>
                <w:sz w:val="18"/>
                <w:szCs w:val="18"/>
              </w:rPr>
              <w:t>截至报告期末， 各承诺方均严 格遵守了各自 出具的承诺。</w:t>
            </w:r>
          </w:p>
        </w:tc>
      </w:tr>
    </w:tbl>
    <w:p>
      <w:pPr>
        <w:spacing w:after="0" w:line="316" w:lineRule="auto"/>
        <w:jc w:val="left"/>
        <w:rPr>
          <w:rFonts w:ascii="宋体" w:hAnsi="宋体" w:cs="宋体" w:eastAsia="宋体" w:hint="default"/>
          <w:sz w:val="18"/>
          <w:szCs w:val="18"/>
        </w:rPr>
        <w:sectPr>
          <w:headerReference w:type="default" r:id="rId16"/>
          <w:footerReference w:type="default" r:id="rId17"/>
          <w:pgSz w:w="16840" w:h="11910" w:orient="landscape"/>
          <w:pgMar w:header="867" w:footer="980" w:top="1060" w:bottom="1160" w:left="1300" w:right="1300"/>
          <w:pgNumType w:start="3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19"/>
        <w:gridCol w:w="991"/>
        <w:gridCol w:w="6097"/>
        <w:gridCol w:w="1560"/>
        <w:gridCol w:w="2552"/>
        <w:gridCol w:w="1274"/>
      </w:tblGrid>
      <w:tr>
        <w:trPr>
          <w:trHeight w:val="2561" w:hRule="exact"/>
        </w:trPr>
        <w:tc>
          <w:tcPr>
            <w:tcW w:w="1419"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6097" w:type="dxa"/>
            <w:tcBorders>
              <w:top w:val="single" w:sz="15" w:space="0" w:color="000000"/>
              <w:left w:val="single" w:sz="4" w:space="0" w:color="000000"/>
              <w:bottom w:val="single" w:sz="4" w:space="0" w:color="000000"/>
              <w:right w:val="single" w:sz="4" w:space="0" w:color="000000"/>
            </w:tcBorders>
          </w:tcPr>
          <w:p>
            <w:pPr>
              <w:pStyle w:val="TableParagraph"/>
              <w:spacing w:line="307" w:lineRule="auto" w:before="11"/>
              <w:ind w:left="23" w:right="22"/>
              <w:jc w:val="left"/>
              <w:rPr>
                <w:rFonts w:ascii="宋体" w:hAnsi="宋体" w:cs="宋体" w:eastAsia="宋体" w:hint="default"/>
                <w:sz w:val="18"/>
                <w:szCs w:val="18"/>
              </w:rPr>
            </w:pPr>
            <w:r>
              <w:rPr>
                <w:rFonts w:ascii="宋体" w:hAnsi="宋体" w:cs="宋体" w:eastAsia="宋体" w:hint="default"/>
                <w:spacing w:val="-3"/>
                <w:sz w:val="18"/>
                <w:szCs w:val="18"/>
              </w:rPr>
              <w:t>智杰先生、吴宁莉女士、唐海林先生、古元先生、师召辉先生、陈文先生、王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晓蓉女士均承诺：除上述锁定期外，在任职期间每年转让的股份不超过其直接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和间接持有公司股份总数的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；离职后半年内，不转让其直接和间接持有 的公司股份；在申报离任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个月内通过证券交易所挂牌交易出售 公司股票数量占其直接和间接持有公司股票总数的比例不超过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；在公司 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个月内申报离职的，自申报离职之日起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个月内不得转让</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其持有的公司股份；在公司股票上市之日起第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个月之间申报离</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职的，自申报离职之日起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个月内不得转让其持有的公司股份。</w:t>
            </w:r>
          </w:p>
        </w:tc>
        <w:tc>
          <w:tcPr>
            <w:tcW w:w="1560" w:type="dxa"/>
            <w:tcBorders>
              <w:top w:val="single" w:sz="15" w:space="0" w:color="000000"/>
              <w:left w:val="single" w:sz="4" w:space="0" w:color="000000"/>
              <w:bottom w:val="single" w:sz="4" w:space="0" w:color="000000"/>
              <w:right w:val="single" w:sz="4" w:space="0" w:color="000000"/>
            </w:tcBorders>
          </w:tcPr>
          <w:p>
            <w:pPr/>
          </w:p>
        </w:tc>
        <w:tc>
          <w:tcPr>
            <w:tcW w:w="2552"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23"/>
              <w:jc w:val="left"/>
              <w:rPr>
                <w:rFonts w:ascii="宋体" w:hAnsi="宋体" w:cs="宋体" w:eastAsia="宋体" w:hint="default"/>
                <w:sz w:val="18"/>
                <w:szCs w:val="18"/>
              </w:rPr>
            </w:pPr>
            <w:r>
              <w:rPr>
                <w:rFonts w:ascii="宋体" w:hAnsi="宋体" w:cs="宋体" w:eastAsia="宋体" w:hint="default"/>
                <w:sz w:val="18"/>
                <w:szCs w:val="18"/>
              </w:rPr>
              <w:t>承诺是否及时履 行</w:t>
            </w:r>
          </w:p>
        </w:tc>
        <w:tc>
          <w:tcPr>
            <w:tcW w:w="124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3"/>
              <w:jc w:val="both"/>
              <w:rPr>
                <w:rFonts w:ascii="宋体" w:hAnsi="宋体" w:cs="宋体" w:eastAsia="宋体" w:hint="default"/>
                <w:sz w:val="18"/>
                <w:szCs w:val="18"/>
              </w:rPr>
            </w:pPr>
            <w:r>
              <w:rPr>
                <w:rFonts w:ascii="宋体" w:hAnsi="宋体" w:cs="宋体" w:eastAsia="宋体" w:hint="default"/>
                <w:sz w:val="18"/>
                <w:szCs w:val="18"/>
              </w:rPr>
              <w:t>未完成履行的具 体原因及下一步 计划</w:t>
            </w:r>
          </w:p>
        </w:tc>
        <w:tc>
          <w:tcPr>
            <w:tcW w:w="124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3"/>
              <w:jc w:val="both"/>
              <w:rPr>
                <w:rFonts w:ascii="宋体" w:hAnsi="宋体" w:cs="宋体" w:eastAsia="宋体" w:hint="default"/>
                <w:sz w:val="18"/>
                <w:szCs w:val="18"/>
              </w:rPr>
            </w:pPr>
            <w:r>
              <w:rPr>
                <w:rFonts w:ascii="宋体" w:hAnsi="宋体" w:cs="宋体" w:eastAsia="宋体" w:hint="default"/>
                <w:sz w:val="18"/>
                <w:szCs w:val="18"/>
              </w:rPr>
              <w:t>是否就导致的同 业竞争和关联交 易问题作出承诺</w:t>
            </w:r>
          </w:p>
        </w:tc>
        <w:tc>
          <w:tcPr>
            <w:tcW w:w="124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124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124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124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20" w:right="132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r>
        <w:rPr/>
        <w:t>七、聘任、解聘会计师事务所情况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北京永拓会计师事务所有限责任公司</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李宏、周益斌</w:t>
            </w:r>
          </w:p>
        </w:tc>
      </w:tr>
    </w:tbl>
    <w:p>
      <w:pPr>
        <w:pStyle w:val="BodyText"/>
        <w:spacing w:line="240" w:lineRule="auto" w:before="49"/>
        <w:ind w:right="0"/>
        <w:jc w:val="left"/>
      </w:pPr>
      <w:r>
        <w:rPr/>
        <w:t>是否改聘会计师事务所</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136"/>
        <w:jc w:val="left"/>
        <w:rPr>
          <w:b w:val="0"/>
          <w:bCs w:val="0"/>
        </w:rPr>
      </w:pPr>
      <w:r>
        <w:rPr/>
        <w:t>八、上市公司及其董事、监事、高级管理人员、公司股东、实际控制人和收购人处罚及整改</w:t>
      </w:r>
      <w:r>
        <w:rPr>
          <w:w w:val="99"/>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340" w:lineRule="auto" w:before="43"/>
        <w:ind w:right="5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上市公司及其子公司是否存在其他重大社会安全问题</w:t>
      </w:r>
    </w:p>
    <w:p>
      <w:pPr>
        <w:pStyle w:val="BodyText"/>
        <w:spacing w:line="340" w:lineRule="auto" w:before="39"/>
        <w:ind w:right="7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报告期内是否被行政处罚</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报告期内，公司股东及其一致行动人在报告期内未发生提出或实施股份增持计划的情况。</w:t>
      </w:r>
    </w:p>
    <w:p>
      <w:pPr>
        <w:spacing w:after="0" w:line="240" w:lineRule="auto"/>
        <w:jc w:val="left"/>
        <w:sectPr>
          <w:headerReference w:type="default" r:id="rId18"/>
          <w:footerReference w:type="default" r:id="rId19"/>
          <w:pgSz w:w="11910" w:h="16840"/>
          <w:pgMar w:header="877" w:footer="980" w:top="1100" w:bottom="1160" w:left="980" w:right="980"/>
          <w:pgNumType w:start="3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3" w:right="0"/>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2"/>
        <w:gridCol w:w="843"/>
        <w:gridCol w:w="842"/>
        <w:gridCol w:w="845"/>
        <w:gridCol w:w="814"/>
        <w:gridCol w:w="814"/>
      </w:tblGrid>
      <w:tr>
        <w:trPr>
          <w:trHeight w:val="40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3"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3,540,000</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-3,540,000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74.96%</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-2,360,000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24.62%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1,180,000</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-1,180,000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18.46%</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24.62%</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18.46%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-1,180,000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75.38%</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56.51%</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3,540,000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25.04%</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3,540,000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25.04%</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年</w:t>
      </w:r>
      <w:r>
        <w:rPr>
          <w:rFonts w:ascii="Times New Roman" w:hAnsi="Times New Roman" w:cs="Times New Roman" w:eastAsia="Times New Roman" w:hint="default"/>
          <w:spacing w:val="1"/>
        </w:rPr>
        <w:t>4</w:t>
      </w:r>
      <w:r>
        <w:rPr>
          <w:spacing w:val="-3"/>
        </w:rPr>
        <w:t>月</w:t>
      </w:r>
      <w:r>
        <w:rPr>
          <w:rFonts w:ascii="Times New Roman" w:hAnsi="Times New Roman" w:cs="Times New Roman" w:eastAsia="Times New Roman" w:hint="default"/>
          <w:spacing w:val="1"/>
        </w:rPr>
        <w:t>16</w:t>
      </w:r>
      <w:r>
        <w:rPr/>
        <w:t>日</w:t>
      </w:r>
      <w:r>
        <w:rPr>
          <w:spacing w:val="-77"/>
        </w:rPr>
        <w:t>，</w:t>
      </w:r>
      <w:r>
        <w:rPr/>
        <w:t>公司在深圳</w:t>
      </w:r>
      <w:r>
        <w:rPr>
          <w:spacing w:val="-3"/>
        </w:rPr>
        <w:t>证</w:t>
      </w:r>
      <w:r>
        <w:rPr/>
        <w:t>券交易所创业板首次公开发行股票</w:t>
      </w:r>
      <w:r>
        <w:rPr>
          <w:rFonts w:ascii="Times New Roman" w:hAnsi="Times New Roman" w:cs="Times New Roman" w:eastAsia="Times New Roman" w:hint="default"/>
          <w:spacing w:val="1"/>
        </w:rPr>
        <w:t>17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t>股</w:t>
      </w:r>
      <w:r>
        <w:rPr>
          <w:spacing w:val="-77"/>
        </w:rPr>
        <w:t>，</w:t>
      </w:r>
      <w:r>
        <w:rPr/>
        <w:t>其中</w:t>
      </w:r>
      <w:r>
        <w:rPr>
          <w:spacing w:val="-77"/>
        </w:rPr>
        <w:t>，</w:t>
      </w:r>
      <w:r>
        <w:rPr/>
        <w:t>网</w:t>
      </w:r>
      <w:r>
        <w:rPr>
          <w:spacing w:val="-3"/>
        </w:rPr>
        <w:t>下</w:t>
      </w:r>
      <w:r>
        <w:rPr/>
        <w:t>配售</w:t>
      </w:r>
      <w:r>
        <w:rPr>
          <w:rFonts w:ascii="Times New Roman" w:hAnsi="Times New Roman" w:cs="Times New Roman" w:eastAsia="Times New Roman" w:hint="default"/>
          <w:spacing w:val="1"/>
        </w:rPr>
        <w:t>35</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t>万股</w:t>
      </w:r>
      <w:r>
        <w:rPr>
          <w:spacing w:val="-77"/>
        </w:rPr>
        <w:t>，</w:t>
      </w:r>
      <w:r>
        <w:rPr/>
        <w:t>网上发行</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16</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340" w:lineRule="auto" w:before="63"/>
        <w:ind w:right="5724"/>
        <w:jc w:val="left"/>
      </w:pPr>
      <w:r>
        <w:rPr/>
        <w:t>万股，网下配售的股份于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日上市交易。 股份变动的批准情况</w:t>
      </w:r>
    </w:p>
    <w:p>
      <w:pPr>
        <w:pStyle w:val="BodyText"/>
        <w:spacing w:line="319" w:lineRule="auto" w:before="41"/>
        <w:ind w:right="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[2012]411</w:t>
      </w:r>
      <w:r>
        <w:rPr/>
        <w:t>号</w:t>
      </w:r>
      <w:r>
        <w:rPr>
          <w:rFonts w:ascii="Times New Roman" w:hAnsi="Times New Roman" w:cs="Times New Roman" w:eastAsia="Times New Roman" w:hint="default"/>
        </w:rPr>
        <w:t>”</w:t>
      </w:r>
      <w:r>
        <w:rPr/>
        <w:t>文件核准，公司于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日采用网下向配售对象询价配售（以下简 称</w:t>
      </w:r>
      <w:r>
        <w:rPr>
          <w:rFonts w:ascii="Times New Roman" w:hAnsi="Times New Roman" w:cs="Times New Roman" w:eastAsia="Times New Roman" w:hint="default"/>
        </w:rPr>
        <w:t>“</w:t>
      </w:r>
      <w:r>
        <w:rPr/>
        <w:t>网下配售</w:t>
      </w:r>
      <w:r>
        <w:rPr>
          <w:rFonts w:ascii="Times New Roman" w:hAnsi="Times New Roman" w:cs="Times New Roman" w:eastAsia="Times New Roman" w:hint="default"/>
        </w:rPr>
        <w:t>”</w:t>
      </w:r>
      <w:r>
        <w:rPr/>
        <w:t>）与网上向社会公众投资者定价发行（以下简称</w:t>
      </w:r>
      <w:r>
        <w:rPr>
          <w:rFonts w:ascii="Times New Roman" w:hAnsi="Times New Roman" w:cs="Times New Roman" w:eastAsia="Times New Roman" w:hint="default"/>
        </w:rPr>
        <w:t>“</w:t>
      </w:r>
      <w:r>
        <w:rPr/>
        <w:t>网上发行</w:t>
      </w:r>
      <w:r>
        <w:rPr>
          <w:rFonts w:ascii="Times New Roman" w:hAnsi="Times New Roman" w:cs="Times New Roman" w:eastAsia="Times New Roman" w:hint="default"/>
        </w:rPr>
        <w:t>”</w:t>
      </w:r>
      <w:r>
        <w:rPr/>
        <w:t>）相结合的方式向社会公开发行人民币普通股</w:t>
      </w:r>
    </w:p>
    <w:p>
      <w:pPr>
        <w:pStyle w:val="BodyText"/>
        <w:spacing w:line="340" w:lineRule="auto"/>
        <w:ind w:right="589"/>
        <w:jc w:val="left"/>
      </w:pPr>
      <w:r>
        <w:rPr>
          <w:rFonts w:ascii="Times New Roman" w:hAnsi="Times New Roman" w:cs="Times New Roman" w:eastAsia="Times New Roman" w:hint="default"/>
        </w:rPr>
        <w:t>1,770.00</w:t>
      </w:r>
      <w:r>
        <w:rPr/>
        <w:t>万股，每股面值</w:t>
      </w:r>
      <w:r>
        <w:rPr>
          <w:rFonts w:ascii="Times New Roman" w:hAnsi="Times New Roman" w:cs="Times New Roman" w:eastAsia="Times New Roman" w:hint="default"/>
        </w:rPr>
        <w:t>1.00</w:t>
      </w:r>
      <w:r>
        <w:rPr/>
        <w:t>元，发行价格为人民币</w:t>
      </w:r>
      <w:r>
        <w:rPr>
          <w:rFonts w:ascii="Times New Roman" w:hAnsi="Times New Roman" w:cs="Times New Roman" w:eastAsia="Times New Roman" w:hint="default"/>
        </w:rPr>
        <w:t>15.00</w:t>
      </w:r>
      <w:r>
        <w:rPr/>
        <w:t>元</w:t>
      </w:r>
      <w:r>
        <w:rPr>
          <w:rFonts w:ascii="Times New Roman" w:hAnsi="Times New Roman" w:cs="Times New Roman" w:eastAsia="Times New Roman" w:hint="default"/>
        </w:rPr>
        <w:t>/</w:t>
      </w:r>
      <w:r>
        <w:rPr/>
        <w:t>股，其中，网下配售</w:t>
      </w:r>
      <w:r>
        <w:rPr>
          <w:rFonts w:ascii="Times New Roman" w:hAnsi="Times New Roman" w:cs="Times New Roman" w:eastAsia="Times New Roman" w:hint="default"/>
        </w:rPr>
        <w:t>354.00</w:t>
      </w:r>
      <w:r>
        <w:rPr/>
        <w:t>万股，网上发行</w:t>
      </w:r>
      <w:r>
        <w:rPr>
          <w:rFonts w:ascii="Times New Roman" w:hAnsi="Times New Roman" w:cs="Times New Roman" w:eastAsia="Times New Roman" w:hint="default"/>
        </w:rPr>
        <w:t>1,416.00</w:t>
      </w:r>
      <w:r>
        <w:rPr/>
        <w:t>万股。 股份变动的过户情况</w:t>
      </w:r>
    </w:p>
    <w:p>
      <w:pPr>
        <w:pStyle w:val="BodyText"/>
        <w:spacing w:line="360" w:lineRule="auto" w:before="41"/>
        <w:ind w:right="414"/>
        <w:jc w:val="left"/>
      </w:pPr>
      <w:r>
        <w:rPr/>
        <w:t>不适用。 股份变动对最近一年和最近一期基本每股收益和稀释每股收益、归属于公司普通股股东的每股净资产等财务指标的影响</w:t>
      </w:r>
    </w:p>
    <w:p>
      <w:pPr>
        <w:pStyle w:val="BodyText"/>
        <w:spacing w:line="240" w:lineRule="auto" w:before="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1"/>
          <w:szCs w:val="21"/>
        </w:rPr>
      </w:pPr>
      <w:r>
        <w:rPr/>
        <w:pict>
          <v:shape style="position:absolute;margin-left:74.279999pt;margin-top:342.529968pt;width:118.95pt;height:15.6pt;mso-position-horizontal-relative:page;mso-position-vertical-relative:page;z-index:-653752" type="#_x0000_t202" filled="false" stroked="false">
            <v:textbox inset="0,0,0,0">
              <w:txbxContent>
                <w:p>
                  <w:pPr>
                    <w:pStyle w:val="BodyText"/>
                    <w:spacing w:line="203" w:lineRule="exact"/>
                    <w:ind w:left="0" w:right="0"/>
                    <w:jc w:val="left"/>
                  </w:pPr>
                  <w:r>
                    <w:rPr/>
                    <w:t>（有限合伙）</w:t>
                  </w:r>
                </w:p>
              </w:txbxContent>
            </v:textbox>
            <w10:wrap type="none"/>
          </v:shape>
        </w:pict>
      </w:r>
      <w:r>
        <w:rPr/>
        <w:pict>
          <v:group style="position:absolute;margin-left:125.419998pt;margin-top:342.529968pt;width:67.8pt;height:15.6pt;mso-position-horizontal-relative:page;mso-position-vertical-relative:page;z-index:-653728" coordorigin="2508,6851" coordsize="1356,312">
            <v:shape style="position:absolute;left:2508;top:6851;width:1356;height:312" coordorigin="2508,6851" coordsize="1356,312" path="m2508,7163l3864,7163,3864,6851,2508,6851,2508,7163xe" filled="true" fillcolor="#ffffff" stroked="false">
              <v:path arrowok="t"/>
              <v:fill type="solid"/>
            </v:shape>
            <w10:wrap type="none"/>
          </v:group>
        </w:pict>
      </w:r>
    </w:p>
    <w:p>
      <w:pPr>
        <w:pStyle w:val="BodyText"/>
        <w:spacing w:line="300" w:lineRule="auto" w:before="44"/>
        <w:ind w:right="0"/>
        <w:jc w:val="left"/>
      </w:pPr>
      <w:r>
        <w:rPr>
          <w:spacing w:val="-2"/>
        </w:rPr>
        <w:t>报告期内，公司于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16</w:t>
      </w:r>
      <w:r>
        <w:rPr>
          <w:spacing w:val="-2"/>
        </w:rPr>
        <w:t>日首次公开发行新股，总股本由</w:t>
      </w:r>
      <w:r>
        <w:rPr>
          <w:rFonts w:ascii="Times New Roman" w:hAnsi="Times New Roman" w:cs="Times New Roman" w:eastAsia="Times New Roman" w:hint="default"/>
          <w:spacing w:val="-2"/>
        </w:rPr>
        <w:t>5,300</w:t>
      </w:r>
      <w:r>
        <w:rPr>
          <w:spacing w:val="-2"/>
        </w:rPr>
        <w:t>万股增加至</w:t>
      </w:r>
      <w:r>
        <w:rPr>
          <w:rFonts w:ascii="Times New Roman" w:hAnsi="Times New Roman" w:cs="Times New Roman" w:eastAsia="Times New Roman" w:hint="default"/>
          <w:spacing w:val="-2"/>
        </w:rPr>
        <w:t>7,070</w:t>
      </w:r>
      <w:r>
        <w:rPr>
          <w:spacing w:val="-2"/>
        </w:rPr>
        <w:t>万股。本次股份变动将摊薄公司最近一</w:t>
      </w:r>
      <w:r>
        <w:rPr>
          <w:spacing w:val="-55"/>
        </w:rPr>
        <w:t> </w:t>
      </w:r>
      <w:r>
        <w:rPr>
          <w:spacing w:val="-55"/>
        </w:rPr>
      </w:r>
      <w:r>
        <w:rPr/>
        <w:t>年和最近一期的每股收益、每股净资产等财务指标。</w:t>
      </w:r>
    </w:p>
    <w:p>
      <w:pPr>
        <w:pStyle w:val="BodyText"/>
        <w:spacing w:line="357" w:lineRule="auto" w:before="72"/>
        <w:ind w:right="5814"/>
        <w:jc w:val="left"/>
      </w:pPr>
      <w:r>
        <w:rPr/>
        <w:t>公司认为必要或证券监管机构要求披露的其他内容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37,788,000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37,788,000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深圳市华信远景 投资咨询有限公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天津东方富海股 权投资基金合伙 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招商银行股份有 限公司－招商安 泰股票证券投资 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网下配售限售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山西证券股份有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网下配售限售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中信证券股份有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网下配售限售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吴宁莉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唐海林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师召辉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53,000,000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8"/>
        <w:gridCol w:w="1369"/>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50"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17,700,000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17,700,000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49"/>
        <w:ind w:right="0"/>
        <w:jc w:val="left"/>
      </w:pPr>
      <w:r>
        <w:rPr/>
        <w:t>证券发行情况的说明</w:t>
      </w:r>
    </w:p>
    <w:p>
      <w:pPr>
        <w:pStyle w:val="BodyText"/>
        <w:spacing w:line="300" w:lineRule="auto" w:before="115"/>
        <w:ind w:right="134"/>
        <w:jc w:val="left"/>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[2012]411</w:t>
      </w:r>
      <w:r>
        <w:rPr/>
        <w:t>号</w:t>
      </w:r>
      <w:r>
        <w:rPr>
          <w:rFonts w:ascii="Times New Roman" w:hAnsi="Times New Roman" w:cs="Times New Roman" w:eastAsia="Times New Roman" w:hint="default"/>
        </w:rPr>
        <w:t>”</w:t>
      </w:r>
      <w:r>
        <w:rPr/>
        <w:t>文件核准，公司于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日采用网下向配售对象询价配售（以下简 称</w:t>
      </w:r>
      <w:r>
        <w:rPr>
          <w:rFonts w:ascii="Times New Roman" w:hAnsi="Times New Roman" w:cs="Times New Roman" w:eastAsia="Times New Roman" w:hint="default"/>
        </w:rPr>
        <w:t>“</w:t>
      </w:r>
      <w:r>
        <w:rPr/>
        <w:t>网下配售</w:t>
      </w:r>
      <w:r>
        <w:rPr>
          <w:rFonts w:ascii="Times New Roman" w:hAnsi="Times New Roman" w:cs="Times New Roman" w:eastAsia="Times New Roman" w:hint="default"/>
        </w:rPr>
        <w:t>”</w:t>
      </w:r>
      <w:r>
        <w:rPr/>
        <w:t>）与网上向社会公众投资者定价发行（以下简称</w:t>
      </w:r>
      <w:r>
        <w:rPr>
          <w:rFonts w:ascii="Times New Roman" w:hAnsi="Times New Roman" w:cs="Times New Roman" w:eastAsia="Times New Roman" w:hint="default"/>
        </w:rPr>
        <w:t>“</w:t>
      </w:r>
      <w:r>
        <w:rPr/>
        <w:t>网上发行</w:t>
      </w:r>
      <w:r>
        <w:rPr>
          <w:rFonts w:ascii="Times New Roman" w:hAnsi="Times New Roman" w:cs="Times New Roman" w:eastAsia="Times New Roman" w:hint="default"/>
        </w:rPr>
        <w:t>”</w:t>
      </w:r>
      <w:r>
        <w:rPr/>
        <w:t>）相结合的方式向社会公开发行人民币普通股 </w:t>
      </w:r>
      <w:r>
        <w:rPr>
          <w:rFonts w:ascii="Times New Roman" w:hAnsi="Times New Roman" w:cs="Times New Roman" w:eastAsia="Times New Roman" w:hint="default"/>
          <w:spacing w:val="-2"/>
        </w:rPr>
        <w:t>1,770.00</w:t>
      </w:r>
      <w:r>
        <w:rPr>
          <w:spacing w:val="-2"/>
        </w:rPr>
        <w:t>万股，每股面值</w:t>
      </w:r>
      <w:r>
        <w:rPr>
          <w:rFonts w:ascii="Times New Roman" w:hAnsi="Times New Roman" w:cs="Times New Roman" w:eastAsia="Times New Roman" w:hint="default"/>
          <w:spacing w:val="-2"/>
        </w:rPr>
        <w:t>1.00</w:t>
      </w:r>
      <w:r>
        <w:rPr>
          <w:spacing w:val="-2"/>
        </w:rPr>
        <w:t>元，发行价格为人民币</w:t>
      </w:r>
      <w:r>
        <w:rPr>
          <w:rFonts w:ascii="Times New Roman" w:hAnsi="Times New Roman" w:cs="Times New Roman" w:eastAsia="Times New Roman" w:hint="default"/>
          <w:spacing w:val="-2"/>
        </w:rPr>
        <w:t>15.00</w:t>
      </w:r>
      <w:r>
        <w:rPr>
          <w:spacing w:val="-2"/>
        </w:rPr>
        <w:t>元</w:t>
      </w:r>
      <w:r>
        <w:rPr>
          <w:rFonts w:ascii="Times New Roman" w:hAnsi="Times New Roman" w:cs="Times New Roman" w:eastAsia="Times New Roman" w:hint="default"/>
          <w:spacing w:val="-2"/>
        </w:rPr>
        <w:t>/</w:t>
      </w:r>
      <w:r>
        <w:rPr>
          <w:spacing w:val="-2"/>
        </w:rPr>
        <w:t>股，其中，网下配售</w:t>
      </w:r>
      <w:r>
        <w:rPr>
          <w:rFonts w:ascii="Times New Roman" w:hAnsi="Times New Roman" w:cs="Times New Roman" w:eastAsia="Times New Roman" w:hint="default"/>
          <w:spacing w:val="-2"/>
        </w:rPr>
        <w:t>354.00</w:t>
      </w:r>
      <w:r>
        <w:rPr>
          <w:spacing w:val="-2"/>
        </w:rPr>
        <w:t>万股，网上发行</w:t>
      </w:r>
      <w:r>
        <w:rPr>
          <w:rFonts w:ascii="Times New Roman" w:hAnsi="Times New Roman" w:cs="Times New Roman" w:eastAsia="Times New Roman" w:hint="default"/>
          <w:spacing w:val="-2"/>
        </w:rPr>
        <w:t>1,416.00</w:t>
      </w:r>
      <w:r>
        <w:rPr>
          <w:spacing w:val="-2"/>
        </w:rPr>
        <w:t>万股。公司股</w:t>
      </w:r>
      <w:r>
        <w:rPr>
          <w:spacing w:val="-43"/>
        </w:rPr>
        <w:t> </w:t>
      </w:r>
      <w:r>
        <w:rPr>
          <w:spacing w:val="-43"/>
        </w:rPr>
      </w:r>
      <w:r>
        <w:rPr/>
        <w:t>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日上市交易，网下配售股份于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日上市交易。</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4"/>
        <w:gridCol w:w="1362"/>
        <w:gridCol w:w="1381"/>
        <w:gridCol w:w="1362"/>
        <w:gridCol w:w="1368"/>
        <w:gridCol w:w="1362"/>
        <w:gridCol w:w="1375"/>
      </w:tblGrid>
      <w:tr>
        <w:trPr>
          <w:trHeight w:val="408"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1"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5,190</w:t>
            </w:r>
          </w:p>
        </w:tc>
        <w:tc>
          <w:tcPr>
            <w:tcW w:w="40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4,788</w:t>
            </w:r>
          </w:p>
        </w:tc>
      </w:tr>
      <w:tr>
        <w:trPr>
          <w:trHeight w:val="39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2"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30" w:right="46" w:hanging="181"/>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2" w:type="dxa"/>
            <w:vMerge/>
            <w:tcBorders>
              <w:left w:val="single" w:sz="4" w:space="0" w:color="000000"/>
              <w:bottom w:val="single" w:sz="4" w:space="0" w:color="000000"/>
              <w:right w:val="single" w:sz="4" w:space="0" w:color="000000"/>
            </w:tcBorders>
            <w:shd w:val="clear" w:color="auto" w:fill="D2D2D2"/>
          </w:tcPr>
          <w:p>
            <w:pPr/>
          </w:p>
        </w:tc>
        <w:tc>
          <w:tcPr>
            <w:tcW w:w="137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53.45%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37,788,000</w:t>
            </w:r>
          </w:p>
        </w:tc>
        <w:tc>
          <w:tcPr>
            <w:tcW w:w="136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pacing w:val="-1"/>
                <w:sz w:val="18"/>
              </w:rPr>
              <w:t>37,788,000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深圳市华信远景 投资咨询有限公 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9.97%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天津东方富海股 权投资基金合伙 </w:t>
            </w:r>
            <w:r>
              <w:rPr>
                <w:rFonts w:ascii="宋体" w:hAnsi="宋体" w:cs="宋体" w:eastAsia="宋体" w:hint="default"/>
                <w:spacing w:val="-7"/>
                <w:sz w:val="18"/>
                <w:szCs w:val="18"/>
              </w:rPr>
              <w:t>企业（有限合伙</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8.49%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刘应纯</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吴宁莉</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0.53%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0.53%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李贵芬</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0.42%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唐海林</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0.33%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732"/>
        <w:gridCol w:w="4105"/>
        <w:gridCol w:w="1368"/>
        <w:gridCol w:w="1369"/>
      </w:tblGrid>
      <w:tr>
        <w:trPr>
          <w:trHeight w:val="402" w:hRule="exact"/>
        </w:trPr>
        <w:tc>
          <w:tcPr>
            <w:tcW w:w="95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732" w:type="dxa"/>
            <w:vMerge/>
            <w:tcBorders>
              <w:left w:val="single" w:sz="4" w:space="0" w:color="000000"/>
              <w:bottom w:val="single" w:sz="4" w:space="0" w:color="000000"/>
              <w:right w:val="single" w:sz="4" w:space="0" w:color="000000"/>
            </w:tcBorders>
            <w:shd w:val="clear" w:color="auto" w:fill="D2D2D2"/>
          </w:tcPr>
          <w:p>
            <w:pPr/>
          </w:p>
        </w:tc>
        <w:tc>
          <w:tcPr>
            <w:tcW w:w="4105"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刘应纯</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562,400</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李贵芬</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298,000</w:t>
            </w: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林爽</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233,569</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陈尚东</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169,168</w:t>
            </w: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匡克胜</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东方汇理银行</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136,800</w:t>
            </w: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杨淑兰</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125,000</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朱奕中</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123,200</w:t>
            </w:r>
          </w:p>
        </w:tc>
      </w:tr>
      <w:tr>
        <w:trPr>
          <w:trHeight w:val="40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周建辉</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115,700</w:t>
            </w:r>
          </w:p>
        </w:tc>
      </w:tr>
      <w:tr>
        <w:trPr>
          <w:trHeight w:val="40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孙剑云</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114,348</w:t>
            </w:r>
          </w:p>
        </w:tc>
      </w:tr>
      <w:tr>
        <w:trPr>
          <w:trHeight w:val="715" w:hRule="exact"/>
        </w:trPr>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2" w:type="dxa"/>
            <w:gridSpan w:val="3"/>
            <w:tcBorders>
              <w:top w:val="single" w:sz="4" w:space="0" w:color="000000"/>
              <w:left w:val="single" w:sz="10" w:space="0" w:color="D2D2D2"/>
              <w:bottom w:val="single" w:sz="4" w:space="0" w:color="000000"/>
              <w:right w:val="single" w:sz="4" w:space="0" w:color="000000"/>
            </w:tcBorders>
          </w:tcPr>
          <w:p>
            <w:pPr>
              <w:pStyle w:val="TableParagraph"/>
              <w:spacing w:line="314" w:lineRule="auto" w:before="51"/>
              <w:ind w:left="16" w:right="23"/>
              <w:jc w:val="left"/>
              <w:rPr>
                <w:rFonts w:ascii="宋体" w:hAnsi="宋体" w:cs="宋体" w:eastAsia="宋体" w:hint="default"/>
                <w:sz w:val="18"/>
                <w:szCs w:val="18"/>
              </w:rPr>
            </w:pPr>
            <w:r>
              <w:rPr>
                <w:rFonts w:ascii="宋体" w:hAnsi="宋体" w:cs="宋体" w:eastAsia="宋体" w:hint="default"/>
                <w:spacing w:val="-2"/>
                <w:sz w:val="18"/>
                <w:szCs w:val="18"/>
              </w:rPr>
              <w:t>上述股东之间，未知是否存在关联关系或属于《上市公司股东持股变动信息披露管理办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法》规定的一致行动人。</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49" w:firstLine="360"/>
        <w:jc w:val="both"/>
      </w:pPr>
      <w:r>
        <w:rPr>
          <w:spacing w:val="-2"/>
        </w:rPr>
        <w:t>景晓军先生，中国国籍，无任何国家和地区的永久海外居留权，哈尔滨工业大学计算机组织与系统结构专业毕业，工学</w:t>
      </w:r>
      <w:r>
        <w:rPr/>
        <w:t> </w:t>
      </w:r>
      <w:r>
        <w:rPr>
          <w:spacing w:val="-5"/>
        </w:rPr>
        <w:t>博士，计算机高级工程师，深圳市地方级人才，中国计算机学会计算机安全专业委员会常务委员，国家科技技术奖评审专家。</w:t>
      </w:r>
      <w:r>
        <w:rPr>
          <w:spacing w:val="-78"/>
        </w:rPr>
        <w:t> </w:t>
      </w:r>
      <w:r>
        <w:rPr>
          <w:spacing w:val="-78"/>
        </w:rPr>
      </w:r>
      <w:r>
        <w:rPr>
          <w:spacing w:val="-1"/>
        </w:rPr>
        <w:t>景晓军先生于</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w:t>
      </w:r>
      <w:r>
        <w:rPr>
          <w:spacing w:val="-1"/>
        </w:rPr>
        <w:t>月在君安证券总公司稽核部任职；</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2</w:t>
      </w:r>
      <w:r>
        <w:rPr>
          <w:spacing w:val="-1"/>
        </w:rPr>
        <w:t>月在深圳发展银行总行电脑部任总经</w:t>
      </w:r>
      <w:r>
        <w:rPr>
          <w:spacing w:val="-52"/>
        </w:rPr>
        <w:t> </w:t>
      </w:r>
      <w:r>
        <w:rPr>
          <w:spacing w:val="-52"/>
        </w:rPr>
      </w:r>
      <w:r>
        <w:rPr/>
        <w:t>理助理。景晓军在上述单位所从事的工作与发行人的业务没有任何关系。</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月至今在任子行有限及公司任董事长兼总 经理。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289"/>
        <w:jc w:val="left"/>
      </w:pPr>
      <w:r>
        <w:rPr/>
        <w:t>景晓军先生持有公司</w:t>
      </w:r>
      <w:r>
        <w:rPr>
          <w:rFonts w:ascii="Times New Roman" w:hAnsi="Times New Roman" w:cs="Times New Roman" w:eastAsia="Times New Roman" w:hint="default"/>
        </w:rPr>
        <w:t>37,788,000</w:t>
      </w:r>
      <w:r>
        <w:rPr/>
        <w:t>股股份，持股比例为</w:t>
      </w:r>
      <w:r>
        <w:rPr>
          <w:rFonts w:ascii="Times New Roman" w:hAnsi="Times New Roman" w:cs="Times New Roman" w:eastAsia="Times New Roman" w:hint="default"/>
        </w:rPr>
        <w:t>53.45%</w:t>
      </w:r>
      <w:r>
        <w:rPr/>
        <w:t>，为公司的控股股东及实际控制人。 公司与实际控制人之间的产权及控制关系的方框图</w:t>
      </w:r>
    </w:p>
    <w:p>
      <w:pPr>
        <w:spacing w:line="240" w:lineRule="auto" w:before="4"/>
        <w:rPr>
          <w:rFonts w:ascii="宋体" w:hAnsi="宋体" w:cs="宋体" w:eastAsia="宋体" w:hint="default"/>
          <w:sz w:val="23"/>
          <w:szCs w:val="23"/>
        </w:rPr>
      </w:pPr>
    </w:p>
    <w:p>
      <w:pPr>
        <w:spacing w:line="2864" w:lineRule="exact"/>
        <w:ind w:left="1553"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4317721" cy="1819179"/>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0" cstate="print"/>
                    <a:stretch>
                      <a:fillRect/>
                    </a:stretch>
                  </pic:blipFill>
                  <pic:spPr>
                    <a:xfrm>
                      <a:off x="0" y="0"/>
                      <a:ext cx="4317721" cy="1819179"/>
                    </a:xfrm>
                    <a:prstGeom prst="rect">
                      <a:avLst/>
                    </a:prstGeom>
                  </pic:spPr>
                </pic:pic>
              </a:graphicData>
            </a:graphic>
          </wp:inline>
        </w:drawing>
      </w:r>
      <w:r>
        <w:rPr>
          <w:rFonts w:ascii="宋体" w:hAnsi="宋体" w:cs="宋体" w:eastAsia="宋体" w:hint="default"/>
          <w:position w:val="-56"/>
          <w:sz w:val="20"/>
          <w:szCs w:val="20"/>
        </w:rPr>
      </w:r>
    </w:p>
    <w:p>
      <w:pPr>
        <w:spacing w:after="0" w:line="2864" w:lineRule="exact"/>
        <w:rPr>
          <w:rFonts w:ascii="宋体" w:hAnsi="宋体" w:cs="宋体" w:eastAsia="宋体" w:hint="default"/>
          <w:sz w:val="20"/>
          <w:szCs w:val="20"/>
        </w:rPr>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182"/>
        <w:gridCol w:w="1071"/>
        <w:gridCol w:w="900"/>
        <w:gridCol w:w="1800"/>
        <w:gridCol w:w="1813"/>
        <w:gridCol w:w="1779"/>
      </w:tblGrid>
      <w:tr>
        <w:trPr>
          <w:trHeight w:val="161" w:hRule="exact"/>
        </w:trPr>
        <w:tc>
          <w:tcPr>
            <w:tcW w:w="21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79" w:right="5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07" w:right="71"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391" w:hRule="exact"/>
        </w:trPr>
        <w:tc>
          <w:tcPr>
            <w:tcW w:w="21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71"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79" w:type="dxa"/>
            <w:vMerge/>
            <w:tcBorders>
              <w:left w:val="single" w:sz="4" w:space="0" w:color="000000"/>
              <w:right w:val="single" w:sz="4" w:space="0" w:color="000000"/>
            </w:tcBorders>
            <w:shd w:val="clear" w:color="auto" w:fill="D2D2D2"/>
          </w:tcPr>
          <w:p>
            <w:pPr/>
          </w:p>
        </w:tc>
      </w:tr>
      <w:tr>
        <w:trPr>
          <w:trHeight w:val="161" w:hRule="exact"/>
        </w:trPr>
        <w:tc>
          <w:tcPr>
            <w:tcW w:w="21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6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深圳市华信远景投资咨 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天津东方富海股权投资 基金合伙企业（有限合 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吴宁莉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唐海林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师召辉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pStyle w:val="BodyText"/>
        <w:spacing w:line="240" w:lineRule="auto" w:before="15"/>
        <w:ind w:left="0" w:right="133"/>
        <w:jc w:val="right"/>
      </w:pPr>
      <w:r>
        <w:rPr/>
        <w:t>任子行网络技术股份有限公司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3"/>
        <w:ind w:left="3776" w:right="0"/>
        <w:jc w:val="left"/>
        <w:rPr>
          <w:b w:val="0"/>
          <w:bCs w:val="0"/>
        </w:rPr>
      </w:pPr>
      <w:bookmarkStart w:name="_bookmark6" w:id="7"/>
      <w:bookmarkEnd w:id="7"/>
      <w:r>
        <w:rPr>
          <w:b w:val="0"/>
          <w:bCs w:val="0"/>
        </w:rPr>
      </w:r>
      <w:r>
        <w:rPr/>
        <w:t>第七节</w:t>
      </w:r>
      <w:r>
        <w:rPr>
          <w:spacing w:val="-8"/>
        </w:rPr>
        <w:t> </w:t>
      </w:r>
      <w:r>
        <w:rPr/>
        <w:t>董事、监事、高级管理人员和员工情况</w:t>
      </w:r>
      <w:r>
        <w:rPr>
          <w:b w:val="0"/>
          <w:bCs w:val="0"/>
        </w:rPr>
      </w:r>
    </w:p>
    <w:p>
      <w:pPr>
        <w:pStyle w:val="Heading2"/>
        <w:spacing w:line="240" w:lineRule="auto" w:before="178"/>
        <w:ind w:left="140" w:right="0"/>
        <w:jc w:val="left"/>
        <w:rPr>
          <w:b w:val="0"/>
          <w:bCs w:val="0"/>
        </w:rPr>
      </w:pP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35" w:type="dxa"/>
        <w:tblLayout w:type="fixed"/>
        <w:tblCellMar>
          <w:top w:w="0" w:type="dxa"/>
          <w:left w:w="0" w:type="dxa"/>
          <w:bottom w:w="0" w:type="dxa"/>
          <w:right w:w="0" w:type="dxa"/>
        </w:tblCellMar>
        <w:tblLook w:val="01E0"/>
      </w:tblPr>
      <w:tblGrid>
        <w:gridCol w:w="1037"/>
        <w:gridCol w:w="2417"/>
        <w:gridCol w:w="691"/>
        <w:gridCol w:w="519"/>
        <w:gridCol w:w="2074"/>
        <w:gridCol w:w="2072"/>
        <w:gridCol w:w="2590"/>
        <w:gridCol w:w="2417"/>
      </w:tblGrid>
      <w:tr>
        <w:trPr>
          <w:trHeight w:val="391" w:hRule="exact"/>
        </w:trPr>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期初持股数（股）</w:t>
            </w:r>
          </w:p>
        </w:tc>
        <w:tc>
          <w:tcPr>
            <w:tcW w:w="2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85" w:right="0"/>
              <w:jc w:val="left"/>
              <w:rPr>
                <w:rFonts w:ascii="宋体" w:hAnsi="宋体" w:cs="宋体" w:eastAsia="宋体" w:hint="default"/>
                <w:sz w:val="18"/>
                <w:szCs w:val="18"/>
              </w:rPr>
            </w:pPr>
            <w:r>
              <w:rPr>
                <w:rFonts w:ascii="宋体" w:hAnsi="宋体" w:cs="宋体" w:eastAsia="宋体" w:hint="default"/>
                <w:sz w:val="18"/>
                <w:szCs w:val="18"/>
              </w:rPr>
              <w:t>期末持股数（股）</w:t>
            </w:r>
          </w:p>
        </w:tc>
      </w:tr>
      <w:tr>
        <w:trPr>
          <w:trHeight w:val="415" w:hRule="exact"/>
        </w:trPr>
        <w:tc>
          <w:tcPr>
            <w:tcW w:w="103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景晓军</w:t>
            </w:r>
          </w:p>
        </w:tc>
        <w:tc>
          <w:tcPr>
            <w:tcW w:w="241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691"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9"/>
              <w:ind w:left="5" w:right="0"/>
              <w:jc w:val="center"/>
              <w:rPr>
                <w:rFonts w:ascii="Times New Roman" w:hAnsi="Times New Roman" w:cs="Times New Roman" w:eastAsia="Times New Roman" w:hint="default"/>
                <w:sz w:val="18"/>
                <w:szCs w:val="18"/>
              </w:rPr>
            </w:pPr>
            <w:r>
              <w:rPr>
                <w:rFonts w:ascii="Times New Roman"/>
                <w:sz w:val="18"/>
              </w:rPr>
              <w:t>45</w:t>
            </w:r>
          </w:p>
        </w:tc>
        <w:tc>
          <w:tcPr>
            <w:tcW w:w="207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1"/>
                <w:sz w:val="18"/>
              </w:rPr>
              <w:t>37,788,000</w:t>
            </w:r>
          </w:p>
        </w:tc>
        <w:tc>
          <w:tcPr>
            <w:tcW w:w="241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1"/>
                <w:sz w:val="18"/>
              </w:rPr>
              <w:t>37,788,000</w:t>
            </w:r>
          </w:p>
        </w:tc>
      </w:tr>
      <w:tr>
        <w:trPr>
          <w:trHeight w:val="40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景晓东</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705,000</w:t>
            </w:r>
          </w:p>
        </w:tc>
      </w:tr>
      <w:tr>
        <w:trPr>
          <w:trHeight w:val="408"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古元</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235,000</w:t>
            </w:r>
          </w:p>
        </w:tc>
      </w:tr>
      <w:tr>
        <w:trPr>
          <w:trHeight w:val="406"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程厚博</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付昭阳</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69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闵锐</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肖建军</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师召辉</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188,000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188,000</w:t>
            </w:r>
          </w:p>
        </w:tc>
      </w:tr>
      <w:tr>
        <w:trPr>
          <w:trHeight w:val="40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何小荣</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潘绿英</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李毅</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王晓蓉</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36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毕成功</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吴宁莉</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376,000</w:t>
            </w:r>
          </w:p>
        </w:tc>
      </w:tr>
      <w:tr>
        <w:trPr>
          <w:trHeight w:val="408"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沈智杰</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376,000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376,000</w:t>
            </w:r>
          </w:p>
        </w:tc>
      </w:tr>
      <w:tr>
        <w:trPr>
          <w:trHeight w:val="40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唐海林</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282,000</w:t>
            </w:r>
          </w:p>
        </w:tc>
      </w:tr>
      <w:tr>
        <w:trPr>
          <w:trHeight w:val="41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陈文</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590"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39,950,000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39,950,000</w:t>
            </w:r>
          </w:p>
        </w:tc>
      </w:tr>
    </w:tbl>
    <w:p>
      <w:pPr>
        <w:spacing w:line="240" w:lineRule="auto" w:before="13"/>
        <w:rPr>
          <w:rFonts w:ascii="宋体" w:hAnsi="宋体" w:cs="宋体" w:eastAsia="宋体" w:hint="default"/>
          <w:b/>
          <w:bCs/>
          <w:sz w:val="6"/>
          <w:szCs w:val="6"/>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38</w:t>
      </w:r>
    </w:p>
    <w:p>
      <w:pPr>
        <w:spacing w:after="0" w:line="240" w:lineRule="auto"/>
        <w:jc w:val="right"/>
        <w:rPr>
          <w:rFonts w:ascii="Times New Roman" w:hAnsi="Times New Roman" w:cs="Times New Roman" w:eastAsia="Times New Roman" w:hint="default"/>
        </w:rPr>
        <w:sectPr>
          <w:headerReference w:type="default" r:id="rId21"/>
          <w:footerReference w:type="default" r:id="rId22"/>
          <w:pgSz w:w="16840" w:h="11910" w:orient="landscape"/>
          <w:pgMar w:header="0" w:footer="0" w:top="800" w:bottom="280" w:left="1300" w:right="13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98"/>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1"/>
        <w:ind w:right="98"/>
        <w:jc w:val="left"/>
      </w:pPr>
      <w:r>
        <w:rPr/>
        <w:t>（一）、董事：</w:t>
      </w:r>
    </w:p>
    <w:p>
      <w:pPr>
        <w:pStyle w:val="BodyText"/>
        <w:spacing w:line="240" w:lineRule="auto" w:before="76"/>
        <w:ind w:right="98"/>
        <w:jc w:val="left"/>
      </w:pPr>
      <w:r>
        <w:rPr>
          <w:rFonts w:ascii="Times New Roman" w:hAnsi="Times New Roman" w:cs="Times New Roman" w:eastAsia="Times New Roman" w:hint="default"/>
        </w:rPr>
        <w:t>1</w:t>
      </w:r>
      <w:r>
        <w:rPr/>
        <w:t>、景晓军先生：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月至今任职于任子行，现任公司董事长、总经理。</w:t>
      </w:r>
    </w:p>
    <w:p>
      <w:pPr>
        <w:pStyle w:val="BodyText"/>
        <w:spacing w:line="240" w:lineRule="auto" w:before="63"/>
        <w:ind w:right="98"/>
        <w:jc w:val="left"/>
      </w:pPr>
      <w:r>
        <w:rPr>
          <w:rFonts w:ascii="Times New Roman" w:hAnsi="Times New Roman" w:cs="Times New Roman" w:eastAsia="Times New Roman" w:hint="default"/>
        </w:rPr>
        <w:t>2</w:t>
      </w:r>
      <w:r>
        <w:rPr/>
        <w:t>、景晓东先生：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月至今任任网游执行董事兼总经理，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日至今担任公司董事。</w:t>
      </w:r>
    </w:p>
    <w:p>
      <w:pPr>
        <w:pStyle w:val="BodyText"/>
        <w:spacing w:line="240" w:lineRule="auto" w:before="63"/>
        <w:ind w:right="98"/>
        <w:jc w:val="left"/>
      </w:pPr>
      <w:r>
        <w:rPr>
          <w:rFonts w:ascii="Times New Roman" w:hAnsi="Times New Roman" w:cs="Times New Roman" w:eastAsia="Times New Roman" w:hint="default"/>
        </w:rPr>
        <w:t>3</w:t>
      </w:r>
      <w:r>
        <w:rPr/>
        <w:t>、古元先生：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月至今在任子行，现任公司董事。</w:t>
      </w:r>
    </w:p>
    <w:p>
      <w:pPr>
        <w:pStyle w:val="BodyText"/>
        <w:spacing w:line="300" w:lineRule="auto" w:before="63"/>
        <w:ind w:right="105"/>
        <w:jc w:val="left"/>
      </w:pPr>
      <w:r>
        <w:rPr>
          <w:rFonts w:ascii="Times New Roman" w:hAnsi="Times New Roman" w:cs="Times New Roman" w:eastAsia="Times New Roman" w:hint="default"/>
        </w:rPr>
        <w:t>4</w:t>
      </w:r>
      <w:r>
        <w:rPr/>
        <w:t>、程厚博先生：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月至今深圳市东方富海投资管理有限公司总裁；</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月至今任奥普集团（</w:t>
      </w:r>
      <w:r>
        <w:rPr>
          <w:rFonts w:ascii="Times New Roman" w:hAnsi="Times New Roman" w:cs="Times New Roman" w:eastAsia="Times New Roman" w:hint="default"/>
        </w:rPr>
        <w:t>HK.00477</w:t>
      </w:r>
      <w:r>
        <w:rPr/>
        <w:t>）独立非 执行董事；</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月任深圳市东方富海创业投资企业（有限合伙）执行事务合伙人；</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月至今任深圳市 阿尔斯电信技术有限公司董事；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月至今任福晶科技（</w:t>
      </w:r>
      <w:r>
        <w:rPr>
          <w:rFonts w:ascii="Times New Roman" w:hAnsi="Times New Roman" w:cs="Times New Roman" w:eastAsia="Times New Roman" w:hint="default"/>
        </w:rPr>
        <w:t>SZ.002222</w:t>
      </w:r>
      <w:r>
        <w:rPr/>
        <w:t>）独立董事；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月至今担任公司董事。 </w:t>
      </w:r>
      <w:r>
        <w:rPr>
          <w:rFonts w:ascii="Times New Roman" w:hAnsi="Times New Roman" w:cs="Times New Roman" w:eastAsia="Times New Roman" w:hint="default"/>
        </w:rPr>
        <w:t>5</w:t>
      </w:r>
      <w:r>
        <w:rPr/>
        <w:t>、付昭阳先生：</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月至今先后在深圳市通信与互联网协会任副会长、计算机用户协会任会长、副理事长；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月至今担任深圳键桥通讯技术股份有限公司独立董事；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日至今担任公司独立董事。 </w:t>
      </w:r>
      <w:r>
        <w:rPr>
          <w:rFonts w:ascii="Times New Roman" w:hAnsi="Times New Roman" w:cs="Times New Roman" w:eastAsia="Times New Roman" w:hint="default"/>
        </w:rPr>
        <w:t>6</w:t>
      </w:r>
      <w:r>
        <w:rPr/>
        <w:t>、闵锐女士：</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月为深圳日正会计师事务所合伙人，现为深圳众环会计师事务所（普通合伙）合伙人、 副所长，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日至今担任公司独立董事。 </w:t>
      </w:r>
      <w:r>
        <w:rPr>
          <w:rFonts w:ascii="Times New Roman" w:hAnsi="Times New Roman" w:cs="Times New Roman" w:eastAsia="Times New Roman" w:hint="default"/>
          <w:spacing w:val="-2"/>
        </w:rPr>
        <w:t>7</w:t>
      </w:r>
      <w:r>
        <w:rPr>
          <w:spacing w:val="-2"/>
        </w:rPr>
        <w:t>、肖建军先生：</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月至今任深圳市美银投资管理有限公司执行董事；</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月任广东嘉应制药股份有限</w:t>
      </w:r>
      <w:r>
        <w:rPr>
          <w:spacing w:val="-56"/>
        </w:rPr>
        <w:t> </w:t>
      </w:r>
      <w:r>
        <w:rPr>
          <w:spacing w:val="-56"/>
        </w:rPr>
      </w:r>
      <w:r>
        <w:rPr>
          <w:spacing w:val="-2"/>
        </w:rPr>
        <w:t>公司独立董事；</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月任五矿证券有限公司投资咨询部总经理；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月日至今任公司独立董事；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6"/>
        </w:rPr>
        <w:t> </w:t>
      </w:r>
      <w:r>
        <w:rPr/>
        <w:t>月至今，任广东柏宝龙服饰股份有限公司独立董事。</w:t>
      </w:r>
    </w:p>
    <w:p>
      <w:pPr>
        <w:pStyle w:val="BodyText"/>
        <w:spacing w:line="240" w:lineRule="auto" w:before="31"/>
        <w:ind w:right="98"/>
        <w:jc w:val="left"/>
      </w:pPr>
      <w:r>
        <w:rPr/>
        <w:t>（二）、监事：</w:t>
      </w:r>
    </w:p>
    <w:p>
      <w:pPr>
        <w:pStyle w:val="BodyText"/>
        <w:spacing w:line="240" w:lineRule="auto" w:before="76"/>
        <w:ind w:right="98"/>
        <w:jc w:val="left"/>
      </w:pPr>
      <w:r>
        <w:rPr>
          <w:rFonts w:ascii="Times New Roman" w:hAnsi="Times New Roman" w:cs="Times New Roman" w:eastAsia="Times New Roman" w:hint="default"/>
        </w:rPr>
        <w:t>1</w:t>
      </w:r>
      <w:r>
        <w:rPr/>
        <w:t>、师召辉先生：</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月至今任职于任子行，现任公司监事。</w:t>
      </w:r>
    </w:p>
    <w:p>
      <w:pPr>
        <w:pStyle w:val="BodyText"/>
        <w:spacing w:line="307" w:lineRule="auto" w:before="63"/>
        <w:ind w:right="184"/>
        <w:jc w:val="left"/>
      </w:pPr>
      <w:r>
        <w:rPr>
          <w:rFonts w:ascii="Times New Roman" w:hAnsi="Times New Roman" w:cs="Times New Roman" w:eastAsia="Times New Roman" w:hint="default"/>
          <w:spacing w:val="-2"/>
        </w:rPr>
        <w:t>2</w:t>
      </w:r>
      <w:r>
        <w:rPr>
          <w:spacing w:val="-2"/>
        </w:rPr>
        <w:t>、何小荣先生：</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月，任深圳金蝶软件</w:t>
      </w:r>
      <w:r>
        <w:rPr>
          <w:rFonts w:ascii="Times New Roman" w:hAnsi="Times New Roman" w:cs="Times New Roman" w:eastAsia="Times New Roman" w:hint="default"/>
          <w:spacing w:val="-2"/>
        </w:rPr>
        <w:t>SQA</w:t>
      </w:r>
      <w:r>
        <w:rPr>
          <w:spacing w:val="-2"/>
        </w:rPr>
        <w:t>、项目经理；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月至今任任子行网络技术股份有限公司</w:t>
      </w:r>
      <w:r>
        <w:rPr>
          <w:spacing w:val="-57"/>
        </w:rPr>
        <w:t> </w:t>
      </w:r>
      <w:r>
        <w:rPr>
          <w:spacing w:val="-57"/>
        </w:rPr>
      </w:r>
      <w:r>
        <w:rPr/>
        <w:t>研发管理部经理。 </w:t>
      </w:r>
      <w:r>
        <w:rPr>
          <w:rFonts w:ascii="Times New Roman" w:hAnsi="Times New Roman" w:cs="Times New Roman" w:eastAsia="Times New Roman" w:hint="default"/>
        </w:rPr>
        <w:t>3</w:t>
      </w:r>
      <w:r>
        <w:rPr/>
        <w:t>、潘绿英女士：女，出生于</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12</w:t>
      </w:r>
      <w:r>
        <w:rPr/>
        <w:t>月，中国国籍，无任何国家和地区的永久海外居留权，华南理工大学工商管理专业毕 业，本科学历，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月至今，就职于任子行网络技术股份有限公司，现任公司产品测试中心工程师。</w:t>
      </w:r>
    </w:p>
    <w:p>
      <w:pPr>
        <w:pStyle w:val="BodyText"/>
        <w:spacing w:line="240" w:lineRule="auto" w:before="7"/>
        <w:ind w:right="98"/>
        <w:jc w:val="left"/>
      </w:pPr>
      <w:r>
        <w:rPr/>
        <w:t>（三）、高级管理人员：</w:t>
      </w:r>
    </w:p>
    <w:p>
      <w:pPr>
        <w:pStyle w:val="BodyText"/>
        <w:spacing w:line="240" w:lineRule="auto" w:before="76"/>
        <w:ind w:right="98"/>
        <w:jc w:val="left"/>
      </w:pPr>
      <w:r>
        <w:rPr>
          <w:rFonts w:ascii="Times New Roman" w:hAnsi="Times New Roman" w:cs="Times New Roman" w:eastAsia="Times New Roman" w:hint="default"/>
        </w:rPr>
        <w:t>1</w:t>
      </w:r>
      <w:r>
        <w:rPr/>
        <w:t>、景晓军先生，公司总经理，其工作经历见上述</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pStyle w:val="BodyText"/>
        <w:spacing w:line="240" w:lineRule="auto" w:before="63"/>
        <w:ind w:right="98"/>
        <w:jc w:val="left"/>
      </w:pPr>
      <w:r>
        <w:rPr>
          <w:rFonts w:ascii="Times New Roman" w:hAnsi="Times New Roman" w:cs="Times New Roman" w:eastAsia="Times New Roman" w:hint="default"/>
        </w:rPr>
        <w:t>2</w:t>
      </w:r>
      <w:r>
        <w:rPr/>
        <w:t>、吴宁莉女士：</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月至今任职于任子行，现任公司董事会秘书、副总经理。</w:t>
      </w:r>
    </w:p>
    <w:p>
      <w:pPr>
        <w:pStyle w:val="BodyText"/>
        <w:spacing w:line="300" w:lineRule="auto" w:before="63"/>
        <w:ind w:right="98"/>
        <w:jc w:val="left"/>
      </w:pPr>
      <w:r>
        <w:rPr>
          <w:rFonts w:ascii="Times New Roman" w:hAnsi="Times New Roman" w:cs="Times New Roman" w:eastAsia="Times New Roman" w:hint="default"/>
          <w:spacing w:val="-2"/>
        </w:rPr>
        <w:t>3</w:t>
      </w:r>
      <w:r>
        <w:rPr>
          <w:spacing w:val="-2"/>
        </w:rPr>
        <w:t>、沈智杰先生：</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月在思科中国研发中心任软件工程师；</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月在微软研发集团任软件</w:t>
      </w:r>
      <w:r>
        <w:rPr>
          <w:spacing w:val="-54"/>
        </w:rPr>
        <w:t> </w:t>
      </w:r>
      <w:r>
        <w:rPr>
          <w:spacing w:val="-54"/>
        </w:rPr>
      </w:r>
      <w:r>
        <w:rPr/>
        <w:t>工程师；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月至今任职于任子行，现任公司副总经理。 </w:t>
      </w:r>
      <w:r>
        <w:rPr>
          <w:rFonts w:ascii="Times New Roman" w:hAnsi="Times New Roman" w:cs="Times New Roman" w:eastAsia="Times New Roman" w:hint="default"/>
        </w:rPr>
        <w:t>4</w:t>
      </w:r>
      <w:r>
        <w:rPr/>
        <w:t>、唐海林先生：</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月至今任职于任子行，现任公司副总经理。</w:t>
      </w:r>
    </w:p>
    <w:p>
      <w:pPr>
        <w:pStyle w:val="BodyText"/>
        <w:spacing w:line="300" w:lineRule="auto" w:before="13"/>
        <w:ind w:right="98"/>
        <w:jc w:val="left"/>
      </w:pPr>
      <w:r>
        <w:rPr>
          <w:rFonts w:ascii="Times New Roman" w:hAnsi="Times New Roman" w:cs="Times New Roman" w:eastAsia="Times New Roman" w:hint="default"/>
          <w:spacing w:val="-2"/>
        </w:rPr>
        <w:t>5</w:t>
      </w:r>
      <w:r>
        <w:rPr>
          <w:spacing w:val="-2"/>
        </w:rPr>
        <w:t>、陈文先生：</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月在深圳市友和道通实业有限公司先后任财务经理、副总监；</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spacing w:val="-2"/>
        </w:rPr>
        <w:t>月至今任职于任子</w:t>
      </w:r>
      <w:r>
        <w:rPr>
          <w:spacing w:val="-56"/>
        </w:rPr>
        <w:t> </w:t>
      </w:r>
      <w:r>
        <w:rPr>
          <w:spacing w:val="-56"/>
        </w:rPr>
      </w:r>
      <w:r>
        <w:rPr/>
        <w:t>行，现任公司担任财务总监。</w:t>
      </w:r>
    </w:p>
    <w:p>
      <w:pPr>
        <w:pStyle w:val="BodyText"/>
        <w:spacing w:line="240" w:lineRule="auto" w:before="72"/>
        <w:ind w:right="98"/>
        <w:jc w:val="left"/>
      </w:pPr>
      <w:r>
        <w:rPr/>
        <w:t>在股东单位任职情况</w:t>
      </w:r>
    </w:p>
    <w:p>
      <w:pPr>
        <w:pStyle w:val="BodyText"/>
        <w:spacing w:line="240" w:lineRule="auto" w:before="117"/>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6"/>
        <w:gridCol w:w="1330"/>
        <w:gridCol w:w="1589"/>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9"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华信远景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2060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1"/>
              <w:jc w:val="both"/>
              <w:rPr>
                <w:rFonts w:ascii="宋体" w:hAnsi="宋体" w:cs="宋体" w:eastAsia="宋体" w:hint="default"/>
                <w:sz w:val="18"/>
                <w:szCs w:val="18"/>
              </w:rPr>
            </w:pPr>
            <w:r>
              <w:rPr>
                <w:rFonts w:ascii="宋体" w:hAnsi="宋体" w:cs="宋体" w:eastAsia="宋体" w:hint="default"/>
                <w:sz w:val="18"/>
                <w:szCs w:val="18"/>
              </w:rPr>
              <w:t>除此之外，公司其他董事、监事及高级管理人员不存在在股东单位任职情况。并且，以上董事兼职情况不 影响其作为公司董事的时间投入以及对公司真实情况的了解。如上表所示，景晓军先生所在兼职单位与公 司不存在任何利益冲突。</w:t>
            </w:r>
          </w:p>
        </w:tc>
      </w:tr>
    </w:tbl>
    <w:p>
      <w:pPr>
        <w:pStyle w:val="BodyText"/>
        <w:spacing w:line="240" w:lineRule="auto" w:before="49"/>
        <w:ind w:right="98"/>
        <w:jc w:val="left"/>
      </w:pPr>
      <w:r>
        <w:rPr/>
        <w:t>在其他单位任职情况</w:t>
      </w:r>
    </w:p>
    <w:p>
      <w:pPr>
        <w:pStyle w:val="BodyText"/>
        <w:spacing w:line="240" w:lineRule="auto" w:before="114"/>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23"/>
          <w:pgSz w:w="11910" w:h="16840"/>
          <w:pgMar w:footer="980" w:header="0" w:top="1100" w:bottom="1160" w:left="980" w:right="940"/>
          <w:pgNumType w:start="39"/>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中国计算机学会计算机安全专业委员会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常务委员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程厚博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深圳市东方富海投资管理有限公司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程厚博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深圳市创业投资同业公会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程厚博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深圳市中小企业促进会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程厚博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福晶科技（</w:t>
            </w:r>
            <w:r>
              <w:rPr>
                <w:rFonts w:ascii="Times New Roman" w:hAnsi="Times New Roman" w:cs="Times New Roman" w:eastAsia="Times New Roman" w:hint="default"/>
                <w:sz w:val="18"/>
                <w:szCs w:val="18"/>
              </w:rPr>
              <w:t>SZ.002222</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程厚博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奥普集团（</w:t>
            </w:r>
            <w:r>
              <w:rPr>
                <w:rFonts w:ascii="Times New Roman" w:hAnsi="Times New Roman" w:cs="Times New Roman" w:eastAsia="Times New Roman" w:hint="default"/>
                <w:sz w:val="18"/>
                <w:szCs w:val="18"/>
              </w:rPr>
              <w:t>HK.00477</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程厚博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深圳市阿尔斯电信技术有限公司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付昭阳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SZ.002316</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付昭阳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深圳市计算机用户协会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会长</w:t>
            </w:r>
            <w:r>
              <w:rPr>
                <w:rFonts w:ascii="Times New Roman" w:hAnsi="Times New Roman" w:cs="Times New Roman" w:eastAsia="Times New Roman" w:hint="default"/>
                <w:sz w:val="18"/>
                <w:szCs w:val="18"/>
              </w:rPr>
              <w:t>/</w:t>
            </w:r>
            <w:r>
              <w:rPr>
                <w:rFonts w:ascii="宋体" w:hAnsi="宋体" w:cs="宋体" w:eastAsia="宋体" w:hint="default"/>
                <w:sz w:val="18"/>
                <w:szCs w:val="18"/>
              </w:rPr>
              <w:t>副理事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闵锐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深圳众环会计师事务所（普通合伙）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合伙人、副所</w:t>
            </w:r>
            <w:r>
              <w:rPr>
                <w:rFonts w:ascii="宋体" w:hAnsi="宋体" w:cs="宋体" w:eastAsia="宋体" w:hint="default"/>
                <w:sz w:val="18"/>
                <w:szCs w:val="18"/>
              </w:rPr>
              <w:t>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广东柏宝龙服饰股份有限公司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深圳市美银投资管理有限公司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五矿证券有限公司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投资咨询部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52"/>
              <w:jc w:val="both"/>
              <w:rPr>
                <w:rFonts w:ascii="宋体" w:hAnsi="宋体" w:cs="宋体" w:eastAsia="宋体" w:hint="default"/>
                <w:sz w:val="18"/>
                <w:szCs w:val="18"/>
              </w:rPr>
            </w:pPr>
            <w:r>
              <w:rPr>
                <w:rFonts w:ascii="宋体" w:hAnsi="宋体" w:cs="宋体" w:eastAsia="宋体" w:hint="default"/>
                <w:sz w:val="18"/>
                <w:szCs w:val="18"/>
              </w:rPr>
              <w:t>除此之外，公司其他董事、监事及高级管理人员不存在在其他单位任职情况。并且，以上董事及高管兼职 情况不影响其作为公司董事的时间投入以及对公司真实情况的了解。如上表所示，以上董事及高管所在兼 职单位与公司不存在任何关联关系，或有关联关系的，该关系与公司不存在任何利益冲突。</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102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公司董事（包括独立董事）、监事报酬由股东大会决定，高级管理人员报酬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由董事会决定；在公司承担职务的董事、监事、高级管理人员报酬由公司支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付，其担任的董事、监事职务不另外享有津贴。</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1"/>
                <w:sz w:val="18"/>
                <w:szCs w:val="18"/>
              </w:rPr>
              <w:t>董事、监事和高级管理人员的报酬按照公司董事会《薪酬与考核委员会工作</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36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制度》等规定，结合其经营绩效、工作能力、岗位职责等考核确定并发放。</w:t>
            </w:r>
          </w:p>
        </w:tc>
      </w:tr>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
                <w:sz w:val="18"/>
                <w:szCs w:val="18"/>
              </w:rPr>
              <w:t>公司严格按照相关决策程序以及确定依据发放，报告期内，公司现任及离任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董监高人员共计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人，实际支付报酬共计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2,218,017.10 </w:t>
            </w:r>
            <w:r>
              <w:rPr>
                <w:rFonts w:ascii="宋体" w:hAnsi="宋体" w:cs="宋体" w:eastAsia="宋体" w:hint="default"/>
                <w:sz w:val="18"/>
                <w:szCs w:val="18"/>
              </w:rPr>
              <w:t>元。</w:t>
            </w:r>
          </w:p>
        </w:tc>
      </w:tr>
    </w:tbl>
    <w:p>
      <w:pPr>
        <w:pStyle w:val="BodyText"/>
        <w:spacing w:line="240" w:lineRule="auto" w:before="49"/>
        <w:ind w:right="0"/>
        <w:jc w:val="left"/>
      </w:pPr>
      <w:r>
        <w:rPr/>
        <w:t>公司报告期内董事、监事和高级管理人员报酬情况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320,012.75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320,012.75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194,557.62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194,557.62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付昭阳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55,700.00</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闵锐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程厚博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师召辉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203,058.89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203,058.89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142,553.06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142,553.06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潘绿英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59,380.33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59,380.33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毕成功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30,200.00</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吴宁莉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244,008.65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244,008.65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311,166.46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311,166.46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唐海林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175,141.60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175,141.60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207,137.74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207,137.74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2,218,017.10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2,218,017.10</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683"/>
        <w:gridCol w:w="3896"/>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变动情形</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5"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3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李毅先生因个人原因辞去公司监事职务。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王晓蓉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王晓蓉女士因个人原因辞去公司监事职务。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毕成功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毕成功先生因个人原因辞去公司监事职务。</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报告期内，公司不存在核心技术团队或关键技术人员发生变动的情况。</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日，公司员工人数为 </w:t>
      </w:r>
      <w:r>
        <w:rPr>
          <w:rFonts w:ascii="Times New Roman" w:hAnsi="Times New Roman" w:cs="Times New Roman" w:eastAsia="Times New Roman" w:hint="default"/>
        </w:rPr>
        <w:t>446</w:t>
      </w:r>
      <w:r>
        <w:rPr>
          <w:rFonts w:ascii="Times New Roman" w:hAnsi="Times New Roman" w:cs="Times New Roman" w:eastAsia="Times New Roman" w:hint="default"/>
          <w:spacing w:val="4"/>
        </w:rPr>
        <w:t> </w:t>
      </w:r>
      <w:r>
        <w:rPr/>
        <w:t>人，没有需要承担费用的离退休职工，具体情况如下：</w:t>
      </w:r>
    </w:p>
    <w:p>
      <w:pPr>
        <w:pStyle w:val="BodyText"/>
        <w:spacing w:line="240" w:lineRule="auto" w:before="103"/>
        <w:ind w:right="0"/>
        <w:jc w:val="left"/>
      </w:pPr>
      <w:r>
        <w:rPr/>
        <w:t>（一）按员工受教育程度分类：</w:t>
      </w:r>
    </w:p>
    <w:p>
      <w:pPr>
        <w:spacing w:line="240" w:lineRule="auto" w:before="2"/>
        <w:rPr>
          <w:rFonts w:ascii="宋体" w:hAnsi="宋体" w:cs="宋体" w:eastAsia="宋体" w:hint="default"/>
          <w:sz w:val="8"/>
          <w:szCs w:val="8"/>
        </w:rPr>
      </w:pPr>
    </w:p>
    <w:tbl>
      <w:tblPr>
        <w:tblW w:w="0" w:type="auto"/>
        <w:jc w:val="left"/>
        <w:tblInd w:w="854" w:type="dxa"/>
        <w:tblLayout w:type="fixed"/>
        <w:tblCellMar>
          <w:top w:w="0" w:type="dxa"/>
          <w:left w:w="0" w:type="dxa"/>
          <w:bottom w:w="0" w:type="dxa"/>
          <w:right w:w="0" w:type="dxa"/>
        </w:tblCellMar>
        <w:tblLook w:val="01E0"/>
      </w:tblPr>
      <w:tblGrid>
        <w:gridCol w:w="2979"/>
        <w:gridCol w:w="2552"/>
        <w:gridCol w:w="2410"/>
      </w:tblGrid>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人数（单位：人）</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占总人数的比例</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硕士、博士</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19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4.26%</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247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55.38%</w:t>
            </w:r>
          </w:p>
        </w:tc>
      </w:tr>
      <w:tr>
        <w:trPr>
          <w:trHeight w:val="42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160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35.87%</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中专、高中及以下</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4.48%</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446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（二）按员工专业结构分类：</w:t>
      </w:r>
    </w:p>
    <w:p>
      <w:pPr>
        <w:spacing w:line="240" w:lineRule="auto" w:before="4"/>
        <w:rPr>
          <w:rFonts w:ascii="宋体" w:hAnsi="宋体" w:cs="宋体" w:eastAsia="宋体" w:hint="default"/>
          <w:sz w:val="8"/>
          <w:szCs w:val="8"/>
        </w:rPr>
      </w:pPr>
    </w:p>
    <w:tbl>
      <w:tblPr>
        <w:tblW w:w="0" w:type="auto"/>
        <w:jc w:val="left"/>
        <w:tblInd w:w="854" w:type="dxa"/>
        <w:tblLayout w:type="fixed"/>
        <w:tblCellMar>
          <w:top w:w="0" w:type="dxa"/>
          <w:left w:w="0" w:type="dxa"/>
          <w:bottom w:w="0" w:type="dxa"/>
          <w:right w:w="0" w:type="dxa"/>
        </w:tblCellMar>
        <w:tblLook w:val="01E0"/>
      </w:tblPr>
      <w:tblGrid>
        <w:gridCol w:w="2979"/>
        <w:gridCol w:w="2552"/>
        <w:gridCol w:w="2410"/>
      </w:tblGrid>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岗位类别</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人数（单位：人）</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占总人数的比例</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194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43.50%</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59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13.23%</w:t>
            </w:r>
          </w:p>
        </w:tc>
      </w:tr>
      <w:tr>
        <w:trPr>
          <w:trHeight w:val="346"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技术支持人员</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106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9"/>
              <w:jc w:val="center"/>
              <w:rPr>
                <w:rFonts w:ascii="Times New Roman" w:hAnsi="Times New Roman" w:cs="Times New Roman" w:eastAsia="Times New Roman" w:hint="default"/>
                <w:sz w:val="18"/>
                <w:szCs w:val="18"/>
              </w:rPr>
            </w:pPr>
            <w:r>
              <w:rPr>
                <w:rFonts w:ascii="Times New Roman"/>
                <w:sz w:val="18"/>
              </w:rPr>
              <w:t>23.77%</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管理及行政人员</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79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17.71%</w:t>
            </w:r>
          </w:p>
        </w:tc>
      </w:tr>
      <w:tr>
        <w:trPr>
          <w:trHeight w:val="42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1.79%</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446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（三）按员工年龄分类：</w:t>
      </w:r>
    </w:p>
    <w:p>
      <w:pPr>
        <w:spacing w:line="240" w:lineRule="auto" w:before="2"/>
        <w:rPr>
          <w:rFonts w:ascii="宋体" w:hAnsi="宋体" w:cs="宋体" w:eastAsia="宋体" w:hint="default"/>
          <w:sz w:val="8"/>
          <w:szCs w:val="8"/>
        </w:rPr>
      </w:pPr>
    </w:p>
    <w:tbl>
      <w:tblPr>
        <w:tblW w:w="0" w:type="auto"/>
        <w:jc w:val="left"/>
        <w:tblInd w:w="854" w:type="dxa"/>
        <w:tblLayout w:type="fixed"/>
        <w:tblCellMar>
          <w:top w:w="0" w:type="dxa"/>
          <w:left w:w="0" w:type="dxa"/>
          <w:bottom w:w="0" w:type="dxa"/>
          <w:right w:w="0" w:type="dxa"/>
        </w:tblCellMar>
        <w:tblLook w:val="01E0"/>
      </w:tblPr>
      <w:tblGrid>
        <w:gridCol w:w="2979"/>
        <w:gridCol w:w="2552"/>
        <w:gridCol w:w="2410"/>
      </w:tblGrid>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人数（单位：人）</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占总人数的比例</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326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73.09%</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106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23.77%</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14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3.14%</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446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left="657" w:right="0"/>
        <w:jc w:val="left"/>
      </w:pPr>
      <w:r>
        <w:rPr/>
        <w:t>（注：以上数据未包含控股子公司博海通讯的员工人数）</w:t>
      </w:r>
    </w:p>
    <w:p>
      <w:pPr>
        <w:spacing w:after="0" w:line="240" w:lineRule="auto"/>
        <w:jc w:val="left"/>
        <w:sectPr>
          <w:pgSz w:w="11910" w:h="16840"/>
          <w:pgMar w:header="0"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right="2600"/>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2"/>
        <w:jc w:val="both"/>
      </w:pPr>
      <w:r>
        <w:rPr>
          <w:spacing w:val="-2"/>
        </w:rPr>
        <w:t>报告期内，公司建立了规范的公司治理结构，股东大会、董事会及专门委员会、监事会、独立董事、董事会秘书和管理层均</w:t>
      </w:r>
      <w:r>
        <w:rPr>
          <w:spacing w:val="-68"/>
        </w:rPr>
        <w:t> </w:t>
      </w:r>
      <w:r>
        <w:rPr>
          <w:spacing w:val="-68"/>
        </w:rPr>
      </w:r>
      <w:r>
        <w:rPr>
          <w:spacing w:val="-2"/>
        </w:rPr>
        <w:t>严格按照《公司法》、《上市公司治理准则》、《深圳证券交易所创业板股票上市规则》、《深圳证券交易所创业板上市公</w:t>
      </w:r>
      <w:r>
        <w:rPr>
          <w:spacing w:val="-70"/>
        </w:rPr>
        <w:t> </w:t>
      </w:r>
      <w:r>
        <w:rPr>
          <w:spacing w:val="-70"/>
        </w:rPr>
      </w:r>
      <w:r>
        <w:rPr>
          <w:spacing w:val="-2"/>
        </w:rPr>
        <w:t>司规范运作指引》等相关法律、法规和规范性文件的要求，履行各自的权利和义务，公司重大生产经营决策、投资决策及财</w:t>
      </w:r>
      <w:r>
        <w:rPr>
          <w:spacing w:val="-67"/>
        </w:rPr>
        <w:t> </w:t>
      </w:r>
      <w:r>
        <w:rPr>
          <w:spacing w:val="-67"/>
        </w:rPr>
      </w:r>
      <w:r>
        <w:rPr>
          <w:spacing w:val="-2"/>
        </w:rPr>
        <w:t>务决策均按照《公司章程》及相关内控制度规定的程序和规则运行。截至本报告期末，上述机构和人员规范运作，未出现违</w:t>
      </w:r>
      <w:r>
        <w:rPr>
          <w:spacing w:val="-66"/>
        </w:rPr>
        <w:t> </w:t>
      </w:r>
      <w:r>
        <w:rPr>
          <w:spacing w:val="-66"/>
        </w:rPr>
      </w:r>
      <w:r>
        <w:rPr>
          <w:spacing w:val="-2"/>
        </w:rPr>
        <w:t>法、违规现象，能够切实履行应尽的职责和义务，公司治理的实际状况符合《上市公司治理准则》和《深圳证券交易所创业</w:t>
      </w:r>
      <w:r>
        <w:rPr>
          <w:spacing w:val="-68"/>
        </w:rPr>
        <w:t> </w:t>
      </w:r>
      <w:r>
        <w:rPr>
          <w:spacing w:val="-68"/>
        </w:rPr>
      </w:r>
      <w:r>
        <w:rPr/>
        <w:t>板上市公司规范运作指引》等相关法律法规的要求。</w:t>
      </w:r>
    </w:p>
    <w:p>
      <w:pPr>
        <w:pStyle w:val="BodyText"/>
        <w:spacing w:line="240" w:lineRule="auto" w:before="59"/>
        <w:ind w:right="0"/>
        <w:jc w:val="both"/>
      </w:pPr>
      <w:r>
        <w:rPr/>
        <w:t>公司治理与《公司法》和中国证监会相关规定的要求是否存在差异</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7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年度第一次临时股东大 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年度第二次临时股东大 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年度第三次临时股东大 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年度第四次临时股东大 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第一届董事会第十五次会议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第一届董事会第十六次会议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第一届董事会第十七次会议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第一届董事会第十八次会议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第一届董事会第十九次会议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第一届董事会第二十次会议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both"/>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48"/>
        <w:jc w:val="both"/>
      </w:pPr>
      <w:r>
        <w:rPr/>
        <w:t>公司于</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60"/>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spacing w:val="-5"/>
        </w:rPr>
        <w:t>日召开的第一届董事会第十六次会议审议通过《年报信息披露重大差错责任追究制度（</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spacing w:val="-46"/>
        </w:rPr>
        <w:t>月）》，</w:t>
      </w:r>
      <w:r>
        <w:rPr/>
        <w:t> </w:t>
      </w:r>
      <w:r>
        <w:rPr>
          <w:spacing w:val="-2"/>
        </w:rPr>
        <w:t>建立健全了年度报告重大差错责任追究制度，并且严格有效地执行了该制度，报告期内，公司未发生重大会计差错更正、重</w:t>
      </w:r>
      <w:r>
        <w:rPr>
          <w:spacing w:val="-66"/>
        </w:rPr>
        <w:t> </w:t>
      </w:r>
      <w:r>
        <w:rPr>
          <w:spacing w:val="-66"/>
        </w:rPr>
      </w:r>
      <w:r>
        <w:rPr/>
        <w:t>大遗漏信息补充以及业绩预告修正等情况。</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监事会在报告期内的监督活动是否发现公司存在风险</w:t>
      </w:r>
    </w:p>
    <w:p>
      <w:pPr>
        <w:pStyle w:val="BodyText"/>
        <w:spacing w:line="340" w:lineRule="auto" w:before="117"/>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0"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751" w:right="3887"/>
        <w:jc w:val="center"/>
        <w:rPr>
          <w:b w:val="0"/>
          <w:bCs w:val="0"/>
        </w:rPr>
      </w:pPr>
      <w:bookmarkStart w:name="_bookmark8" w:id="9"/>
      <w:bookmarkEnd w:id="9"/>
      <w:r>
        <w:rPr>
          <w:b w:val="0"/>
          <w:bCs w:val="0"/>
        </w:rPr>
      </w:r>
      <w:r>
        <w:rPr/>
        <w:t>第九节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北京永拓会计师事务所有限责任公司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京永审字（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bl>
    <w:p>
      <w:pPr>
        <w:pStyle w:val="BodyText"/>
        <w:spacing w:line="240" w:lineRule="auto" w:before="49"/>
        <w:ind w:left="3749" w:right="3887"/>
        <w:jc w:val="center"/>
      </w:pPr>
      <w:r>
        <w:rPr/>
        <w:t>审计报告正文</w:t>
      </w:r>
    </w:p>
    <w:p>
      <w:pPr>
        <w:pStyle w:val="BodyText"/>
        <w:spacing w:line="240" w:lineRule="auto" w:before="118"/>
        <w:ind w:right="0"/>
        <w:jc w:val="left"/>
      </w:pPr>
      <w:r>
        <w:rPr/>
        <w:t>任子行网络技术股份有限公司全体股东：</w:t>
      </w:r>
    </w:p>
    <w:p>
      <w:pPr>
        <w:pStyle w:val="BodyText"/>
        <w:spacing w:line="312" w:lineRule="auto" w:before="76"/>
        <w:ind w:right="0"/>
        <w:jc w:val="left"/>
      </w:pPr>
      <w:r>
        <w:rPr/>
        <w:t>我们审计了后附的任子行网络技术股份有限公司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任子行公司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日合并及母公司资产 负债表，</w:t>
      </w:r>
      <w:r>
        <w:rPr>
          <w:spacing w:val="-51"/>
        </w:rPr>
        <w:t> </w:t>
      </w:r>
      <w:r>
        <w:rPr>
          <w:rFonts w:ascii="Times New Roman" w:hAnsi="Times New Roman" w:cs="Times New Roman" w:eastAsia="Times New Roman" w:hint="default"/>
          <w:spacing w:val="-3"/>
        </w:rPr>
        <w:t>2012</w:t>
      </w:r>
      <w:r>
        <w:rPr>
          <w:spacing w:val="-3"/>
        </w:rPr>
        <w:t>年度合并及母公司利润表、合并及母公司所有者权益变动表、合并及母公司现金流量表，以及财务报表附注。</w:t>
      </w:r>
      <w:r>
        <w:rPr>
          <w:spacing w:val="-59"/>
        </w:rPr>
        <w:t> </w:t>
      </w:r>
      <w:r>
        <w:rPr>
          <w:spacing w:val="-59"/>
        </w:rPr>
      </w:r>
      <w:r>
        <w:rPr/>
        <w:t>一、管理层对财务报表的责任 编制和公允列报财务报表是任子行公司管理层的责任，这种责任包括：（</w:t>
      </w:r>
      <w:r>
        <w:rPr>
          <w:rFonts w:ascii="Times New Roman" w:hAnsi="Times New Roman" w:cs="Times New Roman" w:eastAsia="Times New Roman" w:hint="default"/>
        </w:rPr>
        <w:t>1</w:t>
      </w:r>
      <w:r>
        <w:rPr/>
        <w:t>）按照企业会计准则的规定编制财务报表，并使 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w:t>
      </w:r>
      <w:r>
        <w:rPr>
          <w:spacing w:val="-2"/>
        </w:rPr>
        <w:t>我们的责任是在执行审计工作的基础上对财务报表发表审计意见。我们按照中国注册会计师审计准则的规定执行了审计工作。</w:t>
      </w:r>
      <w:r>
        <w:rPr>
          <w:spacing w:val="-62"/>
        </w:rPr>
        <w:t> </w:t>
      </w:r>
      <w:r>
        <w:rPr>
          <w:spacing w:val="-62"/>
        </w:rPr>
      </w:r>
      <w:r>
        <w:rPr>
          <w:spacing w:val="-2"/>
        </w:rPr>
        <w:t>中国注册会计师审计准则要求我们遵守中国注册会计师职业道德守则，计划和执行审计工作以对财务报表是否不存在重大错</w:t>
      </w:r>
      <w:r>
        <w:rPr>
          <w:spacing w:val="-63"/>
        </w:rPr>
        <w:t> </w:t>
      </w:r>
      <w:r>
        <w:rPr>
          <w:spacing w:val="-63"/>
        </w:rPr>
      </w:r>
      <w:r>
        <w:rPr/>
        <w:t>报获取合理保证。 审计工作涉及实施审计程序，以获取有关财务报表金额和披露的审计证据。选择的审计程序取决于注册会计师的判断，包括</w:t>
      </w:r>
      <w:r>
        <w:rPr/>
        <w:t>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 我们相信，我们获取的审计证据是充分、适当的，为发表审计意见提供了基础。</w:t>
      </w:r>
    </w:p>
    <w:p>
      <w:pPr>
        <w:pStyle w:val="BodyText"/>
        <w:spacing w:line="309" w:lineRule="auto" w:before="22"/>
        <w:ind w:right="0"/>
        <w:jc w:val="left"/>
      </w:pPr>
      <w:r>
        <w:rPr/>
        <w:t>三、审计意见 </w:t>
      </w:r>
      <w:r>
        <w:rPr>
          <w:spacing w:val="-2"/>
        </w:rPr>
        <w:t>我们认为，任子行公司财务报表在所有重大方面按照企业会计准则的规定编制，公允反映了任子行公司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spacing w:val="-58"/>
        </w:rPr>
        <w:t> </w:t>
      </w:r>
      <w:r>
        <w:rPr>
          <w:spacing w:val="-58"/>
        </w:rPr>
      </w:r>
      <w:r>
        <w:rPr/>
        <w:t>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编制单位：任子行网络技术股份有限公司</w:t>
      </w:r>
    </w:p>
    <w:p>
      <w:pPr>
        <w:pStyle w:val="BodyText"/>
        <w:spacing w:line="240" w:lineRule="auto" w:before="115"/>
        <w:ind w:left="0" w:right="2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290"/>
      </w:tblGrid>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4" w:right="0"/>
              <w:jc w:val="left"/>
              <w:rPr>
                <w:rFonts w:ascii="Times New Roman" w:hAnsi="Times New Roman" w:cs="Times New Roman" w:eastAsia="Times New Roman" w:hint="default"/>
                <w:sz w:val="18"/>
                <w:szCs w:val="18"/>
              </w:rPr>
            </w:pPr>
            <w:r>
              <w:rPr>
                <w:rFonts w:ascii="Times New Roman"/>
                <w:sz w:val="18"/>
              </w:rPr>
              <w:t>325,614,507.98</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58,889,310.06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84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6,608,069.56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1,217,064.00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40,883,734.28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17,069,307.17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2,973,125.35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1,268,915.36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3,913,150.08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5,068,618.03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32,166,662.20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19,092,283.06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412,159,249.45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102,605,497.68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4,557,748.49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551,440.06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563,017.24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108,724,281.55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88,584,290.37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1,498,649.38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1,208,637.48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2,759,611.73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77,225.17</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5,416,406.16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3,852,066.62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123,585,362.54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94,208,011.71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535,744,611.99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196,813,509.39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2,662,833.33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6,710,958.58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22,187,461.95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9,237,425.37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44,758,867.67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14,367,519.74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7,440,432.30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4,943,085.55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7,508,205.51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3,189,956.23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8,863,786.00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792,765.91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100,132,545.34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32,530,752.80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21,769,999.96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28,880,000.00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21,769,999.96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129,012,545.34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54,300,752.76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232,446,964.92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19,066,977.92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10,727,840.82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6,855,096.08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91,654,998.25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63,590,682.63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405,529,803.99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142,512,756.63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1,202,262.66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406,732,066.65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142,512,756.63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535,744,611.99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196,813,509.39</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718" w:val="left" w:leader="none"/>
        </w:tabs>
        <w:spacing w:line="240" w:lineRule="auto" w:before="44"/>
        <w:ind w:right="0"/>
        <w:jc w:val="left"/>
      </w:pPr>
      <w:r>
        <w:rPr/>
        <w:t>法定代表人：景晓军</w:t>
        <w:tab/>
      </w:r>
      <w:r>
        <w:rPr>
          <w:spacing w:val="-1"/>
        </w:rPr>
        <w:t>主管会计工作负责人：陈文</w:t>
        <w:tab/>
      </w:r>
      <w:r>
        <w:rPr/>
        <w:t>会计机构负责人：钟海川</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编制单位：任子行网络技术股份有限公司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299,778,895.38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54,507,898.29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1,003,175.00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1,217,064.00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30,055,487.68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17,080,643.17</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1,813,046.35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1,268,915.36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5,159,244.70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5,417,028.27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12,209,684.96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19,066,124.09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12,222,333.32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362,241,867.39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98,557,673.18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42,157,748.49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551,440.06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563,017.24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106,255,314.50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88,486,387.74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1,417,743.22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1,208,637.48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5,253,458.95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3,851,873.96</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155,635,705.22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115,109,916.42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517,877,572.61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213,667,589.60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39,480.00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14,533,133.76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9,254,225.37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43,391,176.67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14,363,819.74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6,081,857.24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4,805,017.00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6,609,580.28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3,385,211.77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12,958,262.04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17,442,667.51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83,613,489.99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49,250,941.39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28,880,000.00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21,769,999.96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28,880,000.00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21,769,999.96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112,493,489.99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71,020,941.35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70,700,000.00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232,633,600.72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19,253,613.72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10,727,840.82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6,855,096.08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91,322,641.08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63,537,938.45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405,384,082.62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142,646,648.25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517,877,572.61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213,667,589.60</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718" w:val="left" w:leader="none"/>
        </w:tabs>
        <w:spacing w:line="240" w:lineRule="auto" w:before="44"/>
        <w:ind w:right="0"/>
        <w:jc w:val="left"/>
      </w:pPr>
      <w:r>
        <w:rPr/>
        <w:t>法定代表人：景晓军</w:t>
        <w:tab/>
      </w:r>
      <w:r>
        <w:rPr>
          <w:spacing w:val="-1"/>
        </w:rPr>
        <w:t>主管会计工作负责人：陈文</w:t>
        <w:tab/>
      </w:r>
      <w:r>
        <w:rPr/>
        <w:t>会计机构负责人：钟海川</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编制单位：任子行网络技术股份有限公司</w:t>
      </w:r>
    </w:p>
    <w:p>
      <w:pPr>
        <w:pStyle w:val="BodyText"/>
        <w:spacing w:line="240" w:lineRule="auto" w:before="117"/>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192,974,175.08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175,113,472.96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192,974,175.08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175,113,472.96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168,743,250.09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139,730,452.56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83,974,440.74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76,276,299.40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2,325,428.00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2,670,561.19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20,163,367.28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16,499,821.24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58,676,134.15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43,781,781.87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-472,374.22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-523,200.11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4,076,254.14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1,025,188.97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-442,251.51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23,788,673.48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35,383,020.40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16,759,079.58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9,033,313.63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87,566.84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56,950.00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40,460,186.22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44,359,384.03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3,252,918.59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5,793,265.02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37,207,267.63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38,566,119.01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39,007,060.36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38,566,119.01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-1,799,792.73</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37,207,267.63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38,566,119.01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39,007,060.36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38,566,119.01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-1,799,792.73</w:t>
            </w: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667" w:val="left" w:leader="none"/>
          <w:tab w:pos="7718" w:val="left" w:leader="none"/>
        </w:tabs>
        <w:spacing w:line="240" w:lineRule="auto" w:before="138"/>
        <w:ind w:right="0"/>
        <w:jc w:val="left"/>
      </w:pPr>
      <w:r>
        <w:rPr/>
        <w:t>法定代表人：景晓军</w:t>
        <w:tab/>
      </w:r>
      <w:r>
        <w:rPr>
          <w:spacing w:val="-1"/>
        </w:rPr>
        <w:t>主管会计工作负责人：陈文</w:t>
        <w:tab/>
      </w:r>
      <w:r>
        <w:rPr/>
        <w:t>会计机构负责人：钟海川</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编制单位：任子行网络技术股份有限公司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172,521,213.05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171,223,712.96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74,770,300.53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75,916,659.55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2,203,691.39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2,415,119.11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19,443,637.59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16,449,406.24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50,088,115.78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40,289,258.68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-1,487,208.84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-331,001.35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2,409,239.22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1,028,438.44</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-219,918.19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24,873,519.19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35,455,832.29</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16,747,379.58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9,032,547.09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27,330.80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56,950.00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41,593,567.97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44,431,429.38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2,866,120.60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5,792,777.59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38,727,447.37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38,638,651.79</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0.73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38,727,447.37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38,638,651.79</w:t>
            </w:r>
          </w:p>
        </w:tc>
      </w:tr>
    </w:tbl>
    <w:p>
      <w:pPr>
        <w:spacing w:line="240" w:lineRule="auto" w:before="2"/>
        <w:rPr>
          <w:rFonts w:ascii="宋体" w:hAnsi="宋体" w:cs="宋体" w:eastAsia="宋体" w:hint="default"/>
          <w:sz w:val="20"/>
          <w:szCs w:val="20"/>
        </w:rPr>
      </w:pPr>
    </w:p>
    <w:p>
      <w:pPr>
        <w:pStyle w:val="BodyText"/>
        <w:tabs>
          <w:tab w:pos="3667" w:val="left" w:leader="none"/>
          <w:tab w:pos="7718" w:val="left" w:leader="none"/>
        </w:tabs>
        <w:spacing w:line="240" w:lineRule="auto" w:before="44"/>
        <w:ind w:right="0"/>
        <w:jc w:val="left"/>
      </w:pPr>
      <w:r>
        <w:rPr/>
        <w:t>法定代表人：景晓军</w:t>
        <w:tab/>
      </w:r>
      <w:r>
        <w:rPr>
          <w:spacing w:val="-1"/>
        </w:rPr>
        <w:t>主管会计工作负责人：陈文</w:t>
        <w:tab/>
      </w:r>
      <w:r>
        <w:rPr/>
        <w:t>会计机构负责人：钟海川</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编制单位：任子行网络技术股份有限公司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235,188,529.53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202,618,490.61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7,081,427.68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4,034,965.69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23,747,044.72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16,645,420.85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266,017,001.93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223,298,877.15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86,912,794.08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99,463,145.85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48,825,746.70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34,401,498.60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16,561,163.55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19,919,035.59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38,522,277.32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28,732,012.63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190,821,981.65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182,515,692.67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75,195,020.28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40,783,184.48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25,969,636.71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50,740,841.77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6,120,559.28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37,090,195.99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50,740,841.77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-37,090,195.99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-50,740,841.77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241,192,000.00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29,166.67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分配股利、利润或偿付利息支付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7,816,446.70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6,448,893.14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14,294,506.51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226,897,493.49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265,002,317.78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-9,957,657.29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58,889,310.06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68,846,967.35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323,891,627.84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58,889,310.06</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718" w:val="left" w:leader="none"/>
        </w:tabs>
        <w:spacing w:line="240" w:lineRule="auto" w:before="44"/>
        <w:ind w:right="0"/>
        <w:jc w:val="left"/>
      </w:pPr>
      <w:r>
        <w:rPr/>
        <w:t>法定代表人：景晓军</w:t>
        <w:tab/>
      </w:r>
      <w:r>
        <w:rPr>
          <w:spacing w:val="-1"/>
        </w:rPr>
        <w:t>主管会计工作负责人：陈文</w:t>
        <w:tab/>
      </w:r>
      <w:r>
        <w:rPr/>
        <w:t>会计机构负责人：钟海川</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编制单位：任子行网络技术股份有限公司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207,411,263.65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198,677,337.04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6,863,789.62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4,034,965.69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23,245,981.45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16,393,634.05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237,521,034.72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219,105,936.78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71,242,826.52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99,182,167.14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40,203,715.92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31,270,307.00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16,030,245.26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19,417,406.41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27,233,718.93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28,337,967.60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154,710,506.63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178,207,848.15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82,810,528.09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40,898,088.63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25,739,518.00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50,660,709.95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59,339,518.00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50,660,709.95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-59,339,518.00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-50,660,709.95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9,630,013.00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16,700,013.00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221,799,987.00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245,270,997.09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7,097,378.68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54,507,898.29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47,410,519.61</w:t>
            </w:r>
            <w:r>
              <w:rPr>
                <w:rFonts w:ascii="Times New Roman"/>
                <w:sz w:val="18"/>
              </w:rPr>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299,778,895.38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54,507,898.29</w:t>
            </w:r>
          </w:p>
        </w:tc>
      </w:tr>
    </w:tbl>
    <w:p>
      <w:pPr>
        <w:spacing w:line="240" w:lineRule="auto" w:before="2"/>
        <w:rPr>
          <w:rFonts w:ascii="宋体" w:hAnsi="宋体" w:cs="宋体" w:eastAsia="宋体" w:hint="default"/>
          <w:sz w:val="20"/>
          <w:szCs w:val="20"/>
        </w:rPr>
      </w:pPr>
    </w:p>
    <w:p>
      <w:pPr>
        <w:pStyle w:val="BodyText"/>
        <w:tabs>
          <w:tab w:pos="3667" w:val="left" w:leader="none"/>
          <w:tab w:pos="7718" w:val="left" w:leader="none"/>
        </w:tabs>
        <w:spacing w:line="240" w:lineRule="auto" w:before="44"/>
        <w:ind w:right="0"/>
        <w:jc w:val="left"/>
      </w:pPr>
      <w:r>
        <w:rPr/>
        <w:t>法定代表人：景晓军</w:t>
        <w:tab/>
      </w:r>
      <w:r>
        <w:rPr>
          <w:spacing w:val="-1"/>
        </w:rPr>
        <w:t>主管会计工作负责人：陈文</w:t>
        <w:tab/>
      </w:r>
      <w:r>
        <w:rPr/>
        <w:t>会计机构负责人：钟海川</w:t>
      </w:r>
    </w:p>
    <w:p>
      <w:pPr>
        <w:spacing w:after="0" w:line="240" w:lineRule="auto"/>
        <w:jc w:val="left"/>
        <w:sectPr>
          <w:pgSz w:w="11910" w:h="16840"/>
          <w:pgMar w:header="0" w:footer="980" w:top="1100" w:bottom="1160" w:left="980" w:right="980"/>
        </w:sectPr>
      </w:pPr>
    </w:p>
    <w:p>
      <w:pPr>
        <w:pStyle w:val="Heading3"/>
        <w:spacing w:line="240" w:lineRule="auto" w:before="53"/>
        <w:ind w:left="140" w:right="-20"/>
        <w:jc w:val="left"/>
        <w:rPr>
          <w:b w:val="0"/>
          <w:bCs w:val="0"/>
        </w:rPr>
      </w:pPr>
      <w:r>
        <w:rPr/>
        <w:pict>
          <v:group style="position:absolute;margin-left:70.559998pt;margin-top:2.173692pt;width:700.9pt;height:.1pt;mso-position-horizontal-relative:page;mso-position-vertical-relative:paragraph;z-index:1432" coordorigin="1411,43" coordsize="14018,2">
            <v:shape style="position:absolute;left:1411;top:43;width:14018;height:2" coordorigin="1411,43" coordsize="14018,0" path="m1411,43l15429,43e" filled="false" stroked="true" strokeweight=".72pt" strokecolor="#000000">
              <v:path arrowok="t"/>
            </v:shape>
            <w10:wrap type="none"/>
          </v:group>
        </w:pict>
      </w:r>
      <w:r>
        <w:rPr>
          <w:rFonts w:ascii="Times New Roman" w:hAnsi="Times New Roman" w:cs="Times New Roman" w:eastAsia="Times New Roman" w:hint="default"/>
        </w:rPr>
        <w:t>7</w:t>
      </w:r>
      <w:r>
        <w:rPr/>
        <w:t>、合并所有者权益变动表</w:t>
      </w:r>
      <w:r>
        <w:rPr>
          <w:b w:val="0"/>
          <w:bCs w:val="0"/>
        </w:rPr>
      </w:r>
    </w:p>
    <w:p>
      <w:pPr>
        <w:pStyle w:val="BodyText"/>
        <w:spacing w:line="360" w:lineRule="auto" w:before="44"/>
        <w:ind w:left="140" w:right="-20"/>
        <w:jc w:val="left"/>
      </w:pPr>
      <w:r>
        <w:rPr/>
        <w:t>编制单位：任子行网络技术股份有限公司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9"/>
        <w:ind w:left="140" w:right="0"/>
        <w:jc w:val="left"/>
      </w:pPr>
      <w:r>
        <w:rPr/>
        <w:t>单位：元</w:t>
      </w:r>
    </w:p>
    <w:p>
      <w:pPr>
        <w:spacing w:after="0" w:line="240" w:lineRule="auto"/>
        <w:jc w:val="left"/>
        <w:sectPr>
          <w:headerReference w:type="default" r:id="rId24"/>
          <w:footerReference w:type="default" r:id="rId25"/>
          <w:pgSz w:w="16840" w:h="11910" w:orient="landscape"/>
          <w:pgMar w:header="867" w:footer="980" w:top="1060" w:bottom="1160" w:left="1300" w:right="1300"/>
          <w:pgNumType w:start="57"/>
          <w:cols w:num="2" w:equalWidth="0">
            <w:col w:w="3381" w:space="9761"/>
            <w:col w:w="1098"/>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812"/>
        <w:gridCol w:w="1288"/>
        <w:gridCol w:w="1277"/>
        <w:gridCol w:w="850"/>
        <w:gridCol w:w="850"/>
        <w:gridCol w:w="1136"/>
        <w:gridCol w:w="1277"/>
        <w:gridCol w:w="1133"/>
        <w:gridCol w:w="566"/>
        <w:gridCol w:w="1277"/>
        <w:gridCol w:w="1416"/>
      </w:tblGrid>
      <w:tr>
        <w:trPr>
          <w:trHeight w:val="403" w:hRule="exact"/>
        </w:trPr>
        <w:tc>
          <w:tcPr>
            <w:tcW w:w="2812" w:type="dxa"/>
            <w:vMerge w:val="restart"/>
            <w:tcBorders>
              <w:top w:val="single" w:sz="4" w:space="0" w:color="000000"/>
              <w:left w:val="single" w:sz="4" w:space="0" w:color="000000"/>
              <w:right w:val="single" w:sz="4" w:space="0" w:color="000000"/>
            </w:tcBorders>
            <w:shd w:val="clear" w:color="auto" w:fill="D2D2D2"/>
          </w:tcPr>
          <w:p>
            <w:pPr/>
          </w:p>
        </w:tc>
        <w:tc>
          <w:tcPr>
            <w:tcW w:w="110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1" w:hRule="exact"/>
        </w:trPr>
        <w:tc>
          <w:tcPr>
            <w:tcW w:w="2812" w:type="dxa"/>
            <w:vMerge/>
            <w:tcBorders>
              <w:left w:val="single" w:sz="4" w:space="0" w:color="000000"/>
              <w:bottom w:val="nil" w:sz="6" w:space="0" w:color="auto"/>
              <w:right w:val="single" w:sz="4" w:space="0" w:color="000000"/>
            </w:tcBorders>
            <w:shd w:val="clear" w:color="auto" w:fill="D2D2D2"/>
          </w:tcPr>
          <w:p>
            <w:pPr/>
          </w:p>
        </w:tc>
        <w:tc>
          <w:tcPr>
            <w:tcW w:w="8376"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235" w:hRule="exact"/>
        </w:trPr>
        <w:tc>
          <w:tcPr>
            <w:tcW w:w="2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76" w:type="dxa"/>
            <w:gridSpan w:val="8"/>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812"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64" w:right="22" w:hanging="430"/>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z w:val="18"/>
                <w:szCs w:val="18"/>
              </w:rPr>
              <w:t> 本）</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8" w:right="60"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5" w:hRule="exact"/>
        </w:trPr>
        <w:tc>
          <w:tcPr>
            <w:tcW w:w="2812"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0"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812"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2"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19,066,977.92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6,855,096.08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63,590,682.63</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142,512,756.63</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19,066,977.92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6,855,096.08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63,590,682.63</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142,512,756.63</w:t>
            </w:r>
          </w:p>
        </w:tc>
      </w:tr>
      <w:tr>
        <w:trPr>
          <w:trHeight w:val="71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 w:right="1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号填列）</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213,379,987.00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3,872,744.74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28,064,315.62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1,202,262.66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264,219,310.02</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39,007,060.36</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-1,799,792.73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37,207,267.63</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39,007,060.36</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-1,799,792.73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37,207,267.63</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213,379,987.00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3,002,055.39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234,082,042.39</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213,379,987.00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231,079,987.00</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3,002,055.39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3,002,055.39</w:t>
            </w:r>
          </w:p>
        </w:tc>
      </w:tr>
      <w:tr>
        <w:trPr>
          <w:trHeight w:val="161" w:hRule="exact"/>
        </w:trPr>
        <w:tc>
          <w:tcPr>
            <w:tcW w:w="2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3,872,744.74</w:t>
            </w:r>
          </w:p>
        </w:tc>
        <w:tc>
          <w:tcPr>
            <w:tcW w:w="127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-10,942,744.7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6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-7,070,000.00</w:t>
            </w:r>
          </w:p>
        </w:tc>
      </w:tr>
      <w:tr>
        <w:trPr>
          <w:trHeight w:val="394" w:hRule="exact"/>
        </w:trPr>
        <w:tc>
          <w:tcPr>
            <w:tcW w:w="28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88"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161" w:hRule="exact"/>
        </w:trPr>
        <w:tc>
          <w:tcPr>
            <w:tcW w:w="2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3,872,744.74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-3,872,744.74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288"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-7,070,000.00</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232,446,964.92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10,727,840.82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91,654,998.25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1,202,262.66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406,732,066.65</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140" w:right="0"/>
        <w:jc w:val="left"/>
      </w:pPr>
      <w:r>
        <w:rPr/>
        <w:t>上年金额</w:t>
      </w:r>
    </w:p>
    <w:p>
      <w:pPr>
        <w:pStyle w:val="BodyText"/>
        <w:spacing w:line="240" w:lineRule="auto" w:before="117"/>
        <w:ind w:left="0" w:right="234"/>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954"/>
        <w:gridCol w:w="1288"/>
        <w:gridCol w:w="1135"/>
        <w:gridCol w:w="991"/>
        <w:gridCol w:w="852"/>
        <w:gridCol w:w="1133"/>
        <w:gridCol w:w="1274"/>
        <w:gridCol w:w="1135"/>
        <w:gridCol w:w="708"/>
        <w:gridCol w:w="1136"/>
        <w:gridCol w:w="1274"/>
      </w:tblGrid>
      <w:tr>
        <w:trPr>
          <w:trHeight w:val="401" w:hRule="exact"/>
        </w:trPr>
        <w:tc>
          <w:tcPr>
            <w:tcW w:w="2954" w:type="dxa"/>
            <w:vMerge w:val="restart"/>
            <w:tcBorders>
              <w:top w:val="single" w:sz="4" w:space="0" w:color="000000"/>
              <w:left w:val="single" w:sz="4" w:space="0" w:color="000000"/>
              <w:right w:val="single" w:sz="4" w:space="0" w:color="000000"/>
            </w:tcBorders>
            <w:shd w:val="clear" w:color="auto" w:fill="D2D2D2"/>
          </w:tcPr>
          <w:p>
            <w:pPr/>
          </w:p>
        </w:tc>
        <w:tc>
          <w:tcPr>
            <w:tcW w:w="1092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84" w:hRule="exact"/>
        </w:trPr>
        <w:tc>
          <w:tcPr>
            <w:tcW w:w="2954" w:type="dxa"/>
            <w:vMerge/>
            <w:tcBorders>
              <w:left w:val="single" w:sz="4" w:space="0" w:color="000000"/>
              <w:bottom w:val="nil" w:sz="6" w:space="0" w:color="auto"/>
              <w:right w:val="single" w:sz="4" w:space="0" w:color="000000"/>
            </w:tcBorders>
            <w:shd w:val="clear" w:color="auto" w:fill="D2D2D2"/>
          </w:tcPr>
          <w:p>
            <w:pPr/>
          </w:p>
        </w:tc>
        <w:tc>
          <w:tcPr>
            <w:tcW w:w="8517"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0" w:hRule="exact"/>
        </w:trPr>
        <w:tc>
          <w:tcPr>
            <w:tcW w:w="29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17" w:type="dxa"/>
            <w:gridSpan w:val="8"/>
            <w:vMerge/>
            <w:tcBorders>
              <w:left w:val="single" w:sz="4" w:space="0" w:color="000000"/>
              <w:bottom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73" w:right="111" w:hanging="361"/>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539" w:right="9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6" w:hRule="exact"/>
        </w:trPr>
        <w:tc>
          <w:tcPr>
            <w:tcW w:w="2954"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4" w:right="22" w:hanging="430"/>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z w:val="18"/>
                <w:szCs w:val="18"/>
              </w:rPr>
              <w:t> 本）</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r>
      <w:tr>
        <w:trPr>
          <w:trHeight w:val="396" w:hRule="exact"/>
        </w:trPr>
        <w:tc>
          <w:tcPr>
            <w:tcW w:w="2954"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954"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19,066,977.92</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2,991,230.90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28,888,428.80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103,946,637.62</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19,066,977.92</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2,991,230.90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28,888,428.80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103,946,637.62</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7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3,863,865.18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34,702,253.83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38,566,119.01</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38,566,119.01</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38,566,119.01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38,566,119.01</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38,566,119.01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3,863,865.18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-3,863,865.18</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3,863,865.18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-3,863,865.18</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19,066,977.92</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6,855,096.08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63,590,682.63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142,512,756.63</w:t>
            </w:r>
          </w:p>
        </w:tc>
      </w:tr>
    </w:tbl>
    <w:p>
      <w:pPr>
        <w:spacing w:line="240" w:lineRule="auto" w:before="2"/>
        <w:rPr>
          <w:rFonts w:ascii="宋体" w:hAnsi="宋体" w:cs="宋体" w:eastAsia="宋体" w:hint="default"/>
          <w:sz w:val="20"/>
          <w:szCs w:val="20"/>
        </w:rPr>
      </w:pPr>
    </w:p>
    <w:p>
      <w:pPr>
        <w:pStyle w:val="BodyText"/>
        <w:tabs>
          <w:tab w:pos="3653" w:val="left" w:leader="none"/>
          <w:tab w:pos="7705" w:val="left" w:leader="none"/>
        </w:tabs>
        <w:spacing w:line="240" w:lineRule="auto" w:before="44"/>
        <w:ind w:left="140" w:right="0"/>
        <w:jc w:val="left"/>
      </w:pPr>
      <w:r>
        <w:rPr/>
        <w:t>法定代表人：景晓军</w:t>
        <w:tab/>
      </w:r>
      <w:r>
        <w:rPr>
          <w:spacing w:val="-1"/>
        </w:rPr>
        <w:t>主管会计工作负责人：陈文</w:t>
        <w:tab/>
      </w:r>
      <w:r>
        <w:rPr/>
        <w:t>会计机构负责人：钟海川</w:t>
      </w:r>
    </w:p>
    <w:p>
      <w:pPr>
        <w:spacing w:after="0" w:line="240" w:lineRule="auto"/>
        <w:jc w:val="left"/>
        <w:sectPr>
          <w:pgSz w:w="16840" w:h="11910" w:orient="landscape"/>
          <w:pgMar w:header="867" w:footer="980" w:top="1060" w:bottom="1160" w:left="1300" w:right="1300"/>
        </w:sectPr>
      </w:pPr>
    </w:p>
    <w:p>
      <w:pPr>
        <w:pStyle w:val="Heading3"/>
        <w:spacing w:line="240" w:lineRule="auto" w:before="53"/>
        <w:ind w:left="140" w:right="-20"/>
        <w:jc w:val="left"/>
        <w:rPr>
          <w:b w:val="0"/>
          <w:bCs w:val="0"/>
        </w:rPr>
      </w:pPr>
      <w:r>
        <w:rPr/>
        <w:pict>
          <v:group style="position:absolute;margin-left:70.559998pt;margin-top:2.173692pt;width:700.9pt;height:.1pt;mso-position-horizontal-relative:page;mso-position-vertical-relative:paragraph;z-index:1480" coordorigin="1411,43" coordsize="14018,2">
            <v:shape style="position:absolute;left:1411;top:43;width:14018;height:2" coordorigin="1411,43" coordsize="14018,0" path="m1411,43l15429,43e" filled="false" stroked="true" strokeweight=".72pt" strokecolor="#000000">
              <v:path arrowok="t"/>
            </v:shape>
            <w10:wrap type="none"/>
          </v:group>
        </w:pict>
      </w:r>
      <w:r>
        <w:rPr>
          <w:rFonts w:ascii="Times New Roman" w:hAnsi="Times New Roman" w:cs="Times New Roman" w:eastAsia="Times New Roman" w:hint="default"/>
        </w:rPr>
        <w:t>8</w:t>
      </w:r>
      <w:r>
        <w:rPr/>
        <w:t>、母公司所有者权益变动表</w:t>
      </w:r>
      <w:r>
        <w:rPr>
          <w:b w:val="0"/>
          <w:bCs w:val="0"/>
        </w:rPr>
      </w:r>
    </w:p>
    <w:p>
      <w:pPr>
        <w:pStyle w:val="BodyText"/>
        <w:spacing w:line="360" w:lineRule="auto" w:before="44"/>
        <w:ind w:left="140" w:right="-20"/>
        <w:jc w:val="left"/>
      </w:pPr>
      <w:r>
        <w:rPr/>
        <w:t>编制单位：任子行网络技术股份有限公司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9"/>
        <w:ind w:left="140" w:right="0"/>
        <w:jc w:val="left"/>
      </w:pPr>
      <w:r>
        <w:rPr/>
        <w:pict>
          <v:group style="position:absolute;margin-left:243.5pt;margin-top:105.591705pt;width:82.35pt;height:19.7pt;mso-position-horizontal-relative:page;mso-position-vertical-relative:paragraph;z-index:-653608" coordorigin="4870,2112" coordsize="1647,394">
            <v:shape style="position:absolute;left:4870;top:2112;width:1647;height:394" coordorigin="4870,2112" coordsize="1647,394" path="m4870,2505l6517,2505,6517,2112,4870,2112,4870,2505xe" filled="true" fillcolor="#ffffff" stroked="false">
              <v:path arrowok="t"/>
              <v:fill type="solid"/>
            </v:shape>
            <w10:wrap type="none"/>
          </v:group>
        </w:pict>
      </w:r>
      <w:r>
        <w:rPr/>
        <w:t>单位：元</w:t>
      </w:r>
    </w:p>
    <w:p>
      <w:pPr>
        <w:spacing w:after="0" w:line="240" w:lineRule="auto"/>
        <w:jc w:val="left"/>
        <w:sectPr>
          <w:pgSz w:w="16840" w:h="11910" w:orient="landscape"/>
          <w:pgMar w:header="867" w:footer="980" w:top="1060" w:bottom="1160" w:left="1300" w:right="1300"/>
          <w:cols w:num="2" w:equalWidth="0">
            <w:col w:w="3381" w:space="9761"/>
            <w:col w:w="1098"/>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80"/>
        <w:gridCol w:w="360"/>
        <w:gridCol w:w="1352"/>
        <w:gridCol w:w="1277"/>
        <w:gridCol w:w="1277"/>
        <w:gridCol w:w="992"/>
        <w:gridCol w:w="1277"/>
        <w:gridCol w:w="1274"/>
        <w:gridCol w:w="1277"/>
        <w:gridCol w:w="1416"/>
      </w:tblGrid>
      <w:tr>
        <w:trPr>
          <w:trHeight w:val="206" w:hRule="exact"/>
        </w:trPr>
        <w:tc>
          <w:tcPr>
            <w:tcW w:w="3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2" w:type="dxa"/>
            <w:gridSpan w:val="9"/>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92" w:hRule="exact"/>
        </w:trPr>
        <w:tc>
          <w:tcPr>
            <w:tcW w:w="3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502" w:type="dxa"/>
            <w:gridSpan w:val="9"/>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380" w:type="dxa"/>
            <w:vMerge/>
            <w:tcBorders>
              <w:left w:val="single" w:sz="4" w:space="0" w:color="000000"/>
              <w:bottom w:val="nil" w:sz="6" w:space="0" w:color="auto"/>
              <w:right w:val="single" w:sz="4" w:space="0" w:color="000000"/>
            </w:tcBorders>
            <w:shd w:val="clear" w:color="auto" w:fill="D2D2D2"/>
          </w:tcPr>
          <w:p>
            <w:pPr/>
          </w:p>
        </w:tc>
        <w:tc>
          <w:tcPr>
            <w:tcW w:w="17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6" w:hRule="exact"/>
        </w:trPr>
        <w:tc>
          <w:tcPr>
            <w:tcW w:w="3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2"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53,000,000.00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19,253,613.72</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6,855,096.08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63,537,938.45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142,646,648.25</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53,000,000.00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19,253,613.72</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6,855,096.08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63,537,938.45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142,646,648.25</w:t>
            </w:r>
          </w:p>
        </w:tc>
      </w:tr>
      <w:tr>
        <w:trPr>
          <w:trHeight w:val="403" w:hRule="exact"/>
        </w:trPr>
        <w:tc>
          <w:tcPr>
            <w:tcW w:w="33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三、本期增减变动金额（减少以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号填列</w:t>
            </w:r>
          </w:p>
        </w:tc>
        <w:tc>
          <w:tcPr>
            <w:tcW w:w="360" w:type="dxa"/>
            <w:tcBorders>
              <w:top w:val="single" w:sz="4" w:space="0" w:color="000000"/>
              <w:left w:val="single" w:sz="22" w:space="0" w:color="FFFFFF"/>
              <w:bottom w:val="single" w:sz="4" w:space="0" w:color="000000"/>
              <w:right w:val="nil" w:sz="6" w:space="0" w:color="auto"/>
            </w:tcBorders>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sz w:val="18"/>
              </w:rPr>
              <w:t>17,700,000.00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213,379,987.00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3,872,744.74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27,784,702.63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262,737,434.37</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12" w:type="dxa"/>
            <w:gridSpan w:val="2"/>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38,727,447.37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38,727,447.37</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12" w:type="dxa"/>
            <w:gridSpan w:val="2"/>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12" w:type="dxa"/>
            <w:gridSpan w:val="2"/>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38,727,447.37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38,727,447.37</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17,700,000.00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213,379,987.00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231,079,987.00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17,700,000.00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213,379,987.00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231,079,987.00</w:t>
            </w: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712" w:type="dxa"/>
            <w:gridSpan w:val="2"/>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12" w:type="dxa"/>
            <w:gridSpan w:val="2"/>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12" w:type="dxa"/>
            <w:gridSpan w:val="2"/>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3,872,744.74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-10,942,744.74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-7,070,000.00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12" w:type="dxa"/>
            <w:gridSpan w:val="2"/>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3,872,744.74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-3,872,744.74</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712" w:type="dxa"/>
            <w:gridSpan w:val="2"/>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712" w:type="dxa"/>
            <w:gridSpan w:val="2"/>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-7,070,000.00</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12" w:type="dxa"/>
            <w:gridSpan w:val="2"/>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70,700,000.00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232,633,600.72</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10,727,840.82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91,322,641.08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405,384,082.62</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140" w:right="0"/>
        <w:jc w:val="left"/>
      </w:pPr>
      <w:r>
        <w:rPr/>
        <w:t>上年金额</w:t>
      </w:r>
    </w:p>
    <w:p>
      <w:pPr>
        <w:pStyle w:val="BodyText"/>
        <w:spacing w:line="240" w:lineRule="auto" w:before="117"/>
        <w:ind w:left="0" w:right="234"/>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663"/>
        <w:gridCol w:w="1997"/>
        <w:gridCol w:w="1274"/>
        <w:gridCol w:w="994"/>
        <w:gridCol w:w="850"/>
        <w:gridCol w:w="1135"/>
        <w:gridCol w:w="1416"/>
        <w:gridCol w:w="1136"/>
        <w:gridCol w:w="1416"/>
      </w:tblGrid>
      <w:tr>
        <w:trPr>
          <w:trHeight w:val="206" w:hRule="exact"/>
        </w:trPr>
        <w:tc>
          <w:tcPr>
            <w:tcW w:w="3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18"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90" w:hRule="exact"/>
        </w:trPr>
        <w:tc>
          <w:tcPr>
            <w:tcW w:w="3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18" w:type="dxa"/>
            <w:gridSpan w:val="8"/>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663" w:type="dxa"/>
            <w:vMerge/>
            <w:tcBorders>
              <w:left w:val="single" w:sz="4" w:space="0" w:color="000000"/>
              <w:bottom w:val="nil" w:sz="6" w:space="0" w:color="auto"/>
              <w:right w:val="single" w:sz="4" w:space="0" w:color="000000"/>
            </w:tcBorders>
            <w:shd w:val="clear" w:color="auto" w:fill="D2D2D2"/>
          </w:tcPr>
          <w:p>
            <w:pPr/>
          </w:p>
        </w:tc>
        <w:tc>
          <w:tcPr>
            <w:tcW w:w="19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6" w:hRule="exact"/>
        </w:trPr>
        <w:tc>
          <w:tcPr>
            <w:tcW w:w="3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19,253,613.72</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2,991,230.90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28,763,151.84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104,007,996.46</w:t>
            </w:r>
          </w:p>
        </w:tc>
      </w:tr>
      <w:tr>
        <w:trPr>
          <w:trHeight w:val="403"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19,253,613.72</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2,991,230.90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28,763,151.84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104,007,996.46</w:t>
            </w:r>
          </w:p>
        </w:tc>
      </w:tr>
      <w:tr>
        <w:trPr>
          <w:trHeight w:val="403"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3,863,865.18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34,774,786.61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38,638,651.79</w:t>
            </w:r>
          </w:p>
        </w:tc>
      </w:tr>
      <w:tr>
        <w:trPr>
          <w:trHeight w:val="401"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38,638,651.79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38,638,651.79</w:t>
            </w:r>
          </w:p>
        </w:tc>
      </w:tr>
      <w:tr>
        <w:trPr>
          <w:trHeight w:val="403"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38,638,651.79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38,638,651.79</w:t>
            </w:r>
          </w:p>
        </w:tc>
      </w:tr>
      <w:tr>
        <w:trPr>
          <w:trHeight w:val="403"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3,863,865.18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-3,863,865.18</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3,863,865.18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-3,863,865.18</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19,253,613.72</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6,855,096.08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63,537,938.45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142,646,648.25</w:t>
            </w:r>
          </w:p>
        </w:tc>
      </w:tr>
    </w:tbl>
    <w:p>
      <w:pPr>
        <w:spacing w:line="240" w:lineRule="auto" w:before="2"/>
        <w:rPr>
          <w:rFonts w:ascii="宋体" w:hAnsi="宋体" w:cs="宋体" w:eastAsia="宋体" w:hint="default"/>
          <w:sz w:val="20"/>
          <w:szCs w:val="20"/>
        </w:rPr>
      </w:pPr>
    </w:p>
    <w:p>
      <w:pPr>
        <w:pStyle w:val="BodyText"/>
        <w:tabs>
          <w:tab w:pos="5874" w:val="left" w:leader="none"/>
          <w:tab w:pos="12053" w:val="left" w:leader="none"/>
        </w:tabs>
        <w:spacing w:line="240" w:lineRule="auto" w:before="44"/>
        <w:ind w:left="140" w:right="0"/>
        <w:jc w:val="left"/>
      </w:pPr>
      <w:r>
        <w:rPr>
          <w:spacing w:val="-4"/>
        </w:rPr>
        <w:t>法定代表人：景晓军</w:t>
        <w:tab/>
      </w:r>
      <w:r>
        <w:rPr>
          <w:spacing w:val="-3"/>
        </w:rPr>
        <w:t>主管会计工作负责人：陈文</w:t>
        <w:tab/>
        <w:t>会计机构负责人：钟海川</w:t>
      </w:r>
    </w:p>
    <w:p>
      <w:pPr>
        <w:spacing w:after="0" w:line="240" w:lineRule="auto"/>
        <w:jc w:val="left"/>
        <w:sectPr>
          <w:pgSz w:w="16840" w:h="11910" w:orient="landscape"/>
          <w:pgMar w:header="867" w:footer="980" w:top="1060" w:bottom="1160" w:left="130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4054"/>
        <w:jc w:val="left"/>
      </w:pPr>
      <w:r>
        <w:rPr/>
        <w:t>（一）公司概况 公司名称：任子行网络技术股份有限公司（以下简称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 注册地址：深圳市南山区高新区科技中</w:t>
      </w:r>
      <w:r>
        <w:rPr>
          <w:rFonts w:ascii="Times New Roman" w:hAnsi="Times New Roman" w:cs="Times New Roman" w:eastAsia="Times New Roman" w:hint="default"/>
        </w:rPr>
        <w:t>2</w:t>
      </w:r>
      <w:r>
        <w:rPr/>
        <w:t>路软件园</w:t>
      </w:r>
      <w:r>
        <w:rPr>
          <w:rFonts w:ascii="Times New Roman" w:hAnsi="Times New Roman" w:cs="Times New Roman" w:eastAsia="Times New Roman" w:hint="default"/>
        </w:rPr>
        <w:t>2</w:t>
      </w:r>
      <w:r>
        <w:rPr/>
        <w:t>栋</w:t>
      </w:r>
      <w:r>
        <w:rPr>
          <w:rFonts w:ascii="Times New Roman" w:hAnsi="Times New Roman" w:cs="Times New Roman" w:eastAsia="Times New Roman" w:hint="default"/>
        </w:rPr>
        <w:t>6</w:t>
      </w:r>
      <w:r>
        <w:rPr/>
        <w:t>楼</w:t>
      </w:r>
      <w:r>
        <w:rPr>
          <w:spacing w:val="-86"/>
        </w:rPr>
        <w:t> </w:t>
      </w:r>
      <w:r>
        <w:rPr/>
        <w:t>注册资本：</w:t>
      </w:r>
      <w:r>
        <w:rPr>
          <w:rFonts w:ascii="Times New Roman" w:hAnsi="Times New Roman" w:cs="Times New Roman" w:eastAsia="Times New Roman" w:hint="default"/>
        </w:rPr>
        <w:t>7070</w:t>
      </w:r>
      <w:r>
        <w:rPr/>
        <w:t>万元</w:t>
      </w:r>
    </w:p>
    <w:p>
      <w:pPr>
        <w:pStyle w:val="BodyText"/>
        <w:spacing w:line="309" w:lineRule="auto" w:before="7"/>
        <w:ind w:right="6624"/>
        <w:jc w:val="left"/>
      </w:pPr>
      <w:r>
        <w:rPr/>
        <w:t>企业法人营业注册号：</w:t>
      </w:r>
      <w:r>
        <w:rPr>
          <w:rFonts w:ascii="Times New Roman" w:hAnsi="Times New Roman" w:cs="Times New Roman" w:eastAsia="Times New Roman" w:hint="default"/>
        </w:rPr>
        <w:t>440301103406723 </w:t>
      </w:r>
      <w:r>
        <w:rPr/>
        <w:t>法定代表人：景晓军 经营期限：永续经营</w:t>
      </w:r>
    </w:p>
    <w:p>
      <w:pPr>
        <w:pStyle w:val="BodyText"/>
        <w:spacing w:line="319" w:lineRule="auto" w:before="24"/>
        <w:ind w:right="0"/>
        <w:jc w:val="left"/>
      </w:pPr>
      <w:r>
        <w:rPr/>
        <w:t>（二）经营范围及主营业务 </w:t>
      </w:r>
      <w:r>
        <w:rPr>
          <w:spacing w:val="-2"/>
        </w:rPr>
        <w:t>经营范围：计算机软硬件技术开发、销售及相关技术服务；计算机信息系统集成；电子商务。（以上各项不含国家法律、行</w:t>
      </w:r>
      <w:r>
        <w:rPr>
          <w:spacing w:val="-71"/>
        </w:rPr>
        <w:t> </w:t>
      </w:r>
      <w:r>
        <w:rPr>
          <w:spacing w:val="-71"/>
        </w:rPr>
      </w:r>
      <w:r>
        <w:rPr>
          <w:spacing w:val="-2"/>
        </w:rPr>
        <w:t>政法规、国务院决定规定需报经审批的项目），经营进出口（法律、行政法规、国务院决定禁止的项目除外，限制的项目须</w:t>
      </w:r>
      <w:r>
        <w:rPr>
          <w:spacing w:val="-73"/>
        </w:rPr>
        <w:t> </w:t>
      </w:r>
      <w:r>
        <w:rPr>
          <w:spacing w:val="-73"/>
        </w:rPr>
      </w:r>
      <w:r>
        <w:rPr/>
        <w:t>取得许可后方可经营）。 主营业务：网络内容与行为审计和监管产品的研发、生产、销售和提供安全集成及安全审计相关服务。</w:t>
      </w:r>
    </w:p>
    <w:p>
      <w:pPr>
        <w:pStyle w:val="BodyText"/>
        <w:spacing w:line="304" w:lineRule="auto" w:before="17"/>
        <w:ind w:right="139"/>
        <w:jc w:val="left"/>
      </w:pPr>
      <w:r>
        <w:rPr/>
        <w:t>（三）公司历史沿革 本公司系由景晓军、车宏原、周琨皓和深圳市和而泰电子科技有限公司于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日共同出资组建的有限责任公司。初 </w:t>
      </w:r>
      <w:r>
        <w:rPr>
          <w:spacing w:val="-1"/>
        </w:rPr>
        <w:t>始设立注册资本为</w:t>
      </w:r>
      <w:r>
        <w:rPr>
          <w:rFonts w:ascii="Times New Roman" w:hAnsi="Times New Roman" w:cs="Times New Roman" w:eastAsia="Times New Roman" w:hint="default"/>
          <w:spacing w:val="-1"/>
        </w:rPr>
        <w:t>50</w:t>
      </w:r>
      <w:r>
        <w:rPr>
          <w:spacing w:val="-1"/>
        </w:rPr>
        <w:t>万元人民币。其中景晓军出资</w:t>
      </w:r>
      <w:r>
        <w:rPr>
          <w:rFonts w:ascii="Times New Roman" w:hAnsi="Times New Roman" w:cs="Times New Roman" w:eastAsia="Times New Roman" w:hint="default"/>
          <w:spacing w:val="-1"/>
        </w:rPr>
        <w:t>18</w:t>
      </w:r>
      <w:r>
        <w:rPr>
          <w:spacing w:val="-1"/>
        </w:rPr>
        <w:t>万元，占股</w:t>
      </w:r>
      <w:r>
        <w:rPr>
          <w:rFonts w:ascii="Times New Roman" w:hAnsi="Times New Roman" w:cs="Times New Roman" w:eastAsia="Times New Roman" w:hint="default"/>
          <w:spacing w:val="-1"/>
        </w:rPr>
        <w:t>36%</w:t>
      </w:r>
      <w:r>
        <w:rPr>
          <w:spacing w:val="-1"/>
        </w:rPr>
        <w:t>；车宏原出资</w:t>
      </w:r>
      <w:r>
        <w:rPr>
          <w:rFonts w:ascii="Times New Roman" w:hAnsi="Times New Roman" w:cs="Times New Roman" w:eastAsia="Times New Roman" w:hint="default"/>
          <w:spacing w:val="-1"/>
        </w:rPr>
        <w:t>14</w:t>
      </w:r>
      <w:r>
        <w:rPr>
          <w:spacing w:val="-1"/>
        </w:rPr>
        <w:t>万元，占股</w:t>
      </w:r>
      <w:r>
        <w:rPr>
          <w:rFonts w:ascii="Times New Roman" w:hAnsi="Times New Roman" w:cs="Times New Roman" w:eastAsia="Times New Roman" w:hint="default"/>
          <w:spacing w:val="-1"/>
        </w:rPr>
        <w:t>28%</w:t>
      </w:r>
      <w:r>
        <w:rPr>
          <w:spacing w:val="-1"/>
        </w:rPr>
        <w:t>；深圳市和而泰电子科</w:t>
      </w:r>
      <w:r>
        <w:rPr>
          <w:spacing w:val="-59"/>
        </w:rPr>
        <w:t> </w:t>
      </w:r>
      <w:r>
        <w:rPr>
          <w:spacing w:val="-59"/>
        </w:rPr>
      </w:r>
      <w:r>
        <w:rPr>
          <w:spacing w:val="-2"/>
        </w:rPr>
        <w:t>技有限公司出资</w:t>
      </w:r>
      <w:r>
        <w:rPr>
          <w:rFonts w:ascii="Times New Roman" w:hAnsi="Times New Roman" w:cs="Times New Roman" w:eastAsia="Times New Roman" w:hint="default"/>
          <w:spacing w:val="-2"/>
        </w:rPr>
        <w:t>10</w:t>
      </w:r>
      <w:r>
        <w:rPr>
          <w:spacing w:val="-2"/>
        </w:rPr>
        <w:t>万元，占股</w:t>
      </w:r>
      <w:r>
        <w:rPr>
          <w:rFonts w:ascii="Times New Roman" w:hAnsi="Times New Roman" w:cs="Times New Roman" w:eastAsia="Times New Roman" w:hint="default"/>
          <w:spacing w:val="-2"/>
        </w:rPr>
        <w:t>20%</w:t>
      </w:r>
      <w:r>
        <w:rPr>
          <w:spacing w:val="-2"/>
        </w:rPr>
        <w:t>；周琨皓出资</w:t>
      </w:r>
      <w:r>
        <w:rPr>
          <w:rFonts w:ascii="Times New Roman" w:hAnsi="Times New Roman" w:cs="Times New Roman" w:eastAsia="Times New Roman" w:hint="default"/>
          <w:spacing w:val="-2"/>
        </w:rPr>
        <w:t>8</w:t>
      </w:r>
      <w:r>
        <w:rPr>
          <w:spacing w:val="-2"/>
        </w:rPr>
        <w:t>万元，占股</w:t>
      </w:r>
      <w:r>
        <w:rPr>
          <w:rFonts w:ascii="Times New Roman" w:hAnsi="Times New Roman" w:cs="Times New Roman" w:eastAsia="Times New Roman" w:hint="default"/>
          <w:spacing w:val="-2"/>
        </w:rPr>
        <w:t>16%</w:t>
      </w:r>
      <w:r>
        <w:rPr>
          <w:spacing w:val="-2"/>
        </w:rPr>
        <w:t>。初始实收资本由深圳财安会计师事务所以深财安（</w:t>
      </w:r>
      <w:r>
        <w:rPr>
          <w:rFonts w:ascii="Times New Roman" w:hAnsi="Times New Roman" w:cs="Times New Roman" w:eastAsia="Times New Roman" w:hint="default"/>
          <w:spacing w:val="-2"/>
        </w:rPr>
        <w:t>2000</w:t>
      </w:r>
      <w:r>
        <w:rPr>
          <w:spacing w:val="-2"/>
        </w:rPr>
        <w:t>）</w:t>
      </w:r>
      <w:r>
        <w:rPr>
          <w:spacing w:val="-87"/>
        </w:rPr>
        <w:t> </w:t>
      </w:r>
      <w:r>
        <w:rPr/>
        <w:t>验内字</w:t>
      </w:r>
      <w:r>
        <w:rPr>
          <w:rFonts w:ascii="Times New Roman" w:hAnsi="Times New Roman" w:cs="Times New Roman" w:eastAsia="Times New Roman" w:hint="default"/>
        </w:rPr>
        <w:t>041</w:t>
      </w:r>
      <w:r>
        <w:rPr/>
        <w:t>号《验资报告》验证。 </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w:t>
      </w:r>
      <w:r>
        <w:rPr>
          <w:spacing w:val="-1"/>
        </w:rPr>
        <w:t>日</w:t>
      </w:r>
      <w:r>
        <w:rPr>
          <w:rFonts w:ascii="Times New Roman" w:hAnsi="Times New Roman" w:cs="Times New Roman" w:eastAsia="Times New Roman" w:hint="default"/>
          <w:spacing w:val="-1"/>
        </w:rPr>
        <w:t>,</w:t>
      </w:r>
      <w:r>
        <w:rPr>
          <w:spacing w:val="-1"/>
        </w:rPr>
        <w:t>根据股东会决议和修改后章程的规定，原股东深圳市和而泰电子科技有限公司将其持有本公司</w:t>
      </w:r>
      <w:r>
        <w:rPr>
          <w:rFonts w:ascii="Times New Roman" w:hAnsi="Times New Roman" w:cs="Times New Roman" w:eastAsia="Times New Roman" w:hint="default"/>
          <w:spacing w:val="-1"/>
        </w:rPr>
        <w:t>20%</w:t>
      </w:r>
      <w:r>
        <w:rPr>
          <w:spacing w:val="-1"/>
        </w:rPr>
        <w:t>的股权转</w:t>
      </w:r>
      <w:r>
        <w:rPr>
          <w:spacing w:val="-43"/>
        </w:rPr>
        <w:t> </w:t>
      </w:r>
      <w:r>
        <w:rPr>
          <w:spacing w:val="-1"/>
        </w:rPr>
        <w:t>让给深圳国创恒科技发展有限公司，原股东周琨皓将其持有本公司</w:t>
      </w:r>
      <w:r>
        <w:rPr>
          <w:rFonts w:ascii="Times New Roman" w:hAnsi="Times New Roman" w:cs="Times New Roman" w:eastAsia="Times New Roman" w:hint="default"/>
          <w:spacing w:val="-1"/>
        </w:rPr>
        <w:t>16%</w:t>
      </w:r>
      <w:r>
        <w:rPr>
          <w:spacing w:val="-1"/>
        </w:rPr>
        <w:t>的股权转让给深圳国创恒科技发展有限公司，原股东</w:t>
      </w:r>
      <w:r>
        <w:rPr>
          <w:spacing w:val="-88"/>
        </w:rPr>
        <w:t> </w:t>
      </w:r>
      <w:r>
        <w:rPr>
          <w:spacing w:val="-88"/>
        </w:rPr>
      </w:r>
      <w:r>
        <w:rPr/>
        <w:t>车宏原将其持有的本公司</w:t>
      </w:r>
      <w:r>
        <w:rPr>
          <w:rFonts w:ascii="Times New Roman" w:hAnsi="Times New Roman" w:cs="Times New Roman" w:eastAsia="Times New Roman" w:hint="default"/>
        </w:rPr>
        <w:t>28%</w:t>
      </w:r>
      <w:r>
        <w:rPr/>
        <w:t>的股权转让给景晓军。 </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日，经股东会决议，本公司用利润转增资本，增加注册资本至</w:t>
      </w:r>
      <w:r>
        <w:rPr>
          <w:rFonts w:ascii="Times New Roman" w:hAnsi="Times New Roman" w:cs="Times New Roman" w:eastAsia="Times New Roman" w:hint="default"/>
        </w:rPr>
        <w:t>500</w:t>
      </w:r>
      <w:r>
        <w:rPr/>
        <w:t>万元人民币，股东出资比例保持不变。此次增 资经深圳市义达会计师事务所有限责任公司以深义验字</w:t>
      </w:r>
      <w:r>
        <w:rPr>
          <w:rFonts w:ascii="Times New Roman" w:hAnsi="Times New Roman" w:cs="Times New Roman" w:eastAsia="Times New Roman" w:hint="default"/>
        </w:rPr>
        <w:t>[2002]</w:t>
      </w:r>
      <w:r>
        <w:rPr/>
        <w:t>第</w:t>
      </w:r>
      <w:r>
        <w:rPr>
          <w:rFonts w:ascii="Times New Roman" w:hAnsi="Times New Roman" w:cs="Times New Roman" w:eastAsia="Times New Roman" w:hint="default"/>
        </w:rPr>
        <w:t>052</w:t>
      </w:r>
      <w:r>
        <w:rPr/>
        <w:t>号《验资报告》验证。 </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23</w:t>
      </w:r>
      <w:r>
        <w:rPr>
          <w:spacing w:val="-1"/>
        </w:rPr>
        <w:t>日，根据股东会决议和修改后章程的规定，股东景晓军将其持有的本公司</w:t>
      </w:r>
      <w:r>
        <w:rPr>
          <w:rFonts w:ascii="Times New Roman" w:hAnsi="Times New Roman" w:cs="Times New Roman" w:eastAsia="Times New Roman" w:hint="default"/>
          <w:spacing w:val="-1"/>
        </w:rPr>
        <w:t>4%</w:t>
      </w:r>
      <w:r>
        <w:rPr>
          <w:spacing w:val="-1"/>
        </w:rPr>
        <w:t>和</w:t>
      </w:r>
      <w:r>
        <w:rPr>
          <w:rFonts w:ascii="Times New Roman" w:hAnsi="Times New Roman" w:cs="Times New Roman" w:eastAsia="Times New Roman" w:hint="default"/>
          <w:spacing w:val="-1"/>
        </w:rPr>
        <w:t>15%</w:t>
      </w:r>
      <w:r>
        <w:rPr>
          <w:spacing w:val="-1"/>
        </w:rPr>
        <w:t>的股权分别转让给深圳国创</w:t>
      </w:r>
      <w:r>
        <w:rPr>
          <w:spacing w:val="-57"/>
        </w:rPr>
        <w:t> </w:t>
      </w:r>
      <w:r>
        <w:rPr/>
        <w:t>恒科技发展有限公司和胡铭曾。 </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15</w:t>
      </w:r>
      <w:r>
        <w:rPr>
          <w:spacing w:val="-1"/>
        </w:rPr>
        <w:t>日，根据股东会决议和修改后章程的规定，股东深圳国创恒科技发展有限公司将其持有的本公司</w:t>
      </w:r>
      <w:r>
        <w:rPr>
          <w:rFonts w:ascii="Times New Roman" w:hAnsi="Times New Roman" w:cs="Times New Roman" w:eastAsia="Times New Roman" w:hint="default"/>
          <w:spacing w:val="-1"/>
        </w:rPr>
        <w:t>20%</w:t>
      </w:r>
      <w:r>
        <w:rPr>
          <w:spacing w:val="-1"/>
        </w:rPr>
        <w:t>的股权转</w:t>
      </w:r>
      <w:r>
        <w:rPr/>
        <w:t> </w:t>
      </w:r>
      <w:r>
        <w:rPr>
          <w:spacing w:val="-1"/>
        </w:rPr>
        <w:t>让给景晓军。股权转让后景晓军和胡铭曾分别用现金增资</w:t>
      </w:r>
      <w:r>
        <w:rPr>
          <w:rFonts w:ascii="Times New Roman" w:hAnsi="Times New Roman" w:cs="Times New Roman" w:eastAsia="Times New Roman" w:hint="default"/>
          <w:spacing w:val="-1"/>
        </w:rPr>
        <w:t>1,206,456.00</w:t>
      </w:r>
      <w:r>
        <w:rPr>
          <w:spacing w:val="-1"/>
        </w:rPr>
        <w:t>元和</w:t>
      </w:r>
      <w:r>
        <w:rPr>
          <w:rFonts w:ascii="Times New Roman" w:hAnsi="Times New Roman" w:cs="Times New Roman" w:eastAsia="Times New Roman" w:hint="default"/>
          <w:spacing w:val="-1"/>
        </w:rPr>
        <w:t>212,904.00</w:t>
      </w:r>
      <w:r>
        <w:rPr>
          <w:spacing w:val="-1"/>
        </w:rPr>
        <w:t>元，同时用本公司利润和资本公积转增</w:t>
      </w:r>
      <w:r>
        <w:rPr>
          <w:spacing w:val="-69"/>
        </w:rPr>
        <w:t> </w:t>
      </w:r>
      <w:r>
        <w:rPr>
          <w:spacing w:val="-69"/>
        </w:rPr>
      </w:r>
      <w:r>
        <w:rPr/>
        <w:t>资本</w:t>
      </w:r>
      <w:r>
        <w:rPr>
          <w:rFonts w:ascii="Times New Roman" w:hAnsi="Times New Roman" w:cs="Times New Roman" w:eastAsia="Times New Roman" w:hint="default"/>
        </w:rPr>
        <w:t>3,580,640.00</w:t>
      </w:r>
      <w:r>
        <w:rPr/>
        <w:t>元，增加注册资本至</w:t>
      </w:r>
      <w:r>
        <w:rPr>
          <w:rFonts w:ascii="Times New Roman" w:hAnsi="Times New Roman" w:cs="Times New Roman" w:eastAsia="Times New Roman" w:hint="default"/>
        </w:rPr>
        <w:t>1000</w:t>
      </w:r>
      <w:r>
        <w:rPr/>
        <w:t>万元人民币。此次增资经深圳文安会计师事务所以深文安验字</w:t>
      </w:r>
      <w:r>
        <w:rPr>
          <w:rFonts w:ascii="Times New Roman" w:hAnsi="Times New Roman" w:cs="Times New Roman" w:eastAsia="Times New Roman" w:hint="default"/>
        </w:rPr>
        <w:t>(2005)138</w:t>
      </w:r>
      <w:r>
        <w:rPr/>
        <w:t>号《验资 报告》验证。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w:t>
      </w:r>
      <w:r>
        <w:rPr/>
        <w:t>根据股东会决议和修改后章程的规定，股东胡铭曾将其持有的本公司</w:t>
      </w:r>
      <w:r>
        <w:rPr>
          <w:rFonts w:ascii="Times New Roman" w:hAnsi="Times New Roman" w:cs="Times New Roman" w:eastAsia="Times New Roman" w:hint="default"/>
        </w:rPr>
        <w:t>15%</w:t>
      </w:r>
      <w:r>
        <w:rPr/>
        <w:t>的股权转让给景晓军。</w:t>
      </w:r>
    </w:p>
    <w:p>
      <w:pPr>
        <w:pStyle w:val="BodyText"/>
        <w:spacing w:line="309" w:lineRule="auto" w:before="9"/>
        <w:ind w:right="147"/>
        <w:jc w:val="left"/>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12</w:t>
      </w:r>
      <w:r>
        <w:rPr>
          <w:spacing w:val="-1"/>
        </w:rPr>
        <w:t>日</w:t>
      </w:r>
      <w:r>
        <w:rPr>
          <w:rFonts w:ascii="Times New Roman" w:hAnsi="Times New Roman" w:cs="Times New Roman" w:eastAsia="Times New Roman" w:hint="default"/>
          <w:spacing w:val="-1"/>
        </w:rPr>
        <w:t>,</w:t>
      </w:r>
      <w:r>
        <w:rPr>
          <w:spacing w:val="-1"/>
        </w:rPr>
        <w:t>根据股东会决议和修改后章程的规定，股东深圳国创恒科技发展有限公司将其持有的本公司</w:t>
      </w:r>
      <w:r>
        <w:rPr>
          <w:rFonts w:ascii="Times New Roman" w:hAnsi="Times New Roman" w:cs="Times New Roman" w:eastAsia="Times New Roman" w:hint="default"/>
          <w:spacing w:val="-1"/>
        </w:rPr>
        <w:t>17.16128%</w:t>
      </w:r>
      <w:r>
        <w:rPr>
          <w:spacing w:val="-1"/>
        </w:rPr>
        <w:t>的股</w:t>
      </w:r>
      <w:r>
        <w:rPr>
          <w:spacing w:val="-86"/>
        </w:rPr>
        <w:t> </w:t>
      </w:r>
      <w:r>
        <w:rPr/>
        <w:t>权转让给程志英。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日，根据股东会决议和修改后章程的规定，股东程志英将其持有的本公司</w:t>
      </w:r>
      <w:r>
        <w:rPr>
          <w:rFonts w:ascii="Times New Roman" w:hAnsi="Times New Roman" w:cs="Times New Roman" w:eastAsia="Times New Roman" w:hint="default"/>
        </w:rPr>
        <w:t>17.16128%</w:t>
      </w:r>
      <w:r>
        <w:rPr/>
        <w:t>的股权转让给蔡红红。</w:t>
      </w:r>
    </w:p>
    <w:p>
      <w:pPr>
        <w:pStyle w:val="BodyText"/>
        <w:spacing w:line="240" w:lineRule="auto" w:before="5"/>
        <w:ind w:right="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日，根据股东会决议和修改后章程的规定，股东蔡红红将其持有的本公司</w:t>
      </w:r>
      <w:r>
        <w:rPr>
          <w:rFonts w:ascii="Times New Roman" w:hAnsi="Times New Roman" w:cs="Times New Roman" w:eastAsia="Times New Roman" w:hint="default"/>
        </w:rPr>
        <w:t>0.10%</w:t>
      </w:r>
      <w:r>
        <w:rPr/>
        <w:t>的股权转让给景晓东。</w:t>
      </w:r>
    </w:p>
    <w:p>
      <w:pPr>
        <w:pStyle w:val="BodyText"/>
        <w:spacing w:line="302" w:lineRule="auto" w:before="63"/>
        <w:ind w:right="144"/>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日，根据股东会决议和修改后章程的规定，股东蔡红红将其持有的本公司</w:t>
      </w:r>
      <w:r>
        <w:rPr>
          <w:rFonts w:ascii="Times New Roman" w:hAnsi="Times New Roman" w:cs="Times New Roman" w:eastAsia="Times New Roman" w:hint="default"/>
        </w:rPr>
        <w:t>14.06128%</w:t>
      </w:r>
      <w:r>
        <w:rPr/>
        <w:t>的股权转让给深圳市华信 远景投资咨询有限公司；将其持有的本公司</w:t>
      </w:r>
      <w:r>
        <w:rPr>
          <w:rFonts w:ascii="Times New Roman" w:hAnsi="Times New Roman" w:cs="Times New Roman" w:eastAsia="Times New Roman" w:hint="default"/>
        </w:rPr>
        <w:t>1.4%</w:t>
      </w:r>
      <w:r>
        <w:rPr/>
        <w:t>的股权转让给景晓东；将其持有的本公司</w:t>
      </w:r>
      <w:r>
        <w:rPr>
          <w:rFonts w:ascii="Times New Roman" w:hAnsi="Times New Roman" w:cs="Times New Roman" w:eastAsia="Times New Roman" w:hint="default"/>
        </w:rPr>
        <w:t>0.8%</w:t>
      </w:r>
      <w:r>
        <w:rPr/>
        <w:t>的股权转让给沈智杰；将其 持有的本公司</w:t>
      </w:r>
      <w:r>
        <w:rPr>
          <w:rFonts w:ascii="Times New Roman" w:hAnsi="Times New Roman" w:cs="Times New Roman" w:eastAsia="Times New Roman" w:hint="default"/>
        </w:rPr>
        <w:t>0.8%</w:t>
      </w:r>
      <w:r>
        <w:rPr/>
        <w:t>的股权转让给吴宁莉。股东景晓军将其持有的本公司</w:t>
      </w:r>
      <w:r>
        <w:rPr>
          <w:rFonts w:ascii="Times New Roman" w:hAnsi="Times New Roman" w:cs="Times New Roman" w:eastAsia="Times New Roman" w:hint="default"/>
        </w:rPr>
        <w:t>0.93872%</w:t>
      </w:r>
      <w:r>
        <w:rPr/>
        <w:t>的股权转让给深圳市华信远景投资咨询有 限公司；将其持有的本公司</w:t>
      </w:r>
      <w:r>
        <w:rPr>
          <w:rFonts w:ascii="Times New Roman" w:hAnsi="Times New Roman" w:cs="Times New Roman" w:eastAsia="Times New Roman" w:hint="default"/>
        </w:rPr>
        <w:t>0.6%</w:t>
      </w:r>
      <w:r>
        <w:rPr/>
        <w:t>的股权转让给唐海林；将其持有的本公司</w:t>
      </w:r>
      <w:r>
        <w:rPr>
          <w:rFonts w:ascii="Times New Roman" w:hAnsi="Times New Roman" w:cs="Times New Roman" w:eastAsia="Times New Roman" w:hint="default"/>
        </w:rPr>
        <w:t>0.5%</w:t>
      </w:r>
      <w:r>
        <w:rPr/>
        <w:t>的股权转让给古元；将其持有的本公司</w:t>
      </w:r>
      <w:r>
        <w:rPr>
          <w:rFonts w:ascii="Times New Roman" w:hAnsi="Times New Roman" w:cs="Times New Roman" w:eastAsia="Times New Roman" w:hint="default"/>
        </w:rPr>
        <w:t>0.4% </w:t>
      </w:r>
      <w:r>
        <w:rPr/>
        <w:t>的股权转让给师召辉。 </w:t>
      </w:r>
      <w:r>
        <w:rPr>
          <w:rFonts w:ascii="Times New Roman" w:hAnsi="Times New Roman" w:cs="Times New Roman" w:eastAsia="Times New Roman" w:hint="default"/>
          <w:spacing w:val="-5"/>
        </w:rPr>
        <w:t>2010</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8</w:t>
      </w:r>
      <w:r>
        <w:rPr>
          <w:spacing w:val="-5"/>
        </w:rPr>
        <w:t>日，根据股东会决议和发起人协议书，公司原股东作为发起人，以发起方式将有限公司整体变更为股份有限公司。</w:t>
      </w:r>
      <w:r>
        <w:rPr>
          <w:spacing w:val="-64"/>
        </w:rPr>
        <w:t> </w:t>
      </w:r>
      <w:r>
        <w:rPr>
          <w:spacing w:val="-64"/>
        </w:rPr>
      </w:r>
      <w:r>
        <w:rPr/>
        <w:t>各股东以有限公司截至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日止的净资产</w:t>
      </w:r>
      <w:r>
        <w:rPr>
          <w:rFonts w:ascii="Times New Roman" w:hAnsi="Times New Roman" w:cs="Times New Roman" w:eastAsia="Times New Roman" w:hint="default"/>
        </w:rPr>
        <w:t>48,253,613.72</w:t>
      </w:r>
      <w:r>
        <w:rPr/>
        <w:t>元按照</w:t>
      </w:r>
      <w:r>
        <w:rPr>
          <w:rFonts w:ascii="Times New Roman" w:hAnsi="Times New Roman" w:cs="Times New Roman" w:eastAsia="Times New Roman" w:hint="default"/>
        </w:rPr>
        <w:t>1.0266726323</w:t>
      </w:r>
      <w:r>
        <w:rPr/>
        <w:t>：</w:t>
      </w:r>
      <w:r>
        <w:rPr>
          <w:rFonts w:ascii="Times New Roman" w:hAnsi="Times New Roman" w:cs="Times New Roman" w:eastAsia="Times New Roman" w:hint="default"/>
        </w:rPr>
        <w:t>1</w:t>
      </w:r>
      <w:r>
        <w:rPr/>
        <w:t>比例折算，折合股份公司的股份</w:t>
      </w:r>
      <w:r>
        <w:rPr>
          <w:rFonts w:ascii="Times New Roman" w:hAnsi="Times New Roman" w:cs="Times New Roman" w:eastAsia="Times New Roman" w:hint="default"/>
        </w:rPr>
        <w:t>4700 </w:t>
      </w:r>
      <w:r>
        <w:rPr/>
        <w:t>万股，每股面值人民币</w:t>
      </w:r>
      <w:r>
        <w:rPr>
          <w:rFonts w:ascii="Times New Roman" w:hAnsi="Times New Roman" w:cs="Times New Roman" w:eastAsia="Times New Roman" w:hint="default"/>
        </w:rPr>
        <w:t>1</w:t>
      </w:r>
      <w:r>
        <w:rPr/>
        <w:t>元，折股后股份公司的股本人民币</w:t>
      </w:r>
      <w:r>
        <w:rPr>
          <w:rFonts w:ascii="Times New Roman" w:hAnsi="Times New Roman" w:cs="Times New Roman" w:eastAsia="Times New Roman" w:hint="default"/>
        </w:rPr>
        <w:t>47,000,000.00</w:t>
      </w:r>
      <w:r>
        <w:rPr/>
        <w:t>元。此次增资经北京永拓会计师事务所有限责任公 司以京永验字（</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21005</w:t>
      </w:r>
      <w:r>
        <w:rPr/>
        <w:t>号《验资报告》验证。</w:t>
      </w:r>
    </w:p>
    <w:p>
      <w:pPr>
        <w:spacing w:after="0" w:line="302" w:lineRule="auto"/>
        <w:jc w:val="left"/>
        <w:sectPr>
          <w:headerReference w:type="default" r:id="rId26"/>
          <w:footerReference w:type="default" r:id="rId27"/>
          <w:pgSz w:w="11910" w:h="16840"/>
          <w:pgMar w:header="877" w:footer="980" w:top="1100" w:bottom="1160" w:left="980" w:right="980"/>
          <w:pgNumType w:start="61"/>
        </w:sectPr>
      </w:pPr>
    </w:p>
    <w:p>
      <w:pPr>
        <w:spacing w:line="240" w:lineRule="auto" w:before="11"/>
        <w:rPr>
          <w:rFonts w:ascii="宋体" w:hAnsi="宋体" w:cs="宋体" w:eastAsia="宋体" w:hint="default"/>
          <w:sz w:val="21"/>
          <w:szCs w:val="21"/>
        </w:rPr>
      </w:pPr>
    </w:p>
    <w:p>
      <w:pPr>
        <w:pStyle w:val="BodyText"/>
        <w:spacing w:line="300" w:lineRule="auto" w:before="44"/>
        <w:ind w:right="144"/>
        <w:jc w:val="left"/>
      </w:pP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22</w:t>
      </w:r>
      <w:r>
        <w:rPr>
          <w:spacing w:val="-4"/>
        </w:rPr>
        <w:t>日，根据公司股东会决议、新增股份及认购协议和修改后章程的规定，天津东方富海股权投资基金合伙企业（有</w:t>
      </w:r>
      <w:r>
        <w:rPr>
          <w:spacing w:val="-36"/>
        </w:rPr>
        <w:t> </w:t>
      </w:r>
      <w:r>
        <w:rPr>
          <w:spacing w:val="-36"/>
        </w:rPr>
      </w:r>
      <w:r>
        <w:rPr/>
        <w:t>限合伙）向本公司认购</w:t>
      </w:r>
      <w:r>
        <w:rPr>
          <w:rFonts w:ascii="Times New Roman" w:hAnsi="Times New Roman" w:cs="Times New Roman" w:eastAsia="Times New Roman" w:hint="default"/>
        </w:rPr>
        <w:t>600</w:t>
      </w:r>
      <w:r>
        <w:rPr/>
        <w:t>万股，认购后本公司股本增至</w:t>
      </w:r>
      <w:r>
        <w:rPr>
          <w:rFonts w:ascii="Times New Roman" w:hAnsi="Times New Roman" w:cs="Times New Roman" w:eastAsia="Times New Roman" w:hint="default"/>
        </w:rPr>
        <w:t>5300</w:t>
      </w:r>
      <w:r>
        <w:rPr/>
        <w:t>万元。此次增资由北京永拓会计师事务所有限责任公司深圳分 所以京永深所验字（</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009</w:t>
      </w:r>
      <w:r>
        <w:rPr/>
        <w:t>号《验资报告》验证。 根据中国证券监督管理委员会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[2012]411</w:t>
      </w:r>
      <w:r>
        <w:rPr/>
        <w:t>号</w:t>
      </w:r>
      <w:r>
        <w:rPr>
          <w:rFonts w:ascii="Times New Roman" w:hAnsi="Times New Roman" w:cs="Times New Roman" w:eastAsia="Times New Roman" w:hint="default"/>
        </w:rPr>
        <w:t>”</w:t>
      </w:r>
      <w:r>
        <w:rPr/>
        <w:t>文《关于核准任子行网络技术股份有限公司首次公开发行股票并在创 </w:t>
      </w:r>
      <w:r>
        <w:rPr>
          <w:spacing w:val="-3"/>
        </w:rPr>
        <w:t>业板上市的批复》，本公司于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16</w:t>
      </w:r>
      <w:r>
        <w:rPr>
          <w:spacing w:val="-3"/>
        </w:rPr>
        <w:t>日向社会公开发行人民币普通股</w:t>
      </w:r>
      <w:r>
        <w:rPr>
          <w:rFonts w:ascii="Times New Roman" w:hAnsi="Times New Roman" w:cs="Times New Roman" w:eastAsia="Times New Roman" w:hint="default"/>
          <w:spacing w:val="-3"/>
        </w:rPr>
        <w:t>1,770</w:t>
      </w:r>
      <w:r>
        <w:rPr>
          <w:spacing w:val="-3"/>
        </w:rPr>
        <w:t>万股（每股面值</w:t>
      </w:r>
      <w:r>
        <w:rPr>
          <w:rFonts w:ascii="Times New Roman" w:hAnsi="Times New Roman" w:cs="Times New Roman" w:eastAsia="Times New Roman" w:hint="default"/>
          <w:spacing w:val="-3"/>
        </w:rPr>
        <w:t>1</w:t>
      </w:r>
      <w:r>
        <w:rPr>
          <w:spacing w:val="-3"/>
        </w:rPr>
        <w:t>元），增加股本人民币</w:t>
      </w:r>
      <w:r>
        <w:rPr>
          <w:rFonts w:ascii="Times New Roman" w:hAnsi="Times New Roman" w:cs="Times New Roman" w:eastAsia="Times New Roman" w:hint="default"/>
          <w:spacing w:val="-3"/>
        </w:rPr>
        <w:t>1,770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1"/>
        </w:rPr>
        <w:t>万元，变更后的股本为人民币</w:t>
      </w:r>
      <w:r>
        <w:rPr>
          <w:rFonts w:ascii="Times New Roman" w:hAnsi="Times New Roman" w:cs="Times New Roman" w:eastAsia="Times New Roman" w:hint="default"/>
          <w:spacing w:val="-1"/>
        </w:rPr>
        <w:t>70,700,000.00</w:t>
      </w:r>
      <w:r>
        <w:rPr>
          <w:spacing w:val="-1"/>
        </w:rPr>
        <w:t>元。实际募集资金总额</w:t>
      </w:r>
      <w:r>
        <w:rPr>
          <w:rFonts w:ascii="Times New Roman" w:hAnsi="Times New Roman" w:cs="Times New Roman" w:eastAsia="Times New Roman" w:hint="default"/>
          <w:spacing w:val="-1"/>
        </w:rPr>
        <w:t>265,500,000.00</w:t>
      </w:r>
      <w:r>
        <w:rPr>
          <w:spacing w:val="-1"/>
        </w:rPr>
        <w:t>元，扣除各项发行费用</w:t>
      </w:r>
      <w:r>
        <w:rPr>
          <w:rFonts w:ascii="Times New Roman" w:hAnsi="Times New Roman" w:cs="Times New Roman" w:eastAsia="Times New Roman" w:hint="default"/>
          <w:spacing w:val="-1"/>
        </w:rPr>
        <w:t>34,420,013.00</w:t>
      </w:r>
      <w:r>
        <w:rPr>
          <w:spacing w:val="-1"/>
        </w:rPr>
        <w:t>元，实</w:t>
      </w:r>
      <w:r>
        <w:rPr>
          <w:spacing w:val="-66"/>
        </w:rPr>
        <w:t> </w:t>
      </w:r>
      <w:r>
        <w:rPr>
          <w:spacing w:val="-66"/>
        </w:rPr>
      </w:r>
      <w:r>
        <w:rPr/>
        <w:t>际募集资金净额</w:t>
      </w:r>
      <w:r>
        <w:rPr>
          <w:rFonts w:ascii="Times New Roman" w:hAnsi="Times New Roman" w:cs="Times New Roman" w:eastAsia="Times New Roman" w:hint="default"/>
        </w:rPr>
        <w:t>231,079,987.00</w:t>
      </w:r>
      <w:r>
        <w:rPr/>
        <w:t>元，其中新增股本</w:t>
      </w:r>
      <w:r>
        <w:rPr>
          <w:rFonts w:ascii="Times New Roman" w:hAnsi="Times New Roman" w:cs="Times New Roman" w:eastAsia="Times New Roman" w:hint="default"/>
        </w:rPr>
        <w:t>17,700,000.00</w:t>
      </w:r>
      <w:r>
        <w:rPr/>
        <w:t>元，增加资本公积</w:t>
      </w:r>
      <w:r>
        <w:rPr>
          <w:rFonts w:ascii="Times New Roman" w:hAnsi="Times New Roman" w:cs="Times New Roman" w:eastAsia="Times New Roman" w:hint="default"/>
        </w:rPr>
        <w:t>213,379,987.00</w:t>
      </w:r>
      <w:r>
        <w:rPr/>
        <w:t>元。上述出资经北京永拓会 计师事务所有限责任公司以京永验字（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21002</w:t>
      </w:r>
      <w:r>
        <w:rPr/>
        <w:t>号验资报告验证。变更后股权结构如下：</w:t>
      </w:r>
    </w:p>
    <w:p>
      <w:pPr>
        <w:spacing w:line="240" w:lineRule="auto" w:before="3"/>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5370"/>
        <w:gridCol w:w="2103"/>
        <w:gridCol w:w="1580"/>
      </w:tblGrid>
      <w:tr>
        <w:trPr>
          <w:trHeight w:val="355" w:hRule="exact"/>
        </w:trPr>
        <w:tc>
          <w:tcPr>
            <w:tcW w:w="5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5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422" w:right="0"/>
              <w:jc w:val="left"/>
              <w:rPr>
                <w:rFonts w:ascii="宋体" w:hAnsi="宋体" w:cs="宋体" w:eastAsia="宋体" w:hint="default"/>
                <w:sz w:val="18"/>
                <w:szCs w:val="18"/>
              </w:rPr>
            </w:pPr>
            <w:r>
              <w:rPr>
                <w:rFonts w:ascii="宋体" w:hAnsi="宋体" w:cs="宋体" w:eastAsia="宋体" w:hint="default"/>
                <w:sz w:val="18"/>
                <w:szCs w:val="18"/>
              </w:rPr>
              <w:t>占股比例</w:t>
            </w:r>
          </w:p>
        </w:tc>
      </w:tr>
      <w:tr>
        <w:trPr>
          <w:trHeight w:val="350" w:hRule="exact"/>
        </w:trPr>
        <w:tc>
          <w:tcPr>
            <w:tcW w:w="5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37,788,000.00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504" w:right="0"/>
              <w:jc w:val="left"/>
              <w:rPr>
                <w:rFonts w:ascii="Times New Roman" w:hAnsi="Times New Roman" w:cs="Times New Roman" w:eastAsia="Times New Roman" w:hint="default"/>
                <w:sz w:val="18"/>
                <w:szCs w:val="18"/>
              </w:rPr>
            </w:pPr>
            <w:r>
              <w:rPr>
                <w:rFonts w:ascii="Times New Roman"/>
                <w:sz w:val="18"/>
              </w:rPr>
              <w:t>53.45%</w:t>
            </w:r>
          </w:p>
        </w:tc>
      </w:tr>
      <w:tr>
        <w:trPr>
          <w:trHeight w:val="353" w:hRule="exact"/>
        </w:trPr>
        <w:tc>
          <w:tcPr>
            <w:tcW w:w="5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705,000.00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5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深圳市华信远景投资咨询有限公司</w:t>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7,050,000.00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9.97%</w:t>
            </w:r>
          </w:p>
        </w:tc>
      </w:tr>
      <w:tr>
        <w:trPr>
          <w:trHeight w:val="351" w:hRule="exact"/>
        </w:trPr>
        <w:tc>
          <w:tcPr>
            <w:tcW w:w="5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376,000.00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0.53%</w:t>
            </w:r>
          </w:p>
        </w:tc>
      </w:tr>
      <w:tr>
        <w:trPr>
          <w:trHeight w:val="353" w:hRule="exact"/>
        </w:trPr>
        <w:tc>
          <w:tcPr>
            <w:tcW w:w="5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吴宁莉</w:t>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376,000.00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0.53%</w:t>
            </w:r>
          </w:p>
        </w:tc>
      </w:tr>
      <w:tr>
        <w:trPr>
          <w:trHeight w:val="353" w:hRule="exact"/>
        </w:trPr>
        <w:tc>
          <w:tcPr>
            <w:tcW w:w="5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唐海林</w:t>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282,000.00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0.40%</w:t>
            </w:r>
          </w:p>
        </w:tc>
      </w:tr>
      <w:tr>
        <w:trPr>
          <w:trHeight w:val="350" w:hRule="exact"/>
        </w:trPr>
        <w:tc>
          <w:tcPr>
            <w:tcW w:w="5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235,000.00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0.33%</w:t>
            </w:r>
          </w:p>
        </w:tc>
      </w:tr>
      <w:tr>
        <w:trPr>
          <w:trHeight w:val="353" w:hRule="exact"/>
        </w:trPr>
        <w:tc>
          <w:tcPr>
            <w:tcW w:w="5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师召辉</w:t>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188,000.00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0.27%</w:t>
            </w:r>
          </w:p>
        </w:tc>
      </w:tr>
      <w:tr>
        <w:trPr>
          <w:trHeight w:val="353" w:hRule="exact"/>
        </w:trPr>
        <w:tc>
          <w:tcPr>
            <w:tcW w:w="5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天津东方富海股权投资基金合伙企业（有限合伙）</w:t>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6,000,000.00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8.49%</w:t>
            </w:r>
          </w:p>
        </w:tc>
      </w:tr>
      <w:tr>
        <w:trPr>
          <w:trHeight w:val="350" w:hRule="exact"/>
        </w:trPr>
        <w:tc>
          <w:tcPr>
            <w:tcW w:w="5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社会公众股股东</w:t>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17,700,000.00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504" w:right="0"/>
              <w:jc w:val="left"/>
              <w:rPr>
                <w:rFonts w:ascii="Times New Roman" w:hAnsi="Times New Roman" w:cs="Times New Roman" w:eastAsia="Times New Roman" w:hint="default"/>
                <w:sz w:val="18"/>
                <w:szCs w:val="18"/>
              </w:rPr>
            </w:pPr>
            <w:r>
              <w:rPr>
                <w:rFonts w:ascii="Times New Roman"/>
                <w:sz w:val="18"/>
              </w:rPr>
              <w:t>25.04%</w:t>
            </w:r>
          </w:p>
        </w:tc>
      </w:tr>
      <w:tr>
        <w:trPr>
          <w:trHeight w:val="353" w:hRule="exact"/>
        </w:trPr>
        <w:tc>
          <w:tcPr>
            <w:tcW w:w="5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70,700,000.00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458"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8"/>
        <w:ind w:right="0"/>
        <w:jc w:val="left"/>
      </w:pPr>
      <w:r>
        <w:rPr/>
        <w:t>本公司非限售股于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日在深圳交易所上市交易，股票代码为</w:t>
      </w:r>
      <w:r>
        <w:rPr>
          <w:rFonts w:ascii="Times New Roman" w:hAnsi="Times New Roman" w:cs="Times New Roman" w:eastAsia="Times New Roman" w:hint="default"/>
        </w:rPr>
        <w:t>300311</w:t>
      </w:r>
      <w:r>
        <w:rPr/>
        <w:t>。</w:t>
      </w:r>
    </w:p>
    <w:p>
      <w:pPr>
        <w:pStyle w:val="BodyText"/>
        <w:spacing w:line="240" w:lineRule="auto" w:before="63"/>
        <w:ind w:right="0"/>
        <w:jc w:val="left"/>
      </w:pPr>
      <w:r>
        <w:rPr/>
        <w:t>（四）公司的基本组织架构</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4708" w:lineRule="exact"/>
        <w:ind w:left="184"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5965188" cy="299008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8" cstate="print"/>
                    <a:stretch>
                      <a:fillRect/>
                    </a:stretch>
                  </pic:blipFill>
                  <pic:spPr>
                    <a:xfrm>
                      <a:off x="0" y="0"/>
                      <a:ext cx="5965188" cy="2990088"/>
                    </a:xfrm>
                    <a:prstGeom prst="rect">
                      <a:avLst/>
                    </a:prstGeom>
                  </pic:spPr>
                </pic:pic>
              </a:graphicData>
            </a:graphic>
          </wp:inline>
        </w:drawing>
      </w:r>
      <w:r>
        <w:rPr>
          <w:rFonts w:ascii="宋体" w:hAnsi="宋体" w:cs="宋体" w:eastAsia="宋体" w:hint="default"/>
          <w:position w:val="-93"/>
          <w:sz w:val="20"/>
          <w:szCs w:val="20"/>
        </w:rPr>
      </w:r>
    </w:p>
    <w:p>
      <w:pPr>
        <w:spacing w:after="0" w:line="4708" w:lineRule="exact"/>
        <w:rPr>
          <w:rFonts w:ascii="宋体" w:hAnsi="宋体" w:cs="宋体" w:eastAsia="宋体" w:hint="default"/>
          <w:sz w:val="20"/>
          <w:szCs w:val="20"/>
        </w:rPr>
        <w:sectPr>
          <w:pgSz w:w="11910" w:h="16840"/>
          <w:pgMar w:header="877"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1" w:firstLine="288"/>
        <w:jc w:val="both"/>
      </w:pPr>
      <w:r>
        <w:rPr/>
        <w:t>本公司以持续经营为基础，根据实际发生的交易和事项，按照财政部于</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日颁布的《企业会计准则</w:t>
      </w:r>
      <w:r>
        <w:rPr>
          <w:rFonts w:ascii="Times New Roman" w:hAnsi="Times New Roman" w:cs="Times New Roman" w:eastAsia="Times New Roman" w:hint="default"/>
        </w:rPr>
        <w:t>——</w:t>
      </w:r>
      <w:r>
        <w:rPr/>
        <w:t>基 本准则》和</w:t>
      </w:r>
      <w:r>
        <w:rPr>
          <w:rFonts w:ascii="Times New Roman" w:hAnsi="Times New Roman" w:cs="Times New Roman" w:eastAsia="Times New Roman" w:hint="default"/>
        </w:rPr>
        <w:t>38</w:t>
      </w:r>
      <w:r>
        <w:rPr>
          <w:rFonts w:ascii="Times New Roman" w:hAnsi="Times New Roman" w:cs="Times New Roman" w:eastAsia="Times New Roman" w:hint="default"/>
          <w:spacing w:val="-6"/>
        </w:rPr>
        <w:t> </w:t>
      </w:r>
      <w:r>
        <w:rPr/>
        <w:t>项具体会计准则、其后颁布的企业会计准则应用指南、企业会计准则解释及其他相关规定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 </w:t>
      </w:r>
      <w:r>
        <w:rPr>
          <w:spacing w:val="-3"/>
        </w:rPr>
        <w:t>计准则</w:t>
      </w:r>
      <w:r>
        <w:rPr>
          <w:rFonts w:ascii="Times New Roman" w:hAnsi="Times New Roman" w:cs="Times New Roman" w:eastAsia="Times New Roman" w:hint="default"/>
          <w:spacing w:val="-3"/>
        </w:rPr>
        <w:t>)</w:t>
      </w:r>
      <w:r>
        <w:rPr>
          <w:spacing w:val="-3"/>
        </w:rPr>
        <w:t>、以及中国证券监督管理委员会《公开发行证券的公司信息披露编报规则第</w:t>
      </w:r>
      <w:r>
        <w:rPr>
          <w:rFonts w:ascii="Times New Roman" w:hAnsi="Times New Roman" w:cs="Times New Roman" w:eastAsia="Times New Roman" w:hint="default"/>
          <w:spacing w:val="-3"/>
        </w:rPr>
        <w:t>15 </w:t>
      </w:r>
      <w:r>
        <w:rPr>
          <w:spacing w:val="-4"/>
        </w:rPr>
        <w:t>号</w:t>
      </w:r>
      <w:r>
        <w:rPr>
          <w:rFonts w:ascii="Times New Roman" w:hAnsi="Times New Roman" w:cs="Times New Roman" w:eastAsia="Times New Roman" w:hint="default"/>
          <w:spacing w:val="-4"/>
        </w:rPr>
        <w:t>——</w:t>
      </w:r>
      <w:r>
        <w:rPr>
          <w:spacing w:val="-4"/>
        </w:rPr>
        <w:t>财务报告的一般规定》</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34"/>
        </w:rPr>
        <w:t> </w:t>
      </w:r>
      <w:r>
        <w:rPr/>
        <w:t>年 修订</w:t>
      </w:r>
      <w:r>
        <w:rPr>
          <w:rFonts w:ascii="Times New Roman" w:hAnsi="Times New Roman" w:cs="Times New Roman" w:eastAsia="Times New Roman" w:hint="default"/>
        </w:rPr>
        <w:t>)</w:t>
      </w:r>
      <w:r>
        <w:rPr/>
        <w:t>的披露规定编制财务报表。</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1" w:firstLine="288"/>
        <w:jc w:val="both"/>
      </w:pPr>
      <w:r>
        <w:rPr>
          <w:spacing w:val="-1"/>
        </w:rPr>
        <w:t>本公司基于上述编制基础编制的财务报表符合企业会计准则的要求，真实、完整地反映了公司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w:t>
      </w:r>
      <w:r>
        <w:rPr/>
        <w:t> 况以及</w:t>
      </w:r>
      <w:r>
        <w:rPr>
          <w:rFonts w:ascii="Times New Roman" w:hAnsi="Times New Roman" w:cs="Times New Roman" w:eastAsia="Times New Roman" w:hint="default"/>
        </w:rPr>
        <w:t>2012</w:t>
      </w:r>
      <w:r>
        <w:rPr/>
        <w:t>年度经营成果和现金流量等有关信息。</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0"/>
        <w:jc w:val="left"/>
      </w:pPr>
      <w:r>
        <w:rPr/>
        <w:t>采用公历年度，即从每年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日为一会计年度。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本公司以人民币为记账本位币。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0" w:firstLine="288"/>
        <w:jc w:val="both"/>
      </w:pPr>
      <w:r>
        <w:rPr>
          <w:spacing w:val="-1"/>
        </w:rPr>
        <w:t>参与合并的企业在合并前后均受同一方或相同的多方最终控制，且该控制并非暂时性的，为同一控制下的企业合并。同</w:t>
      </w:r>
      <w:r>
        <w:rPr/>
        <w:t> </w:t>
      </w:r>
      <w:r>
        <w:rPr>
          <w:spacing w:val="-2"/>
        </w:rPr>
        <w:t>一控制下的企业合并，在合并日取得对其他参与合并企业控制权的一方为合并方，参与合并的其他企业为被合并方。合并日</w:t>
      </w:r>
      <w:r>
        <w:rPr>
          <w:spacing w:val="-63"/>
        </w:rPr>
        <w:t> </w:t>
      </w:r>
      <w:r>
        <w:rPr>
          <w:spacing w:val="-63"/>
        </w:rPr>
      </w:r>
      <w:r>
        <w:rPr/>
        <w:t>指合并方实际取得对被合并方控制权的日期。</w:t>
      </w:r>
    </w:p>
    <w:p>
      <w:pPr>
        <w:pStyle w:val="BodyText"/>
        <w:spacing w:line="316" w:lineRule="auto" w:before="19"/>
        <w:ind w:right="152" w:firstLine="288"/>
        <w:jc w:val="both"/>
      </w:pPr>
      <w:r>
        <w:rPr>
          <w:spacing w:val="-1"/>
        </w:rPr>
        <w:t>合并方在企业合并中取得的资产和负债，按合并日在被合并方的账面价值计量。合并方取得的净资产账面价值与支付的</w:t>
      </w:r>
      <w:r>
        <w:rPr/>
        <w:t> 合并对价的账面价值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的差额，调整资本公积，资本公积不足冲减的，调整留存收益。</w:t>
      </w:r>
    </w:p>
    <w:p>
      <w:pPr>
        <w:pStyle w:val="BodyText"/>
        <w:spacing w:line="235" w:lineRule="exact"/>
        <w:ind w:left="441" w:right="0"/>
        <w:jc w:val="left"/>
      </w:pPr>
      <w:r>
        <w:rPr/>
        <w:t>合并方为进行企业合并发生的各项直接费用，于发生时计入当期损益。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288"/>
        <w:jc w:val="both"/>
      </w:pPr>
      <w:r>
        <w:rPr>
          <w:spacing w:val="-1"/>
        </w:rPr>
        <w:t>参与合并的企业在合并前后不受同一方或相同的多方最终控制的，为非同一控制下的企业合并。非同一控制下的企业合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并，在购买日取得对其他参与合并企业控制权的一方为购买方，参与合并的其他企业为被购买方。购买日为购买方实际取得</w:t>
      </w:r>
      <w:r>
        <w:rPr>
          <w:spacing w:val="-63"/>
        </w:rPr>
        <w:t> </w:t>
      </w:r>
      <w:r>
        <w:rPr>
          <w:spacing w:val="-63"/>
        </w:rPr>
      </w:r>
      <w:r>
        <w:rPr/>
        <w:t>对被购买方控制权的日期。</w:t>
      </w:r>
    </w:p>
    <w:p>
      <w:pPr>
        <w:pStyle w:val="BodyText"/>
        <w:spacing w:line="316" w:lineRule="auto" w:before="19"/>
        <w:ind w:right="150" w:firstLine="288"/>
        <w:jc w:val="both"/>
      </w:pPr>
      <w:r>
        <w:rPr>
          <w:spacing w:val="-1"/>
        </w:rPr>
        <w:t>对于非同一控制下的企业合并，合并成本为购买日购买方为取得对被购买方的控制权而付出的资产、发生或承担的负债</w:t>
      </w:r>
      <w:r>
        <w:rPr/>
        <w:t> </w:t>
      </w:r>
      <w:r>
        <w:rPr>
          <w:spacing w:val="-2"/>
        </w:rPr>
        <w:t>以及发行的权益性证券的公允价值。通过多次交换交易分步实现的企业合并，合并成本为每一单项交易成本之和。在合并合</w:t>
      </w:r>
      <w:r>
        <w:rPr>
          <w:spacing w:val="-63"/>
        </w:rPr>
        <w:t> </w:t>
      </w:r>
      <w:r>
        <w:rPr>
          <w:spacing w:val="-63"/>
        </w:rPr>
      </w:r>
      <w:r>
        <w:rPr>
          <w:spacing w:val="-2"/>
        </w:rPr>
        <w:t>同中对可能影响合并成本的未来事项作出约定的，购买日如果估计未来事项很可能发生并且对合并成本的影响金额能够可靠</w:t>
      </w:r>
      <w:r>
        <w:rPr>
          <w:spacing w:val="-64"/>
        </w:rPr>
        <w:t> </w:t>
      </w:r>
      <w:r>
        <w:rPr>
          <w:spacing w:val="-64"/>
        </w:rPr>
      </w:r>
      <w:r>
        <w:rPr/>
        <w:t>计量的，也计入合并成本。</w:t>
      </w:r>
    </w:p>
    <w:p>
      <w:pPr>
        <w:pStyle w:val="BodyText"/>
        <w:spacing w:line="316" w:lineRule="auto" w:before="19"/>
        <w:ind w:left="441" w:right="0"/>
        <w:jc w:val="left"/>
      </w:pPr>
      <w:r>
        <w:rPr/>
        <w:t>非同一控制下企业合并中所取得的被购买方可辨认资产、负债及或有负债在收购日以公允价值计量。 </w:t>
      </w:r>
      <w:r>
        <w:rPr>
          <w:spacing w:val="-1"/>
        </w:rPr>
        <w:t>合并成本大于合并中取得的被购买方可辨认净资产公允价值份额的差额，确认为商誉。合并成本小于合并中取得的被购</w:t>
      </w:r>
    </w:p>
    <w:p>
      <w:pPr>
        <w:pStyle w:val="BodyText"/>
        <w:spacing w:line="240" w:lineRule="auto" w:before="19"/>
        <w:ind w:right="0"/>
        <w:jc w:val="left"/>
      </w:pPr>
      <w:r>
        <w:rPr/>
        <w:t>买方可辨认净资产公允价值份额的，首先对取得的被购买方各项可辨认资产、负债及或有负债的公允价值以及合并成本的计</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98"/>
        <w:jc w:val="left"/>
      </w:pPr>
      <w:r>
        <w:rPr/>
        <w:t>量进行复核，复核后合并成本仍小于合并中取得的被购买方可辨认净资产公允价值份额的，其差额计入当期损益。</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2" w:firstLine="288"/>
        <w:jc w:val="both"/>
      </w:pPr>
      <w:r>
        <w:rPr>
          <w:spacing w:val="-1"/>
        </w:rPr>
        <w:t>合并财务报表的合并范围以控制为基础确定，包括本公司及全部子公司截至本报告期末的财务报表。子公司指被本公司</w:t>
      </w:r>
      <w:r>
        <w:rPr/>
        <w:t> 控制的被投资单位。</w:t>
      </w:r>
    </w:p>
    <w:p>
      <w:pPr>
        <w:pStyle w:val="BodyText"/>
        <w:spacing w:line="316" w:lineRule="auto" w:before="19"/>
        <w:ind w:left="441" w:right="98"/>
        <w:jc w:val="left"/>
      </w:pPr>
      <w:r>
        <w:rPr/>
        <w:t>编制合并财务报表时，子公司采用与本公司一致的会计年度和会计政策。 本公司内部各公司之间的所有重大交易及往来于合并时全额抵消。 纳入合并范围的子公司的所有者权益中不属于本公司所拥有的部分作为少数股东权益在合并财务报表中单独列示。 </w:t>
      </w:r>
      <w:r>
        <w:rPr>
          <w:spacing w:val="-1"/>
        </w:rPr>
        <w:t>对于通过非同一控制下的企业合并取得的子公司，被购买方的经营成果和现金流量自本公司取得控制权之日起纳入合并</w:t>
      </w:r>
    </w:p>
    <w:p>
      <w:pPr>
        <w:pStyle w:val="BodyText"/>
        <w:spacing w:line="319" w:lineRule="auto" w:before="19"/>
        <w:ind w:right="98"/>
        <w:jc w:val="left"/>
      </w:pPr>
      <w:r>
        <w:rPr>
          <w:spacing w:val="-2"/>
        </w:rPr>
        <w:t>财务报表，直至本公司对其控制权终止。在编制合并财务报表时，以购买日确定的各项可辨认资产、负债及或有负债的公允</w:t>
      </w:r>
      <w:r>
        <w:rPr>
          <w:spacing w:val="-65"/>
        </w:rPr>
        <w:t> </w:t>
      </w:r>
      <w:r>
        <w:rPr>
          <w:spacing w:val="-65"/>
        </w:rPr>
      </w:r>
      <w:r>
        <w:rPr/>
        <w:t>价值为基础对子公司的财务报表进行调整。</w:t>
      </w:r>
    </w:p>
    <w:p>
      <w:pPr>
        <w:pStyle w:val="BodyText"/>
        <w:spacing w:line="316" w:lineRule="auto" w:before="17"/>
        <w:ind w:right="192" w:firstLine="288"/>
        <w:jc w:val="both"/>
      </w:pPr>
      <w:r>
        <w:rPr>
          <w:spacing w:val="-1"/>
        </w:rPr>
        <w:t>对于通过同一控制下的企业合并取得的子公司，被合并方的经营成果和现金流量自合并当期期初纳入合并财务报表。编</w:t>
      </w:r>
      <w:r>
        <w:rPr/>
        <w:t> </w:t>
      </w:r>
      <w:r>
        <w:rPr>
          <w:spacing w:val="-2"/>
        </w:rPr>
        <w:t>制比较合并财务报表时，对前期财务报表的相关项目进行调整，视同合并后形成的报告主体自最终控制方开始实施控制时一</w:t>
      </w:r>
      <w:r>
        <w:rPr>
          <w:spacing w:val="-63"/>
        </w:rPr>
        <w:t> </w:t>
      </w:r>
      <w:r>
        <w:rPr>
          <w:spacing w:val="-63"/>
        </w:rPr>
      </w:r>
      <w:r>
        <w:rPr/>
        <w:t>直存在。</w:t>
      </w:r>
    </w:p>
    <w:p>
      <w:pPr>
        <w:spacing w:line="240" w:lineRule="auto" w:before="10"/>
        <w:rPr>
          <w:rFonts w:ascii="宋体" w:hAnsi="宋体" w:cs="宋体" w:eastAsia="宋体" w:hint="default"/>
          <w:sz w:val="22"/>
          <w:szCs w:val="22"/>
        </w:rPr>
      </w:pPr>
    </w:p>
    <w:p>
      <w:pPr>
        <w:pStyle w:val="Heading3"/>
        <w:spacing w:line="240" w:lineRule="auto"/>
        <w:ind w:right="98"/>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441" w:right="255"/>
        <w:jc w:val="left"/>
      </w:pPr>
      <w:r>
        <w:rPr/>
        <w:t>现金指本公司的库存现金以及随时用于支付的存款。 现金等价物是指本公司及其子公司持有的期限短（一般指购买日起</w:t>
      </w:r>
      <w:r>
        <w:rPr>
          <w:rFonts w:ascii="Times New Roman" w:hAnsi="Times New Roman" w:cs="Times New Roman" w:eastAsia="Times New Roman" w:hint="default"/>
        </w:rPr>
        <w:t>3</w:t>
      </w:r>
      <w:r>
        <w:rPr/>
        <w:t>个月内到期）、流动性强、易于转换为已知金额现</w:t>
      </w:r>
    </w:p>
    <w:p>
      <w:pPr>
        <w:pStyle w:val="BodyText"/>
        <w:spacing w:line="235" w:lineRule="exact"/>
        <w:ind w:right="98"/>
        <w:jc w:val="left"/>
      </w:pPr>
      <w:r>
        <w:rPr/>
        <w:t>金且价值变动风险很小的投资。</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2"/>
        <w:rPr>
          <w:rFonts w:ascii="宋体" w:hAnsi="宋体" w:cs="宋体" w:eastAsia="宋体" w:hint="default"/>
          <w:b/>
          <w:bCs/>
          <w:sz w:val="26"/>
          <w:szCs w:val="26"/>
        </w:rPr>
      </w:pPr>
    </w:p>
    <w:p>
      <w:pPr>
        <w:pStyle w:val="BodyText"/>
        <w:spacing w:line="312" w:lineRule="auto"/>
        <w:ind w:right="94" w:firstLine="288"/>
        <w:jc w:val="left"/>
      </w:pPr>
      <w:r>
        <w:rPr/>
        <w:t>本公司外币交易均按交易发生日的即期近似汇率折算为记账本位币。该即期近似汇率指交易发生日当月月初的汇率。在 资产负债表日，应当按照下列规定对外币货币性项目和外币非货币性项目进行处理：</w:t>
      </w:r>
      <w:r>
        <w:rPr>
          <w:rFonts w:ascii="Times New Roman" w:hAnsi="Times New Roman" w:cs="Times New Roman" w:eastAsia="Times New Roman" w:hint="default"/>
        </w:rPr>
        <w:t>a</w:t>
      </w:r>
      <w:r>
        <w:rPr/>
        <w:t>、外币货币性项目，采用资产负债表 </w:t>
      </w:r>
      <w:r>
        <w:rPr>
          <w:spacing w:val="-2"/>
        </w:rPr>
        <w:t>日即期汇率折算。因资产负债表日即期汇率与初始确认时或前一资产负债表日即期汇率不同而产生的汇兑差额，计入当期损</w:t>
      </w:r>
      <w:r>
        <w:rPr>
          <w:spacing w:val="-64"/>
        </w:rPr>
        <w:t> </w:t>
      </w:r>
      <w:r>
        <w:rPr>
          <w:spacing w:val="-64"/>
        </w:rPr>
      </w:r>
      <w:r>
        <w:rPr>
          <w:spacing w:val="-2"/>
        </w:rPr>
        <w:t>益。</w:t>
      </w:r>
      <w:r>
        <w:rPr>
          <w:rFonts w:ascii="Times New Roman" w:hAnsi="Times New Roman" w:cs="Times New Roman" w:eastAsia="Times New Roman" w:hint="default"/>
          <w:spacing w:val="-2"/>
        </w:rPr>
        <w:t>b</w:t>
      </w:r>
      <w:r>
        <w:rPr>
          <w:spacing w:val="-2"/>
        </w:rPr>
        <w:t>、以历史成本计量的外币非货币性项目，仍采用交易发生日的即期汇率折算，不改变其记账本位币金额。</w:t>
      </w:r>
      <w:r>
        <w:rPr>
          <w:rFonts w:ascii="Times New Roman" w:hAnsi="Times New Roman" w:cs="Times New Roman" w:eastAsia="Times New Roman" w:hint="default"/>
          <w:spacing w:val="-2"/>
        </w:rPr>
        <w:t>c</w:t>
      </w:r>
      <w:r>
        <w:rPr>
          <w:spacing w:val="-2"/>
        </w:rPr>
        <w:t>、以公允价</w:t>
      </w:r>
      <w:r>
        <w:rPr>
          <w:spacing w:val="-55"/>
        </w:rPr>
        <w:t> </w:t>
      </w:r>
      <w:r>
        <w:rPr>
          <w:spacing w:val="-55"/>
        </w:rPr>
      </w:r>
      <w:r>
        <w:rPr/>
        <w:t>值计量的外币非货币性项目，采用公允价值确定日的即期汇率折算，折算后的记账本位币金额与原记账本位币金额的差额，</w:t>
      </w:r>
      <w:r>
        <w:rPr>
          <w:spacing w:val="-86"/>
        </w:rPr>
        <w:t> </w:t>
      </w:r>
      <w:r>
        <w:rPr>
          <w:spacing w:val="-86"/>
        </w:rPr>
      </w:r>
      <w:r>
        <w:rPr/>
        <w:t>作为公允价值变动处理，计入当期损益。</w:t>
      </w:r>
    </w:p>
    <w:p>
      <w:pPr>
        <w:spacing w:line="240" w:lineRule="auto" w:before="1"/>
        <w:rPr>
          <w:rFonts w:ascii="宋体" w:hAnsi="宋体" w:cs="宋体" w:eastAsia="宋体" w:hint="default"/>
          <w:sz w:val="23"/>
          <w:szCs w:val="23"/>
        </w:rPr>
      </w:pPr>
    </w:p>
    <w:p>
      <w:pPr>
        <w:pStyle w:val="Heading3"/>
        <w:spacing w:line="240" w:lineRule="auto"/>
        <w:ind w:right="98"/>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91" w:firstLine="288"/>
        <w:jc w:val="both"/>
      </w:pPr>
      <w:r>
        <w:rPr>
          <w:spacing w:val="-1"/>
        </w:rPr>
        <w:t>以外币为本位币的子公司，在编制折合人民币财务报表时，采用现行汇率法，即所有资产、负债及损益类项目按照合并</w:t>
      </w:r>
      <w:r>
        <w:rPr/>
        <w:t> </w:t>
      </w:r>
      <w:r>
        <w:rPr>
          <w:spacing w:val="-2"/>
        </w:rPr>
        <w:t>会计报表决算日的市场汇率折算为母公司记账本位币，所有者权益类项目除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项目外，均按照发生时的市场汇率</w:t>
      </w:r>
      <w:r>
        <w:rPr>
          <w:spacing w:val="-43"/>
        </w:rPr>
        <w:t> </w:t>
      </w:r>
      <w:r>
        <w:rPr>
          <w:spacing w:val="-43"/>
        </w:rPr>
      </w:r>
      <w:r>
        <w:rPr>
          <w:spacing w:val="-2"/>
        </w:rPr>
        <w:t>折算为母公司本位币。由于折算汇率不同产生的折算差额，在折合人民币资产负债表所有者权益类设外币报表折算差额项目</w:t>
      </w:r>
      <w:r>
        <w:rPr>
          <w:spacing w:val="-64"/>
        </w:rPr>
        <w:t> </w:t>
      </w:r>
      <w:r>
        <w:rPr>
          <w:spacing w:val="-64"/>
        </w:rPr>
      </w:r>
      <w:r>
        <w:rPr/>
        <w:t>反映。</w:t>
      </w:r>
    </w:p>
    <w:p>
      <w:pPr>
        <w:spacing w:after="0" w:line="312"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98"/>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441" w:right="98"/>
        <w:jc w:val="left"/>
      </w:pPr>
      <w:r>
        <w:rPr/>
        <w:t>金融工具划分为金融资产或金融负债。 </w:t>
      </w:r>
      <w:r>
        <w:rPr>
          <w:spacing w:val="-1"/>
        </w:rPr>
        <w:t>金融资产于初始确认时分类为：以公允价值计量且其变动计入当期损益的金融资产（包括交易性金融资产和指定为以公</w:t>
      </w:r>
    </w:p>
    <w:p>
      <w:pPr>
        <w:pStyle w:val="BodyText"/>
        <w:spacing w:line="316" w:lineRule="auto" w:before="19"/>
        <w:ind w:right="98"/>
        <w:jc w:val="left"/>
      </w:pPr>
      <w:r>
        <w:rPr>
          <w:spacing w:val="-2"/>
        </w:rPr>
        <w:t>允价值计量且其变动计入当期损益的金融资产）、持有至到期投资、贷款和应收款项、可供出售金融资产。除应收款项以外</w:t>
      </w:r>
      <w:r>
        <w:rPr>
          <w:spacing w:val="-67"/>
        </w:rPr>
        <w:t> </w:t>
      </w:r>
      <w:r>
        <w:rPr>
          <w:spacing w:val="-67"/>
        </w:rPr>
      </w:r>
      <w:r>
        <w:rPr/>
        <w:t>的金融资产的分类取决于本公司及其子公司对金融资产的持有意图和持有能力等。</w:t>
      </w:r>
    </w:p>
    <w:p>
      <w:pPr>
        <w:pStyle w:val="BodyText"/>
        <w:spacing w:line="316" w:lineRule="auto" w:before="19"/>
        <w:ind w:right="192" w:firstLine="288"/>
        <w:jc w:val="both"/>
      </w:pPr>
      <w:r>
        <w:rPr>
          <w:spacing w:val="-1"/>
        </w:rPr>
        <w:t>金融负债于初始确认时分类为：以公允价值计量且其变动计入当期损益的金融负债（包括交易性金融负债和指定为以公</w:t>
      </w:r>
      <w:r>
        <w:rPr/>
        <w:t> 允价值计量且其变动计入当期损益的金融负债）以及其他金融负债。</w:t>
      </w:r>
    </w:p>
    <w:p>
      <w:pPr>
        <w:pStyle w:val="BodyText"/>
        <w:spacing w:line="240" w:lineRule="auto" w:before="19"/>
        <w:ind w:left="441" w:right="98"/>
        <w:jc w:val="left"/>
      </w:pPr>
      <w:r>
        <w:rPr/>
        <w:t>本公司成为金融工具合同的一方时，确认为一项金融资产或金融负债。</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1" w:firstLine="288"/>
        <w:jc w:val="both"/>
      </w:pPr>
      <w:r>
        <w:rPr>
          <w:spacing w:val="-1"/>
        </w:rPr>
        <w:t>本公司金融资产或金融负债初始确认按公允价值计量。后续计量则分类进行处理：以公允价值计量且其变动计入当期损</w:t>
      </w:r>
      <w:r>
        <w:rPr/>
        <w:t> </w:t>
      </w:r>
      <w:r>
        <w:rPr>
          <w:spacing w:val="-2"/>
        </w:rPr>
        <w:t>益的金融资产、可供出售金融资产及以公允价值计量且其变动计入当期损益的金融负债按公允价值计量；财务担保合同及以</w:t>
      </w:r>
      <w:r>
        <w:rPr>
          <w:spacing w:val="-64"/>
        </w:rPr>
        <w:t> </w:t>
      </w:r>
      <w:r>
        <w:rPr>
          <w:spacing w:val="-64"/>
        </w:rPr>
      </w:r>
      <w:r>
        <w:rPr>
          <w:spacing w:val="-2"/>
        </w:rPr>
        <w:t>低于市场利率贷款的贷款承诺，在初始确认后按照《企业会计准则第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w:t>
      </w:r>
    </w:p>
    <w:p>
      <w:pPr>
        <w:pStyle w:val="BodyText"/>
        <w:spacing w:line="300" w:lineRule="auto"/>
        <w:ind w:right="98"/>
        <w:jc w:val="left"/>
      </w:pPr>
      <w:r>
        <w:rPr>
          <w:spacing w:val="-2"/>
        </w:rPr>
        <w:t>《企业会计准则第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收入》的原则确定的累计摊销额后的余额之中的较高者进行后续计量；持有到期投资、贷款和应收</w:t>
      </w:r>
      <w:r>
        <w:rPr>
          <w:spacing w:val="-65"/>
        </w:rPr>
        <w:t> </w:t>
      </w:r>
      <w:r>
        <w:rPr>
          <w:spacing w:val="-65"/>
        </w:rPr>
      </w:r>
      <w:r>
        <w:rPr/>
        <w:t>款项以及其他金融负债按摊余成本计量。</w:t>
      </w:r>
    </w:p>
    <w:p>
      <w:pPr>
        <w:pStyle w:val="BodyText"/>
        <w:spacing w:line="316" w:lineRule="auto" w:before="31"/>
        <w:ind w:right="190" w:firstLine="288"/>
        <w:jc w:val="both"/>
      </w:pPr>
      <w:r>
        <w:rPr>
          <w:spacing w:val="-1"/>
        </w:rPr>
        <w:t>本公司金融资产或金融负债后续计量中公允价值变动形成的利得或损失，除与套期保值有关外，按照如下方法处理：①</w:t>
      </w:r>
      <w:r>
        <w:rPr/>
        <w:t> </w:t>
      </w:r>
      <w:r>
        <w:rPr>
          <w:spacing w:val="-2"/>
        </w:rPr>
        <w:t>以公允价值计量且其变动计入当期损益的金融资产或金融负债公允价值变动形成的利得或损失，计入公允价值变动损益；在</w:t>
      </w:r>
      <w:r>
        <w:rPr>
          <w:spacing w:val="-64"/>
        </w:rPr>
        <w:t> </w:t>
      </w:r>
      <w:r>
        <w:rPr>
          <w:spacing w:val="-64"/>
        </w:rPr>
      </w:r>
      <w:r>
        <w:rPr>
          <w:spacing w:val="-2"/>
        </w:rPr>
        <w:t>资产持有期间所取得的利息或现金股利，确认为投资收益；处置时，将实际收到的金额与初始入账金额之间的差额确认为投</w:t>
      </w:r>
      <w:r>
        <w:rPr>
          <w:spacing w:val="-65"/>
        </w:rPr>
        <w:t> </w:t>
      </w:r>
      <w:r>
        <w:rPr>
          <w:spacing w:val="-65"/>
        </w:rPr>
      </w:r>
      <w:r>
        <w:rPr>
          <w:spacing w:val="-2"/>
        </w:rPr>
        <w:t>资收益，同时调整公允价值变动损益。②可供出售金融资产的公允价值变动计入资本公积；持有期间按实际利率法计算的利</w:t>
      </w:r>
      <w:r>
        <w:rPr>
          <w:spacing w:val="-63"/>
        </w:rPr>
        <w:t> </w:t>
      </w:r>
      <w:r>
        <w:rPr>
          <w:spacing w:val="-63"/>
        </w:rPr>
      </w:r>
      <w:r>
        <w:rPr>
          <w:spacing w:val="-2"/>
        </w:rPr>
        <w:t>息，计入投资收益；可供出售权益工具投资的现金股利，于被投资单位宣告发放股利时计入投资收益；处置时，将实际收到</w:t>
      </w:r>
      <w:r>
        <w:rPr>
          <w:spacing w:val="-67"/>
        </w:rPr>
        <w:t> </w:t>
      </w:r>
      <w:r>
        <w:rPr>
          <w:spacing w:val="-67"/>
        </w:rPr>
      </w:r>
      <w:r>
        <w:rPr/>
        <w:t>的金额与账面价值扣除原直接计入资本公积的公允价值变动累计额之后的差额确认为投资收益。</w:t>
      </w:r>
    </w:p>
    <w:p>
      <w:pPr>
        <w:spacing w:line="240" w:lineRule="auto" w:before="11"/>
        <w:rPr>
          <w:rFonts w:ascii="宋体" w:hAnsi="宋体" w:cs="宋体" w:eastAsia="宋体" w:hint="default"/>
          <w:sz w:val="22"/>
          <w:szCs w:val="22"/>
        </w:rPr>
      </w:pPr>
    </w:p>
    <w:p>
      <w:pPr>
        <w:pStyle w:val="Heading3"/>
        <w:spacing w:line="240" w:lineRule="auto"/>
        <w:ind w:right="98"/>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2" w:firstLine="288"/>
        <w:jc w:val="both"/>
      </w:pPr>
      <w:r>
        <w:rPr>
          <w:spacing w:val="-1"/>
        </w:rPr>
        <w:t>本公司金融资产转移的确认依据：金融资产所有权上几乎所有的风险和报酬转移时，或既没有转移也没有保留金融资产</w:t>
      </w:r>
      <w:r>
        <w:rPr/>
        <w:t> 所有权上几乎所有的风险和报酬，但放弃了对该金融资产控制的，应当终止确认该项金融资产。</w:t>
      </w:r>
    </w:p>
    <w:p>
      <w:pPr>
        <w:pStyle w:val="BodyText"/>
        <w:spacing w:line="316" w:lineRule="auto" w:before="19"/>
        <w:ind w:right="190" w:firstLine="288"/>
        <w:jc w:val="both"/>
      </w:pPr>
      <w:r>
        <w:rPr>
          <w:spacing w:val="-1"/>
        </w:rPr>
        <w:t>本公司金融资产转移的计量：金融资产满足终止确认条件，应进行金融资产转移的计量，即将所转移金融资产的账面价</w:t>
      </w:r>
      <w:r>
        <w:rPr/>
        <w:t> 值与因转移而收到的对价和原直接计入资本公积的公允价值变动累计额之和的差额部分，计入当期损益。</w:t>
      </w:r>
    </w:p>
    <w:p>
      <w:pPr>
        <w:pStyle w:val="BodyText"/>
        <w:spacing w:line="316" w:lineRule="auto" w:before="19"/>
        <w:ind w:right="98" w:firstLine="288"/>
        <w:jc w:val="left"/>
      </w:pPr>
      <w:r>
        <w:rPr/>
        <w:t>金融资产部分转移满足终止确认条件的，将所转移金融资产整体的账面价值，在终止确认部分和未终止确认部分之间， </w:t>
      </w:r>
      <w:r>
        <w:rPr>
          <w:spacing w:val="-2"/>
        </w:rPr>
        <w:t>按照各自的相对公允价值进行分摊，并将终止确认部分的账面价值与终止确认部分的收到对价和原直接计入资本公积的公允</w:t>
      </w:r>
      <w:r>
        <w:rPr>
          <w:spacing w:val="-64"/>
        </w:rPr>
        <w:t> </w:t>
      </w:r>
      <w:r>
        <w:rPr>
          <w:spacing w:val="-64"/>
        </w:rPr>
      </w:r>
      <w:r>
        <w:rPr/>
        <w:t>价值变动累计额之和的差额部分，计入当期损益。</w:t>
      </w:r>
    </w:p>
    <w:p>
      <w:pPr>
        <w:spacing w:line="240" w:lineRule="auto" w:before="10"/>
        <w:rPr>
          <w:rFonts w:ascii="宋体" w:hAnsi="宋体" w:cs="宋体" w:eastAsia="宋体" w:hint="default"/>
          <w:sz w:val="22"/>
          <w:szCs w:val="22"/>
        </w:rPr>
      </w:pPr>
    </w:p>
    <w:p>
      <w:pPr>
        <w:pStyle w:val="Heading3"/>
        <w:spacing w:line="240" w:lineRule="auto"/>
        <w:ind w:right="98"/>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41" w:right="98"/>
        <w:jc w:val="left"/>
      </w:pPr>
      <w:r>
        <w:rPr/>
        <w:t>本公司金融负债终止确认条件：金融负债的现时义务全部或部分已经解除的，则应终止确认该金融负债或其一部分。</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2" w:firstLine="288"/>
        <w:jc w:val="both"/>
      </w:pPr>
      <w:r>
        <w:rPr>
          <w:spacing w:val="-1"/>
        </w:rPr>
        <w:t>本公司对金融资产和金融负债的公允价值的确认方法：如存在活跃市场的金融工具，以活跃市场中的报价确定其公允价</w:t>
      </w:r>
      <w:r>
        <w:rPr/>
        <w:t> 值；如不存在活跃市场的金融工具，采用估值技术确定其公允价值。</w:t>
      </w:r>
    </w:p>
    <w:p>
      <w:pPr>
        <w:pStyle w:val="BodyText"/>
        <w:spacing w:line="240" w:lineRule="auto" w:before="19"/>
        <w:ind w:left="441" w:right="98"/>
        <w:jc w:val="left"/>
      </w:pPr>
      <w:r>
        <w:rPr/>
        <w:t>估值技术包括参考熟悉情况并自愿交易的各方最近进行的市场交易中使用的价格、参照实质上相同的其他金融资产的当</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319" w:lineRule="auto" w:before="44"/>
        <w:ind w:right="0"/>
        <w:jc w:val="left"/>
      </w:pPr>
      <w:r>
        <w:rPr>
          <w:spacing w:val="-2"/>
        </w:rPr>
        <w:t>前公允价值、现金流量折现法等。采用估值技术时，优先最大程度使用市场参数，减少使用与本公司及其子公司特定相关的</w:t>
      </w:r>
      <w:r>
        <w:rPr>
          <w:spacing w:val="-64"/>
        </w:rPr>
        <w:t> </w:t>
      </w:r>
      <w:r>
        <w:rPr>
          <w:spacing w:val="-64"/>
        </w:rPr>
      </w:r>
      <w:r>
        <w:rPr/>
        <w:t>参数。</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288"/>
        <w:jc w:val="left"/>
      </w:pPr>
      <w:r>
        <w:rPr>
          <w:spacing w:val="-1"/>
        </w:rPr>
        <w:t>本公司在资产负债日对除以公允价值计量且变动计入当期损益的金融资产以外的金融资产的账面价值进行减值检查，当</w:t>
      </w:r>
      <w:r>
        <w:rPr/>
        <w:t> 客观证据表明金融资产发生减值，则应当对该金融资产进行减值测试，以根据测试结果计提减值准备。</w:t>
      </w:r>
    </w:p>
    <w:p>
      <w:pPr>
        <w:pStyle w:val="BodyText"/>
        <w:spacing w:line="307" w:lineRule="auto" w:before="19"/>
        <w:ind w:right="292" w:firstLine="288"/>
        <w:jc w:val="both"/>
      </w:pPr>
      <w:r>
        <w:rPr>
          <w:spacing w:val="-1"/>
        </w:rPr>
        <w:t>本公司对单项金额重大的金融资产单独进行减值测试；对单项金额不重大的金融资产，单独进行减值测试或包括在具有</w:t>
      </w:r>
      <w:r>
        <w:rPr/>
        <w:t> 类似信用风险特征的金融资产组合中进行减值测试。单独测试未发生减值的金融资产</w:t>
      </w:r>
      <w:r>
        <w:rPr>
          <w:rFonts w:ascii="Times New Roman" w:hAnsi="Times New Roman" w:cs="Times New Roman" w:eastAsia="Times New Roman" w:hint="default"/>
        </w:rPr>
        <w:t>(</w:t>
      </w:r>
      <w:r>
        <w:rPr/>
        <w:t>包括单项金额重大和不重大的金融资 产</w:t>
      </w:r>
      <w:r>
        <w:rPr>
          <w:rFonts w:ascii="Times New Roman" w:hAnsi="Times New Roman" w:cs="Times New Roman" w:eastAsia="Times New Roman" w:hint="default"/>
        </w:rPr>
        <w:t>)</w:t>
      </w:r>
      <w:r>
        <w:rPr/>
        <w:t>，包括在具有类似信用风险特征的金融资产组合中再进行减值测试。已单项确认减值损失的金融资产，不包括在具有类 似信用风险特征的金融资产组合中进行减值测试。</w:t>
      </w:r>
    </w:p>
    <w:p>
      <w:pPr>
        <w:pStyle w:val="BodyText"/>
        <w:spacing w:line="319" w:lineRule="auto" w:before="26"/>
        <w:ind w:right="0" w:firstLine="288"/>
        <w:jc w:val="left"/>
      </w:pPr>
      <w:r>
        <w:rPr/>
        <w:t>持有至到期投资、贷款发生减值时，将其账面价值减记至预计未来现金流量现值，减记金额确认为减值损失，计入当期 损益。可供出售金融资产发生减值时，将原直接计入资本公积的因公允价值下降形成的累计损失予以转出并计入当期损益，</w:t>
      </w:r>
      <w:r>
        <w:rPr>
          <w:spacing w:val="-86"/>
        </w:rPr>
        <w:t> </w:t>
      </w:r>
      <w:r>
        <w:rPr>
          <w:spacing w:val="-86"/>
        </w:rPr>
      </w:r>
      <w:r>
        <w:rPr>
          <w:spacing w:val="-2"/>
        </w:rPr>
        <w:t>该转出的累计损失为该资产初始取得成本扣除已收回本金和已摊销金额、当前公允价值和原已计入损益的减值损失后的余额。</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0"/>
        <w:jc w:val="left"/>
      </w:pPr>
      <w:r>
        <w:rPr/>
        <w:t>尚未到期的持有至到期投资重分类为可供出售金融资产主要判断依据：</w:t>
      </w:r>
    </w:p>
    <w:p>
      <w:pPr>
        <w:pStyle w:val="BodyText"/>
        <w:spacing w:line="240" w:lineRule="auto" w:before="76"/>
        <w:ind w:left="441" w:right="0"/>
        <w:jc w:val="left"/>
      </w:pPr>
      <w:r>
        <w:rPr/>
        <w:t>①没有可利用的财务资源持续地为该金融资产投资提供资金支持，以使该金融资产投资持有至到期；</w:t>
      </w:r>
    </w:p>
    <w:p>
      <w:pPr>
        <w:pStyle w:val="BodyText"/>
        <w:spacing w:line="240" w:lineRule="auto" w:before="76"/>
        <w:ind w:left="441" w:right="0"/>
        <w:jc w:val="left"/>
      </w:pPr>
      <w:r>
        <w:rPr/>
        <w:t>②管理层没有意图持有至到期；</w:t>
      </w:r>
    </w:p>
    <w:p>
      <w:pPr>
        <w:pStyle w:val="BodyText"/>
        <w:spacing w:line="240" w:lineRule="auto" w:before="76"/>
        <w:ind w:left="441" w:right="0"/>
        <w:jc w:val="left"/>
      </w:pPr>
      <w:r>
        <w:rPr/>
        <w:t>③受法律、行政法规的限制或其他原因，难以将该金融资产持有至到期；</w:t>
      </w:r>
    </w:p>
    <w:p>
      <w:pPr>
        <w:pStyle w:val="BodyText"/>
        <w:spacing w:line="316" w:lineRule="auto" w:before="76"/>
        <w:ind w:left="441" w:right="2785"/>
        <w:jc w:val="left"/>
      </w:pPr>
      <w:r>
        <w:rPr/>
        <w:t>④其他表明本公司没有能力持有至到期。 重大的尚未到期的持有至到期投资重分类为可供出售金融资产需经董事会审批后决定。</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40" w:lineRule="auto"/>
        <w:ind w:left="0" w:right="296"/>
        <w:jc w:val="right"/>
      </w:pPr>
      <w:r>
        <w:rPr/>
        <w:pict>
          <v:shape style="position:absolute;margin-left:56.459999pt;margin-top:-18.528259pt;width:479.2pt;height:87.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54"/>
                    <w:gridCol w:w="4515"/>
                  </w:tblGrid>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pacing w:val="-2"/>
                            <w:sz w:val="18"/>
                            <w:szCs w:val="18"/>
                          </w:rPr>
                          <w:t>本公司根据公司经营规模、业务性质及客户结算状况等确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定单项金额重大的应收款项为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万元以上（含）的款项</w:t>
                        </w:r>
                      </w:p>
                    </w:tc>
                  </w:tr>
                  <w:tr>
                    <w:trPr>
                      <w:trHeight w:val="102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价值的差额计提坏账准备；经单独测试未发生减值的，以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账龄为信用风险特征根据账龄分析法计提坏账准备。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18" w:right="98" w:hanging="721"/>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02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5"/>
              <w:jc w:val="both"/>
              <w:rPr>
                <w:rFonts w:ascii="宋体" w:hAnsi="宋体" w:cs="宋体" w:eastAsia="宋体" w:hint="default"/>
                <w:sz w:val="18"/>
                <w:szCs w:val="18"/>
              </w:rPr>
            </w:pPr>
            <w:r>
              <w:rPr>
                <w:rFonts w:ascii="宋体" w:hAnsi="宋体" w:cs="宋体" w:eastAsia="宋体" w:hint="default"/>
                <w:sz w:val="18"/>
                <w:szCs w:val="18"/>
              </w:rPr>
              <w:t>单项金额不重大的应收款项但按 信用风险特征组合后该组合的风 险较大的应收款项的确认标准</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本公司根据公司经营规模、业务性质及客户结算状况等确定 单项金额不重大的应收款项为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万元以下，且账龄在三年以</w:t>
            </w:r>
            <w:r>
              <w:rPr>
                <w:rFonts w:ascii="宋体" w:hAnsi="宋体" w:cs="宋体" w:eastAsia="宋体" w:hint="default"/>
                <w:sz w:val="18"/>
                <w:szCs w:val="18"/>
              </w:rPr>
              <w:t> 上的款项</w:t>
            </w:r>
            <w:r>
              <w:rPr>
                <w:rFonts w:ascii="宋体" w:hAnsi="宋体" w:cs="宋体" w:eastAsia="宋体" w:hint="default"/>
                <w:spacing w:val="1"/>
                <w:sz w:val="18"/>
                <w:szCs w:val="18"/>
              </w:rPr>
              <w:t> </w:t>
            </w:r>
            <w:r>
              <w:rPr>
                <w:rFonts w:ascii="宋体" w:hAnsi="宋体" w:cs="宋体" w:eastAsia="宋体" w:hint="default"/>
                <w:sz w:val="18"/>
                <w:szCs w:val="18"/>
              </w:rPr>
              <w:t>。</w:t>
            </w:r>
          </w:p>
        </w:tc>
      </w:tr>
    </w:tbl>
    <w:p>
      <w:pPr>
        <w:pStyle w:val="BodyText"/>
        <w:spacing w:line="240" w:lineRule="auto" w:before="49"/>
        <w:ind w:right="0"/>
        <w:jc w:val="left"/>
      </w:pPr>
      <w:r>
        <w:rPr/>
        <w:t>组合中，采用账龄分析法计提坏账准备的</w:t>
      </w:r>
    </w:p>
    <w:p>
      <w:pPr>
        <w:pStyle w:val="BodyText"/>
        <w:spacing w:line="240" w:lineRule="auto" w:before="1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84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4"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有证据表明应单独测试计提减值准备的单项金额虽不重大的应收款项。</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单独进行减值测试，如果客观证据表明其发生了减值的，根据其未来现金流量 低于其账面价值的差额确认资产减值损失。</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2"/>
        <w:jc w:val="left"/>
      </w:pPr>
      <w:r>
        <w:rPr>
          <w:spacing w:val="-2"/>
        </w:rPr>
        <w:t>本公司存货是指企业在日常活动中持有以备出售的产成品或商品、处在生产过程中的在产品、在生产过程中或提供劳务</w:t>
      </w:r>
      <w:r>
        <w:rPr/>
        <w:t> 过程中耗用的材料和物料等，包括库存商品、库存材料、低值易耗品、包装物、发出商品、在产品等。</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441" w:right="2645" w:hanging="289"/>
        <w:jc w:val="left"/>
      </w:pPr>
      <w:r>
        <w:rPr/>
        <w:t>计价方法：加权平均法 存货的取得按实际成本核算，库存商品、库存材料发出采用月末一次加权平均法核算。</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left="441" w:right="0"/>
        <w:jc w:val="left"/>
      </w:pPr>
      <w:r>
        <w:rPr/>
        <w:t>存货可变现净值系根据本公司在正常经营过程中，以估计售价减去估计完工成本及销售所必须的估计费用后的价值。 </w:t>
      </w:r>
      <w:r>
        <w:rPr>
          <w:spacing w:val="-1"/>
        </w:rPr>
        <w:t>存货跌价准备的计提方法：本公司于每年中期期末及年度终了在对存货进行全面盘点的基础上，对遭受损失，全部或部</w:t>
      </w:r>
    </w:p>
    <w:p>
      <w:pPr>
        <w:pStyle w:val="BodyText"/>
        <w:spacing w:line="316" w:lineRule="auto" w:before="17"/>
        <w:ind w:right="152"/>
        <w:jc w:val="both"/>
      </w:pPr>
      <w:r>
        <w:rPr>
          <w:spacing w:val="-2"/>
        </w:rPr>
        <w:t>分陈旧过时或销售价格低于成本的存货，根据存货成本与可变现净值孰低计量，按单个存货项目对同类存货项目的可变现净</w:t>
      </w:r>
      <w:r>
        <w:rPr>
          <w:spacing w:val="-64"/>
        </w:rPr>
        <w:t> </w:t>
      </w:r>
      <w:r>
        <w:rPr>
          <w:spacing w:val="-64"/>
        </w:rPr>
      </w:r>
      <w:r>
        <w:rPr>
          <w:spacing w:val="-2"/>
        </w:rPr>
        <w:t>值低于存货成本的差额计提存货跌价准备，并计入当期损益。确定可变现净值时，除考虑持有目的和资产负债表日该存货的</w:t>
      </w:r>
      <w:r>
        <w:rPr>
          <w:spacing w:val="-66"/>
        </w:rPr>
        <w:t> </w:t>
      </w:r>
      <w:r>
        <w:rPr>
          <w:spacing w:val="-66"/>
        </w:rPr>
      </w:r>
      <w:r>
        <w:rPr/>
        <w:t>价格与成本波动外，还需要考虑未来事项的影响。</w:t>
      </w:r>
    </w:p>
    <w:p>
      <w:pPr>
        <w:spacing w:after="0" w:line="316" w:lineRule="auto"/>
        <w:jc w:val="both"/>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盘存制度：永续盘存制</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974"/>
        <w:jc w:val="left"/>
      </w:pPr>
      <w:r>
        <w:rPr/>
        <w:t>低值易耗品 摊销方法：一次摊销法 包装物 摊销方法：一次摊销法</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1" w:firstLine="362"/>
        <w:jc w:val="both"/>
      </w:pPr>
      <w:r>
        <w:rPr>
          <w:spacing w:val="-2"/>
        </w:rPr>
        <w:t>同一控制下的企业合并形成的，合并方以支付现金、转让非现金资产、承担债务或发行权益性证券作为合并对价的，在</w:t>
      </w:r>
      <w:r>
        <w:rPr/>
        <w:t> </w:t>
      </w:r>
      <w:r>
        <w:rPr>
          <w:spacing w:val="-2"/>
        </w:rPr>
        <w:t>合并日按照取得被合并方所有者权益账面价值的份额作为其初始投资成本。长期股权投资初始投资成本与支付的合并对价的</w:t>
      </w:r>
      <w:r>
        <w:rPr>
          <w:spacing w:val="-63"/>
        </w:rPr>
        <w:t> </w:t>
      </w:r>
      <w:r>
        <w:rPr>
          <w:spacing w:val="-63"/>
        </w:rPr>
      </w:r>
      <w:r>
        <w:rPr/>
        <w:t>账面价值或发行股份的面值总额之间的差额调整资本公积；资本公积不足冲减的，调整留存收益。</w:t>
      </w:r>
      <w:r>
        <w:rPr>
          <w:spacing w:val="2"/>
        </w:rPr>
        <w:t> </w:t>
      </w:r>
      <w:r>
        <w:rPr/>
        <w:t>非同一控制下的企</w:t>
      </w:r>
      <w:r>
        <w:rPr/>
        <w:t> 业合并形成的，在购买日按照支付的合并对价的公允价值和各项直接相关费用作为其初始投资成本。</w:t>
      </w:r>
      <w:r>
        <w:rPr>
          <w:spacing w:val="2"/>
        </w:rPr>
        <w:t> </w:t>
      </w:r>
      <w:r>
        <w:rPr/>
        <w:t>除企业合并形成</w:t>
      </w:r>
      <w:r>
        <w:rPr/>
        <w:t> </w:t>
      </w:r>
      <w:r>
        <w:rPr>
          <w:spacing w:val="-2"/>
        </w:rPr>
        <w:t>以外的：以支付现金取得的，按照实际支付的购买价款作为其初始投资成本；以发行权益性证券取得的，按照发行权益性证</w:t>
      </w:r>
      <w:r>
        <w:rPr>
          <w:spacing w:val="-64"/>
        </w:rPr>
        <w:t> </w:t>
      </w:r>
      <w:r>
        <w:rPr>
          <w:spacing w:val="-64"/>
        </w:rPr>
      </w:r>
      <w:r>
        <w:rPr>
          <w:spacing w:val="-2"/>
        </w:rPr>
        <w:t>券的公允价值作为其初始投资成本；投资者投入的，按照投资合同或协议约定的价值作为其初始投资成本（合同或协议约定</w:t>
      </w:r>
      <w:r>
        <w:rPr>
          <w:spacing w:val="-66"/>
        </w:rPr>
        <w:t> </w:t>
      </w:r>
      <w:r>
        <w:rPr>
          <w:spacing w:val="-66"/>
        </w:rPr>
      </w:r>
      <w:r>
        <w:rPr>
          <w:spacing w:val="-10"/>
        </w:rPr>
        <w:t>价值不公允的除外）。</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0" w:firstLine="362"/>
        <w:jc w:val="both"/>
      </w:pPr>
      <w:r>
        <w:rPr>
          <w:spacing w:val="-2"/>
        </w:rPr>
        <w:t>对被投资单位能够实施控制的长期股权投资采用成本法核算，在编制合并财务报表时按照权益法进行调整；对不具有共</w:t>
      </w:r>
      <w:r>
        <w:rPr/>
        <w:t> </w:t>
      </w:r>
      <w:r>
        <w:rPr>
          <w:spacing w:val="-2"/>
        </w:rPr>
        <w:t>同控制或重大影响，并且在活跃市场中没有报价、公允价值不能可靠计量的长期股权投资，采用成本法核算；对具有共同控</w:t>
      </w:r>
      <w:r>
        <w:rPr>
          <w:spacing w:val="-64"/>
        </w:rPr>
        <w:t> </w:t>
      </w:r>
      <w:r>
        <w:rPr>
          <w:spacing w:val="-64"/>
        </w:rPr>
      </w:r>
      <w:r>
        <w:rPr/>
        <w:t>制或重大影响的长期股权投资，采用权益法核算。</w:t>
      </w:r>
      <w:r>
        <w:rPr>
          <w:spacing w:val="1"/>
        </w:rPr>
        <w:t> </w:t>
      </w:r>
      <w:r>
        <w:rPr/>
        <w:t>采用成本法核算的，除取得投资时实际支付的价款或对价中包含的</w:t>
      </w:r>
      <w:r>
        <w:rPr/>
        <w:t> </w:t>
      </w:r>
      <w:r>
        <w:rPr>
          <w:spacing w:val="-2"/>
        </w:rPr>
        <w:t>已宣告尚未发放的现金股利或利润外，在被投资单位宣告发放现金股利时确认投资收益；采用权益法核算的，以取得被投资</w:t>
      </w:r>
      <w:r>
        <w:rPr>
          <w:spacing w:val="-63"/>
        </w:rPr>
        <w:t> </w:t>
      </w:r>
      <w:r>
        <w:rPr>
          <w:spacing w:val="-63"/>
        </w:rPr>
      </w:r>
      <w:r>
        <w:rPr>
          <w:spacing w:val="-2"/>
        </w:rPr>
        <w:t>单位股权后发生的净损益为基础，在各会计期末按应分享或应分担的被投资单位实现的净利润或发生的净亏损的份额，确认</w:t>
      </w:r>
      <w:r>
        <w:rPr>
          <w:spacing w:val="-63"/>
        </w:rPr>
        <w:t> </w:t>
      </w:r>
      <w:r>
        <w:rPr>
          <w:spacing w:val="-63"/>
        </w:rPr>
      </w:r>
      <w:r>
        <w:rPr>
          <w:spacing w:val="-2"/>
        </w:rPr>
        <w:t>投资收益，并调整长期股权投资的账面价值。处置股权投资时，将投资的账面价值与实际取得价款的差额，作为当期投资收</w:t>
      </w:r>
      <w:r>
        <w:rPr>
          <w:spacing w:val="-65"/>
        </w:rPr>
        <w:t> </w:t>
      </w:r>
      <w:r>
        <w:rPr>
          <w:spacing w:val="-65"/>
        </w:rPr>
      </w:r>
      <w:r>
        <w:rPr/>
        <w:t>益。</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52" w:firstLine="362"/>
        <w:jc w:val="both"/>
      </w:pPr>
      <w:r>
        <w:rPr>
          <w:spacing w:val="-2"/>
        </w:rPr>
        <w:t>按照合同约定，与被投资单位相关的重要财务和经营决策需要分享控制权的投资方一致同意的，认定为共同控制；对被</w:t>
      </w:r>
      <w:r>
        <w:rPr/>
        <w:t> </w:t>
      </w:r>
      <w:r>
        <w:rPr>
          <w:spacing w:val="-2"/>
        </w:rPr>
        <w:t>投资单位的财务和经营政策有参与决策的权力，但并不能够控制或者与其他方一起共同控制这些政策的制定的，认定为重大</w:t>
      </w:r>
      <w:r>
        <w:rPr>
          <w:spacing w:val="-64"/>
        </w:rPr>
        <w:t> </w:t>
      </w:r>
      <w:r>
        <w:rPr>
          <w:spacing w:val="-64"/>
        </w:rPr>
      </w:r>
      <w:r>
        <w:rPr/>
        <w:t>影响。</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288"/>
        <w:jc w:val="both"/>
      </w:pPr>
      <w:r>
        <w:rPr>
          <w:spacing w:val="-1"/>
        </w:rPr>
        <w:t>资产负债表日对长期股权投资逐项进行检查，判断长期股权投资是否存在可能发生减值的迹象。如果存在被投资单位经</w:t>
      </w:r>
      <w:r>
        <w:rPr/>
        <w:t> </w:t>
      </w:r>
      <w:r>
        <w:rPr>
          <w:spacing w:val="-2"/>
        </w:rPr>
        <w:t>营状况恶化等减值迹象的，则估计其可收回金额。可收回金额的计量结果表明，长期股权投资的可收回金额低于其账面价值</w:t>
      </w:r>
      <w:r>
        <w:rPr>
          <w:spacing w:val="-63"/>
        </w:rPr>
        <w:t> </w:t>
      </w:r>
      <w:r>
        <w:rPr>
          <w:spacing w:val="-63"/>
        </w:rPr>
      </w:r>
      <w:r>
        <w:rPr>
          <w:spacing w:val="-2"/>
        </w:rPr>
        <w:t>的，将长期股权投资的账面价值减记至可收回金额，减记的金额确认为资产减值损失，计入当期损益，同时计提相应的长期</w:t>
      </w:r>
    </w:p>
    <w:p>
      <w:pPr>
        <w:spacing w:after="0" w:line="316" w:lineRule="auto"/>
        <w:jc w:val="both"/>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投资减值准备。长期投资减值损失一经确认，在以后会计期间不再转回。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41" w:right="3545"/>
        <w:jc w:val="left"/>
      </w:pPr>
      <w:r>
        <w:rPr/>
        <w:t>投资性房地产，是指为赚取租金或资本增值，或两者兼有而持有的房地产。 投资性房地产按照成本进行初始计量：</w:t>
      </w:r>
    </w:p>
    <w:p>
      <w:pPr>
        <w:pStyle w:val="BodyText"/>
        <w:spacing w:line="240" w:lineRule="auto" w:before="19"/>
        <w:ind w:right="0"/>
        <w:jc w:val="left"/>
      </w:pPr>
      <w:r>
        <w:rPr/>
        <w:t>（</w:t>
      </w:r>
      <w:r>
        <w:rPr>
          <w:rFonts w:ascii="Times New Roman" w:hAnsi="Times New Roman" w:cs="Times New Roman" w:eastAsia="Times New Roman" w:hint="default"/>
        </w:rPr>
        <w:t>1</w:t>
      </w:r>
      <w:r>
        <w:rPr/>
        <w:t>）外购投资性房地产的成本，包括购买价款、相关税费和可直接归属于该资产的其他支出。</w:t>
      </w:r>
    </w:p>
    <w:p>
      <w:pPr>
        <w:pStyle w:val="BodyText"/>
        <w:spacing w:line="240" w:lineRule="auto" w:before="63"/>
        <w:ind w:right="0"/>
        <w:jc w:val="left"/>
      </w:pPr>
      <w:r>
        <w:rPr/>
        <w:t>（</w:t>
      </w:r>
      <w:r>
        <w:rPr>
          <w:rFonts w:ascii="Times New Roman" w:hAnsi="Times New Roman" w:cs="Times New Roman" w:eastAsia="Times New Roman" w:hint="default"/>
        </w:rPr>
        <w:t>2</w:t>
      </w:r>
      <w:r>
        <w:rPr/>
        <w:t>）自行建造投资性房地产的成本，由建造该项资产达到预定可使用状态前所发生的必要支出构成。</w:t>
      </w:r>
    </w:p>
    <w:p>
      <w:pPr>
        <w:pStyle w:val="BodyText"/>
        <w:spacing w:line="300" w:lineRule="auto" w:before="63"/>
        <w:ind w:left="441" w:right="3744" w:hanging="289"/>
        <w:jc w:val="left"/>
      </w:pPr>
      <w:r>
        <w:rPr/>
        <w:t>（</w:t>
      </w:r>
      <w:r>
        <w:rPr>
          <w:rFonts w:ascii="Times New Roman" w:hAnsi="Times New Roman" w:cs="Times New Roman" w:eastAsia="Times New Roman" w:hint="default"/>
        </w:rPr>
        <w:t>3</w:t>
      </w:r>
      <w:r>
        <w:rPr/>
        <w:t>）以其他方式取得的投资性房地产成本，按照相关会计准则的规定确定。 后续计量</w:t>
      </w:r>
    </w:p>
    <w:p>
      <w:pPr>
        <w:pStyle w:val="BodyText"/>
        <w:spacing w:line="316" w:lineRule="auto" w:before="31"/>
        <w:ind w:right="0" w:firstLine="288"/>
        <w:jc w:val="left"/>
      </w:pPr>
      <w:r>
        <w:rPr>
          <w:spacing w:val="-1"/>
        </w:rPr>
        <w:t>与投资性房地产有关的后续支出，如与该投资性房地产有关的经济利益很可能流入企业且该投资性房地产的成本能够可</w:t>
      </w:r>
      <w:r>
        <w:rPr/>
        <w:t> 靠地计量，则计入投资性房地产成本；否则在发生时计入当期损益。</w:t>
      </w:r>
    </w:p>
    <w:p>
      <w:pPr>
        <w:pStyle w:val="BodyText"/>
        <w:spacing w:line="319" w:lineRule="auto" w:before="19"/>
        <w:ind w:left="441" w:right="4265"/>
        <w:jc w:val="left"/>
      </w:pPr>
      <w:r>
        <w:rPr/>
        <w:t>公司在资产负债表日采用成本模式对投资性房地产进行后续计量。 折旧及减值准备</w:t>
      </w:r>
    </w:p>
    <w:p>
      <w:pPr>
        <w:pStyle w:val="BodyText"/>
        <w:spacing w:line="240" w:lineRule="auto" w:before="17"/>
        <w:ind w:left="441" w:right="0"/>
        <w:jc w:val="left"/>
      </w:pPr>
      <w:r>
        <w:rPr/>
        <w:t>比照固定资产的折旧和减值准备执行。</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2"/>
        <w:jc w:val="left"/>
      </w:pPr>
      <w:r>
        <w:rPr>
          <w:spacing w:val="-6"/>
        </w:rPr>
        <w:t>本公司固定资产系使用寿命超过一个会计年度，为生产商品、提供劳务、出租或经营管理所持有的房屋、建筑物、机器、</w:t>
      </w:r>
      <w:r>
        <w:rPr/>
        <w:t> 机械、运输工具以及其他与生产、经营有关的设备、器具、工具等。</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固定资产折旧采用年限平均法。各类固定资产的折旧年限、估计残值率和年折旧率如下：</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1" w:firstLine="288"/>
        <w:jc w:val="both"/>
      </w:pPr>
      <w:r>
        <w:rPr>
          <w:spacing w:val="-1"/>
        </w:rPr>
        <w:t>资产负债表日判断固定资产是否存在可能发生减值的迹象。如果存在资产市价持续下跌，或技术陈旧、损坏、长期闲置</w:t>
      </w:r>
      <w:r>
        <w:rPr/>
        <w:t> </w:t>
      </w:r>
      <w:r>
        <w:rPr>
          <w:spacing w:val="-2"/>
        </w:rPr>
        <w:t>等减值迹象的，则估计其可收回金额。可收回金额的计量结果表明，固定资产的可收回金额低于其账面价值的，将固定资产</w:t>
      </w:r>
      <w:r>
        <w:rPr>
          <w:spacing w:val="-65"/>
        </w:rPr>
        <w:t> </w:t>
      </w:r>
      <w:r>
        <w:rPr>
          <w:spacing w:val="-65"/>
        </w:rPr>
      </w:r>
      <w:r>
        <w:rPr>
          <w:spacing w:val="-2"/>
        </w:rPr>
        <w:t>的账面价值减记至可收回金额，减记的金额确认为资产减值损失，计入当期损益，同时计提相应的固定资产减值准备。固定</w:t>
      </w:r>
      <w:r>
        <w:rPr>
          <w:spacing w:val="-64"/>
        </w:rPr>
        <w:t> </w:t>
      </w:r>
      <w:r>
        <w:rPr>
          <w:spacing w:val="-64"/>
        </w:rPr>
      </w:r>
      <w:r>
        <w:rPr/>
        <w:t>资产减值损失一经确认，在以后会计期间不再转回。</w:t>
      </w:r>
    </w:p>
    <w:p>
      <w:pPr>
        <w:spacing w:after="0" w:line="316" w:lineRule="auto"/>
        <w:jc w:val="both"/>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在建工程包括施工前期准备、正在施工中的建筑工程、安装工程、技术改造工程和大修理工程等。</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52" w:firstLine="362"/>
        <w:jc w:val="both"/>
      </w:pPr>
      <w:r>
        <w:rPr>
          <w:spacing w:val="-2"/>
        </w:rPr>
        <w:t>在建工程按照实际发生的支出分项目核算，并在工程达到预定可使用状态时结转为固定资产。与在建工程有关的借款费</w:t>
      </w:r>
      <w:r>
        <w:rPr/>
        <w:t> </w:t>
      </w:r>
      <w:r>
        <w:rPr>
          <w:spacing w:val="-2"/>
        </w:rPr>
        <w:t>用（包括借款利息、溢折价摊销、汇兑损益等），在相关工程达到预定可使用状态前的计入工程成本，在相关工程达到预定</w:t>
      </w:r>
      <w:r>
        <w:rPr>
          <w:spacing w:val="-72"/>
        </w:rPr>
        <w:t> </w:t>
      </w:r>
      <w:r>
        <w:rPr>
          <w:spacing w:val="-72"/>
        </w:rPr>
      </w:r>
      <w:r>
        <w:rPr/>
        <w:t>可使用状态后的计入当期财务费用。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51" w:firstLine="288"/>
        <w:jc w:val="both"/>
      </w:pPr>
      <w:r>
        <w:rPr>
          <w:spacing w:val="-1"/>
        </w:rPr>
        <w:t>资产负债表日对在建工程进行全面检查，判断在建工程是否存在可能发生减值的迹象。如果存在在建工程长期停建并且</w:t>
      </w:r>
      <w:r>
        <w:rPr/>
        <w:t> 预计在未来</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2"/>
        </w:rPr>
        <w:t>年内不会重新开工或者所建项目在性能上、技术上已经落后并且所带来的经济效益具有很大的不确定性等减值</w:t>
      </w:r>
      <w:r>
        <w:rPr>
          <w:spacing w:val="-87"/>
        </w:rPr>
        <w:t> </w:t>
      </w:r>
      <w:r>
        <w:rPr>
          <w:spacing w:val="-87"/>
        </w:rPr>
      </w:r>
      <w:r>
        <w:rPr>
          <w:spacing w:val="-2"/>
        </w:rPr>
        <w:t>迹象的，则估计其可收回金额。可收回金额的计量结果表明，在建工程的可收回金额低于其账面价值的，将在建工程的账面</w:t>
      </w:r>
      <w:r>
        <w:rPr>
          <w:spacing w:val="-65"/>
        </w:rPr>
        <w:t> </w:t>
      </w:r>
      <w:r>
        <w:rPr>
          <w:spacing w:val="-65"/>
        </w:rPr>
      </w:r>
      <w:r>
        <w:rPr>
          <w:spacing w:val="-2"/>
        </w:rPr>
        <w:t>价值减记至可收回金额，减记的金额确认为资产减值损失，计入当期损益，同时计提相应的在建工程减值准备。在建工程减</w:t>
      </w:r>
      <w:r>
        <w:rPr>
          <w:spacing w:val="-65"/>
        </w:rPr>
        <w:t> </w:t>
      </w:r>
      <w:r>
        <w:rPr>
          <w:spacing w:val="-65"/>
        </w:rPr>
      </w:r>
      <w:r>
        <w:rPr/>
        <w:t>值损失一经确认，在以后会计期间不再转回。</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公司发生的借款费用，可直接归属于符合资本化条件的资产的购建或者生产的，予以资本化，计入相关资产成本；其他借款</w:t>
      </w:r>
      <w:r>
        <w:rPr>
          <w:spacing w:val="-64"/>
        </w:rPr>
        <w:t> </w:t>
      </w:r>
      <w:r>
        <w:rPr>
          <w:spacing w:val="-64"/>
        </w:rPr>
      </w:r>
      <w:r>
        <w:rPr/>
        <w:t>费用，在发生时确认为费用，计入当期损益。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2" w:firstLine="288"/>
        <w:jc w:val="both"/>
      </w:pP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为使资产达到预定可 使用或可销售状态所必要的购建或者生产活动已经开始。</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230" w:firstLine="288"/>
        <w:jc w:val="both"/>
      </w:pP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个月，暂停借款费用的资本 化；中断期间发生的借款费用确认为当期费用，直至资产的购建或者生产活动重新开始。</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2" w:firstLine="288"/>
        <w:jc w:val="both"/>
      </w:pPr>
      <w:r>
        <w:rPr>
          <w:spacing w:val="-1"/>
        </w:rPr>
        <w:t>为购建或者生产符合资本化条件的资产而借入专门借款的，以专门借款当期实际发生的利息费用（包括按照实际利率法</w:t>
      </w:r>
      <w:r>
        <w:rPr/>
        <w:t> </w:t>
      </w:r>
      <w:r>
        <w:rPr>
          <w:spacing w:val="-2"/>
        </w:rPr>
        <w:t>确定的折价或溢价的摊销），减去将尚未动用的借款资金存入银行取得的利息收入或进行暂时性投资取得的投资收益后的金</w:t>
      </w:r>
    </w:p>
    <w:p>
      <w:pPr>
        <w:spacing w:after="0" w:line="316" w:lineRule="auto"/>
        <w:jc w:val="both"/>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pStyle w:val="BodyText"/>
        <w:spacing w:line="319" w:lineRule="auto" w:before="44"/>
        <w:ind w:right="0"/>
        <w:jc w:val="left"/>
      </w:pPr>
      <w:r>
        <w:rPr>
          <w:spacing w:val="-2"/>
        </w:rPr>
        <w:t>额，确定应予资本化的利息金额；为购建或者生产符合资本化条件的资产占用了一般借款的，根据累计资产支出超过专门借</w:t>
      </w:r>
      <w:r>
        <w:rPr>
          <w:spacing w:val="-63"/>
        </w:rPr>
        <w:t> </w:t>
      </w:r>
      <w:r>
        <w:rPr>
          <w:spacing w:val="-63"/>
        </w:rPr>
      </w:r>
      <w:r>
        <w:rPr/>
        <w:t>款的资产支出加权平均数乘以占用一般借款的资本化率，计算确定一般借款应予资本化的利息金额。</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无形资产在取得时按照实际成本计价。</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288"/>
        <w:jc w:val="left"/>
      </w:pPr>
      <w:r>
        <w:rPr>
          <w:spacing w:val="-1"/>
        </w:rPr>
        <w:t>无形资产在取得时分析判断其使用寿命。使用寿命有限的无形资产，自无形资产可供使用时起在预计使用年限、合同规</w:t>
      </w:r>
      <w:r>
        <w:rPr/>
        <w:t> 定的受益年限和法律规定有效年限三者中最短者分期平均摊销。</w:t>
      </w: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bl>
    <w:p>
      <w:pPr>
        <w:spacing w:line="240" w:lineRule="auto" w:before="1"/>
        <w:rPr>
          <w:rFonts w:ascii="宋体" w:hAnsi="宋体" w:cs="宋体" w:eastAsia="宋体" w:hint="default"/>
          <w:sz w:val="20"/>
          <w:szCs w:val="20"/>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3" w:firstLine="271"/>
        <w:jc w:val="left"/>
      </w:pPr>
      <w:r>
        <w:rPr/>
        <w:t>无法预见无形资产为本公司带来的经济利益期限的，视为使用寿命不确定的无形资产，但每个会计期间，需对其使用寿 命进行复核，如果有证据表明其使用寿命有限，则转为按使用寿命有限的无形资产处理。</w:t>
      </w:r>
    </w:p>
    <w:p>
      <w:pPr>
        <w:pStyle w:val="BodyText"/>
        <w:spacing w:line="240" w:lineRule="auto" w:before="19"/>
        <w:ind w:left="424" w:right="0"/>
        <w:jc w:val="left"/>
      </w:pPr>
      <w:r>
        <w:rPr/>
        <w:t>使用寿命不确定的无形资产不摊销。</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期末检查各项无形资产预计给本公司带来未来经济利益的能力，当存在以下情形之一时：</w:t>
      </w:r>
    </w:p>
    <w:p>
      <w:pPr>
        <w:pStyle w:val="BodyText"/>
        <w:spacing w:line="240" w:lineRule="auto" w:before="76"/>
        <w:ind w:right="0"/>
        <w:jc w:val="both"/>
      </w:pPr>
      <w:r>
        <w:rPr/>
        <w:t>①某项无形资产已被其他新技术等所替代，使其为企业创造经济利益的能力受到重大不利影响；</w:t>
      </w:r>
    </w:p>
    <w:p>
      <w:pPr>
        <w:pStyle w:val="BodyText"/>
        <w:spacing w:line="240" w:lineRule="auto" w:before="76"/>
        <w:ind w:right="0"/>
        <w:jc w:val="both"/>
      </w:pPr>
      <w:r>
        <w:rPr/>
        <w:t>②某项无形资产的市价在当期大幅下跌，在剩余摊销年限内预期不会恢复；</w:t>
      </w:r>
    </w:p>
    <w:p>
      <w:pPr>
        <w:pStyle w:val="BodyText"/>
        <w:spacing w:line="240" w:lineRule="auto" w:before="76"/>
        <w:ind w:right="0"/>
        <w:jc w:val="both"/>
      </w:pPr>
      <w:r>
        <w:rPr/>
        <w:t>③某项无形资产已超过法律保护期限，但仍然具有部分使用价值等减值迹象的；</w:t>
      </w:r>
    </w:p>
    <w:p>
      <w:pPr>
        <w:pStyle w:val="BodyText"/>
        <w:spacing w:line="316" w:lineRule="auto" w:before="77"/>
        <w:ind w:right="150"/>
        <w:jc w:val="both"/>
      </w:pPr>
      <w:r>
        <w:rPr>
          <w:spacing w:val="-2"/>
        </w:rPr>
        <w:t>④其他足以证明某项无形资产实质上已发生了减值准备情形的情况，则估计其可收回金额。可收回金额的计量结果表明，无</w:t>
      </w:r>
      <w:r>
        <w:rPr>
          <w:spacing w:val="-63"/>
        </w:rPr>
        <w:t> </w:t>
      </w:r>
      <w:r>
        <w:rPr>
          <w:spacing w:val="-63"/>
        </w:rPr>
      </w:r>
      <w:r>
        <w:rPr>
          <w:spacing w:val="-2"/>
        </w:rPr>
        <w:t>形资产的可收回金额低于其账面价值的，将无形资产的账面价值减记至可收回金额，减记的金额确认为资产减值损失，计入</w:t>
      </w:r>
      <w:r>
        <w:rPr>
          <w:spacing w:val="-63"/>
        </w:rPr>
        <w:t> </w:t>
      </w:r>
      <w:r>
        <w:rPr>
          <w:spacing w:val="-63"/>
        </w:rPr>
      </w:r>
      <w:r>
        <w:rPr/>
        <w:t>当期损益，同时计提相应的无形资产减值准备。无形资产减值损失一经确认，在以后会计期间不再转回。</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t>本公司内部研究开发项目的支出，区分研究阶段的支出与开发阶段的支出。研究是指为获取并理解新的科学或技术知识</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pStyle w:val="BodyText"/>
        <w:spacing w:line="319" w:lineRule="auto" w:before="44"/>
        <w:ind w:right="0"/>
        <w:jc w:val="left"/>
      </w:pPr>
      <w:r>
        <w:rPr>
          <w:spacing w:val="-2"/>
        </w:rPr>
        <w:t>而进行的独创性的有计划调查。开发是指在进行商业性生产或使用前，将研究成果或其他知识应用于某项计划或设计，以生</w:t>
      </w:r>
      <w:r>
        <w:rPr>
          <w:spacing w:val="-63"/>
        </w:rPr>
        <w:t> </w:t>
      </w:r>
      <w:r>
        <w:rPr>
          <w:spacing w:val="-63"/>
        </w:rPr>
      </w:r>
      <w:r>
        <w:rPr/>
        <w:t>产出新的或具有实质性改进的材料、装置、产品等。</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本公司内部研究开发项目研究阶段的支出在发生时计入当期损益；开发阶段的支出，仅在同时满足下列条件时，确认为</w:t>
      </w:r>
      <w:r>
        <w:rPr/>
        <w:t> 无形资产：</w:t>
      </w:r>
    </w:p>
    <w:p>
      <w:pPr>
        <w:pStyle w:val="BodyText"/>
        <w:spacing w:line="240" w:lineRule="auto" w:before="19"/>
        <w:ind w:right="0"/>
        <w:jc w:val="left"/>
      </w:pPr>
      <w:r>
        <w:rPr/>
        <w:t>①完成该无形资产以使其能够使用或出售在技术上具有可行性；</w:t>
      </w:r>
    </w:p>
    <w:p>
      <w:pPr>
        <w:pStyle w:val="BodyText"/>
        <w:spacing w:line="240" w:lineRule="auto" w:before="76"/>
        <w:ind w:right="0"/>
        <w:jc w:val="left"/>
      </w:pPr>
      <w:r>
        <w:rPr/>
        <w:t>②具有完成该无形资产并使用或出售的意图；</w:t>
      </w:r>
    </w:p>
    <w:p>
      <w:pPr>
        <w:pStyle w:val="BodyText"/>
        <w:spacing w:line="240" w:lineRule="auto" w:before="76"/>
        <w:ind w:right="0"/>
        <w:jc w:val="left"/>
      </w:pPr>
      <w:r>
        <w:rPr/>
        <w:t>③该无形资产能够带来经济利益；</w:t>
      </w:r>
    </w:p>
    <w:p>
      <w:pPr>
        <w:pStyle w:val="BodyText"/>
        <w:spacing w:line="240" w:lineRule="auto" w:before="76"/>
        <w:ind w:right="0"/>
        <w:jc w:val="left"/>
      </w:pPr>
      <w:r>
        <w:rPr/>
        <w:t>④有足够的技术、财务资源和其他资源支持，以完成该无形资产的开发，并有能力使用或出售该无形资产；</w:t>
      </w:r>
    </w:p>
    <w:p>
      <w:pPr>
        <w:pStyle w:val="BodyText"/>
        <w:spacing w:line="240" w:lineRule="auto" w:before="76"/>
        <w:ind w:right="0"/>
        <w:jc w:val="left"/>
      </w:pPr>
      <w:r>
        <w:rPr/>
        <w:t>⑤归属于该无形资产开发阶段的支出能够可靠地计量。</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jc w:val="left"/>
      </w:pPr>
      <w:r>
        <w:rPr>
          <w:rFonts w:ascii="Times New Roman" w:hAnsi="Times New Roman" w:cs="Times New Roman" w:eastAsia="Times New Roman" w:hint="default"/>
        </w:rPr>
        <w:t>A</w:t>
      </w:r>
      <w:r>
        <w:rPr/>
        <w:t>、长期待摊费用指应由本期和以后各期负担的分摊期限在一年以上的各项费用。 </w:t>
      </w:r>
      <w:r>
        <w:rPr>
          <w:rFonts w:ascii="Times New Roman" w:hAnsi="Times New Roman" w:cs="Times New Roman" w:eastAsia="Times New Roman" w:hint="default"/>
          <w:spacing w:val="-1"/>
        </w:rPr>
        <w:t>B</w:t>
      </w:r>
      <w:r>
        <w:rPr>
          <w:spacing w:val="-1"/>
        </w:rPr>
        <w:t>、长期待摊费用在取得时按照实际成本计价，开办费在发生时计入当期损益；经营性租赁固定资产的装修费用自生产经营</w:t>
      </w:r>
      <w:r>
        <w:rPr>
          <w:spacing w:val="-61"/>
        </w:rPr>
        <w:t> </w:t>
      </w:r>
      <w:r>
        <w:rPr>
          <w:spacing w:val="-61"/>
        </w:rPr>
      </w:r>
      <w:r>
        <w:rPr/>
        <w:t>当月起</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spacing w:val="-2"/>
        </w:rPr>
        <w:t>年内平均摊销，其他长期待摊费用按项目的受益期平均摊销。对于在以后会计期间已无法带来预期经济利益的长期</w:t>
      </w:r>
      <w:r>
        <w:rPr>
          <w:spacing w:val="-87"/>
        </w:rPr>
        <w:t> </w:t>
      </w:r>
      <w:r>
        <w:rPr>
          <w:spacing w:val="-87"/>
        </w:rPr>
      </w:r>
      <w:r>
        <w:rPr/>
        <w:t>待摊费用，本公司对其尚未摊销的摊余价值全部转入当期损益。</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0"/>
        <w:jc w:val="left"/>
      </w:pPr>
      <w:r>
        <w:rPr>
          <w:rFonts w:ascii="Times New Roman" w:hAnsi="Times New Roman" w:cs="Times New Roman" w:eastAsia="Times New Roman" w:hint="default"/>
          <w:spacing w:val="-1"/>
        </w:rPr>
        <w:t>A</w:t>
      </w:r>
      <w:r>
        <w:rPr>
          <w:spacing w:val="-1"/>
        </w:rPr>
        <w:t>、因对外提供担保、诉讼事项、产品质量保证、亏损合同等或有事项形成的义务成为公司承担的现实义务，履行该义务很</w:t>
      </w:r>
      <w:r>
        <w:rPr>
          <w:spacing w:val="-73"/>
        </w:rPr>
        <w:t> </w:t>
      </w:r>
      <w:r>
        <w:rPr>
          <w:spacing w:val="-73"/>
        </w:rPr>
      </w:r>
      <w:r>
        <w:rPr/>
        <w:t>可能导致经济利益流出公司，且该义务的金额能够可靠的计量时，公司将该项义务确认为预计负债。 </w:t>
      </w:r>
      <w:r>
        <w:rPr>
          <w:rFonts w:ascii="Times New Roman" w:hAnsi="Times New Roman" w:cs="Times New Roman" w:eastAsia="Times New Roman" w:hint="default"/>
          <w:spacing w:val="-1"/>
        </w:rPr>
        <w:t>B</w:t>
      </w:r>
      <w:r>
        <w:rPr>
          <w:spacing w:val="-1"/>
        </w:rPr>
        <w:t>、公司按照履行相关现实义务所需支出的最佳估计数对预计负债进行初始计量，并在资产负债表日对预计负债的账面价值</w:t>
      </w:r>
      <w:r>
        <w:rPr>
          <w:spacing w:val="-61"/>
        </w:rPr>
        <w:t> </w:t>
      </w:r>
      <w:r>
        <w:rPr>
          <w:spacing w:val="-61"/>
        </w:rPr>
      </w:r>
      <w:r>
        <w:rPr/>
        <w:t>进行复核。</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公司按照履行相关现实义务所需支出的最佳估计数对预计负债进行初始计量，并在资产负债表日对预计负债的账面价值进行</w:t>
      </w:r>
      <w:r>
        <w:rPr>
          <w:spacing w:val="-64"/>
        </w:rPr>
        <w:t> </w:t>
      </w:r>
      <w:r>
        <w:rPr>
          <w:spacing w:val="-64"/>
        </w:rPr>
      </w:r>
      <w:r>
        <w:rPr/>
        <w:t>复核。</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98"/>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62"/>
        <w:jc w:val="both"/>
      </w:pPr>
      <w:r>
        <w:rPr>
          <w:spacing w:val="-2"/>
        </w:rPr>
        <w:t>公司已将商品所有权上的主要风险和报酬转移给购买方；公司既没有保留与所有权相联系的继续管理权，也没有对已售</w:t>
      </w:r>
      <w:r>
        <w:rPr/>
        <w:t> </w:t>
      </w: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spacing w:line="240" w:lineRule="auto" w:before="10"/>
        <w:rPr>
          <w:rFonts w:ascii="宋体" w:hAnsi="宋体" w:cs="宋体" w:eastAsia="宋体" w:hint="default"/>
          <w:sz w:val="22"/>
          <w:szCs w:val="22"/>
        </w:rPr>
      </w:pPr>
    </w:p>
    <w:p>
      <w:pPr>
        <w:pStyle w:val="Heading3"/>
        <w:spacing w:line="240" w:lineRule="auto"/>
        <w:ind w:right="98"/>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5"/>
        <w:rPr>
          <w:rFonts w:ascii="宋体" w:hAnsi="宋体" w:cs="宋体" w:eastAsia="宋体" w:hint="default"/>
          <w:b/>
          <w:bCs/>
          <w:sz w:val="26"/>
          <w:szCs w:val="26"/>
        </w:rPr>
      </w:pPr>
    </w:p>
    <w:p>
      <w:pPr>
        <w:pStyle w:val="BodyText"/>
        <w:spacing w:line="307" w:lineRule="auto"/>
        <w:ind w:right="98" w:firstLine="288"/>
        <w:jc w:val="left"/>
      </w:pPr>
      <w:r>
        <w:rPr/>
        <w:t>与交易相关的经济利益很可能流入企业，收入的金额能够可靠地计量时。分别下列情况确定让渡资产使用权收入金额： </w:t>
      </w:r>
      <w:r>
        <w:rPr>
          <w:rFonts w:ascii="Times New Roman" w:hAnsi="Times New Roman" w:cs="Times New Roman" w:eastAsia="Times New Roman" w:hint="default"/>
        </w:rPr>
        <w:t>a</w:t>
      </w:r>
      <w:r>
        <w:rPr/>
        <w:t>．利息收入金额，按照他人使用本企业货币资金的时间和实际利率计算确定。 </w:t>
      </w:r>
      <w:r>
        <w:rPr>
          <w:rFonts w:ascii="Times New Roman" w:hAnsi="Times New Roman" w:cs="Times New Roman" w:eastAsia="Times New Roman" w:hint="default"/>
        </w:rPr>
        <w:t>b</w:t>
      </w:r>
      <w:r>
        <w:rPr/>
        <w:t>．使用费收入金额，按照有关合同或协议约定的收费时间和方法计算确定。 </w:t>
      </w:r>
      <w:r>
        <w:rPr>
          <w:rFonts w:ascii="Times New Roman" w:hAnsi="Times New Roman" w:cs="Times New Roman" w:eastAsia="Times New Roman" w:hint="default"/>
        </w:rPr>
        <w:t>c</w:t>
      </w:r>
      <w:r>
        <w:rPr/>
        <w:t>．出租物业收入，即对于经营租赁的租金，按照租赁期内合同总金额在租赁期内各个期间按照直线法确认为当期损益。</w:t>
      </w:r>
    </w:p>
    <w:p>
      <w:pPr>
        <w:spacing w:line="240" w:lineRule="auto" w:before="12"/>
        <w:rPr>
          <w:rFonts w:ascii="宋体" w:hAnsi="宋体" w:cs="宋体" w:eastAsia="宋体" w:hint="default"/>
          <w:sz w:val="21"/>
          <w:szCs w:val="21"/>
        </w:rPr>
      </w:pPr>
    </w:p>
    <w:p>
      <w:pPr>
        <w:pStyle w:val="Heading3"/>
        <w:spacing w:line="240" w:lineRule="auto"/>
        <w:ind w:right="98"/>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9" w:firstLine="288"/>
        <w:jc w:val="both"/>
      </w:pPr>
      <w:r>
        <w:rPr>
          <w:spacing w:val="-1"/>
        </w:rPr>
        <w:t>在同一会计年度内开始并完成的劳务，在完成劳务时确认收入；如劳务的开始和完成超过一个完整会计年度，在提供劳</w:t>
      </w:r>
      <w:r>
        <w:rPr/>
        <w:t> </w:t>
      </w:r>
      <w:r>
        <w:rPr>
          <w:spacing w:val="-2"/>
        </w:rPr>
        <w:t>务交易的结果能够可靠地估计（即劳务总收入及总成本能够可靠地计量，劳务的完成程度能够可靠地确定，相关的价款能够</w:t>
      </w:r>
      <w:r>
        <w:rPr>
          <w:spacing w:val="-63"/>
        </w:rPr>
        <w:t> </w:t>
      </w:r>
      <w:r>
        <w:rPr>
          <w:spacing w:val="-63"/>
        </w:rPr>
      </w:r>
      <w:r>
        <w:rPr/>
        <w:t>流入）时，于资产负债表日按完工百分比法确认相关的劳务收入。</w:t>
      </w:r>
    </w:p>
    <w:p>
      <w:pPr>
        <w:pStyle w:val="BodyText"/>
        <w:spacing w:line="300" w:lineRule="auto" w:before="19"/>
        <w:ind w:right="184" w:firstLine="288"/>
        <w:jc w:val="left"/>
      </w:pPr>
      <w:r>
        <w:rPr/>
        <w:t>在资产负债表日提供劳务交易结果不能够可靠估计的，分别下列情况处理：</w:t>
      </w:r>
      <w:r>
        <w:rPr>
          <w:rFonts w:ascii="Times New Roman" w:hAnsi="Times New Roman" w:cs="Times New Roman" w:eastAsia="Times New Roman" w:hint="default"/>
        </w:rPr>
        <w:t>a</w:t>
      </w:r>
      <w:r>
        <w:rPr/>
        <w:t>．已经发生的劳务成本预计能够得到补偿 的，按照已经发生的劳务成本金额确认提供劳务收入，并按相同金额结转劳务成本；</w:t>
      </w:r>
      <w:r>
        <w:rPr>
          <w:rFonts w:ascii="Times New Roman" w:hAnsi="Times New Roman" w:cs="Times New Roman" w:eastAsia="Times New Roman" w:hint="default"/>
        </w:rPr>
        <w:t>b</w:t>
      </w:r>
      <w:r>
        <w:rPr/>
        <w:t>．已经发生的劳务成本预计不能够得 到补偿的，应当将已经发生的劳务成本计入当期损益，不确认提供劳务收入。</w:t>
      </w:r>
    </w:p>
    <w:p>
      <w:pPr>
        <w:spacing w:line="240" w:lineRule="auto" w:before="10"/>
        <w:rPr>
          <w:rFonts w:ascii="宋体" w:hAnsi="宋体" w:cs="宋体" w:eastAsia="宋体" w:hint="default"/>
          <w:sz w:val="23"/>
          <w:szCs w:val="23"/>
        </w:rPr>
      </w:pPr>
    </w:p>
    <w:p>
      <w:pPr>
        <w:pStyle w:val="Heading3"/>
        <w:spacing w:line="240" w:lineRule="auto"/>
        <w:ind w:right="98"/>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
        <w:jc w:val="left"/>
      </w:pPr>
      <w:r>
        <w:rPr/>
        <w:t>定制软件收入确认</w:t>
      </w:r>
    </w:p>
    <w:p>
      <w:pPr>
        <w:pStyle w:val="BodyText"/>
        <w:spacing w:line="316" w:lineRule="auto" w:before="76"/>
        <w:ind w:right="98" w:firstLine="288"/>
        <w:jc w:val="left"/>
      </w:pPr>
      <w:r>
        <w:rPr>
          <w:spacing w:val="-1"/>
        </w:rPr>
        <w:t>①软件项目合同的总收入、项目的完成程度能够可靠地确定，与项目有关的价款能够流入，已经发生的成本和完成该项</w:t>
      </w:r>
      <w:r>
        <w:rPr/>
        <w:t> 软件将要发生的成本能够可靠地计量时，在资产负债表日按完工百分比法确认软件收入。</w:t>
      </w:r>
    </w:p>
    <w:p>
      <w:pPr>
        <w:spacing w:after="0" w:line="316"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319" w:lineRule="auto" w:before="44"/>
        <w:ind w:right="98" w:firstLine="288"/>
        <w:jc w:val="left"/>
      </w:pPr>
      <w:r>
        <w:rPr>
          <w:spacing w:val="-1"/>
        </w:rPr>
        <w:t>②对在资产负债表日劳务交易结果不能可靠估计的定制软件项目，如果已经发生的成本预计能够得到补偿，应按能够得</w:t>
      </w:r>
      <w:r>
        <w:rPr/>
        <w:t> 到补偿的收入金额确认收入，并按相同的金额结转成本；</w:t>
      </w:r>
      <w:r>
        <w:rPr>
          <w:spacing w:val="-17"/>
        </w:rPr>
        <w:t> </w:t>
      </w:r>
      <w:r>
        <w:rPr/>
        <w:t>如果已经发生的成本预计不能全部得到补偿，应按能够得到补偿</w:t>
      </w:r>
      <w:r>
        <w:rPr/>
        <w:t> </w:t>
      </w:r>
      <w:r>
        <w:rPr>
          <w:spacing w:val="-2"/>
        </w:rPr>
        <w:t>的收入金额确认收入，并按已发生的成本结转成本，确认的收入金额小于已经发生的成本的差额，确认为损失；如果已发生</w:t>
      </w:r>
      <w:r>
        <w:rPr>
          <w:spacing w:val="-64"/>
        </w:rPr>
        <w:t> </w:t>
      </w:r>
      <w:r>
        <w:rPr>
          <w:spacing w:val="-64"/>
        </w:rPr>
      </w:r>
      <w:r>
        <w:rPr/>
        <w:t>的成本全部不能得到补偿，则不应确认收入，但应将已发生的成本确认为费用。 软件服务收入确认：在资产负债表日提供劳务交易的结果能够可靠估计的，应当采用完工百分比法确认提供劳务收入。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98"/>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t>政府补助包括与资产相关的政府补助和与收益相关的政府补助。</w:t>
      </w:r>
    </w:p>
    <w:p>
      <w:pPr>
        <w:spacing w:line="240" w:lineRule="auto" w:before="0"/>
        <w:rPr>
          <w:rFonts w:ascii="宋体" w:hAnsi="宋体" w:cs="宋体" w:eastAsia="宋体" w:hint="default"/>
          <w:sz w:val="18"/>
          <w:szCs w:val="18"/>
        </w:rPr>
      </w:pPr>
    </w:p>
    <w:p>
      <w:pPr>
        <w:pStyle w:val="Heading3"/>
        <w:spacing w:line="240" w:lineRule="auto" w:before="121"/>
        <w:ind w:right="98"/>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288"/>
        <w:jc w:val="both"/>
      </w:pPr>
      <w:r>
        <w:rPr>
          <w:spacing w:val="-1"/>
        </w:rPr>
        <w:t>政府补助为货币性资产的，按照收到或应收的金额计量；政府补助为非货币性资产的，按照公允价值计量，公允价值不</w:t>
      </w:r>
      <w:r>
        <w:rPr/>
        <w:t> 能可靠取得的，按照名义金额计量。</w:t>
      </w:r>
    </w:p>
    <w:p>
      <w:pPr>
        <w:pStyle w:val="BodyText"/>
        <w:spacing w:line="316" w:lineRule="auto" w:before="19"/>
        <w:ind w:right="98" w:firstLine="288"/>
        <w:jc w:val="left"/>
      </w:pPr>
      <w:r>
        <w:rPr/>
        <w:t>与资产相关的政府补助，确认为递延收益，在相关资产使用寿命内平均分配，计入当期损益。与收益相关的政府补助， </w:t>
      </w:r>
      <w:r>
        <w:rPr>
          <w:spacing w:val="-2"/>
        </w:rPr>
        <w:t>用于补偿以后期间的相关费用或损失的，确认为递延收益，在确认相关费用的期间，计入当期损益；用于补偿以前的相关费</w:t>
      </w:r>
      <w:r>
        <w:rPr>
          <w:spacing w:val="-64"/>
        </w:rPr>
        <w:t> </w:t>
      </w:r>
      <w:r>
        <w:rPr>
          <w:spacing w:val="-64"/>
        </w:rPr>
      </w:r>
      <w:r>
        <w:rPr/>
        <w:t>用或损失的，直接计入当期损益。</w:t>
      </w:r>
    </w:p>
    <w:p>
      <w:pPr>
        <w:spacing w:line="240" w:lineRule="auto" w:before="10"/>
        <w:rPr>
          <w:rFonts w:ascii="宋体" w:hAnsi="宋体" w:cs="宋体" w:eastAsia="宋体" w:hint="default"/>
          <w:sz w:val="22"/>
          <w:szCs w:val="22"/>
        </w:rPr>
      </w:pPr>
    </w:p>
    <w:p>
      <w:pPr>
        <w:pStyle w:val="Heading3"/>
        <w:spacing w:line="240" w:lineRule="auto"/>
        <w:ind w:right="98"/>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91" w:firstLine="360"/>
        <w:jc w:val="both"/>
      </w:pPr>
      <w:r>
        <w:rPr/>
        <w:t>①</w:t>
      </w:r>
      <w:r>
        <w:rPr>
          <w:spacing w:val="1"/>
        </w:rPr>
        <w:t> </w:t>
      </w:r>
      <w:r>
        <w:rPr/>
        <w:t>本公司以很可能取得用来抵扣可抵扣暂时性差异的应纳税所得额为限，确认由可抵扣暂时性差异产生的递延所得税</w:t>
      </w:r>
      <w:r>
        <w:rPr/>
        <w:t> 资产。但是同时具有下列特征的交易中因资产或负债的初始确认所产生的递延所得税资产不予确认：</w:t>
      </w:r>
      <w:r>
        <w:rPr>
          <w:spacing w:val="-40"/>
        </w:rPr>
        <w:t> </w:t>
      </w:r>
      <w:r>
        <w:rPr>
          <w:rFonts w:ascii="Times New Roman" w:hAnsi="Times New Roman" w:cs="Times New Roman" w:eastAsia="Times New Roman" w:hint="default"/>
          <w:spacing w:val="-3"/>
        </w:rPr>
        <w:t>a</w:t>
      </w:r>
      <w:r>
        <w:rPr>
          <w:spacing w:val="-3"/>
        </w:rPr>
        <w:t>、该项交易不是企业</w:t>
      </w:r>
      <w:r>
        <w:rPr/>
        <w:t> 合并；</w:t>
      </w:r>
      <w:r>
        <w:rPr>
          <w:spacing w:val="-1"/>
        </w:rPr>
        <w:t> </w:t>
      </w:r>
      <w:r>
        <w:rPr>
          <w:rFonts w:ascii="Times New Roman" w:hAnsi="Times New Roman" w:cs="Times New Roman" w:eastAsia="Times New Roman" w:hint="default"/>
        </w:rPr>
        <w:t>b</w:t>
      </w: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p>
    <w:p>
      <w:pPr>
        <w:pStyle w:val="BodyText"/>
        <w:spacing w:line="312" w:lineRule="auto" w:before="43"/>
        <w:ind w:right="188" w:firstLine="360"/>
        <w:jc w:val="both"/>
      </w:pPr>
      <w:r>
        <w:rPr/>
        <w:t>②</w:t>
      </w:r>
      <w:r>
        <w:rPr>
          <w:spacing w:val="1"/>
        </w:rPr>
        <w:t> </w:t>
      </w:r>
      <w:r>
        <w:rPr/>
        <w:t>本公司对与子公司、联营公司及合营企业投资相关的可抵扣暂时性差异，同时满足下列条件的，确认相应的递延所</w:t>
      </w:r>
      <w:r>
        <w:rPr/>
        <w:t> 得税资产：</w:t>
      </w:r>
      <w:r>
        <w:rPr>
          <w:spacing w:val="-21"/>
        </w:rPr>
        <w:t> </w:t>
      </w:r>
      <w:r>
        <w:rPr>
          <w:rFonts w:ascii="Times New Roman" w:hAnsi="Times New Roman" w:cs="Times New Roman" w:eastAsia="Times New Roman" w:hint="default"/>
        </w:rPr>
        <w:t>a</w:t>
      </w:r>
      <w:r>
        <w:rPr/>
        <w:t>、暂时性差异在可预见的未来很可能转回；</w:t>
      </w:r>
      <w:r>
        <w:rPr>
          <w:spacing w:val="-21"/>
        </w:rPr>
        <w:t> </w:t>
      </w:r>
      <w:r>
        <w:rPr>
          <w:rFonts w:ascii="Times New Roman" w:hAnsi="Times New Roman" w:cs="Times New Roman" w:eastAsia="Times New Roman" w:hint="default"/>
        </w:rPr>
        <w:t>b</w:t>
      </w:r>
      <w:r>
        <w:rPr/>
        <w:t>、未来很可能获得用来抵扣暂时性差异的应纳税所得额。</w:t>
      </w:r>
      <w:r>
        <w:rPr>
          <w:spacing w:val="-21"/>
        </w:rPr>
        <w:t> </w:t>
      </w:r>
      <w:r>
        <w:rPr/>
        <w:t>③</w:t>
      </w:r>
      <w:r>
        <w:rPr>
          <w:spacing w:val="-8"/>
        </w:rPr>
        <w:t> </w:t>
      </w:r>
      <w:r>
        <w:rPr/>
        <w:t>本</w:t>
      </w:r>
      <w:r>
        <w:rPr/>
        <w:t> </w:t>
      </w:r>
      <w:r>
        <w:rPr>
          <w:spacing w:val="-2"/>
        </w:rPr>
        <w:t>公司对于能够结转以后年度的可抵扣亏损和税款抵减，以很可能获得用来抵扣可抵扣亏损和税款抵减的未来应纳税所得额为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spacing w:line="240" w:lineRule="auto" w:before="1"/>
        <w:rPr>
          <w:rFonts w:ascii="宋体" w:hAnsi="宋体" w:cs="宋体" w:eastAsia="宋体" w:hint="default"/>
          <w:sz w:val="23"/>
          <w:szCs w:val="23"/>
        </w:rPr>
      </w:pPr>
    </w:p>
    <w:p>
      <w:pPr>
        <w:pStyle w:val="Heading3"/>
        <w:spacing w:line="240" w:lineRule="auto"/>
        <w:ind w:right="98"/>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88" w:firstLine="360"/>
        <w:jc w:val="both"/>
      </w:pPr>
      <w:r>
        <w:rPr/>
        <w:t>除下列情况产生的递延所得税负债以外，本公司确认所有应纳税暂时性差异产生的递延所得税负债：</w:t>
      </w:r>
      <w:r>
        <w:rPr>
          <w:spacing w:val="-53"/>
        </w:rPr>
        <w:t> </w:t>
      </w:r>
      <w:r>
        <w:rPr/>
        <w:t>①</w:t>
      </w:r>
      <w:r>
        <w:rPr>
          <w:spacing w:val="-24"/>
        </w:rPr>
        <w:t> </w:t>
      </w:r>
      <w:r>
        <w:rPr/>
        <w:t>商誉的初始确</w:t>
      </w:r>
      <w:r>
        <w:rPr/>
        <w:t> 认；</w:t>
      </w:r>
      <w:r>
        <w:rPr>
          <w:spacing w:val="-22"/>
        </w:rPr>
        <w:t> </w:t>
      </w:r>
      <w:r>
        <w:rPr/>
        <w:t>②</w:t>
      </w:r>
      <w:r>
        <w:rPr>
          <w:spacing w:val="-9"/>
        </w:rPr>
        <w:t> </w:t>
      </w:r>
      <w:r>
        <w:rPr/>
        <w:t>同时满足具有下列特征的交易中产生的资产或负债的初始确认：</w:t>
      </w:r>
      <w:r>
        <w:rPr>
          <w:spacing w:val="-22"/>
        </w:rPr>
        <w:t> </w:t>
      </w:r>
      <w:r>
        <w:rPr>
          <w:rFonts w:ascii="Times New Roman" w:hAnsi="Times New Roman" w:cs="Times New Roman" w:eastAsia="Times New Roman" w:hint="default"/>
        </w:rPr>
        <w:t>a</w:t>
      </w:r>
      <w:r>
        <w:rPr/>
        <w:t>、该项交易不是企业合并；</w:t>
      </w:r>
      <w:r>
        <w:rPr>
          <w:spacing w:val="-23"/>
        </w:rPr>
        <w:t> </w:t>
      </w:r>
      <w:r>
        <w:rPr>
          <w:rFonts w:ascii="Times New Roman" w:hAnsi="Times New Roman" w:cs="Times New Roman" w:eastAsia="Times New Roman" w:hint="default"/>
        </w:rPr>
        <w:t>b</w:t>
      </w:r>
      <w:r>
        <w:rPr/>
        <w:t>、交易发生时既不 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 ③</w:t>
      </w:r>
      <w:r>
        <w:rPr>
          <w:spacing w:val="-23"/>
        </w:rPr>
        <w:t> </w:t>
      </w:r>
      <w:r>
        <w:rPr/>
        <w:t>本公司对与子公司、联营公司及合营企业投资产生相关的应纳税</w:t>
      </w:r>
      <w:r>
        <w:rPr/>
        <w:t> 暂时性差异，同时满足下列条件的： </w:t>
      </w:r>
      <w:r>
        <w:rPr>
          <w:rFonts w:ascii="Times New Roman" w:hAnsi="Times New Roman" w:cs="Times New Roman" w:eastAsia="Times New Roman" w:hint="default"/>
        </w:rPr>
        <w:t>a</w:t>
      </w:r>
      <w:r>
        <w:rPr/>
        <w:t>、投资企业能够控制暂时性差异的转回的时间；</w:t>
      </w:r>
      <w:r>
        <w:rPr>
          <w:spacing w:val="-70"/>
        </w:rPr>
        <w:t> </w:t>
      </w:r>
      <w:r>
        <w:rPr>
          <w:rFonts w:ascii="Times New Roman" w:hAnsi="Times New Roman" w:cs="Times New Roman" w:eastAsia="Times New Roman" w:hint="default"/>
        </w:rPr>
        <w:t>b</w:t>
      </w:r>
      <w:r>
        <w:rPr/>
        <w:t>、该暂时性差异在可预见的未来很 可能不会转回。</w:t>
      </w:r>
    </w:p>
    <w:p>
      <w:pPr>
        <w:spacing w:after="0" w:line="304"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98"/>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 w:firstLine="360"/>
        <w:jc w:val="both"/>
      </w:pPr>
      <w:r>
        <w:rPr>
          <w:spacing w:val="-4"/>
        </w:rPr>
        <w:t>①公司为承租人时，在租赁期内各个期间按照直线法将租金计入相关资产成本或确认为当期损益，发生的初始直接费用，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16" w:lineRule="auto" w:before="19"/>
        <w:ind w:right="190" w:firstLine="360"/>
        <w:jc w:val="both"/>
      </w:pPr>
      <w:r>
        <w:rPr>
          <w:spacing w:val="-5"/>
        </w:rPr>
        <w:t>②公司为出租人时，在租赁期内各个期间按照直线法将租金确认为当期损益，发生的初始直接费用，直接计入当期损益。</w:t>
      </w:r>
      <w:r>
        <w:rPr/>
        <w:t> 或有租金在实际发生时计入当期损益。</w:t>
      </w:r>
    </w:p>
    <w:p>
      <w:pPr>
        <w:spacing w:line="240" w:lineRule="auto" w:before="10"/>
        <w:rPr>
          <w:rFonts w:ascii="宋体" w:hAnsi="宋体" w:cs="宋体" w:eastAsia="宋体" w:hint="default"/>
          <w:sz w:val="22"/>
          <w:szCs w:val="22"/>
        </w:rPr>
      </w:pPr>
    </w:p>
    <w:p>
      <w:pPr>
        <w:pStyle w:val="Heading3"/>
        <w:spacing w:line="240" w:lineRule="auto"/>
        <w:ind w:right="98"/>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89" w:firstLine="360"/>
        <w:jc w:val="both"/>
      </w:pPr>
      <w:r>
        <w:rPr>
          <w:spacing w:val="-2"/>
        </w:rPr>
        <w:t>①公司为承租人时，在租赁期开始日，公司以租赁开始日租赁资产公允价值与最低租赁付款额现值中两者较低者作为租</w:t>
      </w:r>
      <w:r>
        <w:rPr/>
        <w:t> </w:t>
      </w:r>
      <w:r>
        <w:rPr>
          <w:spacing w:val="-2"/>
        </w:rPr>
        <w:t>入资产的入账价值，将最低租赁付款额作为长期应付款的入账价值，其差额为未确认融资费用，发生的初始直接费用，计入</w:t>
      </w:r>
      <w:r>
        <w:rPr>
          <w:spacing w:val="-63"/>
        </w:rPr>
        <w:t> </w:t>
      </w:r>
      <w:r>
        <w:rPr>
          <w:spacing w:val="-63"/>
        </w:rPr>
      </w:r>
      <w:r>
        <w:rPr/>
        <w:t>租赁资产价值。在租赁期各个期间，采用实际利率法计算确认当期的融资费用。</w:t>
      </w:r>
    </w:p>
    <w:p>
      <w:pPr>
        <w:pStyle w:val="BodyText"/>
        <w:spacing w:line="316" w:lineRule="auto" w:before="17"/>
        <w:ind w:right="192" w:firstLine="360"/>
        <w:jc w:val="both"/>
      </w:pPr>
      <w:r>
        <w:rPr>
          <w:spacing w:val="-2"/>
        </w:rPr>
        <w:t>②公司为出租人时，在租赁期开始日，公司以租赁开始日最低租赁收款额与初始直接费用之和作为应收融资租赁款的入</w:t>
      </w:r>
      <w:r>
        <w:rPr/>
        <w:t> </w:t>
      </w:r>
      <w:r>
        <w:rPr>
          <w:spacing w:val="-2"/>
        </w:rPr>
        <w:t>账价值，同时记录未担保余值；将最低租赁收款额、初始直接费用及未担保余值之和与其现值之和的差额确认为未实现融资</w:t>
      </w:r>
      <w:r>
        <w:rPr>
          <w:spacing w:val="-66"/>
        </w:rPr>
        <w:t> </w:t>
      </w:r>
      <w:r>
        <w:rPr>
          <w:spacing w:val="-66"/>
        </w:rPr>
      </w:r>
      <w:r>
        <w:rPr/>
        <w:t>收益。在租赁期各个期间，采用实际利率法计算确认当期的融资收入。</w:t>
      </w:r>
    </w:p>
    <w:p>
      <w:pPr>
        <w:spacing w:line="240" w:lineRule="auto" w:before="10"/>
        <w:rPr>
          <w:rFonts w:ascii="宋体" w:hAnsi="宋体" w:cs="宋体" w:eastAsia="宋体" w:hint="default"/>
          <w:sz w:val="22"/>
          <w:szCs w:val="22"/>
        </w:rPr>
      </w:pPr>
    </w:p>
    <w:p>
      <w:pPr>
        <w:pStyle w:val="Heading3"/>
        <w:spacing w:line="240" w:lineRule="auto"/>
        <w:ind w:right="98"/>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t>本报告期主要会计政策、会计估计是否变更</w:t>
      </w:r>
    </w:p>
    <w:p>
      <w:pPr>
        <w:pStyle w:val="BodyText"/>
        <w:spacing w:line="240" w:lineRule="auto" w:before="117"/>
        <w:ind w:right="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240" w:lineRule="auto" w:before="11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spacing w:line="547" w:lineRule="auto" w:before="117"/>
        <w:ind w:left="152" w:right="46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pacing w:val="-1"/>
          <w:sz w:val="21"/>
          <w:szCs w:val="21"/>
        </w:rPr>
        <w:t>34</w:t>
      </w:r>
      <w:r>
        <w:rPr>
          <w:rFonts w:ascii="宋体" w:hAnsi="宋体" w:cs="宋体" w:eastAsia="宋体" w:hint="default"/>
          <w:b/>
          <w:bCs/>
          <w:spacing w:val="-1"/>
          <w:sz w:val="21"/>
          <w:szCs w:val="21"/>
        </w:rPr>
        <w:t>、其他主要会计政策、会计估计和财务报表编制方法</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18"/>
          <w:szCs w:val="18"/>
        </w:rPr>
        <w:t>无</w:t>
      </w:r>
    </w:p>
    <w:p>
      <w:pPr>
        <w:pStyle w:val="Heading2"/>
        <w:spacing w:line="240" w:lineRule="auto" w:before="100"/>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应税增值额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应税营业收入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4"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49"/>
        <w:ind w:right="0"/>
        <w:jc w:val="left"/>
      </w:pPr>
      <w:r>
        <w:rPr/>
        <w:t>各分公司、分厂执行的所得税税率</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98"/>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441" w:right="185" w:hanging="289"/>
        <w:jc w:val="left"/>
      </w:pPr>
      <w:r>
        <w:rPr>
          <w:rFonts w:ascii="Times New Roman" w:hAnsi="Times New Roman" w:cs="Times New Roman" w:eastAsia="Times New Roman" w:hint="default"/>
        </w:rPr>
        <w:t>A</w:t>
      </w:r>
      <w:r>
        <w:rPr/>
        <w:t>、增值税及享受的税收优惠政策 本公司及子公司深圳市任网游科技发展有限公司（以下简称</w:t>
      </w:r>
      <w:r>
        <w:rPr>
          <w:rFonts w:ascii="Times New Roman" w:hAnsi="Times New Roman" w:cs="Times New Roman" w:eastAsia="Times New Roman" w:hint="default"/>
        </w:rPr>
        <w:t>“</w:t>
      </w:r>
      <w:r>
        <w:rPr/>
        <w:t>任网游公司</w:t>
      </w:r>
      <w:r>
        <w:rPr>
          <w:rFonts w:ascii="Times New Roman" w:hAnsi="Times New Roman" w:cs="Times New Roman" w:eastAsia="Times New Roman" w:hint="default"/>
        </w:rPr>
        <w:t>”</w:t>
      </w:r>
      <w:r>
        <w:rPr/>
        <w:t>）、深圳市任子行科技开发有限公司（以下简</w:t>
      </w:r>
    </w:p>
    <w:p>
      <w:pPr>
        <w:pStyle w:val="BodyText"/>
        <w:spacing w:line="300" w:lineRule="auto" w:before="13"/>
        <w:ind w:left="441" w:right="93" w:hanging="289"/>
        <w:jc w:val="left"/>
      </w:pPr>
      <w:r>
        <w:rPr/>
        <w:t>称</w:t>
      </w:r>
      <w:r>
        <w:rPr>
          <w:rFonts w:ascii="Times New Roman" w:hAnsi="Times New Roman" w:cs="Times New Roman" w:eastAsia="Times New Roman" w:hint="default"/>
        </w:rPr>
        <w:t>“</w:t>
      </w:r>
      <w:r>
        <w:rPr/>
        <w:t>任子行科技</w:t>
      </w:r>
      <w:r>
        <w:rPr>
          <w:rFonts w:ascii="Times New Roman" w:hAnsi="Times New Roman" w:cs="Times New Roman" w:eastAsia="Times New Roman" w:hint="default"/>
        </w:rPr>
        <w:t>”</w:t>
      </w:r>
      <w:r>
        <w:rPr/>
        <w:t>）、深圳市博海通讯技术有限公司（以下简称</w:t>
      </w:r>
      <w:r>
        <w:rPr>
          <w:rFonts w:ascii="Times New Roman" w:hAnsi="Times New Roman" w:cs="Times New Roman" w:eastAsia="Times New Roman" w:hint="default"/>
        </w:rPr>
        <w:t>“</w:t>
      </w:r>
      <w:r>
        <w:rPr/>
        <w:t>博海通讯</w:t>
      </w:r>
      <w:r>
        <w:rPr>
          <w:rFonts w:ascii="Times New Roman" w:hAnsi="Times New Roman" w:cs="Times New Roman" w:eastAsia="Times New Roman" w:hint="default"/>
        </w:rPr>
        <w:t>”</w:t>
      </w:r>
      <w:r>
        <w:rPr/>
        <w:t>）均为增值税一般纳税人，适用</w:t>
      </w:r>
      <w:r>
        <w:rPr>
          <w:spacing w:val="-19"/>
        </w:rPr>
        <w:t> </w:t>
      </w:r>
      <w:r>
        <w:rPr>
          <w:rFonts w:ascii="Times New Roman" w:hAnsi="Times New Roman" w:cs="Times New Roman" w:eastAsia="Times New Roman" w:hint="default"/>
        </w:rPr>
        <w:t>17%</w:t>
      </w:r>
      <w:r>
        <w:rPr/>
        <w:t>的基本税率。 根据国务院发布的国发</w:t>
      </w:r>
      <w:r>
        <w:rPr>
          <w:rFonts w:ascii="Times New Roman" w:hAnsi="Times New Roman" w:cs="Times New Roman" w:eastAsia="Times New Roman" w:hint="default"/>
        </w:rPr>
        <w:t>[2000]18</w:t>
      </w:r>
      <w:r>
        <w:rPr/>
        <w:t>号《国务院关于印发</w:t>
      </w:r>
      <w:r>
        <w:rPr>
          <w:rFonts w:ascii="Times New Roman" w:hAnsi="Times New Roman" w:cs="Times New Roman" w:eastAsia="Times New Roman" w:hint="default"/>
        </w:rPr>
        <w:t>&lt;</w:t>
      </w:r>
      <w:r>
        <w:rPr/>
        <w:t>鼓励软件产业和集成电路产业发展若干政策</w:t>
      </w:r>
      <w:r>
        <w:rPr>
          <w:rFonts w:ascii="Times New Roman" w:hAnsi="Times New Roman" w:cs="Times New Roman" w:eastAsia="Times New Roman" w:hint="default"/>
        </w:rPr>
        <w:t>&gt;</w:t>
      </w:r>
      <w:r>
        <w:rPr/>
        <w:t>的通知》和财政部、</w:t>
      </w:r>
    </w:p>
    <w:p>
      <w:pPr>
        <w:pStyle w:val="BodyText"/>
        <w:spacing w:line="300" w:lineRule="auto" w:before="13"/>
        <w:ind w:right="189"/>
        <w:jc w:val="both"/>
      </w:pPr>
      <w:r>
        <w:rPr>
          <w:spacing w:val="-1"/>
        </w:rPr>
        <w:t>国家税务总局、海关总署发布的财税</w:t>
      </w:r>
      <w:r>
        <w:rPr>
          <w:rFonts w:ascii="Times New Roman" w:hAnsi="Times New Roman" w:cs="Times New Roman" w:eastAsia="Times New Roman" w:hint="default"/>
          <w:spacing w:val="-1"/>
        </w:rPr>
        <w:t>[2000]25</w:t>
      </w:r>
      <w:r>
        <w:rPr>
          <w:spacing w:val="-1"/>
        </w:rPr>
        <w:t>号《关于鼓励软件产业和集成电路产业发展有关税收政策问题的通知》以及国</w:t>
      </w:r>
      <w:r>
        <w:rPr>
          <w:spacing w:val="-58"/>
        </w:rPr>
        <w:t> </w:t>
      </w:r>
      <w:r>
        <w:rPr>
          <w:spacing w:val="-58"/>
        </w:rPr>
      </w:r>
      <w:r>
        <w:rPr>
          <w:spacing w:val="-1"/>
        </w:rPr>
        <w:t>务院</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日发布的国发</w:t>
      </w:r>
      <w:r>
        <w:rPr>
          <w:rFonts w:ascii="Times New Roman" w:hAnsi="Times New Roman" w:cs="Times New Roman" w:eastAsia="Times New Roman" w:hint="default"/>
          <w:spacing w:val="-1"/>
        </w:rPr>
        <w:t>[2011]4</w:t>
      </w:r>
      <w:r>
        <w:rPr>
          <w:spacing w:val="-1"/>
        </w:rPr>
        <w:t>号《关于印发进一步鼓励软件产业和集成电路产业发展若干政策的通知》中的有关规</w:t>
      </w:r>
      <w:r>
        <w:rPr>
          <w:spacing w:val="-56"/>
        </w:rPr>
        <w:t> </w:t>
      </w:r>
      <w:r>
        <w:rPr>
          <w:spacing w:val="-56"/>
        </w:rPr>
      </w:r>
      <w:r>
        <w:rPr/>
        <w:t>定，本公司及子公司销售自行开发生产的软件产品，按</w:t>
      </w:r>
      <w:r>
        <w:rPr>
          <w:rFonts w:ascii="Times New Roman" w:hAnsi="Times New Roman" w:cs="Times New Roman" w:eastAsia="Times New Roman" w:hint="default"/>
        </w:rPr>
        <w:t>17</w:t>
      </w:r>
      <w:r>
        <w:rPr/>
        <w:t>％的法定税率征收增值税后，增值税实际税负超过</w:t>
      </w:r>
      <w:r>
        <w:rPr>
          <w:rFonts w:ascii="Times New Roman" w:hAnsi="Times New Roman" w:cs="Times New Roman" w:eastAsia="Times New Roman" w:hint="default"/>
        </w:rPr>
        <w:t>3</w:t>
      </w:r>
      <w:r>
        <w:rPr/>
        <w:t>％的部分实行 即征即退政策。</w:t>
      </w:r>
    </w:p>
    <w:p>
      <w:pPr>
        <w:pStyle w:val="BodyText"/>
        <w:spacing w:line="304" w:lineRule="auto" w:before="31"/>
        <w:ind w:right="175" w:firstLine="288"/>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月，根据财政部、国家税务总局《关于印发</w:t>
      </w:r>
      <w:r>
        <w:rPr>
          <w:rFonts w:ascii="Times New Roman" w:hAnsi="Times New Roman" w:cs="Times New Roman" w:eastAsia="Times New Roman" w:hint="default"/>
        </w:rPr>
        <w:t>&lt;</w:t>
      </w:r>
      <w:r>
        <w:rPr/>
        <w:t>营业税改征增值税试点方案</w:t>
      </w:r>
      <w:r>
        <w:rPr>
          <w:rFonts w:ascii="Times New Roman" w:hAnsi="Times New Roman" w:cs="Times New Roman" w:eastAsia="Times New Roman" w:hint="default"/>
        </w:rPr>
        <w:t>&gt;</w:t>
      </w:r>
      <w:r>
        <w:rPr>
          <w:rFonts w:ascii="Times New Roman" w:hAnsi="Times New Roman" w:cs="Times New Roman" w:eastAsia="Times New Roman" w:hint="default"/>
          <w:spacing w:val="-17"/>
        </w:rPr>
        <w:t> </w:t>
      </w:r>
      <w:r>
        <w:rPr/>
        <w:t>的通知》（财税</w:t>
      </w:r>
      <w:r>
        <w:rPr>
          <w:rFonts w:ascii="Times New Roman" w:hAnsi="Times New Roman" w:cs="Times New Roman" w:eastAsia="Times New Roman" w:hint="default"/>
        </w:rPr>
        <w:t>[2011]110</w:t>
      </w:r>
      <w:r>
        <w:rPr/>
        <w:t>号），财政 部、国家税务总局《关于在北京等</w:t>
      </w:r>
      <w:r>
        <w:rPr>
          <w:rFonts w:ascii="Times New Roman" w:hAnsi="Times New Roman" w:cs="Times New Roman" w:eastAsia="Times New Roman" w:hint="default"/>
        </w:rPr>
        <w:t>8</w:t>
      </w:r>
      <w:r>
        <w:rPr/>
        <w:t>省市开展交通运输业和部分现代服务也营业税改征增值税试点的通知》（财税</w:t>
      </w:r>
      <w:r>
        <w:rPr>
          <w:rFonts w:ascii="Times New Roman" w:hAnsi="Times New Roman" w:cs="Times New Roman" w:eastAsia="Times New Roman" w:hint="default"/>
        </w:rPr>
        <w:t>[2012]71 </w:t>
      </w:r>
      <w:r>
        <w:rPr>
          <w:spacing w:val="-2"/>
        </w:rPr>
        <w:t>号）以及深圳市国家税务局、深圳市地方税务局《关于深圳市营业税改征增值税试点纳税人办理税收业务的通告》深国税告</w:t>
      </w:r>
      <w:r>
        <w:rPr>
          <w:spacing w:val="-64"/>
        </w:rPr>
        <w:t> </w:t>
      </w:r>
      <w:r>
        <w:rPr>
          <w:spacing w:val="-64"/>
        </w:rPr>
      </w:r>
      <w:r>
        <w:rPr>
          <w:rFonts w:ascii="Times New Roman" w:hAnsi="Times New Roman" w:cs="Times New Roman" w:eastAsia="Times New Roman" w:hint="default"/>
        </w:rPr>
        <w:t>[2012]11</w:t>
      </w:r>
      <w:r>
        <w:rPr/>
        <w:t>号规定，本公司及子公司自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日起，从事技术转让、技术开发业务和与之相关的技术咨询、技术服务业 务取得的收入由征收营业税改为增值税，增值税执行税率为</w:t>
      </w:r>
      <w:r>
        <w:rPr>
          <w:rFonts w:ascii="Times New Roman" w:hAnsi="Times New Roman" w:cs="Times New Roman" w:eastAsia="Times New Roman" w:hint="default"/>
        </w:rPr>
        <w:t>6%</w:t>
      </w:r>
      <w:r>
        <w:rPr/>
        <w:t>。</w:t>
      </w:r>
    </w:p>
    <w:p>
      <w:pPr>
        <w:pStyle w:val="BodyText"/>
        <w:spacing w:line="300" w:lineRule="auto" w:before="9"/>
        <w:ind w:left="441" w:right="4174" w:hanging="289"/>
        <w:jc w:val="left"/>
      </w:pPr>
      <w:r>
        <w:rPr>
          <w:rFonts w:ascii="Times New Roman" w:hAnsi="Times New Roman" w:cs="Times New Roman" w:eastAsia="Times New Roman" w:hint="default"/>
        </w:rPr>
        <w:t>B</w:t>
      </w:r>
      <w:r>
        <w:rPr/>
        <w:t>、营业税及享受的税收优惠政策 本公司及子公司提供营业劳务收入按照</w:t>
      </w:r>
      <w:r>
        <w:rPr>
          <w:spacing w:val="-19"/>
        </w:rPr>
        <w:t> </w:t>
      </w:r>
      <w:r>
        <w:rPr>
          <w:rFonts w:ascii="Times New Roman" w:hAnsi="Times New Roman" w:cs="Times New Roman" w:eastAsia="Times New Roman" w:hint="default"/>
        </w:rPr>
        <w:t>5%</w:t>
      </w:r>
      <w:r>
        <w:rPr/>
        <w:t>的基准税率计征营业税。</w:t>
      </w:r>
    </w:p>
    <w:p>
      <w:pPr>
        <w:pStyle w:val="BodyText"/>
        <w:spacing w:line="300" w:lineRule="auto" w:before="13"/>
        <w:ind w:right="190" w:firstLine="288"/>
        <w:jc w:val="both"/>
      </w:pPr>
      <w:r>
        <w:rPr>
          <w:spacing w:val="-1"/>
        </w:rPr>
        <w:t>根据《财政部、国家税务总局关于贯彻落实</w:t>
      </w:r>
      <w:r>
        <w:rPr>
          <w:rFonts w:ascii="Times New Roman" w:hAnsi="Times New Roman" w:cs="Times New Roman" w:eastAsia="Times New Roman" w:hint="default"/>
          <w:spacing w:val="-1"/>
        </w:rPr>
        <w:t>&lt;</w:t>
      </w:r>
      <w:r>
        <w:rPr>
          <w:spacing w:val="-1"/>
        </w:rPr>
        <w:t>中共中央国务院关于加强技术创新，发展高科技，实现产业化的决定</w:t>
      </w:r>
      <w:r>
        <w:rPr>
          <w:rFonts w:ascii="Times New Roman" w:hAnsi="Times New Roman" w:cs="Times New Roman" w:eastAsia="Times New Roman" w:hint="default"/>
          <w:spacing w:val="-1"/>
        </w:rPr>
        <w:t>&gt;</w:t>
      </w:r>
      <w:r>
        <w:rPr>
          <w:spacing w:val="-1"/>
        </w:rPr>
        <w:t>有关</w:t>
      </w:r>
      <w:r>
        <w:rPr/>
        <w:t> 税收问题的通知》</w:t>
      </w:r>
      <w:r>
        <w:rPr>
          <w:rFonts w:ascii="Times New Roman" w:hAnsi="Times New Roman" w:cs="Times New Roman" w:eastAsia="Times New Roman" w:hint="default"/>
        </w:rPr>
        <w:t>(</w:t>
      </w:r>
      <w:r>
        <w:rPr/>
        <w:t>财税字</w:t>
      </w:r>
      <w:r>
        <w:rPr>
          <w:rFonts w:ascii="Times New Roman" w:hAnsi="Times New Roman" w:cs="Times New Roman" w:eastAsia="Times New Roman" w:hint="default"/>
        </w:rPr>
        <w:t>[1999]</w:t>
      </w:r>
      <w:r>
        <w:rPr/>
        <w:t>第</w:t>
      </w:r>
      <w:r>
        <w:rPr>
          <w:rFonts w:ascii="Times New Roman" w:hAnsi="Times New Roman" w:cs="Times New Roman" w:eastAsia="Times New Roman" w:hint="default"/>
        </w:rPr>
        <w:t>273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及《深圳市技术转让技术开发及相关服务性收入免征营业税审批管理办法》（深 </w:t>
      </w:r>
      <w:r>
        <w:rPr>
          <w:spacing w:val="-2"/>
        </w:rPr>
        <w:t>地税发〔</w:t>
      </w:r>
      <w:r>
        <w:rPr>
          <w:rFonts w:ascii="Times New Roman" w:hAnsi="Times New Roman" w:cs="Times New Roman" w:eastAsia="Times New Roman" w:hint="default"/>
          <w:spacing w:val="-2"/>
        </w:rPr>
        <w:t>2003</w:t>
      </w:r>
      <w:r>
        <w:rPr>
          <w:spacing w:val="-2"/>
        </w:rPr>
        <w:t>〕</w:t>
      </w:r>
      <w:r>
        <w:rPr>
          <w:rFonts w:ascii="Times New Roman" w:hAnsi="Times New Roman" w:cs="Times New Roman" w:eastAsia="Times New Roman" w:hint="default"/>
          <w:spacing w:val="-2"/>
        </w:rPr>
        <w:t>348</w:t>
      </w:r>
      <w:r>
        <w:rPr>
          <w:rFonts w:ascii="Times New Roman" w:hAnsi="Times New Roman" w:cs="Times New Roman" w:eastAsia="Times New Roman" w:hint="default"/>
          <w:spacing w:val="22"/>
        </w:rPr>
        <w:t> </w:t>
      </w:r>
      <w:r>
        <w:rPr>
          <w:spacing w:val="-2"/>
        </w:rPr>
        <w:t>号）规定：本公司及子公司从事技术转让、技术开发业务和与之相关的技术咨询、技术服务业务取得的</w:t>
      </w:r>
      <w:r>
        <w:rPr>
          <w:spacing w:val="-84"/>
        </w:rPr>
        <w:t> </w:t>
      </w:r>
      <w:r>
        <w:rPr>
          <w:spacing w:val="-84"/>
        </w:rPr>
      </w:r>
      <w:r>
        <w:rPr/>
        <w:t>收入，符合条件的，免征营业税。</w:t>
      </w:r>
    </w:p>
    <w:p>
      <w:pPr>
        <w:pStyle w:val="BodyText"/>
        <w:spacing w:line="240" w:lineRule="auto" w:before="31"/>
        <w:ind w:right="98"/>
        <w:jc w:val="left"/>
      </w:pPr>
      <w:r>
        <w:rPr>
          <w:rFonts w:ascii="Times New Roman" w:hAnsi="Times New Roman" w:cs="Times New Roman" w:eastAsia="Times New Roman" w:hint="default"/>
        </w:rPr>
        <w:t>C</w:t>
      </w:r>
      <w:r>
        <w:rPr/>
        <w:t>、企业所得税及享受的税收优惠政策</w:t>
      </w:r>
    </w:p>
    <w:p>
      <w:pPr>
        <w:pStyle w:val="BodyText"/>
        <w:spacing w:line="300" w:lineRule="auto" w:before="63"/>
        <w:ind w:right="189" w:firstLine="288"/>
        <w:jc w:val="left"/>
      </w:pPr>
      <w:r>
        <w:rPr>
          <w:spacing w:val="-4"/>
        </w:rPr>
        <w:t>①自</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日起，本公司执行《中华人民共和国企业所得税法》的相关规定。</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31</w:t>
      </w:r>
      <w:r>
        <w:rPr>
          <w:spacing w:val="-4"/>
        </w:rPr>
        <w:t>日，本公司重新获得《高</w:t>
      </w:r>
      <w:r>
        <w:rPr/>
        <w:t> 新技术企业证书》，有效期三年；故</w:t>
      </w:r>
      <w:r>
        <w:rPr>
          <w:rFonts w:ascii="Times New Roman" w:hAnsi="Times New Roman" w:cs="Times New Roman" w:eastAsia="Times New Roman" w:hint="default"/>
        </w:rPr>
        <w:t>2011</w:t>
      </w:r>
      <w:r>
        <w:rPr/>
        <w:t>年度按</w:t>
      </w:r>
      <w:r>
        <w:rPr>
          <w:rFonts w:ascii="Times New Roman" w:hAnsi="Times New Roman" w:cs="Times New Roman" w:eastAsia="Times New Roman" w:hint="default"/>
        </w:rPr>
        <w:t>15%</w:t>
      </w:r>
      <w:r>
        <w:rPr/>
        <w:t>税率征收企业所得税。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月，本公司被国家发展和改革委员会、 工业和信息化部、财政部、商务部和国家税务总局联合认定为</w:t>
      </w:r>
      <w:r>
        <w:rPr>
          <w:rFonts w:ascii="Times New Roman" w:hAnsi="Times New Roman" w:cs="Times New Roman" w:eastAsia="Times New Roman" w:hint="default"/>
        </w:rPr>
        <w:t>2011-2012</w:t>
      </w:r>
      <w:r>
        <w:rPr/>
        <w:t>年度国家规划布局内重点软件企业。根据《关于进 一步鼓励软件产业和集成电路产业发展企业所得税政策的通知》（财税</w:t>
      </w:r>
      <w:r>
        <w:rPr>
          <w:rFonts w:ascii="Times New Roman" w:hAnsi="Times New Roman" w:cs="Times New Roman" w:eastAsia="Times New Roman" w:hint="default"/>
        </w:rPr>
        <w:t>[2012]27</w:t>
      </w:r>
      <w:r>
        <w:rPr/>
        <w:t>号）关于</w:t>
      </w:r>
      <w:r>
        <w:rPr>
          <w:rFonts w:ascii="Times New Roman" w:hAnsi="Times New Roman" w:cs="Times New Roman" w:eastAsia="Times New Roman" w:hint="default"/>
        </w:rPr>
        <w:t>“</w:t>
      </w:r>
      <w:r>
        <w:rPr/>
        <w:t>国家规划布局内的重点软件企业 和集成电路设计企业，如当年未享受免税优惠的，可减按</w:t>
      </w:r>
      <w:r>
        <w:rPr>
          <w:rFonts w:ascii="Times New Roman" w:hAnsi="Times New Roman" w:cs="Times New Roman" w:eastAsia="Times New Roman" w:hint="default"/>
        </w:rPr>
        <w:t>10%</w:t>
      </w:r>
      <w:r>
        <w:rPr/>
        <w:t>的税率征收企业所得税</w:t>
      </w:r>
      <w:r>
        <w:rPr>
          <w:rFonts w:ascii="Times New Roman" w:hAnsi="Times New Roman" w:cs="Times New Roman" w:eastAsia="Times New Roman" w:hint="default"/>
        </w:rPr>
        <w:t>”</w:t>
      </w:r>
      <w:r>
        <w:rPr/>
        <w:t>的规定，本公司</w:t>
      </w:r>
      <w:r>
        <w:rPr>
          <w:rFonts w:ascii="Times New Roman" w:hAnsi="Times New Roman" w:cs="Times New Roman" w:eastAsia="Times New Roman" w:hint="default"/>
        </w:rPr>
        <w:t>2011</w:t>
      </w:r>
      <w:r>
        <w:rPr/>
        <w:t>年度企业所得税 税率将由原来的</w:t>
      </w:r>
      <w:r>
        <w:rPr>
          <w:rFonts w:ascii="Times New Roman" w:hAnsi="Times New Roman" w:cs="Times New Roman" w:eastAsia="Times New Roman" w:hint="default"/>
        </w:rPr>
        <w:t>15%</w:t>
      </w:r>
      <w:r>
        <w:rPr/>
        <w:t>调整为</w:t>
      </w:r>
      <w:r>
        <w:rPr>
          <w:rFonts w:ascii="Times New Roman" w:hAnsi="Times New Roman" w:cs="Times New Roman" w:eastAsia="Times New Roman" w:hint="default"/>
        </w:rPr>
        <w:t>10%</w:t>
      </w:r>
      <w:r>
        <w:rPr/>
        <w:t>，减少的所得税费用公司将在税费返还时做相应处理。</w:t>
      </w:r>
      <w:r>
        <w:rPr>
          <w:rFonts w:ascii="Times New Roman" w:hAnsi="Times New Roman" w:cs="Times New Roman" w:eastAsia="Times New Roman" w:hint="default"/>
        </w:rPr>
        <w:t>2012</w:t>
      </w:r>
      <w:r>
        <w:rPr/>
        <w:t>年公司企业所得税费按</w:t>
      </w:r>
      <w:r>
        <w:rPr>
          <w:rFonts w:ascii="Times New Roman" w:hAnsi="Times New Roman" w:cs="Times New Roman" w:eastAsia="Times New Roman" w:hint="default"/>
        </w:rPr>
        <w:t>10%</w:t>
      </w:r>
      <w:r>
        <w:rPr/>
        <w:t>的税</w:t>
      </w:r>
      <w:r>
        <w:rPr>
          <w:spacing w:val="-3"/>
        </w:rPr>
        <w:t> </w:t>
      </w:r>
      <w:r>
        <w:rPr/>
        <w:t>率缴纳。</w:t>
      </w:r>
    </w:p>
    <w:p>
      <w:pPr>
        <w:pStyle w:val="BodyText"/>
        <w:spacing w:line="240" w:lineRule="auto" w:before="31"/>
        <w:ind w:left="441" w:right="98"/>
        <w:jc w:val="left"/>
      </w:pPr>
      <w:r>
        <w:rPr/>
        <w:t>报告期内本公司与所属分公司汇总缴纳企业所得税。</w:t>
      </w:r>
    </w:p>
    <w:p>
      <w:pPr>
        <w:pStyle w:val="BodyText"/>
        <w:spacing w:line="300" w:lineRule="auto" w:before="76"/>
        <w:ind w:right="98" w:firstLine="288"/>
        <w:jc w:val="left"/>
      </w:pPr>
      <w:r>
        <w:rPr/>
        <w:t>②任网游公司于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日被深圳市科技和信息局认定为软件企业，领取编号为深</w:t>
      </w:r>
      <w:r>
        <w:rPr>
          <w:rFonts w:ascii="Times New Roman" w:hAnsi="Times New Roman" w:cs="Times New Roman" w:eastAsia="Times New Roman" w:hint="default"/>
        </w:rPr>
        <w:t>R-2007-0105</w:t>
      </w:r>
      <w:r>
        <w:rPr/>
        <w:t>号软件企业认定证书。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日，经深圳市南山区国家税务局以深国税南减免备案【</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395</w:t>
      </w:r>
      <w:r>
        <w:rPr/>
        <w:t>号税收优惠登记备案通知书告知任网游公司自 </w:t>
      </w:r>
      <w:r>
        <w:rPr>
          <w:spacing w:val="-2"/>
        </w:rPr>
        <w:t>开始获利年度起，两年免征企业所得税，三年减半征收企业所得税。任网游公司</w:t>
      </w:r>
      <w:r>
        <w:rPr>
          <w:rFonts w:ascii="Times New Roman" w:hAnsi="Times New Roman" w:cs="Times New Roman" w:eastAsia="Times New Roman" w:hint="default"/>
          <w:spacing w:val="-2"/>
        </w:rPr>
        <w:t>2010</w:t>
      </w:r>
      <w:r>
        <w:rPr>
          <w:spacing w:val="-2"/>
        </w:rPr>
        <w:t>年度为开始获利年度，享受免征企业所</w:t>
      </w:r>
      <w:r>
        <w:rPr>
          <w:spacing w:val="-61"/>
        </w:rPr>
        <w:t> </w:t>
      </w:r>
      <w:r>
        <w:rPr>
          <w:spacing w:val="-61"/>
        </w:rPr>
      </w:r>
      <w:r>
        <w:rPr/>
        <w:t>得税优惠。</w:t>
      </w:r>
      <w:r>
        <w:rPr>
          <w:rFonts w:ascii="Times New Roman" w:hAnsi="Times New Roman" w:cs="Times New Roman" w:eastAsia="Times New Roman" w:hint="default"/>
        </w:rPr>
        <w:t>2012</w:t>
      </w:r>
      <w:r>
        <w:rPr/>
        <w:t>年度任网游公司享受减半征收企业所得税优惠。</w:t>
      </w:r>
    </w:p>
    <w:p>
      <w:pPr>
        <w:pStyle w:val="BodyText"/>
        <w:spacing w:line="300" w:lineRule="auto" w:before="13"/>
        <w:ind w:right="94" w:firstLine="288"/>
        <w:jc w:val="left"/>
      </w:pPr>
      <w:r>
        <w:rPr/>
        <w:t>③博海通讯于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日获得《高新技术企业证书》，有效期三年，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日，经深圳市南山区国家税务局以深 国税南减免备案【</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51</w:t>
      </w:r>
      <w:r>
        <w:rPr/>
        <w:t>号税收优惠登记备案通知书告知从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2012</w:t>
      </w:r>
      <w:r>
        <w:rPr/>
        <w:t>年度</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日止按规定享受税收优惠， 故</w:t>
      </w:r>
      <w:r>
        <w:rPr>
          <w:rFonts w:ascii="Times New Roman" w:hAnsi="Times New Roman" w:cs="Times New Roman" w:eastAsia="Times New Roman" w:hint="default"/>
        </w:rPr>
        <w:t>2012</w:t>
      </w:r>
      <w:r>
        <w:rPr/>
        <w:t>年度按</w:t>
      </w:r>
      <w:r>
        <w:rPr>
          <w:rFonts w:ascii="Times New Roman" w:hAnsi="Times New Roman" w:cs="Times New Roman" w:eastAsia="Times New Roman" w:hint="default"/>
        </w:rPr>
        <w:t>15%</w:t>
      </w:r>
      <w:r>
        <w:rPr/>
        <w:t>税率征收企业所得税。</w:t>
      </w:r>
    </w:p>
    <w:p>
      <w:pPr>
        <w:pStyle w:val="BodyText"/>
        <w:spacing w:line="319" w:lineRule="auto" w:before="13"/>
        <w:ind w:right="98" w:firstLine="288"/>
        <w:jc w:val="left"/>
      </w:pPr>
      <w:r>
        <w:rPr>
          <w:spacing w:val="-1"/>
        </w:rPr>
        <w:t>④根据《中华人民共和国企业所得税法》及其相关规定，对未形成无形资产计入当期损益的研究开发费用，在按照规定</w:t>
      </w:r>
      <w:r>
        <w:rPr/>
        <w:t> 据实扣除的基础上，加计扣除</w:t>
      </w:r>
      <w:r>
        <w:rPr>
          <w:rFonts w:ascii="Times New Roman" w:hAnsi="Times New Roman" w:cs="Times New Roman" w:eastAsia="Times New Roman" w:hint="default"/>
        </w:rPr>
        <w:t>50%</w:t>
      </w:r>
      <w:r>
        <w:rPr/>
        <w:t>。本公司及子公司享受该政策优惠。</w:t>
      </w:r>
    </w:p>
    <w:p>
      <w:pPr>
        <w:pStyle w:val="BodyText"/>
        <w:spacing w:line="309" w:lineRule="auto"/>
        <w:ind w:right="189" w:firstLine="288"/>
        <w:jc w:val="both"/>
      </w:pPr>
      <w:r>
        <w:rPr/>
        <w:t>另外，根据《财政部、国家税务总局关于企业所得税若干优惠政策的通知》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[2008]1</w:t>
      </w:r>
      <w:r>
        <w:rPr>
          <w:rFonts w:ascii="Times New Roman" w:hAnsi="Times New Roman" w:cs="Times New Roman" w:eastAsia="Times New Roman" w:hint="default"/>
          <w:spacing w:val="-19"/>
        </w:rPr>
        <w:t> </w:t>
      </w:r>
      <w:r>
        <w:rPr/>
        <w:t>号</w:t>
      </w:r>
      <w:r>
        <w:rPr>
          <w:rFonts w:ascii="Times New Roman" w:hAnsi="Times New Roman" w:cs="Times New Roman" w:eastAsia="Times New Roman" w:hint="default"/>
        </w:rPr>
        <w:t>)</w:t>
      </w:r>
      <w:r>
        <w:rPr/>
        <w:t>，软件生产企业实行增值税 </w:t>
      </w:r>
      <w:r>
        <w:rPr>
          <w:spacing w:val="-2"/>
        </w:rPr>
        <w:t>即征即退政策所退还的税款，由企业用于研究开发软件产品和扩大再生产，不作为企业所得税应税收入，不予征收企业所得</w:t>
      </w:r>
      <w:r>
        <w:rPr>
          <w:spacing w:val="-62"/>
        </w:rPr>
        <w:t> </w:t>
      </w:r>
      <w:r>
        <w:rPr>
          <w:spacing w:val="-62"/>
        </w:rPr>
      </w:r>
      <w:r>
        <w:rPr/>
        <w:t>税。本公司对于销售自行开发生产的软件产品的部分而产生的营业收入享受该政策优惠。</w:t>
      </w:r>
    </w:p>
    <w:p>
      <w:pPr>
        <w:spacing w:after="0" w:line="309"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4"/>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3" w:right="6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651"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深圳市 任子行 科技开 发有限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49"/>
        <w:ind w:right="5994"/>
        <w:jc w:val="left"/>
      </w:pPr>
      <w:r>
        <w:rPr/>
        <w:t>通过设立或投资等方式取得的子公司的其他说明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after="0" w:line="240" w:lineRule="auto"/>
        <w:jc w:val="left"/>
        <w:sectPr>
          <w:pgSz w:w="11910" w:h="16840"/>
          <w:pgMar w:header="877" w:footer="980" w:top="1100" w:bottom="1160" w:left="980" w:right="980"/>
        </w:sectPr>
      </w:pPr>
    </w:p>
    <w:p>
      <w:pPr>
        <w:pStyle w:val="BodyText"/>
        <w:spacing w:line="240" w:lineRule="auto" w:before="15"/>
        <w:ind w:left="0" w:right="153"/>
        <w:jc w:val="right"/>
      </w:pPr>
      <w:r>
        <w:rPr/>
        <w:t>任子行网络技术股份有限公司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9"/>
        <w:ind w:left="0" w:right="254"/>
        <w:jc w:val="right"/>
      </w:pPr>
      <w:r>
        <w:rPr/>
        <w:t>单位：</w:t>
      </w:r>
      <w:r>
        <w:rPr>
          <w:spacing w:val="1"/>
        </w:rPr>
        <w:t> </w:t>
      </w:r>
      <w:r>
        <w:rPr/>
        <w:t>元</w:t>
      </w:r>
    </w:p>
    <w:p>
      <w:pPr>
        <w:spacing w:line="240" w:lineRule="auto" w:before="13"/>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687"/>
        <w:gridCol w:w="682"/>
        <w:gridCol w:w="684"/>
        <w:gridCol w:w="684"/>
        <w:gridCol w:w="682"/>
        <w:gridCol w:w="2821"/>
        <w:gridCol w:w="1277"/>
        <w:gridCol w:w="992"/>
        <w:gridCol w:w="710"/>
        <w:gridCol w:w="708"/>
        <w:gridCol w:w="425"/>
        <w:gridCol w:w="1135"/>
        <w:gridCol w:w="850"/>
        <w:gridCol w:w="1702"/>
      </w:tblGrid>
      <w:tr>
        <w:trPr>
          <w:trHeight w:val="1963"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8" w:right="69"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3" w:right="65"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2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42" w:right="91" w:hanging="449"/>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 w:right="41"/>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24" w:right="79"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 w:right="62"/>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35"/>
              <w:jc w:val="both"/>
              <w:rPr>
                <w:rFonts w:ascii="宋体" w:hAnsi="宋体" w:cs="宋体" w:eastAsia="宋体" w:hint="default"/>
                <w:sz w:val="18"/>
                <w:szCs w:val="18"/>
              </w:rPr>
            </w:pPr>
            <w:r>
              <w:rPr>
                <w:rFonts w:ascii="宋体" w:hAnsi="宋体" w:cs="宋体" w:eastAsia="宋体" w:hint="default"/>
                <w:sz w:val="18"/>
                <w:szCs w:val="18"/>
              </w:rPr>
              <w:t>从母公司所有者权益 冲减子公司少数股东 分担的本期亏损超过 少数股东在该子公司 年初所有者权益中所 享有份额后的余额</w:t>
            </w:r>
          </w:p>
        </w:tc>
      </w:tr>
      <w:tr>
        <w:trPr>
          <w:trHeight w:val="3834"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11"/>
              <w:jc w:val="both"/>
              <w:rPr>
                <w:rFonts w:ascii="宋体" w:hAnsi="宋体" w:cs="宋体" w:eastAsia="宋体" w:hint="default"/>
                <w:sz w:val="18"/>
                <w:szCs w:val="18"/>
              </w:rPr>
            </w:pPr>
            <w:r>
              <w:rPr>
                <w:rFonts w:ascii="宋体" w:hAnsi="宋体" w:cs="宋体" w:eastAsia="宋体" w:hint="default"/>
                <w:sz w:val="18"/>
                <w:szCs w:val="18"/>
              </w:rPr>
              <w:t>深圳市 任网游 科技发 展有限 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软件开 发及销 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计算机软硬件的技术开发和销售、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卡技术开发、网络系统集成技术 的咨询、经济信息咨询；从事广告 业务（以上法律、行政法规、国务 院决定禁止的项目除外，限制的项 </w:t>
            </w:r>
            <w:r>
              <w:rPr>
                <w:rFonts w:ascii="宋体" w:hAnsi="宋体" w:cs="宋体" w:eastAsia="宋体" w:hint="default"/>
                <w:spacing w:val="-8"/>
                <w:sz w:val="18"/>
                <w:szCs w:val="18"/>
              </w:rPr>
              <w:t>目须取得许可后方可经营）；信息服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务业务（仅限互联网信息服务业务</w:t>
            </w:r>
            <w:r>
              <w:rPr>
                <w:rFonts w:ascii="宋体" w:hAnsi="宋体" w:cs="宋体" w:eastAsia="宋体" w:hint="default"/>
                <w:sz w:val="18"/>
                <w:szCs w:val="18"/>
              </w:rPr>
              <w:t> 增值电信业务经营许可证有效期至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日），经营进出口</w:t>
            </w:r>
            <w:r>
              <w:rPr>
                <w:rFonts w:ascii="宋体" w:hAnsi="宋体" w:cs="宋体" w:eastAsia="宋体" w:hint="default"/>
                <w:sz w:val="18"/>
                <w:szCs w:val="18"/>
              </w:rPr>
              <w:t> 业务（法律、行政法规、国务院决 定禁止的项目除外，限制的项目须 </w:t>
            </w:r>
            <w:r>
              <w:rPr>
                <w:rFonts w:ascii="宋体" w:hAnsi="宋体" w:cs="宋体" w:eastAsia="宋体" w:hint="default"/>
                <w:spacing w:val="-9"/>
                <w:sz w:val="18"/>
                <w:szCs w:val="18"/>
              </w:rPr>
              <w:t>取得许可后方可经营）。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60" w:lineRule="exact" w:before="159"/>
              <w:ind w:left="208" w:right="0"/>
              <w:jc w:val="left"/>
              <w:rPr>
                <w:rFonts w:ascii="Times New Roman" w:hAnsi="Times New Roman" w:cs="Times New Roman" w:eastAsia="Times New Roman" w:hint="default"/>
                <w:sz w:val="18"/>
                <w:szCs w:val="18"/>
              </w:rPr>
            </w:pPr>
            <w:r>
              <w:rPr>
                <w:rFonts w:ascii="Times New Roman"/>
                <w:sz w:val="18"/>
              </w:rPr>
              <w:t>10,000,000.00</w:t>
            </w:r>
          </w:p>
          <w:p>
            <w:pPr>
              <w:pStyle w:val="TableParagraph"/>
              <w:spacing w:line="18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z w:val="18"/>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58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11"/>
              <w:jc w:val="both"/>
              <w:rPr>
                <w:rFonts w:ascii="宋体" w:hAnsi="宋体" w:cs="宋体" w:eastAsia="宋体" w:hint="default"/>
                <w:sz w:val="18"/>
                <w:szCs w:val="18"/>
              </w:rPr>
            </w:pPr>
            <w:r>
              <w:rPr>
                <w:rFonts w:ascii="宋体" w:hAnsi="宋体" w:cs="宋体" w:eastAsia="宋体" w:hint="default"/>
                <w:sz w:val="18"/>
                <w:szCs w:val="18"/>
              </w:rPr>
              <w:t>深圳市 博海通 讯技术 有限公 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8"/>
              <w:jc w:val="both"/>
              <w:rPr>
                <w:rFonts w:ascii="宋体" w:hAnsi="宋体" w:cs="宋体" w:eastAsia="宋体" w:hint="default"/>
                <w:sz w:val="18"/>
                <w:szCs w:val="18"/>
              </w:rPr>
            </w:pPr>
            <w:r>
              <w:rPr>
                <w:rFonts w:ascii="宋体" w:hAnsi="宋体" w:cs="宋体" w:eastAsia="宋体" w:hint="default"/>
                <w:sz w:val="18"/>
                <w:szCs w:val="18"/>
              </w:rPr>
              <w:t>通讯产 品生产 与销售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通讯产品、计算机软件的开发及销 售</w:t>
            </w:r>
            <w:r>
              <w:rPr>
                <w:rFonts w:ascii="Times New Roman" w:hAnsi="Times New Roman" w:cs="Times New Roman" w:eastAsia="Times New Roman" w:hint="default"/>
                <w:sz w:val="18"/>
                <w:szCs w:val="18"/>
              </w:rPr>
              <w:t>,</w:t>
            </w:r>
            <w:r>
              <w:rPr>
                <w:rFonts w:ascii="宋体" w:hAnsi="宋体" w:cs="宋体" w:eastAsia="宋体" w:hint="default"/>
                <w:sz w:val="18"/>
                <w:szCs w:val="18"/>
              </w:rPr>
              <w:t>其他国内贸易 行政法规、国务院规定需前置审批 </w:t>
            </w:r>
            <w:r>
              <w:rPr>
                <w:rFonts w:ascii="宋体" w:hAnsi="宋体" w:cs="宋体" w:eastAsia="宋体" w:hint="default"/>
                <w:spacing w:val="-6"/>
                <w:sz w:val="18"/>
                <w:szCs w:val="18"/>
              </w:rPr>
              <w:t>和禁止的项目）；经营进出口业务</w:t>
            </w:r>
          </w:p>
          <w:p>
            <w:pPr>
              <w:pStyle w:val="TableParagraph"/>
              <w:spacing w:line="319" w:lineRule="auto" w:before="22"/>
              <w:ind w:left="24" w:right="86"/>
              <w:jc w:val="both"/>
              <w:rPr>
                <w:rFonts w:ascii="宋体" w:hAnsi="宋体" w:cs="宋体" w:eastAsia="宋体" w:hint="default"/>
                <w:sz w:val="18"/>
                <w:szCs w:val="18"/>
              </w:rPr>
            </w:pPr>
            <w:r>
              <w:rPr>
                <w:rFonts w:ascii="宋体" w:hAnsi="宋体" w:cs="宋体" w:eastAsia="宋体" w:hint="default"/>
                <w:sz w:val="18"/>
                <w:szCs w:val="18"/>
              </w:rPr>
              <w:t>（法律、法规禁止的项目除外；法 律、法规限制的项目需取得许可后 </w:t>
            </w:r>
            <w:r>
              <w:rPr>
                <w:rFonts w:ascii="宋体" w:hAnsi="宋体" w:cs="宋体" w:eastAsia="宋体" w:hint="default"/>
                <w:spacing w:val="-6"/>
                <w:sz w:val="18"/>
                <w:szCs w:val="18"/>
              </w:rPr>
              <w:t>方可经营）；组装生产功率放大器</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（不含限制项目</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7,600,000.00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1,202,262.66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8"/>
        <w:ind w:left="140" w:right="9958"/>
        <w:jc w:val="left"/>
      </w:pPr>
      <w:r>
        <w:rPr/>
        <w:pict>
          <v:shape style="position:absolute;margin-left:304.580017pt;margin-top:-129.394287pt;width:141.550pt;height:54.6pt;mso-position-horizontal-relative:page;mso-position-vertical-relative:paragraph;z-index:-653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（以上均不含法律、</w:t>
                  </w:r>
                </w:p>
              </w:txbxContent>
            </v:textbox>
            <w10:wrap type="none"/>
          </v:shape>
        </w:pict>
      </w:r>
      <w:r>
        <w:rPr/>
        <w:pict>
          <v:group style="position:absolute;margin-left:382.730011pt;margin-top:-235.854279pt;width:63.4pt;height:161.1pt;mso-position-horizontal-relative:page;mso-position-vertical-relative:paragraph;z-index:-653488" coordorigin="7655,-4717" coordsize="1268,3222">
            <v:group style="position:absolute;left:7667;top:-4705;width:2;height:392" coordorigin="7667,-4705" coordsize="2,392">
              <v:shape style="position:absolute;left:7667;top:-4705;width:2;height:392" coordorigin="7667,-4705" coordsize="0,392" path="m7667,-4705l7667,-4314e" filled="false" stroked="true" strokeweight="1.2pt" strokecolor="#ffffff">
                <v:path arrowok="t"/>
              </v:shape>
            </v:group>
            <v:group style="position:absolute;left:7655;top:-4314;width:1268;height:1717" coordorigin="7655,-4314" coordsize="1268,1717">
              <v:shape style="position:absolute;left:7655;top:-4314;width:1268;height:1717" coordorigin="7655,-4314" coordsize="1268,1717" path="m7655,-2597l8922,-2597,8922,-4314,7655,-4314,7655,-2597xe" filled="true" fillcolor="#ffffff" stroked="false">
                <v:path arrowok="t"/>
                <v:fill type="solid"/>
              </v:shape>
            </v:group>
            <v:group style="position:absolute;left:7679;top:-4705;width:1220;height:392" coordorigin="7679,-4705" coordsize="1220,392">
              <v:shape style="position:absolute;left:7679;top:-4705;width:1220;height:392" coordorigin="7679,-4705" coordsize="1220,392" path="m7679,-4314l8898,-4314,8898,-4705,7679,-4705,7679,-4314xe" filled="true" fillcolor="#ffffff" stroked="false">
                <v:path arrowok="t"/>
                <v:fill type="solid"/>
              </v:shape>
            </v:group>
            <v:group style="position:absolute;left:7655;top:-2588;width:1268;height:1092" coordorigin="7655,-2588" coordsize="1268,1092">
              <v:shape style="position:absolute;left:7655;top:-2588;width:1268;height:1092" coordorigin="7655,-2588" coordsize="1268,1092" path="m7655,-1496l8922,-1496,8922,-2588,7655,-2588,7655,-1496xe" filled="true" fillcolor="#ffffff" stroked="false">
                <v:path arrowok="t"/>
                <v:fill type="solid"/>
              </v:shape>
            </v:group>
            <w10:wrap type="none"/>
          </v:group>
        </w:pict>
      </w:r>
      <w:r>
        <w:rPr/>
        <w:t>通过非同一控制下企业合并取得的子公司的其他说明 无。</w:t>
      </w:r>
    </w:p>
    <w:p>
      <w:pPr>
        <w:pStyle w:val="BodyText"/>
        <w:spacing w:line="202" w:lineRule="exact"/>
        <w:ind w:left="0" w:right="153"/>
        <w:jc w:val="right"/>
        <w:rPr>
          <w:rFonts w:ascii="Times New Roman" w:hAnsi="Times New Roman" w:cs="Times New Roman" w:eastAsia="Times New Roman" w:hint="default"/>
        </w:rPr>
      </w:pPr>
      <w:r>
        <w:rPr>
          <w:rFonts w:ascii="Times New Roman"/>
        </w:rPr>
        <w:t>79</w:t>
      </w:r>
    </w:p>
    <w:p>
      <w:pPr>
        <w:spacing w:after="0" w:line="202" w:lineRule="exact"/>
        <w:jc w:val="right"/>
        <w:rPr>
          <w:rFonts w:ascii="Times New Roman" w:hAnsi="Times New Roman" w:cs="Times New Roman" w:eastAsia="Times New Roman" w:hint="default"/>
        </w:rPr>
        <w:sectPr>
          <w:headerReference w:type="default" r:id="rId29"/>
          <w:footerReference w:type="default" r:id="rId30"/>
          <w:pgSz w:w="16840" w:h="11910" w:orient="landscape"/>
          <w:pgMar w:header="0" w:footer="0" w:top="800" w:bottom="280" w:left="1300" w:right="128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98"/>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441" w:right="98" w:hanging="289"/>
        <w:jc w:val="left"/>
      </w:pPr>
      <w:r>
        <w:rPr/>
        <w:t>合并报表范围发生变更说明 </w:t>
      </w:r>
      <w:r>
        <w:rPr>
          <w:spacing w:val="-1"/>
        </w:rPr>
        <w:t>根据公司第一届董事会第十五次会议决议，决定收购深圳市博海通讯技术有限公司部分股权。</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8</w:t>
      </w:r>
      <w:r>
        <w:rPr>
          <w:spacing w:val="-1"/>
        </w:rPr>
        <w:t>日，公司与彭</w:t>
      </w:r>
    </w:p>
    <w:p>
      <w:pPr>
        <w:pStyle w:val="BodyText"/>
        <w:spacing w:line="212" w:lineRule="exact"/>
        <w:ind w:right="98"/>
        <w:jc w:val="left"/>
      </w:pPr>
      <w:r>
        <w:rPr/>
        <w:t>荣巨先生签订了股权转让合同，以人民币</w:t>
      </w:r>
      <w:r>
        <w:rPr>
          <w:rFonts w:ascii="Times New Roman" w:hAnsi="Times New Roman" w:cs="Times New Roman" w:eastAsia="Times New Roman" w:hint="default"/>
        </w:rPr>
        <w:t>100</w:t>
      </w:r>
      <w:r>
        <w:rPr/>
        <w:t>万元的价格受让其持有的博海通讯</w:t>
      </w:r>
      <w:r>
        <w:rPr>
          <w:rFonts w:ascii="Times New Roman" w:hAnsi="Times New Roman" w:cs="Times New Roman" w:eastAsia="Times New Roman" w:hint="default"/>
        </w:rPr>
        <w:t>4.5798%</w:t>
      </w:r>
      <w:r>
        <w:rPr/>
        <w:t>股份。</w:t>
      </w:r>
    </w:p>
    <w:p>
      <w:pPr>
        <w:pStyle w:val="BodyText"/>
        <w:spacing w:line="240" w:lineRule="auto" w:before="63"/>
        <w:ind w:left="441" w:right="98"/>
        <w:jc w:val="left"/>
      </w:pP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8</w:t>
      </w:r>
      <w:r>
        <w:rPr>
          <w:spacing w:val="-5"/>
        </w:rPr>
        <w:t>日，公司与曹保忠先生、常峻先生、杜卫华先生、高巍先生签订了股权转让合同，分别以人民币</w:t>
      </w:r>
      <w:r>
        <w:rPr>
          <w:rFonts w:ascii="Times New Roman" w:hAnsi="Times New Roman" w:cs="Times New Roman" w:eastAsia="Times New Roman" w:hint="default"/>
          <w:spacing w:val="-5"/>
        </w:rPr>
        <w:t>320.007</w:t>
      </w:r>
      <w:r>
        <w:rPr>
          <w:spacing w:val="-5"/>
        </w:rPr>
        <w:t>万元、</w:t>
      </w:r>
    </w:p>
    <w:p>
      <w:pPr>
        <w:pStyle w:val="BodyText"/>
        <w:spacing w:line="240" w:lineRule="auto" w:before="63"/>
        <w:ind w:right="98"/>
        <w:jc w:val="left"/>
      </w:pPr>
      <w:r>
        <w:rPr>
          <w:rFonts w:ascii="Times New Roman" w:hAnsi="Times New Roman" w:cs="Times New Roman" w:eastAsia="Times New Roman" w:hint="default"/>
        </w:rPr>
        <w:t>589.4733</w:t>
      </w:r>
      <w:r>
        <w:rPr/>
        <w:t>万元、</w:t>
      </w:r>
      <w:r>
        <w:rPr>
          <w:rFonts w:ascii="Times New Roman" w:hAnsi="Times New Roman" w:cs="Times New Roman" w:eastAsia="Times New Roman" w:hint="default"/>
        </w:rPr>
        <w:t>589.4733</w:t>
      </w:r>
      <w:r>
        <w:rPr/>
        <w:t>万元和</w:t>
      </w:r>
      <w:r>
        <w:rPr>
          <w:rFonts w:ascii="Times New Roman" w:hAnsi="Times New Roman" w:cs="Times New Roman" w:eastAsia="Times New Roman" w:hint="default"/>
        </w:rPr>
        <w:t>101.0527</w:t>
      </w:r>
      <w:r>
        <w:rPr/>
        <w:t>万元（总计人民币</w:t>
      </w:r>
      <w:r>
        <w:rPr>
          <w:rFonts w:ascii="Times New Roman" w:hAnsi="Times New Roman" w:cs="Times New Roman" w:eastAsia="Times New Roman" w:hint="default"/>
        </w:rPr>
        <w:t>1600</w:t>
      </w:r>
      <w:r>
        <w:rPr/>
        <w:t>万元）受让前述人士持有的博海通讯</w:t>
      </w:r>
      <w:r>
        <w:rPr>
          <w:rFonts w:ascii="Times New Roman" w:hAnsi="Times New Roman" w:cs="Times New Roman" w:eastAsia="Times New Roman" w:hint="default"/>
        </w:rPr>
        <w:t>8.6118%</w:t>
      </w:r>
      <w:r>
        <w:rPr/>
        <w:t>、</w:t>
      </w:r>
      <w:r>
        <w:rPr>
          <w:rFonts w:ascii="Times New Roman" w:hAnsi="Times New Roman" w:cs="Times New Roman" w:eastAsia="Times New Roman" w:hint="default"/>
        </w:rPr>
        <w:t>15.8638%</w:t>
      </w:r>
      <w:r>
        <w:rPr/>
        <w:t>、</w:t>
      </w:r>
    </w:p>
    <w:p>
      <w:pPr>
        <w:pStyle w:val="BodyText"/>
        <w:spacing w:line="300" w:lineRule="auto" w:before="63"/>
        <w:ind w:right="102"/>
        <w:jc w:val="left"/>
      </w:pPr>
      <w:r>
        <w:rPr>
          <w:rFonts w:ascii="Times New Roman" w:hAnsi="Times New Roman" w:cs="Times New Roman" w:eastAsia="Times New Roman" w:hint="default"/>
        </w:rPr>
        <w:t>15.8638%</w:t>
      </w:r>
      <w:r>
        <w:rPr/>
        <w:t>和</w:t>
      </w:r>
      <w:r>
        <w:rPr>
          <w:rFonts w:ascii="Times New Roman" w:hAnsi="Times New Roman" w:cs="Times New Roman" w:eastAsia="Times New Roman" w:hint="default"/>
        </w:rPr>
        <w:t>2.7195%</w:t>
      </w:r>
      <w:r>
        <w:rPr/>
        <w:t>（总计</w:t>
      </w:r>
      <w:r>
        <w:rPr>
          <w:rFonts w:ascii="Times New Roman" w:hAnsi="Times New Roman" w:cs="Times New Roman" w:eastAsia="Times New Roman" w:hint="default"/>
        </w:rPr>
        <w:t>43.0589%</w:t>
      </w:r>
      <w:r>
        <w:rPr/>
        <w:t>）股份。股权转让款项分两期支付，其中第一期款项计人民币</w:t>
      </w:r>
      <w:r>
        <w:rPr>
          <w:rFonts w:ascii="Times New Roman" w:hAnsi="Times New Roman" w:cs="Times New Roman" w:eastAsia="Times New Roman" w:hint="default"/>
        </w:rPr>
        <w:t>400</w:t>
      </w:r>
      <w:r>
        <w:rPr/>
        <w:t>万元在合同生效后</w:t>
      </w:r>
      <w:r>
        <w:rPr>
          <w:rFonts w:ascii="Times New Roman" w:hAnsi="Times New Roman" w:cs="Times New Roman" w:eastAsia="Times New Roman" w:hint="default"/>
        </w:rPr>
        <w:t>5</w:t>
      </w:r>
      <w:r>
        <w:rPr/>
        <w:t>个 工作日内支付。第二期款项计人民币</w:t>
      </w:r>
      <w:r>
        <w:rPr>
          <w:rFonts w:ascii="Times New Roman" w:hAnsi="Times New Roman" w:cs="Times New Roman" w:eastAsia="Times New Roman" w:hint="default"/>
        </w:rPr>
        <w:t>1200</w:t>
      </w:r>
      <w:r>
        <w:rPr/>
        <w:t>万元的支付附带博海公司业绩完成条件：若博海通讯连续两年（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w:t>
      </w:r>
      <w:r>
        <w:rPr>
          <w:spacing w:val="2"/>
        </w:rPr>
        <w:t> </w:t>
      </w:r>
      <w:r>
        <w:rPr/>
        <w:t>实现扣非后净利润增长率不低于</w:t>
      </w:r>
      <w:r>
        <w:rPr>
          <w:rFonts w:ascii="Times New Roman" w:hAnsi="Times New Roman" w:cs="Times New Roman" w:eastAsia="Times New Roman" w:hint="default"/>
        </w:rPr>
        <w:t>30%</w:t>
      </w:r>
      <w:r>
        <w:rPr/>
        <w:t>，且连续两年扣非后净利润平均值不低于</w:t>
      </w:r>
      <w:r>
        <w:rPr>
          <w:rFonts w:ascii="Times New Roman" w:hAnsi="Times New Roman" w:cs="Times New Roman" w:eastAsia="Times New Roman" w:hint="default"/>
        </w:rPr>
        <w:t>1000</w:t>
      </w:r>
      <w:r>
        <w:rPr/>
        <w:t>万元，公司于博海通讯</w:t>
      </w:r>
      <w:r>
        <w:rPr>
          <w:rFonts w:ascii="Times New Roman" w:hAnsi="Times New Roman" w:cs="Times New Roman" w:eastAsia="Times New Roman" w:hint="default"/>
        </w:rPr>
        <w:t>2013</w:t>
      </w:r>
      <w:r>
        <w:rPr/>
        <w:t>年审计报告出 具后</w:t>
      </w:r>
      <w:r>
        <w:rPr>
          <w:rFonts w:ascii="Times New Roman" w:hAnsi="Times New Roman" w:cs="Times New Roman" w:eastAsia="Times New Roman" w:hint="default"/>
        </w:rPr>
        <w:t>20</w:t>
      </w:r>
      <w:r>
        <w:rPr/>
        <w:t>日内支付</w:t>
      </w:r>
      <w:r>
        <w:rPr>
          <w:rFonts w:ascii="Times New Roman" w:hAnsi="Times New Roman" w:cs="Times New Roman" w:eastAsia="Times New Roman" w:hint="default"/>
        </w:rPr>
        <w:t>1200</w:t>
      </w:r>
      <w:r>
        <w:rPr/>
        <w:t>万元转让款；若博海通讯连续两年实现扣非后净利润增长率不低于</w:t>
      </w:r>
      <w:r>
        <w:rPr>
          <w:rFonts w:ascii="Times New Roman" w:hAnsi="Times New Roman" w:cs="Times New Roman" w:eastAsia="Times New Roman" w:hint="default"/>
        </w:rPr>
        <w:t>30%</w:t>
      </w:r>
      <w:r>
        <w:rPr/>
        <w:t>，且连续两年扣非后平均净利润 高于</w:t>
      </w:r>
      <w:r>
        <w:rPr>
          <w:rFonts w:ascii="Times New Roman" w:hAnsi="Times New Roman" w:cs="Times New Roman" w:eastAsia="Times New Roman" w:hint="default"/>
        </w:rPr>
        <w:t>500</w:t>
      </w:r>
      <w:r>
        <w:rPr/>
        <w:t>万元低于</w:t>
      </w:r>
      <w:r>
        <w:rPr>
          <w:rFonts w:ascii="Times New Roman" w:hAnsi="Times New Roman" w:cs="Times New Roman" w:eastAsia="Times New Roman" w:hint="default"/>
        </w:rPr>
        <w:t>1000</w:t>
      </w:r>
      <w:r>
        <w:rPr/>
        <w:t>万元，则公司按照</w:t>
      </w:r>
      <w:r>
        <w:rPr>
          <w:rFonts w:ascii="Times New Roman" w:hAnsi="Times New Roman" w:cs="Times New Roman" w:eastAsia="Times New Roman" w:hint="default"/>
        </w:rPr>
        <w:t>1200*</w:t>
      </w:r>
      <w:r>
        <w:rPr/>
        <w:t>（两年扣非后净利润平均值</w:t>
      </w:r>
      <w:r>
        <w:rPr>
          <w:rFonts w:ascii="Times New Roman" w:hAnsi="Times New Roman" w:cs="Times New Roman" w:eastAsia="Times New Roman" w:hint="default"/>
        </w:rPr>
        <w:t>-500</w:t>
      </w:r>
      <w:r>
        <w:rPr/>
        <w:t>万）</w:t>
      </w:r>
      <w:r>
        <w:rPr>
          <w:rFonts w:ascii="Times New Roman" w:hAnsi="Times New Roman" w:cs="Times New Roman" w:eastAsia="Times New Roman" w:hint="default"/>
        </w:rPr>
        <w:t>/1000</w:t>
      </w:r>
      <w:r>
        <w:rPr/>
        <w:t>万的金额于博海通讯</w:t>
      </w:r>
      <w:r>
        <w:rPr>
          <w:rFonts w:ascii="Times New Roman" w:hAnsi="Times New Roman" w:cs="Times New Roman" w:eastAsia="Times New Roman" w:hint="default"/>
        </w:rPr>
        <w:t>2013</w:t>
      </w:r>
      <w:r>
        <w:rPr/>
        <w:t>年审计报 告出具后</w:t>
      </w:r>
      <w:r>
        <w:rPr>
          <w:rFonts w:ascii="Times New Roman" w:hAnsi="Times New Roman" w:cs="Times New Roman" w:eastAsia="Times New Roman" w:hint="default"/>
        </w:rPr>
        <w:t>20</w:t>
      </w:r>
      <w:r>
        <w:rPr/>
        <w:t>日内支付；若连续两年实现扣非后净利润增长率低于</w:t>
      </w:r>
      <w:r>
        <w:rPr>
          <w:rFonts w:ascii="Times New Roman" w:hAnsi="Times New Roman" w:cs="Times New Roman" w:eastAsia="Times New Roman" w:hint="default"/>
        </w:rPr>
        <w:t>30%</w:t>
      </w:r>
      <w:r>
        <w:rPr/>
        <w:t>或连续两年实现净利润的平均值低于</w:t>
      </w:r>
      <w:r>
        <w:rPr>
          <w:rFonts w:ascii="Times New Roman" w:hAnsi="Times New Roman" w:cs="Times New Roman" w:eastAsia="Times New Roman" w:hint="default"/>
        </w:rPr>
        <w:t>500</w:t>
      </w:r>
      <w:r>
        <w:rPr/>
        <w:t>万元（时）， 公司将不再支付剩余</w:t>
      </w:r>
      <w:r>
        <w:rPr>
          <w:rFonts w:ascii="Times New Roman" w:hAnsi="Times New Roman" w:cs="Times New Roman" w:eastAsia="Times New Roman" w:hint="default"/>
        </w:rPr>
        <w:t>1200</w:t>
      </w:r>
      <w:r>
        <w:rPr/>
        <w:t>万元股权转让款。</w:t>
      </w:r>
    </w:p>
    <w:p>
      <w:pPr>
        <w:pStyle w:val="BodyText"/>
        <w:spacing w:line="300" w:lineRule="auto" w:before="13"/>
        <w:ind w:right="256" w:firstLine="288"/>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日，博海通讯的上述股权已办妥工商变更登记，且本公司已在其董事会五个席位中占有三个席位，并向其 委派了财务经理。自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日起，本公司将博海通讯纳入合并报表范围</w:t>
      </w:r>
    </w:p>
    <w:p>
      <w:pPr>
        <w:pStyle w:val="BodyText"/>
        <w:spacing w:line="300" w:lineRule="auto" w:before="13"/>
        <w:ind w:right="256" w:firstLine="288"/>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日，公司与深圳力合创业投资有限公司签订了企业国有产权转让合同，以人民币</w:t>
      </w:r>
      <w:r>
        <w:rPr>
          <w:rFonts w:ascii="Times New Roman" w:hAnsi="Times New Roman" w:cs="Times New Roman" w:eastAsia="Times New Roman" w:hint="default"/>
        </w:rPr>
        <w:t>260</w:t>
      </w:r>
      <w:r>
        <w:rPr/>
        <w:t>万元的价格受让其持 有的博海通讯</w:t>
      </w:r>
      <w:r>
        <w:rPr>
          <w:rFonts w:ascii="Times New Roman" w:hAnsi="Times New Roman" w:cs="Times New Roman" w:eastAsia="Times New Roman" w:hint="default"/>
        </w:rPr>
        <w:t>3.3614%</w:t>
      </w:r>
      <w:r>
        <w:rPr/>
        <w:t>股份。</w:t>
      </w:r>
    </w:p>
    <w:p>
      <w:pPr>
        <w:pStyle w:val="BodyText"/>
        <w:spacing w:line="240" w:lineRule="auto" w:before="13"/>
        <w:ind w:left="441" w:right="98"/>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日，本公司共计持有博海通讯</w:t>
      </w:r>
      <w:r>
        <w:rPr>
          <w:rFonts w:ascii="Times New Roman" w:hAnsi="Times New Roman" w:cs="Times New Roman" w:eastAsia="Times New Roman" w:hint="default"/>
        </w:rPr>
        <w:t>51.0001%</w:t>
      </w:r>
      <w:r>
        <w:rPr/>
        <w:t>的股份，并办妥了工商登记手续。</w:t>
      </w:r>
    </w:p>
    <w:p>
      <w:pPr>
        <w:pStyle w:val="BodyText"/>
        <w:spacing w:line="240" w:lineRule="auto" w:before="103"/>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98"/>
        <w:jc w:val="left"/>
      </w:pPr>
      <w:r>
        <w:rPr/>
        <w:t>与上年相比本年（期）新增合并单位</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家，原因为本期收购深圳市博海通讯技术有限公司。</w:t>
      </w:r>
    </w:p>
    <w:p>
      <w:pPr>
        <w:spacing w:line="240" w:lineRule="auto" w:before="2"/>
        <w:rPr>
          <w:rFonts w:ascii="宋体" w:hAnsi="宋体" w:cs="宋体" w:eastAsia="宋体" w:hint="default"/>
          <w:sz w:val="26"/>
          <w:szCs w:val="26"/>
        </w:rPr>
      </w:pPr>
    </w:p>
    <w:p>
      <w:pPr>
        <w:pStyle w:val="Heading3"/>
        <w:spacing w:line="240" w:lineRule="auto"/>
        <w:ind w:right="98"/>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
        <w:jc w:val="left"/>
      </w:pPr>
      <w:r>
        <w:rPr/>
        <w:t>本期新纳入合并范围的子公司、特殊目的主体、通过受托经营或承租等方式形成控制权的经营实体</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深圳市博海通讯技术有限公司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2" w:right="0"/>
              <w:jc w:val="left"/>
              <w:rPr>
                <w:rFonts w:ascii="Times New Roman" w:hAnsi="Times New Roman" w:cs="Times New Roman" w:eastAsia="Times New Roman" w:hint="default"/>
                <w:sz w:val="18"/>
                <w:szCs w:val="18"/>
              </w:rPr>
            </w:pPr>
            <w:r>
              <w:rPr>
                <w:rFonts w:ascii="Times New Roman"/>
                <w:sz w:val="18"/>
              </w:rPr>
              <w:t>2,453,597.26</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08" w:right="0"/>
              <w:jc w:val="left"/>
              <w:rPr>
                <w:rFonts w:ascii="Times New Roman" w:hAnsi="Times New Roman" w:cs="Times New Roman" w:eastAsia="Times New Roman" w:hint="default"/>
                <w:sz w:val="18"/>
                <w:szCs w:val="18"/>
              </w:rPr>
            </w:pPr>
            <w:r>
              <w:rPr>
                <w:rFonts w:ascii="Times New Roman"/>
                <w:sz w:val="18"/>
              </w:rPr>
              <w:t>-3,673,046.40</w:t>
            </w:r>
          </w:p>
        </w:tc>
      </w:tr>
    </w:tbl>
    <w:p>
      <w:pPr>
        <w:pStyle w:val="BodyText"/>
        <w:spacing w:line="357" w:lineRule="auto" w:before="49"/>
        <w:ind w:right="1894"/>
        <w:jc w:val="left"/>
      </w:pPr>
      <w:r>
        <w:rPr/>
        <w:t>本期不再纳入合并范围的子公司、特殊目的主体、通过受托经营或承租等方式形成控制权的经营实体 不适用。</w:t>
      </w:r>
    </w:p>
    <w:p>
      <w:pPr>
        <w:spacing w:line="240" w:lineRule="auto" w:before="6"/>
        <w:rPr>
          <w:rFonts w:ascii="宋体" w:hAnsi="宋体" w:cs="宋体" w:eastAsia="宋体" w:hint="default"/>
          <w:sz w:val="20"/>
          <w:szCs w:val="20"/>
        </w:rPr>
      </w:pPr>
    </w:p>
    <w:p>
      <w:pPr>
        <w:pStyle w:val="Heading3"/>
        <w:spacing w:line="240" w:lineRule="auto"/>
        <w:ind w:right="98"/>
        <w:jc w:val="left"/>
        <w:rPr>
          <w:b w:val="0"/>
          <w:bCs w:val="0"/>
        </w:rPr>
      </w:pPr>
      <w:r>
        <w:rPr>
          <w:rFonts w:ascii="Times New Roman" w:hAnsi="Times New Roman" w:cs="Times New Roman" w:eastAsia="Times New Roman" w:hint="default"/>
        </w:rPr>
        <w:t>5</w:t>
      </w:r>
      <w:r>
        <w:rPr/>
        <w:t>、报告期内发生的非同一控制下企业合并</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6"/>
        <w:gridCol w:w="3032"/>
        <w:gridCol w:w="3862"/>
      </w:tblGrid>
      <w:tr>
        <w:trPr>
          <w:trHeight w:val="401"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715" w:hRule="exact"/>
        </w:trPr>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深圳市博海通讯技术有限公司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4,475,411.73</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合并成本大于合并中取得的被购买方可辨认净资 产公允价值份额的差额确认为商誉。</w:t>
            </w:r>
          </w:p>
        </w:tc>
      </w:tr>
    </w:tbl>
    <w:p>
      <w:pPr>
        <w:pStyle w:val="BodyText"/>
        <w:spacing w:line="240" w:lineRule="auto" w:before="49"/>
        <w:ind w:right="98"/>
        <w:jc w:val="left"/>
      </w:pPr>
      <w:r>
        <w:rPr/>
        <w:t>非同一控制下企业合并的其他说明</w:t>
      </w:r>
    </w:p>
    <w:p>
      <w:pPr>
        <w:spacing w:after="0" w:line="240" w:lineRule="auto"/>
        <w:jc w:val="left"/>
        <w:sectPr>
          <w:footerReference w:type="default" r:id="rId31"/>
          <w:pgSz w:w="11910" w:h="16840"/>
          <w:pgMar w:footer="980" w:header="0" w:top="1100" w:bottom="1160" w:left="980" w:right="940"/>
          <w:pgNumType w:start="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spacing w:val="-3"/>
        </w:rPr>
        <w:t>注：基于谨慎性原则，截至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日，本公司对该非同一控制下企业合并产生的商誉计提了</w:t>
      </w:r>
      <w:r>
        <w:rPr>
          <w:rFonts w:ascii="Times New Roman" w:hAnsi="Times New Roman" w:cs="Times New Roman" w:eastAsia="Times New Roman" w:hint="default"/>
          <w:spacing w:val="-3"/>
        </w:rPr>
        <w:t>1,715,800.00</w:t>
      </w:r>
      <w:r>
        <w:rPr>
          <w:spacing w:val="-3"/>
        </w:rPr>
        <w:t>元减值准备。</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66,200.89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53,941.46</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66,200.89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53,941.46</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323,825,426.95</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58,835,368.60</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323,825,426.95</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58,835,368.60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1,722,880.14</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1,722,880.14</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325,614,507.98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58,889,310.06</w:t>
            </w:r>
          </w:p>
        </w:tc>
      </w:tr>
    </w:tbl>
    <w:p>
      <w:pPr>
        <w:pStyle w:val="BodyText"/>
        <w:spacing w:line="240" w:lineRule="auto" w:before="49"/>
        <w:ind w:right="0"/>
        <w:jc w:val="left"/>
      </w:pPr>
      <w:r>
        <w:rPr/>
        <w:t>如有因抵押、质押或冻结等对使用有限制、存放在境外、有潜在回收风险的款项应单独说明</w:t>
      </w:r>
    </w:p>
    <w:p>
      <w:pPr>
        <w:pStyle w:val="BodyText"/>
        <w:spacing w:line="240" w:lineRule="auto" w:before="117"/>
        <w:ind w:right="0"/>
        <w:jc w:val="left"/>
      </w:pPr>
      <w:r>
        <w:rPr/>
        <w:t>（</w:t>
      </w:r>
      <w:r>
        <w:rPr>
          <w:rFonts w:ascii="Times New Roman" w:hAnsi="Times New Roman" w:cs="Times New Roman" w:eastAsia="Times New Roman" w:hint="default"/>
        </w:rPr>
        <w:t>1</w:t>
      </w:r>
      <w:r>
        <w:rPr/>
        <w:t>）公司期末用于质押的货币资金</w:t>
      </w:r>
      <w:r>
        <w:rPr>
          <w:rFonts w:ascii="Times New Roman" w:hAnsi="Times New Roman" w:cs="Times New Roman" w:eastAsia="Times New Roman" w:hint="default"/>
        </w:rPr>
        <w:t>1,055,731.25</w:t>
      </w:r>
      <w:r>
        <w:rPr/>
        <w:t>元，用于其他保证业务的货币资金</w:t>
      </w:r>
      <w:r>
        <w:rPr>
          <w:rFonts w:ascii="Times New Roman" w:hAnsi="Times New Roman" w:cs="Times New Roman" w:eastAsia="Times New Roman" w:hint="default"/>
        </w:rPr>
        <w:t>667,148.89</w:t>
      </w:r>
      <w:r>
        <w:rPr/>
        <w:t>元。</w:t>
      </w:r>
    </w:p>
    <w:p>
      <w:pPr>
        <w:pStyle w:val="BodyText"/>
        <w:spacing w:line="300" w:lineRule="auto" w:before="63"/>
        <w:ind w:right="174"/>
        <w:jc w:val="left"/>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2012</w:t>
      </w:r>
      <w:r>
        <w:rPr/>
        <w:t>年末货币资金比</w:t>
      </w:r>
      <w:r>
        <w:rPr>
          <w:rFonts w:ascii="Times New Roman" w:hAnsi="Times New Roman" w:cs="Times New Roman" w:eastAsia="Times New Roman" w:hint="default"/>
        </w:rPr>
        <w:t>2011</w:t>
      </w:r>
      <w:r>
        <w:rPr/>
        <w:t>年末增长</w:t>
      </w:r>
      <w:r>
        <w:rPr>
          <w:rFonts w:ascii="Times New Roman" w:hAnsi="Times New Roman" w:cs="Times New Roman" w:eastAsia="Times New Roman" w:hint="default"/>
        </w:rPr>
        <w:t>266,725,197.92</w:t>
      </w:r>
      <w:r>
        <w:rPr/>
        <w:t>元，增长幅度为</w:t>
      </w:r>
      <w:r>
        <w:rPr>
          <w:rFonts w:ascii="Times New Roman" w:hAnsi="Times New Roman" w:cs="Times New Roman" w:eastAsia="Times New Roman" w:hint="default"/>
        </w:rPr>
        <w:t>452.93%</w:t>
      </w:r>
      <w:r>
        <w:rPr/>
        <w:t>，主要原因是本公司本年公开发行股票 募集资金及经营活动利润增加资金所致。</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3,056,838.72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3,551,230.84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1,217,064.00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6,608,069.56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1,217,064.00</w:t>
            </w:r>
          </w:p>
        </w:tc>
      </w:tr>
    </w:tbl>
    <w:p>
      <w:pPr>
        <w:spacing w:line="240" w:lineRule="auto" w:before="3"/>
        <w:rPr>
          <w:rFonts w:ascii="宋体" w:hAnsi="宋体" w:cs="宋体" w:eastAsia="宋体" w:hint="default"/>
          <w:sz w:val="19"/>
          <w:szCs w:val="19"/>
        </w:rPr>
      </w:pPr>
    </w:p>
    <w:p>
      <w:pPr>
        <w:pStyle w:val="Heading3"/>
        <w:spacing w:line="256" w:lineRule="auto" w:before="36"/>
        <w:ind w:right="0"/>
        <w:jc w:val="left"/>
        <w:rPr>
          <w:b w:val="0"/>
          <w:bCs w:val="0"/>
        </w:rPr>
      </w:pPr>
      <w:r>
        <w:rPr/>
        <w:t>（</w:t>
      </w:r>
      <w:r>
        <w:rPr>
          <w:rFonts w:ascii="Times New Roman" w:hAnsi="Times New Roman" w:cs="Times New Roman" w:eastAsia="Times New Roman" w:hint="default"/>
        </w:rPr>
        <w:t>2</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80" w:top="1100" w:bottom="1160" w:left="980" w:right="980"/>
        </w:sectPr>
      </w:pPr>
    </w:p>
    <w:p>
      <w:pPr>
        <w:pStyle w:val="BodyText"/>
        <w:spacing w:line="357" w:lineRule="auto" w:before="44"/>
        <w:ind w:right="-20"/>
        <w:jc w:val="left"/>
      </w:pPr>
      <w:r>
        <w:rPr/>
        <w:t>因出票人无力履约而将票据转为应收账款的票据 无。</w:t>
      </w:r>
    </w:p>
    <w:p>
      <w:pPr>
        <w:pStyle w:val="BodyText"/>
        <w:spacing w:line="240" w:lineRule="auto" w:before="29"/>
        <w:ind w:right="-20"/>
        <w:jc w:val="left"/>
      </w:pPr>
      <w:r>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3933" w:space="4896"/>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916"/>
        <w:gridCol w:w="1916"/>
        <w:gridCol w:w="1913"/>
        <w:gridCol w:w="1915"/>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上海中兴通讯技术有限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466,540.00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期后已到期</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6"/>
        <w:gridCol w:w="923"/>
        <w:gridCol w:w="931"/>
        <w:gridCol w:w="929"/>
        <w:gridCol w:w="930"/>
        <w:gridCol w:w="796"/>
        <w:gridCol w:w="929"/>
        <w:gridCol w:w="1064"/>
        <w:gridCol w:w="1066"/>
      </w:tblGrid>
      <w:tr>
        <w:trPr>
          <w:trHeight w:val="403" w:hRule="exact"/>
        </w:trPr>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30,386,107.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2,269,054.6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43.92%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9,043,324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536,787.96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20.96%</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按照账龄分析法计提坏 账准备的应收账款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13,887,463.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30.16%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1,120,782.4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21.69%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9,246,927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684,156.73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26.71%</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13,887,463.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30.16%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1,120,782.4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21.69%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9,246,927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684,156.73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26.71%</w:t>
            </w:r>
          </w:p>
        </w:tc>
      </w:tr>
      <w:tr>
        <w:trPr>
          <w:trHeight w:val="102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1,776,789.0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1,776,789.0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34.39%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1,340,310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1,340,310.00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52.33%</w:t>
            </w:r>
          </w:p>
        </w:tc>
      </w:tr>
      <w:tr>
        <w:trPr>
          <w:trHeight w:val="716"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46,050,360.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44</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5,166,626.1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19,630,56</w:t>
            </w:r>
          </w:p>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1.86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2,561,254.69</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0" w:top="110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7"/>
        <w:gridCol w:w="1628"/>
      </w:tblGrid>
      <w:tr>
        <w:trPr>
          <w:trHeight w:val="401"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0"/>
              <w:jc w:val="left"/>
              <w:rPr>
                <w:rFonts w:ascii="宋体" w:hAnsi="宋体" w:cs="宋体" w:eastAsia="宋体" w:hint="default"/>
                <w:sz w:val="18"/>
                <w:szCs w:val="18"/>
              </w:rPr>
            </w:pPr>
            <w:r>
              <w:rPr>
                <w:rFonts w:ascii="宋体" w:hAnsi="宋体" w:cs="宋体" w:eastAsia="宋体" w:hint="default"/>
                <w:sz w:val="18"/>
                <w:szCs w:val="18"/>
              </w:rPr>
              <w:t>国家计算机网络应急技术处理协调中 心</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5,956,500.00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297,825.00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深圳国人通信有限公司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3,314,989.11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202,430.29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年内</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武汉虹信通信技术有限责任公司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2,314,694.61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115,734.73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102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0"/>
              <w:jc w:val="left"/>
              <w:rPr>
                <w:rFonts w:ascii="宋体" w:hAnsi="宋体" w:cs="宋体" w:eastAsia="宋体" w:hint="default"/>
                <w:sz w:val="18"/>
                <w:szCs w:val="18"/>
              </w:rPr>
            </w:pPr>
            <w:r>
              <w:rPr>
                <w:rFonts w:ascii="宋体" w:hAnsi="宋体" w:cs="宋体" w:eastAsia="宋体" w:hint="default"/>
                <w:sz w:val="18"/>
                <w:szCs w:val="18"/>
              </w:rPr>
              <w:t>国家计算机网络应急技术处理协调中 心新疆分中心</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2,132,434.96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395,730.49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1-2 </w:t>
            </w:r>
            <w:r>
              <w:rPr>
                <w:rFonts w:ascii="宋体" w:hAnsi="宋体" w:cs="宋体" w:eastAsia="宋体" w:hint="default"/>
                <w:sz w:val="18"/>
                <w:szCs w:val="18"/>
              </w:rPr>
              <w:t>年或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年内</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深圳市公安局网络警察支队</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1,950,800.00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97,540.00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401"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中国电信集团系统集成有限责任公司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1,579,760.00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157,976.00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pacing w:val="-6"/>
                <w:sz w:val="18"/>
                <w:szCs w:val="18"/>
              </w:rPr>
              <w:t>金额重大，但账龄在</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7"/>
        <w:gridCol w:w="1628"/>
      </w:tblGrid>
      <w:tr>
        <w:trPr>
          <w:trHeight w:val="362" w:hRule="exact"/>
        </w:trPr>
        <w:tc>
          <w:tcPr>
            <w:tcW w:w="306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新疆维吾尔自治区广播电影电视局</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深圳市皓华讯源电子有限公司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1,381,375.00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91,005.98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年内</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1,212,337.60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60,616.88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吉林省公安厅</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1,147,950.00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57,397.50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深圳市冠日讯威技术有限公司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318,000.00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w:t>
            </w:r>
          </w:p>
        </w:tc>
      </w:tr>
      <w:tr>
        <w:trPr>
          <w:trHeight w:val="716"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上海中兴通讯技术有限责任公司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1,049,819.97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52,491.00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北京中传视讯科技有限公司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976,647.00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97,664.70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新疆维吾尔自治区公安厅</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爱普新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830,305.50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41,515.28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河南飞灵</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787,942.10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39,397.11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武汉市鑫中城网络信息技术有限公司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692,730.00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34,636.50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罗森伯格（上海）通信技术有限公司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602,380.00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30,119.00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广元市公安局</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26,750.00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5"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陕西众信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508,442.00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34,624.20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金额重大，但账龄在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年内</w:t>
            </w:r>
          </w:p>
        </w:tc>
      </w:tr>
      <w:tr>
        <w:trPr>
          <w:trHeight w:val="401"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30,386,107.85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2,269,054.66</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0" w:top="1100" w:bottom="1160" w:left="980" w:right="98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3933" w:space="4896"/>
            <w:col w:w="1121"/>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1"/>
        <w:gridCol w:w="1460"/>
      </w:tblGrid>
      <w:tr>
        <w:trPr>
          <w:trHeight w:val="403" w:hRule="exact"/>
        </w:trPr>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466"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6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6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1"/>
        <w:gridCol w:w="1460"/>
      </w:tblGrid>
      <w:tr>
        <w:trPr>
          <w:trHeight w:val="401" w:hRule="exact"/>
        </w:trPr>
        <w:tc>
          <w:tcPr>
            <w:tcW w:w="146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35,031,396.04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76.07%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1,838,147.56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14,791,485.90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75.35%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740,141.09</w:t>
            </w:r>
          </w:p>
        </w:tc>
      </w:tr>
      <w:tr>
        <w:trPr>
          <w:trHeight w:val="404"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35,031,396.04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43" w:right="0"/>
              <w:jc w:val="left"/>
              <w:rPr>
                <w:rFonts w:ascii="Times New Roman" w:hAnsi="Times New Roman" w:cs="Times New Roman" w:eastAsia="Times New Roman" w:hint="default"/>
                <w:sz w:val="18"/>
                <w:szCs w:val="18"/>
              </w:rPr>
            </w:pPr>
            <w:r>
              <w:rPr>
                <w:rFonts w:ascii="Times New Roman"/>
                <w:sz w:val="18"/>
              </w:rPr>
              <w:t>76.07%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1,838,147.56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14,791,485.90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75.35%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740,141.09</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6,122,315.14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13.29%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612,231.51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2,844,130.96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284,413.10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3,114,860.25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1" w:right="0"/>
              <w:jc w:val="left"/>
              <w:rPr>
                <w:rFonts w:ascii="Times New Roman" w:hAnsi="Times New Roman" w:cs="Times New Roman" w:eastAsia="Times New Roman" w:hint="default"/>
                <w:sz w:val="18"/>
                <w:szCs w:val="18"/>
              </w:rPr>
            </w:pPr>
            <w:r>
              <w:rPr>
                <w:rFonts w:ascii="Times New Roman"/>
                <w:sz w:val="18"/>
              </w:rPr>
              <w:t>6.76%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934,458.08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654,635.00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196,390.50</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1,781,789.01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3.87%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1,781,789.01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1,340,310.00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1,340,310.00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1,781,789.01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1" w:right="0"/>
              <w:jc w:val="left"/>
              <w:rPr>
                <w:rFonts w:ascii="Times New Roman" w:hAnsi="Times New Roman" w:cs="Times New Roman" w:eastAsia="Times New Roman" w:hint="default"/>
                <w:sz w:val="18"/>
                <w:szCs w:val="18"/>
              </w:rPr>
            </w:pPr>
            <w:r>
              <w:rPr>
                <w:rFonts w:ascii="Times New Roman"/>
                <w:sz w:val="18"/>
              </w:rPr>
              <w:t>3.87%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1,781,789.01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1,340,310.00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1,340,310.00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46,050,360.44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5,166,626.16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19,630,561.86</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2,561,254.69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pStyle w:val="BodyText"/>
        <w:spacing w:line="240" w:lineRule="auto" w:before="49"/>
        <w:ind w:right="-20"/>
        <w:jc w:val="left"/>
      </w:pPr>
      <w:r>
        <w:rPr/>
        <w:t>组合中，采用余额百分比法计提坏账准备的应收账款</w:t>
      </w:r>
    </w:p>
    <w:p>
      <w:pPr>
        <w:pStyle w:val="BodyText"/>
        <w:spacing w:line="340" w:lineRule="auto" w:before="115"/>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石家庄青藤网络技术有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石家庄公安局行动技术 支队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194,334.00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194,334.00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安徽省公安厅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李朝阳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安徽省电信公司合肥分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939,255.01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939,255.01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1,776,789.01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1,776,789.01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期末单项金额重大或虽不重大但单独进行减值测试的应收账款坏账准备计提</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国家计算机网络应急技 术处理协调中心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5,956,500.00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297,825.00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虽金额重大</w:t>
            </w:r>
            <w:r>
              <w:rPr>
                <w:rFonts w:ascii="宋体" w:hAnsi="宋体" w:cs="宋体" w:eastAsia="宋体" w:hint="default"/>
                <w:spacing w:val="-77"/>
                <w:sz w:val="18"/>
                <w:szCs w:val="18"/>
              </w:rPr>
              <w:t>，</w:t>
            </w:r>
            <w:r>
              <w:rPr>
                <w:rFonts w:ascii="宋体" w:hAnsi="宋体" w:cs="宋体" w:eastAsia="宋体" w:hint="default"/>
                <w:sz w:val="18"/>
                <w:szCs w:val="18"/>
              </w:rPr>
              <w:t>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年内，风险小</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深圳国人通信有限公司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3,314,989.11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202,430.29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虽金额重大</w:t>
            </w:r>
            <w:r>
              <w:rPr>
                <w:rFonts w:ascii="宋体" w:hAnsi="宋体" w:cs="宋体" w:eastAsia="宋体" w:hint="default"/>
                <w:spacing w:val="-77"/>
                <w:sz w:val="18"/>
                <w:szCs w:val="18"/>
              </w:rPr>
              <w:t>，</w:t>
            </w:r>
            <w:r>
              <w:rPr>
                <w:rFonts w:ascii="宋体" w:hAnsi="宋体" w:cs="宋体" w:eastAsia="宋体" w:hint="default"/>
                <w:sz w:val="18"/>
                <w:szCs w:val="18"/>
              </w:rPr>
              <w:t>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年内，风险小</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武汉虹信通信技术有限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2,314,694.61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115,734.73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虽金额重大</w:t>
            </w:r>
            <w:r>
              <w:rPr>
                <w:rFonts w:ascii="宋体" w:hAnsi="宋体" w:cs="宋体" w:eastAsia="宋体" w:hint="default"/>
                <w:spacing w:val="-77"/>
                <w:sz w:val="18"/>
                <w:szCs w:val="18"/>
              </w:rPr>
              <w:t>，</w:t>
            </w:r>
            <w:r>
              <w:rPr>
                <w:rFonts w:ascii="宋体" w:hAnsi="宋体" w:cs="宋体" w:eastAsia="宋体" w:hint="default"/>
                <w:sz w:val="18"/>
                <w:szCs w:val="18"/>
              </w:rPr>
              <w:t>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年内，风险小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国家计算机网络应急技 术处理协调中心新疆分 中心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2,132,434.96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175,243.50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虽金额重大</w:t>
            </w:r>
            <w:r>
              <w:rPr>
                <w:rFonts w:ascii="宋体" w:hAnsi="宋体" w:cs="宋体" w:eastAsia="宋体" w:hint="default"/>
                <w:spacing w:val="-77"/>
                <w:sz w:val="18"/>
                <w:szCs w:val="18"/>
              </w:rPr>
              <w:t>，</w:t>
            </w:r>
            <w:r>
              <w:rPr>
                <w:rFonts w:ascii="宋体" w:hAnsi="宋体" w:cs="宋体" w:eastAsia="宋体" w:hint="default"/>
                <w:sz w:val="18"/>
                <w:szCs w:val="18"/>
              </w:rPr>
              <w:t>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年内，风险小</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深圳市公安局网络警察 支队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97,540.00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虽金额重大</w:t>
            </w:r>
            <w:r>
              <w:rPr>
                <w:rFonts w:ascii="宋体" w:hAnsi="宋体" w:cs="宋体" w:eastAsia="宋体" w:hint="default"/>
                <w:spacing w:val="-77"/>
                <w:sz w:val="18"/>
                <w:szCs w:val="18"/>
              </w:rPr>
              <w:t>，</w:t>
            </w:r>
            <w:r>
              <w:rPr>
                <w:rFonts w:ascii="宋体" w:hAnsi="宋体" w:cs="宋体" w:eastAsia="宋体" w:hint="default"/>
                <w:sz w:val="18"/>
                <w:szCs w:val="18"/>
              </w:rPr>
              <w:t>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年内，风险小</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中国电信集团系统集成 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1,579,760.00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78,988.00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虽金额重大</w:t>
            </w:r>
            <w:r>
              <w:rPr>
                <w:rFonts w:ascii="宋体" w:hAnsi="宋体" w:cs="宋体" w:eastAsia="宋体" w:hint="default"/>
                <w:spacing w:val="-77"/>
                <w:sz w:val="18"/>
                <w:szCs w:val="18"/>
              </w:rPr>
              <w:t>，</w:t>
            </w:r>
            <w:r>
              <w:rPr>
                <w:rFonts w:ascii="宋体" w:hAnsi="宋体" w:cs="宋体" w:eastAsia="宋体" w:hint="default"/>
                <w:sz w:val="18"/>
                <w:szCs w:val="18"/>
              </w:rPr>
              <w:t>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年内，风险小</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新疆维吾尔自治区广播 电影电视局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虽金额重大</w:t>
            </w:r>
            <w:r>
              <w:rPr>
                <w:rFonts w:ascii="宋体" w:hAnsi="宋体" w:cs="宋体" w:eastAsia="宋体" w:hint="default"/>
                <w:spacing w:val="-77"/>
                <w:sz w:val="18"/>
                <w:szCs w:val="18"/>
              </w:rPr>
              <w:t>，</w:t>
            </w:r>
            <w:r>
              <w:rPr>
                <w:rFonts w:ascii="宋体" w:hAnsi="宋体" w:cs="宋体" w:eastAsia="宋体" w:hint="default"/>
                <w:sz w:val="18"/>
                <w:szCs w:val="18"/>
              </w:rPr>
              <w:t>但账龄在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年内，风险小</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深圳市皓华讯源电子有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1,381,375.00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91,005.99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虽金额重大</w:t>
            </w:r>
            <w:r>
              <w:rPr>
                <w:rFonts w:ascii="宋体" w:hAnsi="宋体" w:cs="宋体" w:eastAsia="宋体" w:hint="default"/>
                <w:spacing w:val="-77"/>
                <w:sz w:val="18"/>
                <w:szCs w:val="18"/>
              </w:rPr>
              <w:t>，</w:t>
            </w:r>
            <w:r>
              <w:rPr>
                <w:rFonts w:ascii="宋体" w:hAnsi="宋体" w:cs="宋体" w:eastAsia="宋体" w:hint="default"/>
                <w:sz w:val="18"/>
                <w:szCs w:val="18"/>
              </w:rPr>
              <w:t>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年内，风险小</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中国移动通信集团广东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1,212,337.60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60,616.88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虽金额重大</w:t>
            </w:r>
            <w:r>
              <w:rPr>
                <w:rFonts w:ascii="宋体" w:hAnsi="宋体" w:cs="宋体" w:eastAsia="宋体" w:hint="default"/>
                <w:spacing w:val="-77"/>
                <w:sz w:val="18"/>
                <w:szCs w:val="18"/>
              </w:rPr>
              <w:t>，</w:t>
            </w:r>
            <w:r>
              <w:rPr>
                <w:rFonts w:ascii="宋体" w:hAnsi="宋体" w:cs="宋体" w:eastAsia="宋体" w:hint="default"/>
                <w:sz w:val="18"/>
                <w:szCs w:val="18"/>
              </w:rPr>
              <w:t>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年内，风险小</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吉林省公安厅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1,147,950.00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57,397.50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虽金额重大</w:t>
            </w:r>
            <w:r>
              <w:rPr>
                <w:rFonts w:ascii="宋体" w:hAnsi="宋体" w:cs="宋体" w:eastAsia="宋体" w:hint="default"/>
                <w:spacing w:val="-77"/>
                <w:sz w:val="18"/>
                <w:szCs w:val="18"/>
              </w:rPr>
              <w:t>，</w:t>
            </w:r>
            <w:r>
              <w:rPr>
                <w:rFonts w:ascii="宋体" w:hAnsi="宋体" w:cs="宋体" w:eastAsia="宋体" w:hint="default"/>
                <w:sz w:val="18"/>
                <w:szCs w:val="18"/>
              </w:rPr>
              <w:t>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年内，风险小</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上海中兴通讯技术有限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1,049,819.97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52,491.00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虽金额重大</w:t>
            </w:r>
            <w:r>
              <w:rPr>
                <w:rFonts w:ascii="宋体" w:hAnsi="宋体" w:cs="宋体" w:eastAsia="宋体" w:hint="default"/>
                <w:spacing w:val="-77"/>
                <w:sz w:val="18"/>
                <w:szCs w:val="18"/>
              </w:rPr>
              <w:t>，</w:t>
            </w:r>
            <w:r>
              <w:rPr>
                <w:rFonts w:ascii="宋体" w:hAnsi="宋体" w:cs="宋体" w:eastAsia="宋体" w:hint="default"/>
                <w:sz w:val="18"/>
                <w:szCs w:val="18"/>
              </w:rPr>
              <w:t>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年内，风险小</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石家庄青藤网络技术有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石家庄公安局行动技术 支队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194,334.00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194,334.00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安徽省公安厅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李朝阳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安徽省电信公司合肥分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7,772,701.61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1,903,436.78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32,162,896.86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4,045,843.67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单项金额不重大但按信用风险特征组合后该组合的风险较大的应收账款的说明</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486"/>
        <w:gridCol w:w="1426"/>
        <w:gridCol w:w="934"/>
        <w:gridCol w:w="1426"/>
        <w:gridCol w:w="1426"/>
        <w:gridCol w:w="929"/>
        <w:gridCol w:w="1875"/>
      </w:tblGrid>
      <w:tr>
        <w:trPr>
          <w:trHeight w:val="355" w:hRule="exact"/>
        </w:trPr>
        <w:tc>
          <w:tcPr>
            <w:tcW w:w="1486" w:type="dxa"/>
            <w:vMerge w:val="restart"/>
            <w:tcBorders>
              <w:top w:val="single" w:sz="6" w:space="0" w:color="000000"/>
              <w:left w:val="single" w:sz="6" w:space="0" w:color="000000"/>
              <w:right w:val="single" w:sz="6" w:space="0" w:color="000000"/>
            </w:tcBorders>
          </w:tcPr>
          <w:p>
            <w:pPr>
              <w:pStyle w:val="TableParagraph"/>
              <w:spacing w:line="240" w:lineRule="auto" w:before="17"/>
              <w:ind w:left="485"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4"/>
                <w:sz w:val="18"/>
                <w:szCs w:val="18"/>
              </w:rPr>
              <w:t> </w:t>
            </w:r>
            <w:r>
              <w:rPr>
                <w:rFonts w:ascii="宋体" w:hAnsi="宋体" w:cs="宋体" w:eastAsia="宋体" w:hint="default"/>
                <w:sz w:val="18"/>
                <w:szCs w:val="18"/>
              </w:rPr>
              <w:t>龄</w:t>
            </w:r>
          </w:p>
        </w:tc>
        <w:tc>
          <w:tcPr>
            <w:tcW w:w="3785"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2012-12-31</w:t>
            </w:r>
          </w:p>
        </w:tc>
        <w:tc>
          <w:tcPr>
            <w:tcW w:w="423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2011-12-31</w:t>
            </w:r>
          </w:p>
        </w:tc>
      </w:tr>
      <w:tr>
        <w:trPr>
          <w:trHeight w:val="350" w:hRule="exact"/>
        </w:trPr>
        <w:tc>
          <w:tcPr>
            <w:tcW w:w="1486" w:type="dxa"/>
            <w:vMerge/>
            <w:tcBorders>
              <w:left w:val="single" w:sz="6" w:space="0" w:color="000000"/>
              <w:right w:val="single" w:sz="6" w:space="0" w:color="000000"/>
            </w:tcBorders>
          </w:tcPr>
          <w:p>
            <w:pPr/>
          </w:p>
        </w:tc>
        <w:tc>
          <w:tcPr>
            <w:tcW w:w="2360"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vMerge w:val="restart"/>
            <w:tcBorders>
              <w:top w:val="single" w:sz="12" w:space="0" w:color="000000"/>
              <w:left w:val="single" w:sz="6" w:space="0" w:color="000000"/>
              <w:right w:val="single" w:sz="6"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5"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75" w:type="dxa"/>
            <w:vMerge w:val="restart"/>
            <w:tcBorders>
              <w:top w:val="single" w:sz="12" w:space="0" w:color="000000"/>
              <w:left w:val="single" w:sz="6" w:space="0" w:color="000000"/>
              <w:right w:val="nil" w:sz="6" w:space="0" w:color="auto"/>
            </w:tcBorders>
          </w:tcPr>
          <w:p>
            <w:pPr>
              <w:pStyle w:val="TableParagraph"/>
              <w:spacing w:line="240" w:lineRule="auto" w:before="8"/>
              <w:ind w:left="5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1486" w:type="dxa"/>
            <w:vMerge/>
            <w:tcBorders>
              <w:left w:val="single" w:sz="6" w:space="0" w:color="000000"/>
              <w:bottom w:val="single" w:sz="12" w:space="0" w:color="000000"/>
              <w:right w:val="single" w:sz="6" w:space="0" w:color="000000"/>
            </w:tcBorders>
          </w:tcPr>
          <w:p>
            <w:pP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26" w:type="dxa"/>
            <w:vMerge/>
            <w:tcBorders>
              <w:left w:val="single" w:sz="6" w:space="0" w:color="000000"/>
              <w:bottom w:val="single" w:sz="12" w:space="0" w:color="000000"/>
              <w:right w:val="single" w:sz="6" w:space="0" w:color="000000"/>
            </w:tcBorders>
          </w:tcPr>
          <w:p>
            <w:pP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875" w:type="dxa"/>
            <w:vMerge/>
            <w:tcBorders>
              <w:left w:val="single" w:sz="6" w:space="0" w:color="000000"/>
              <w:bottom w:val="single" w:sz="12" w:space="0" w:color="000000"/>
              <w:right w:val="nil" w:sz="6" w:space="0" w:color="auto"/>
            </w:tcBorders>
          </w:tcPr>
          <w:p>
            <w:pPr/>
          </w:p>
        </w:tc>
      </w:tr>
      <w:tr>
        <w:trPr>
          <w:trHeight w:val="353" w:hRule="exact"/>
        </w:trPr>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26" w:type="dxa"/>
            <w:tcBorders>
              <w:top w:val="single" w:sz="12" w:space="0" w:color="000000"/>
              <w:left w:val="single" w:sz="6" w:space="0" w:color="000000"/>
              <w:bottom w:val="single" w:sz="12" w:space="0" w:color="000000"/>
              <w:right w:val="single" w:sz="6" w:space="0" w:color="000000"/>
            </w:tcBorders>
          </w:tcPr>
          <w:p>
            <w:pPr/>
          </w:p>
        </w:tc>
        <w:tc>
          <w:tcPr>
            <w:tcW w:w="934" w:type="dxa"/>
            <w:tcBorders>
              <w:top w:val="single" w:sz="12" w:space="0" w:color="000000"/>
              <w:left w:val="single" w:sz="6" w:space="0" w:color="000000"/>
              <w:bottom w:val="single" w:sz="12" w:space="0" w:color="000000"/>
              <w:right w:val="single" w:sz="6" w:space="0" w:color="000000"/>
            </w:tcBorders>
          </w:tcPr>
          <w:p>
            <w:pPr/>
          </w:p>
        </w:tc>
        <w:tc>
          <w:tcPr>
            <w:tcW w:w="1426" w:type="dxa"/>
            <w:tcBorders>
              <w:top w:val="single" w:sz="12" w:space="0" w:color="000000"/>
              <w:left w:val="single" w:sz="6" w:space="0" w:color="000000"/>
              <w:bottom w:val="single" w:sz="12" w:space="0" w:color="000000"/>
              <w:right w:val="single" w:sz="6" w:space="0" w:color="000000"/>
            </w:tcBorders>
          </w:tcPr>
          <w:p>
            <w:pPr/>
          </w:p>
        </w:tc>
        <w:tc>
          <w:tcPr>
            <w:tcW w:w="1426" w:type="dxa"/>
            <w:tcBorders>
              <w:top w:val="single" w:sz="12" w:space="0" w:color="000000"/>
              <w:left w:val="single" w:sz="6" w:space="0" w:color="000000"/>
              <w:bottom w:val="single" w:sz="12" w:space="0" w:color="000000"/>
              <w:right w:val="single" w:sz="6" w:space="0" w:color="000000"/>
            </w:tcBorders>
          </w:tcPr>
          <w:p>
            <w:pPr/>
          </w:p>
        </w:tc>
        <w:tc>
          <w:tcPr>
            <w:tcW w:w="929" w:type="dxa"/>
            <w:tcBorders>
              <w:top w:val="single" w:sz="12" w:space="0" w:color="000000"/>
              <w:left w:val="single" w:sz="6" w:space="0" w:color="000000"/>
              <w:bottom w:val="single" w:sz="12" w:space="0" w:color="000000"/>
              <w:right w:val="single" w:sz="6" w:space="0" w:color="000000"/>
            </w:tcBorders>
          </w:tcPr>
          <w:p>
            <w:pPr/>
          </w:p>
        </w:tc>
        <w:tc>
          <w:tcPr>
            <w:tcW w:w="1875"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426" w:type="dxa"/>
            <w:tcBorders>
              <w:top w:val="single" w:sz="12" w:space="0" w:color="000000"/>
              <w:left w:val="single" w:sz="6" w:space="0" w:color="000000"/>
              <w:bottom w:val="single" w:sz="12" w:space="0" w:color="000000"/>
              <w:right w:val="single" w:sz="6" w:space="0" w:color="000000"/>
            </w:tcBorders>
          </w:tcPr>
          <w:p>
            <w:pPr/>
          </w:p>
        </w:tc>
        <w:tc>
          <w:tcPr>
            <w:tcW w:w="934" w:type="dxa"/>
            <w:tcBorders>
              <w:top w:val="single" w:sz="12" w:space="0" w:color="000000"/>
              <w:left w:val="single" w:sz="6" w:space="0" w:color="000000"/>
              <w:bottom w:val="single" w:sz="12" w:space="0" w:color="000000"/>
              <w:right w:val="single" w:sz="6" w:space="0" w:color="000000"/>
            </w:tcBorders>
          </w:tcPr>
          <w:p>
            <w:pPr/>
          </w:p>
        </w:tc>
        <w:tc>
          <w:tcPr>
            <w:tcW w:w="1426" w:type="dxa"/>
            <w:tcBorders>
              <w:top w:val="single" w:sz="12" w:space="0" w:color="000000"/>
              <w:left w:val="single" w:sz="6" w:space="0" w:color="000000"/>
              <w:bottom w:val="single" w:sz="12" w:space="0" w:color="000000"/>
              <w:right w:val="single" w:sz="6" w:space="0" w:color="000000"/>
            </w:tcBorders>
          </w:tcPr>
          <w:p>
            <w:pPr/>
          </w:p>
        </w:tc>
        <w:tc>
          <w:tcPr>
            <w:tcW w:w="1426" w:type="dxa"/>
            <w:tcBorders>
              <w:top w:val="single" w:sz="12" w:space="0" w:color="000000"/>
              <w:left w:val="single" w:sz="6" w:space="0" w:color="000000"/>
              <w:bottom w:val="single" w:sz="12" w:space="0" w:color="000000"/>
              <w:right w:val="single" w:sz="6" w:space="0" w:color="000000"/>
            </w:tcBorders>
          </w:tcPr>
          <w:p>
            <w:pPr/>
          </w:p>
        </w:tc>
        <w:tc>
          <w:tcPr>
            <w:tcW w:w="929" w:type="dxa"/>
            <w:tcBorders>
              <w:top w:val="single" w:sz="12" w:space="0" w:color="000000"/>
              <w:left w:val="single" w:sz="6" w:space="0" w:color="000000"/>
              <w:bottom w:val="single" w:sz="12" w:space="0" w:color="000000"/>
              <w:right w:val="single" w:sz="6" w:space="0" w:color="000000"/>
            </w:tcBorders>
          </w:tcPr>
          <w:p>
            <w:pPr/>
          </w:p>
        </w:tc>
        <w:tc>
          <w:tcPr>
            <w:tcW w:w="187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426" w:type="dxa"/>
            <w:tcBorders>
              <w:top w:val="single" w:sz="12" w:space="0" w:color="000000"/>
              <w:left w:val="single" w:sz="6" w:space="0" w:color="000000"/>
              <w:bottom w:val="single" w:sz="12" w:space="0" w:color="000000"/>
              <w:right w:val="single" w:sz="6" w:space="0" w:color="000000"/>
            </w:tcBorders>
          </w:tcPr>
          <w:p>
            <w:pPr/>
          </w:p>
        </w:tc>
        <w:tc>
          <w:tcPr>
            <w:tcW w:w="934" w:type="dxa"/>
            <w:tcBorders>
              <w:top w:val="single" w:sz="12" w:space="0" w:color="000000"/>
              <w:left w:val="single" w:sz="6" w:space="0" w:color="000000"/>
              <w:bottom w:val="single" w:sz="12" w:space="0" w:color="000000"/>
              <w:right w:val="single" w:sz="6" w:space="0" w:color="000000"/>
            </w:tcBorders>
          </w:tcPr>
          <w:p>
            <w:pPr/>
          </w:p>
        </w:tc>
        <w:tc>
          <w:tcPr>
            <w:tcW w:w="1426" w:type="dxa"/>
            <w:tcBorders>
              <w:top w:val="single" w:sz="12" w:space="0" w:color="000000"/>
              <w:left w:val="single" w:sz="6" w:space="0" w:color="000000"/>
              <w:bottom w:val="single" w:sz="12" w:space="0" w:color="000000"/>
              <w:right w:val="single" w:sz="6" w:space="0" w:color="000000"/>
            </w:tcBorders>
          </w:tcPr>
          <w:p>
            <w:pPr/>
          </w:p>
        </w:tc>
        <w:tc>
          <w:tcPr>
            <w:tcW w:w="1426" w:type="dxa"/>
            <w:tcBorders>
              <w:top w:val="single" w:sz="12" w:space="0" w:color="000000"/>
              <w:left w:val="single" w:sz="6" w:space="0" w:color="000000"/>
              <w:bottom w:val="single" w:sz="12" w:space="0" w:color="000000"/>
              <w:right w:val="single" w:sz="6" w:space="0" w:color="000000"/>
            </w:tcBorders>
          </w:tcPr>
          <w:p>
            <w:pPr/>
          </w:p>
        </w:tc>
        <w:tc>
          <w:tcPr>
            <w:tcW w:w="929" w:type="dxa"/>
            <w:tcBorders>
              <w:top w:val="single" w:sz="12" w:space="0" w:color="000000"/>
              <w:left w:val="single" w:sz="6" w:space="0" w:color="000000"/>
              <w:bottom w:val="single" w:sz="12" w:space="0" w:color="000000"/>
              <w:right w:val="single" w:sz="6" w:space="0" w:color="000000"/>
            </w:tcBorders>
          </w:tcPr>
          <w:p>
            <w:pPr/>
          </w:p>
        </w:tc>
        <w:tc>
          <w:tcPr>
            <w:tcW w:w="187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63" w:right="0"/>
              <w:jc w:val="left"/>
              <w:rPr>
                <w:rFonts w:ascii="Times New Roman" w:hAnsi="Times New Roman" w:cs="Times New Roman" w:eastAsia="Times New Roman" w:hint="default"/>
                <w:sz w:val="18"/>
                <w:szCs w:val="18"/>
              </w:rPr>
            </w:pPr>
            <w:r>
              <w:rPr>
                <w:rFonts w:ascii="Times New Roman"/>
                <w:sz w:val="18"/>
              </w:rPr>
              <w:t>1,776,789.01</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73" w:right="-1"/>
              <w:jc w:val="left"/>
              <w:rPr>
                <w:rFonts w:ascii="Times New Roman" w:hAnsi="Times New Roman" w:cs="Times New Roman" w:eastAsia="Times New Roman" w:hint="default"/>
                <w:sz w:val="18"/>
                <w:szCs w:val="18"/>
              </w:rPr>
            </w:pPr>
            <w:r>
              <w:rPr>
                <w:rFonts w:ascii="Times New Roman"/>
                <w:sz w:val="18"/>
              </w:rPr>
              <w:t>100.00%</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1,776,789.01</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1,340,310.00</w:t>
            </w:r>
          </w:p>
        </w:tc>
        <w:tc>
          <w:tcPr>
            <w:tcW w:w="9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66" w:right="0"/>
              <w:jc w:val="left"/>
              <w:rPr>
                <w:rFonts w:ascii="Times New Roman" w:hAnsi="Times New Roman" w:cs="Times New Roman" w:eastAsia="Times New Roman" w:hint="default"/>
                <w:sz w:val="18"/>
                <w:szCs w:val="18"/>
              </w:rPr>
            </w:pPr>
            <w:r>
              <w:rPr>
                <w:rFonts w:ascii="Times New Roman"/>
                <w:sz w:val="18"/>
              </w:rPr>
              <w:t>100.00%</w:t>
            </w:r>
          </w:p>
        </w:tc>
        <w:tc>
          <w:tcPr>
            <w:tcW w:w="18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1,340,310.00</w:t>
            </w:r>
          </w:p>
        </w:tc>
      </w:tr>
      <w:tr>
        <w:trPr>
          <w:trHeight w:val="353" w:hRule="exact"/>
        </w:trPr>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8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63" w:right="0"/>
              <w:jc w:val="left"/>
              <w:rPr>
                <w:rFonts w:ascii="Times New Roman" w:hAnsi="Times New Roman" w:cs="Times New Roman" w:eastAsia="Times New Roman" w:hint="default"/>
                <w:sz w:val="18"/>
                <w:szCs w:val="18"/>
              </w:rPr>
            </w:pPr>
            <w:r>
              <w:rPr>
                <w:rFonts w:ascii="Times New Roman"/>
                <w:sz w:val="18"/>
              </w:rPr>
              <w:t>1,776,789.01</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73" w:right="-1"/>
              <w:jc w:val="left"/>
              <w:rPr>
                <w:rFonts w:ascii="Times New Roman" w:hAnsi="Times New Roman" w:cs="Times New Roman" w:eastAsia="Times New Roman" w:hint="default"/>
                <w:sz w:val="18"/>
                <w:szCs w:val="18"/>
              </w:rPr>
            </w:pPr>
            <w:r>
              <w:rPr>
                <w:rFonts w:ascii="Times New Roman"/>
                <w:sz w:val="18"/>
              </w:rPr>
              <w:t>100.00%</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1,776,789.01</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1,340,310.00</w:t>
            </w:r>
          </w:p>
        </w:tc>
        <w:tc>
          <w:tcPr>
            <w:tcW w:w="9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66" w:right="0"/>
              <w:jc w:val="left"/>
              <w:rPr>
                <w:rFonts w:ascii="Times New Roman" w:hAnsi="Times New Roman" w:cs="Times New Roman" w:eastAsia="Times New Roman" w:hint="default"/>
                <w:sz w:val="18"/>
                <w:szCs w:val="18"/>
              </w:rPr>
            </w:pPr>
            <w:r>
              <w:rPr>
                <w:rFonts w:ascii="Times New Roman"/>
                <w:sz w:val="18"/>
              </w:rPr>
              <w:t>100.00%</w:t>
            </w:r>
          </w:p>
        </w:tc>
        <w:tc>
          <w:tcPr>
            <w:tcW w:w="18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1,340,310.00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国家计算机网络应急技 术处理协调中心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5,956,500.00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12.93%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深圳国人通信有限公司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3,314,989.11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武汉虹信通信技术有限 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2,314,694.61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国家计算机网络应急技 术处理协调中心新疆分 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2,132,434.96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深圳市公安局网络警察 支队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1,950,800.00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15,669,418.68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9"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851,600.00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17.53%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85,160.00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2,737,583.00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45.83%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179,659.15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19.86%</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按照账龄分析法计提的 坏账准备的其他应收款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3,417,695.80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70.37%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270,985.72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2,695,357.26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45.12%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184,663.08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20.41%</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3,417,695.80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70.37%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270,985.72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2,695,357.26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45.12%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184,663.08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20.41%</w:t>
            </w:r>
          </w:p>
        </w:tc>
      </w:tr>
      <w:tr>
        <w:trPr>
          <w:trHeight w:val="102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587,540.85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587,540.85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540,464.85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540,464.85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59.74%</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4,856,836.65</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943,686.57</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5,973,405.11</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904,787.08</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7974"/>
        <w:jc w:val="left"/>
      </w:pPr>
      <w:r>
        <w:rPr/>
        <w:t>其他应收款种类的说明 无</w:t>
      </w:r>
    </w:p>
    <w:p>
      <w:pPr>
        <w:pStyle w:val="BodyText"/>
        <w:spacing w:line="240" w:lineRule="auto" w:before="27"/>
        <w:ind w:right="0"/>
        <w:jc w:val="left"/>
      </w:pPr>
      <w:r>
        <w:rPr/>
        <w:t>期末单项金额重大并单项计提坏账准备的其他应收款</w:t>
      </w:r>
    </w:p>
    <w:p>
      <w:pPr>
        <w:spacing w:after="0" w:line="240" w:lineRule="auto"/>
        <w:jc w:val="left"/>
        <w:sectPr>
          <w:pgSz w:w="11910" w:h="16840"/>
          <w:pgMar w:header="0" w:footer="980"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55"/>
        <w:jc w:val="right"/>
      </w:pPr>
      <w:r>
        <w:rPr/>
        <w:pict>
          <v:shape style="position:absolute;margin-left:56.400002pt;margin-top:-20.888268pt;width:479.4pt;height:76.4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广西壮族自治区公安厅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年，押金性质 风险小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85,160.00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80" w:top="1100" w:bottom="1160" w:left="980" w:right="980"/>
        </w:sectPr>
      </w:pPr>
    </w:p>
    <w:p>
      <w:pPr>
        <w:pStyle w:val="BodyText"/>
        <w:spacing w:line="240" w:lineRule="auto" w:before="44"/>
        <w:ind w:right="-20"/>
        <w:jc w:val="left"/>
      </w:pPr>
      <w:r>
        <w:rPr/>
        <w:t>组合中，采用账龄分析法计提坏账准备的其他应收款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697"/>
        <w:gridCol w:w="802"/>
        <w:gridCol w:w="1448"/>
        <w:gridCol w:w="1450"/>
        <w:gridCol w:w="838"/>
        <w:gridCol w:w="1489"/>
      </w:tblGrid>
      <w:tr>
        <w:trPr>
          <w:trHeight w:val="401"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8"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8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2,606,864.00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53.67%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146,708.20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3,697,894.26</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61.91%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176,812.43</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2,606,864.00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53.67%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146,708.20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3,697,894.26</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61.91%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176,812.43</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1,439,781.80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142,642.52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1,667,970.00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166,797.00</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222,650.00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66,795.00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67,076.00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21,442.80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587,540.85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587,540.85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540,464.85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539,734.85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587,540.85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587,540.85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540,464.85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539,734.85</w:t>
            </w:r>
          </w:p>
        </w:tc>
      </w:tr>
      <w:tr>
        <w:trPr>
          <w:trHeight w:val="404"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4,856,836.65</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943,686.57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5,973,405.11</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904,787.08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期末单项金额虽不重大但单项计提坏账准备的其他应收款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419"/>
        <w:gridCol w:w="1491"/>
        <w:gridCol w:w="1913"/>
        <w:gridCol w:w="1916"/>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西安通联网络科技发展有限公司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88,196.58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88,196.58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深圳市三科达电子有限公司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84,280.60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84,280.60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北京国佳利兴科贸有限公司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79,744.00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79,744.00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北京恒泰天宇科技有限公司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65,250.09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65,250.09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浙江省计算机信息系统安全协会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陕西龙寰招标有限责任公司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Times New Roman" w:hAnsi="Times New Roman" w:cs="Times New Roman" w:eastAsia="Times New Roman" w:hint="default"/>
                <w:sz w:val="18"/>
                <w:szCs w:val="18"/>
              </w:rPr>
            </w:pPr>
            <w:r>
              <w:rPr>
                <w:rFonts w:ascii="Times New Roman"/>
                <w:sz w:val="18"/>
              </w:rPr>
              <w:t>50,000.00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170,069.58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170,069.58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587,540.85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587,540.85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广西壮族自治区公安厅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雇员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479,428.00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王娜</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雇员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187,050.00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刘文彬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雇员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孙秀玲</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雇员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1,814,068.00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2"/>
        <w:gridCol w:w="3187"/>
        <w:gridCol w:w="1063"/>
        <w:gridCol w:w="3054"/>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305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2,800,801.35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1,268,915.36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172,324.00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w:t>
            </w:r>
          </w:p>
        </w:tc>
        <w:tc>
          <w:tcPr>
            <w:tcW w:w="305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2,973,125.35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1,268,915.36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北京金网实科技有限公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1,155,000.00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湖南蚁坊软件有限公司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陕西众信科技有限公司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370,325.33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预付结算款</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北京新伟佳业科技有限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150,787.00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深圳市银河风云网络系 统股份有限公司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111,600.00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2,787,712.33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7794"/>
        <w:jc w:val="left"/>
      </w:pPr>
      <w:r>
        <w:rPr/>
        <w:t>预付款项主要单位的说明 无</w:t>
      </w:r>
    </w:p>
    <w:p>
      <w:pPr>
        <w:spacing w:after="0" w:line="357" w:lineRule="auto"/>
        <w:jc w:val="left"/>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461"/>
        <w:gridCol w:w="1193"/>
        <w:gridCol w:w="1330"/>
        <w:gridCol w:w="1327"/>
        <w:gridCol w:w="1330"/>
        <w:gridCol w:w="1327"/>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8,817,358.84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8,817,358.84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321,648.37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321,648.37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17,609,146.44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1,119,060.27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16,490,086.17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8,414,368.39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444,402.39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7,969,966.00</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6,537,568.82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6,537,568.82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11,122,317.06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11,122,317.06</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33,285,722.47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1,119,060.27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32,166,662.20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19,536,685.45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444,402.39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19,092,283.06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0"/>
        <w:gridCol w:w="1757"/>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444,402.39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849,998.58</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175,340.70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1,119,060.27</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444,402.39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849,998.58</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175,340.70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1,119,060.27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196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北京中天 信安科技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4,557,748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4,557,748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4,557,748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4,557,748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609,326.00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609,326.00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609,326.00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609,326.00</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46,308.76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11,577.18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57,885.94</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46,308.76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11,577.18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57,885.94</w:t>
            </w:r>
          </w:p>
        </w:tc>
      </w:tr>
      <w:tr>
        <w:trPr>
          <w:trHeight w:val="716"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563,017.24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-11,577.18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551,440.06</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563,017.24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-11,577.18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551,440.06</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563,017.24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-11,577.18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551,440.06</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563,017.24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-11,577.18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551,440.06</w:t>
            </w:r>
          </w:p>
        </w:tc>
      </w:tr>
    </w:tbl>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7"/>
        <w:gridCol w:w="4221"/>
      </w:tblGrid>
      <w:tr>
        <w:trPr>
          <w:trHeight w:val="401" w:hRule="exact"/>
        </w:trPr>
        <w:tc>
          <w:tcPr>
            <w:tcW w:w="53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11,577.18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7"/>
        <w:gridCol w:w="1594"/>
        <w:gridCol w:w="1596"/>
        <w:gridCol w:w="1460"/>
      </w:tblGrid>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96,411,508.06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30,479,260.41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126,890,768.47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70,062,469.15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4,107,783.33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74,170,252.48</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1,373,314.49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1,373,314.49</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1,173,081.78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1,628,130.22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2,801,212.00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23,702,519.39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22,971,530.23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46,674,049.62</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1,473,437.74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398,502.14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1,871,939.88</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7,827,217.69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2,537,831.23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7,801,438.00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18,166,486.92</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977,891.03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1,423,704.51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2,401,595.54</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123,598.30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196,101.08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84"/>
        <w:gridCol w:w="1472"/>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872,985.38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26,644.80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352,517.48</w:t>
            </w:r>
          </w:p>
        </w:tc>
        <w:tc>
          <w:tcPr>
            <w:tcW w:w="158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1,252,147.66</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4"/>
              <w:jc w:val="right"/>
              <w:rPr>
                <w:rFonts w:ascii="Times New Roman" w:hAnsi="Times New Roman" w:cs="Times New Roman" w:eastAsia="Times New Roman" w:hint="default"/>
                <w:sz w:val="18"/>
                <w:szCs w:val="18"/>
              </w:rPr>
            </w:pPr>
            <w:r>
              <w:rPr>
                <w:rFonts w:ascii="Times New Roman"/>
                <w:spacing w:val="-1"/>
                <w:sz w:val="18"/>
              </w:rPr>
              <w:t>5,281,881.92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2,282,982.08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5,683,835.99</w:t>
            </w:r>
          </w:p>
        </w:tc>
        <w:tc>
          <w:tcPr>
            <w:tcW w:w="158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13,248,699.99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694,459.36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155,701.57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217,781.72</w:t>
            </w:r>
          </w:p>
        </w:tc>
        <w:tc>
          <w:tcPr>
            <w:tcW w:w="158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1,067,942.65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88,584,290.37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108,724,281.55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69,084,578.12</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71,768,656.94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1,177,213.41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300,096.40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1,549,064.34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18,420,637.47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33,425,349.63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778,978.38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803,997.23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88,584,290.37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108,724,281.55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69,084,578.11</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71,768,656.94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1,177,213.41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300,096.40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1,549,064.34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18,420,637.47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33,425,349.63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778,978.38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803,997.23</w:t>
            </w:r>
          </w:p>
        </w:tc>
      </w:tr>
    </w:tbl>
    <w:p>
      <w:pPr>
        <w:pStyle w:val="BodyText"/>
        <w:spacing w:line="240" w:lineRule="auto" w:before="49"/>
        <w:ind w:right="0"/>
        <w:jc w:val="left"/>
      </w:pPr>
      <w:r>
        <w:rPr/>
        <w:t>本期折旧额</w:t>
      </w:r>
      <w:r>
        <w:rPr>
          <w:spacing w:val="-49"/>
        </w:rPr>
        <w:t> </w:t>
      </w:r>
      <w:r>
        <w:rPr>
          <w:rFonts w:ascii="Times New Roman" w:hAnsi="Times New Roman" w:cs="Times New Roman" w:eastAsia="Times New Roman" w:hint="default"/>
        </w:rPr>
        <w:t>7,801,438.00</w:t>
      </w:r>
      <w:r>
        <w:rPr>
          <w:rFonts w:ascii="Times New Roman" w:hAnsi="Times New Roman" w:cs="Times New Roman" w:eastAsia="Times New Roman" w:hint="default"/>
          <w:spacing w:val="-2"/>
        </w:rPr>
        <w:t> </w:t>
      </w:r>
      <w:r>
        <w:rPr/>
        <w:t>元；本期由在建工程转入固定资产原价为元。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1,872,560.25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718,343.81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2,590,904.06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1,872,560.25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718,343.81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2,590,904.06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663,922.77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428,331.91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1,092,254.68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663,922.77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428,331.91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1,092,254.68</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1,208,637.48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290,011.90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1,498,649.38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1,208,637.48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290,011.90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1,498,649.38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1,208,637.48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290,011.90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1,498,649.38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1,208,637.48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290,011.90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1,498,649.38</w:t>
            </w:r>
          </w:p>
        </w:tc>
      </w:tr>
    </w:tbl>
    <w:p>
      <w:pPr>
        <w:pStyle w:val="BodyText"/>
        <w:spacing w:line="240" w:lineRule="auto" w:before="49"/>
        <w:ind w:right="0"/>
        <w:jc w:val="left"/>
      </w:pPr>
      <w:r>
        <w:rPr/>
        <w:t>本期摊销额</w:t>
      </w:r>
      <w:r>
        <w:rPr>
          <w:spacing w:val="-47"/>
        </w:rPr>
        <w:t> </w:t>
      </w:r>
      <w:r>
        <w:rPr>
          <w:rFonts w:ascii="Times New Roman" w:hAnsi="Times New Roman" w:cs="Times New Roman" w:eastAsia="Times New Roman" w:hint="default"/>
        </w:rPr>
        <w:t>428,331.91</w:t>
      </w:r>
      <w:r>
        <w:rPr>
          <w:rFonts w:ascii="Times New Roman" w:hAnsi="Times New Roman" w:cs="Times New Roman" w:eastAsia="Times New Roman" w:hint="default"/>
          <w:spacing w:val="-1"/>
        </w:rPr>
        <w:t> </w:t>
      </w:r>
      <w:r>
        <w:rPr/>
        <w:t>元。</w:t>
      </w:r>
    </w:p>
    <w:p>
      <w:pPr>
        <w:spacing w:after="0" w:line="240" w:lineRule="auto"/>
        <w:jc w:val="left"/>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59"/>
        <w:gridCol w:w="1460"/>
        <w:gridCol w:w="1462"/>
        <w:gridCol w:w="1198"/>
      </w:tblGrid>
      <w:tr>
        <w:trPr>
          <w:trHeight w:val="7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非同一控制下企业合并形成的 商誉</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267,679.28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4,475,411.73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4,743,091.01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1,983,479.28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267,679.28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4,475,411.73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4,743,091.01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1,983,479.28</w:t>
            </w:r>
          </w:p>
        </w:tc>
      </w:tr>
    </w:tbl>
    <w:p>
      <w:pPr>
        <w:pStyle w:val="BodyText"/>
        <w:spacing w:line="240" w:lineRule="auto" w:before="49"/>
        <w:ind w:right="0"/>
        <w:jc w:val="left"/>
      </w:pPr>
      <w:r>
        <w:rPr/>
        <w:t>说明商誉的减值测试方法和减值准备计提方法</w:t>
      </w:r>
    </w:p>
    <w:p>
      <w:pPr>
        <w:pStyle w:val="BodyText"/>
        <w:spacing w:line="300" w:lineRule="auto" w:before="115"/>
        <w:ind w:right="162" w:firstLine="72"/>
        <w:jc w:val="left"/>
      </w:pPr>
      <w:r>
        <w:rPr/>
        <w:t>公司本年度新增的商誉是购买博海通讯合并形成的。截至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日，基于谨慎性原则，本公司对非同一控制下企业 合并形成的商誉计提了</w:t>
      </w:r>
      <w:r>
        <w:rPr>
          <w:rFonts w:ascii="Times New Roman" w:hAnsi="Times New Roman" w:cs="Times New Roman" w:eastAsia="Times New Roman" w:hint="default"/>
        </w:rPr>
        <w:t>1,983,479.28</w:t>
      </w:r>
      <w:r>
        <w:rPr/>
        <w:t>减值准备。</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78"/>
        <w:gridCol w:w="1345"/>
      </w:tblGrid>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0"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77,225.17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77,225.17</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154"/>
        <w:jc w:val="left"/>
      </w:pPr>
      <w:r>
        <w:rPr/>
        <w:t>长期待摊费用的说明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13</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1,084,406.16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586,566.63</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4,332,000.00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3,265,499.99</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5,416,406.16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3,852,066.62</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0"/>
        <w:jc w:val="left"/>
      </w:pPr>
      <w:r>
        <w:rPr/>
        <w:t>应纳税差异和可抵扣差异项目明细</w:t>
      </w:r>
    </w:p>
    <w:p>
      <w:pPr>
        <w:pStyle w:val="BodyText"/>
        <w:spacing w:line="240" w:lineRule="auto" w:before="118"/>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2"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after="0" w:line="240"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5,166,626.16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2,561,254.69</w:t>
            </w:r>
          </w:p>
        </w:tc>
      </w:tr>
      <w:tr>
        <w:trPr>
          <w:trHeight w:val="40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943,686.57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904,787.08</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1,119,060.27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444,402.39</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28,880,000.00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21,769,999.96</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36,109,373.00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25,680,444.12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互抵后的递延所得税资产及负债的组成项目</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7"/>
        <w:gridCol w:w="1617"/>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9"/>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7" w:type="dxa"/>
            <w:vMerge/>
            <w:tcBorders>
              <w:left w:val="single" w:sz="4" w:space="0" w:color="000000"/>
              <w:right w:val="single" w:sz="4" w:space="0" w:color="000000"/>
            </w:tcBorders>
            <w:shd w:val="clear" w:color="auto" w:fill="D2D2D2"/>
          </w:tcPr>
          <w:p>
            <w:pPr/>
          </w:p>
        </w:tc>
        <w:tc>
          <w:tcPr>
            <w:tcW w:w="1617"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7" w:type="dxa"/>
            <w:vMerge/>
            <w:tcBorders>
              <w:left w:val="single" w:sz="4" w:space="0" w:color="000000"/>
              <w:bottom w:val="single" w:sz="4" w:space="0" w:color="000000"/>
              <w:right w:val="single" w:sz="4" w:space="0" w:color="000000"/>
            </w:tcBorders>
            <w:shd w:val="clear" w:color="auto" w:fill="D2D2D2"/>
          </w:tcPr>
          <w:p>
            <w:pPr/>
          </w:p>
        </w:tc>
        <w:tc>
          <w:tcPr>
            <w:tcW w:w="161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5,416,406.16</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3,852,066.62</w:t>
            </w:r>
          </w:p>
        </w:tc>
        <w:tc>
          <w:tcPr>
            <w:tcW w:w="16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、资产减值准备明细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400"/>
        <w:gridCol w:w="1397"/>
        <w:gridCol w:w="1453"/>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3,466,041.77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2,715,182.46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70,911.50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6,110,312.73</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444,402.39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849,998.58</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175,340.70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1,119,060.27</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267,679.28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1,715,800.00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1,983,479.28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4,178,123.44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5,280,981.04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70,911.50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175,340.70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9,212,852.28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、短期借款</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0" w:footer="980" w:top="1100" w:bottom="1160" w:left="980" w:right="980"/>
        </w:sectPr>
      </w:pPr>
    </w:p>
    <w:p>
      <w:pPr>
        <w:pStyle w:val="Heading3"/>
        <w:spacing w:line="240" w:lineRule="auto" w:before="36"/>
        <w:ind w:right="-16"/>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1949" w:space="6880"/>
            <w:col w:w="11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2,662,833.33</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2,662,833.33</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29"/>
        <w:jc w:val="left"/>
      </w:pPr>
      <w:r>
        <w:rPr/>
        <w:t>短期借款的说明，包括已到期短期借款获展期的，说明展期条件、新的到期日： 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日短期借款较年初余额增长了</w:t>
      </w:r>
      <w:r>
        <w:rPr>
          <w:rFonts w:ascii="Times New Roman" w:hAnsi="Times New Roman" w:cs="Times New Roman" w:eastAsia="Times New Roman" w:hint="default"/>
        </w:rPr>
        <w:t>2,662,833.33</w:t>
      </w:r>
      <w:r>
        <w:rPr/>
        <w:t>元，是本年新增子公司博海通讯增加了银行借款所致。</w:t>
      </w:r>
    </w:p>
    <w:p>
      <w:pPr>
        <w:spacing w:after="0" w:line="360" w:lineRule="auto"/>
        <w:jc w:val="left"/>
        <w:sectPr>
          <w:type w:val="continuous"/>
          <w:pgSz w:w="11910" w:h="16840"/>
          <w:pgMar w:top="106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6,710,958.58</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6,710,958.58</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下一会计期间将到期的金额</w:t>
      </w:r>
      <w:r>
        <w:rPr>
          <w:spacing w:val="-46"/>
        </w:rPr>
        <w:t> </w:t>
      </w:r>
      <w:r>
        <w:rPr>
          <w:rFonts w:ascii="Times New Roman" w:hAnsi="Times New Roman" w:cs="Times New Roman" w:eastAsia="Times New Roman" w:hint="default"/>
        </w:rPr>
        <w:t>6,710,958.58</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15,357,508.66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9,112,364.38</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6,829,953.29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125,060.99</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22,187,461.95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9,237,425.37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）账龄超过一年的大额应付账款情况的说明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844"/>
        <w:gridCol w:w="1841"/>
        <w:gridCol w:w="1843"/>
        <w:gridCol w:w="1844"/>
        <w:gridCol w:w="2129"/>
      </w:tblGrid>
      <w:tr>
        <w:trPr>
          <w:trHeight w:val="355" w:hRule="exact"/>
        </w:trPr>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6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南京烽火星空通信发展</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1,820,000.00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665"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北京兴财星软件技术有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1,101,814.40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665"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深圳市国扬通信股份有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490,685.60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66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惠州市联翔电子有限公</w:t>
            </w:r>
            <w:r>
              <w:rPr>
                <w:rFonts w:ascii="宋体" w:hAnsi="宋体" w:cs="宋体" w:eastAsia="宋体" w:hint="default"/>
                <w:spacing w:val="-71"/>
                <w:sz w:val="18"/>
                <w:szCs w:val="18"/>
              </w:rPr>
              <w:t> </w:t>
            </w:r>
            <w:r>
              <w:rPr>
                <w:rFonts w:ascii="宋体" w:hAnsi="宋体" w:cs="宋体" w:eastAsia="宋体" w:hint="default"/>
                <w:sz w:val="18"/>
                <w:szCs w:val="18"/>
              </w:rPr>
              <w:t>司</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271,141.60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53"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3,683,641.60</w:t>
            </w:r>
          </w:p>
        </w:tc>
        <w:tc>
          <w:tcPr>
            <w:tcW w:w="1844" w:type="dxa"/>
            <w:tcBorders>
              <w:top w:val="single" w:sz="12" w:space="0" w:color="000000"/>
              <w:left w:val="single" w:sz="6" w:space="0" w:color="000000"/>
              <w:bottom w:val="single" w:sz="12" w:space="0" w:color="000000"/>
              <w:right w:val="single" w:sz="6" w:space="0" w:color="000000"/>
            </w:tcBorders>
          </w:tcPr>
          <w:p>
            <w:pPr/>
          </w:p>
        </w:tc>
        <w:tc>
          <w:tcPr>
            <w:tcW w:w="212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18</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44,488,209.36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14,350,439.74</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270,658.31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43"/>
        <w:gridCol w:w="2802"/>
        <w:gridCol w:w="2921"/>
      </w:tblGrid>
      <w:tr>
        <w:trPr>
          <w:trHeight w:val="403" w:hRule="exact"/>
        </w:trPr>
        <w:tc>
          <w:tcPr>
            <w:tcW w:w="3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27" w:right="0"/>
              <w:jc w:val="left"/>
              <w:rPr>
                <w:rFonts w:ascii="Times New Roman" w:hAnsi="Times New Roman" w:cs="Times New Roman" w:eastAsia="Times New Roman" w:hint="default"/>
                <w:sz w:val="18"/>
                <w:szCs w:val="18"/>
              </w:rPr>
            </w:pPr>
            <w:r>
              <w:rPr>
                <w:rFonts w:ascii="Times New Roman"/>
                <w:sz w:val="18"/>
              </w:rPr>
              <w:t>44,758,867.67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14,367,519.74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4,943,085.55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42,594,825.09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40,097,478.34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7,440,432.30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3,260,595.81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3,260,595.81</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3,297,195.48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3,297,195.48</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2,095,600.08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2,095,600.08</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910,509.65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910,509.65</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132,330.08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132,330.08</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76,989.62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76,989.62</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81,766.05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81,766.05</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1,595,490.55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1,595,490.55</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574,986.52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574,986.52</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574,986.52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574,986.52</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4,943,085.55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51,323,093.45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48,825,746.70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7,440,432.30</w:t>
            </w:r>
          </w:p>
        </w:tc>
      </w:tr>
    </w:tbl>
    <w:p>
      <w:pPr>
        <w:pStyle w:val="BodyText"/>
        <w:spacing w:line="240" w:lineRule="auto" w:before="49"/>
        <w:ind w:right="0"/>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1"/>
        <w:ind w:right="1228"/>
        <w:jc w:val="left"/>
      </w:pPr>
      <w:r>
        <w:rPr/>
        <w:t>工会经费和职工教育经费金额</w:t>
      </w:r>
      <w:r>
        <w:rPr>
          <w:spacing w:val="-46"/>
        </w:rPr>
        <w:t> </w:t>
      </w:r>
      <w:r>
        <w:rPr>
          <w:rFonts w:ascii="Times New Roman" w:hAnsi="Times New Roman" w:cs="Times New Roman" w:eastAsia="Times New Roman" w:hint="default"/>
        </w:rPr>
        <w:t>574,986.52</w:t>
      </w:r>
      <w:r>
        <w:rPr>
          <w:rFonts w:ascii="Times New Roman" w:hAnsi="Times New Roman" w:cs="Times New Roman" w:eastAsia="Times New Roman" w:hint="default"/>
          <w:spacing w:val="1"/>
        </w:rPr>
        <w:t> </w:t>
      </w:r>
      <w:r>
        <w:rPr/>
        <w:t>元，非货币性福利金额</w:t>
      </w:r>
      <w:r>
        <w:rPr>
          <w:spacing w:val="-47"/>
        </w:rPr>
        <w:t> </w:t>
      </w:r>
      <w:r>
        <w:rPr>
          <w:rFonts w:ascii="Times New Roman" w:hAnsi="Times New Roman" w:cs="Times New Roman" w:eastAsia="Times New Roman" w:hint="default"/>
        </w:rPr>
        <w:t>0.00 </w:t>
      </w:r>
      <w:r>
        <w:rPr/>
        <w:t>元，因解除劳动关系给予补偿</w:t>
      </w:r>
      <w:r>
        <w:rPr>
          <w:spacing w:val="-47"/>
        </w:rPr>
        <w:t> </w:t>
      </w:r>
      <w:r>
        <w:rPr>
          <w:rFonts w:ascii="Times New Roman" w:hAnsi="Times New Roman" w:cs="Times New Roman" w:eastAsia="Times New Roman" w:hint="default"/>
        </w:rPr>
        <w:t>0.00 </w:t>
      </w:r>
      <w:r>
        <w:rPr/>
        <w:t>元。 应付职工薪酬预计发放时间、金额等安排</w:t>
      </w:r>
    </w:p>
    <w:p>
      <w:pPr>
        <w:pStyle w:val="BodyText"/>
        <w:spacing w:line="240" w:lineRule="auto" w:before="39"/>
        <w:ind w:right="0"/>
        <w:jc w:val="left"/>
      </w:pPr>
      <w:r>
        <w:rPr/>
        <w:t>职工工资和社会保险费均于每月按时发放、缴纳。</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12"/>
        <w:gridCol w:w="2789"/>
        <w:gridCol w:w="2657"/>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4,782,198.00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252,469.85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175,052.78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200,461.99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1,807,059.64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2,577,543.02</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136,168.77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7,359.36</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312,608.63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68,317.25</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223,291.88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48,643.92</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3,060.59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4,258.67</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11,357.30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11,357.30</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9,918.50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1,233.53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34,024.88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13,312.42</w:t>
            </w: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文化建设费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13,129.30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4,500.00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498.92</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7,508,205.51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3,189,956.23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295,891.99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170,705.99</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8,567,894.01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622,059.92</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8,863,786.00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792,765.91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）账龄超过一年的大额其他应付款情况的说明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12"/>
        <w:gridCol w:w="2096"/>
        <w:gridCol w:w="2096"/>
        <w:gridCol w:w="2698"/>
      </w:tblGrid>
      <w:tr>
        <w:trPr>
          <w:trHeight w:val="34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杜卫华</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2,248,401.38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借周转金</w:t>
            </w:r>
          </w:p>
        </w:tc>
      </w:tr>
      <w:tr>
        <w:trPr>
          <w:trHeight w:val="34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常峻</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5,632,213.33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借周转金</w:t>
            </w:r>
          </w:p>
        </w:tc>
      </w:tr>
      <w:tr>
        <w:trPr>
          <w:trHeight w:val="34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7,880,614.71</w:t>
            </w:r>
          </w:p>
        </w:tc>
        <w:tc>
          <w:tcPr>
            <w:tcW w:w="2096" w:type="dxa"/>
            <w:tcBorders>
              <w:top w:val="single" w:sz="4" w:space="0" w:color="000000"/>
              <w:left w:val="single" w:sz="4" w:space="0" w:color="000000"/>
              <w:bottom w:val="single" w:sz="4" w:space="0" w:color="000000"/>
              <w:right w:val="single" w:sz="4" w:space="0" w:color="000000"/>
            </w:tcBorders>
          </w:tcPr>
          <w:p>
            <w:pPr/>
          </w:p>
        </w:tc>
        <w:tc>
          <w:tcPr>
            <w:tcW w:w="26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、其他非流动负债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基于结构无关的低成本灾备系统补助资金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4,019,999.96</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信盾计算机终端监控系统补助资金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7"/>
              <w:jc w:val="left"/>
              <w:rPr>
                <w:rFonts w:ascii="宋体" w:hAnsi="宋体" w:cs="宋体" w:eastAsia="宋体" w:hint="default"/>
                <w:sz w:val="18"/>
                <w:szCs w:val="18"/>
              </w:rPr>
            </w:pPr>
            <w:r>
              <w:rPr>
                <w:rFonts w:ascii="宋体" w:hAnsi="宋体" w:cs="宋体" w:eastAsia="宋体" w:hint="default"/>
                <w:sz w:val="18"/>
                <w:szCs w:val="18"/>
              </w:rPr>
              <w:t>互联网音视频节目识别技术及监管研发平台补 助资金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7"/>
              <w:jc w:val="left"/>
              <w:rPr>
                <w:rFonts w:ascii="宋体" w:hAnsi="宋体" w:cs="宋体" w:eastAsia="宋体" w:hint="default"/>
                <w:sz w:val="18"/>
                <w:szCs w:val="18"/>
              </w:rPr>
            </w:pPr>
            <w:r>
              <w:rPr>
                <w:rFonts w:ascii="宋体" w:hAnsi="宋体" w:cs="宋体" w:eastAsia="宋体" w:hint="default"/>
                <w:sz w:val="18"/>
                <w:szCs w:val="18"/>
              </w:rPr>
              <w:t>互联网多媒体内容监管关键技术研发及产业化 项目补助资金</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w:t>
            </w: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7"/>
              <w:jc w:val="left"/>
              <w:rPr>
                <w:rFonts w:ascii="宋体" w:hAnsi="宋体" w:cs="宋体" w:eastAsia="宋体" w:hint="default"/>
                <w:sz w:val="18"/>
                <w:szCs w:val="18"/>
              </w:rPr>
            </w:pPr>
            <w:r>
              <w:rPr>
                <w:rFonts w:ascii="宋体" w:hAnsi="宋体" w:cs="宋体" w:eastAsia="宋体" w:hint="default"/>
                <w:sz w:val="18"/>
                <w:szCs w:val="18"/>
              </w:rPr>
              <w:t>面向三网融合的多媒体网络舆情分析平台产业 化项目补助资金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互联网舆情综合管理系统项目补助资金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移动互联网审计平台产业化项目补助资金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监控信息安全工程技术研究开发中心提升项目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36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补助资金</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互联网内容安全工程实验室项目补助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21,769,999.96</w:t>
            </w:r>
          </w:p>
        </w:tc>
      </w:tr>
    </w:tbl>
    <w:p>
      <w:pPr>
        <w:pStyle w:val="BodyText"/>
        <w:spacing w:line="240" w:lineRule="auto" w:before="49"/>
        <w:ind w:right="0"/>
        <w:jc w:val="both"/>
      </w:pPr>
      <w:r>
        <w:rPr/>
        <w:t>其他非流动负债说明，包括本报告期取得的各类与资产相关、与收益相关的政府补助及其期末金额</w:t>
      </w:r>
    </w:p>
    <w:p>
      <w:pPr>
        <w:pStyle w:val="BodyText"/>
        <w:spacing w:line="300" w:lineRule="auto" w:before="115"/>
        <w:ind w:right="190" w:firstLine="72"/>
        <w:jc w:val="both"/>
      </w:pPr>
      <w:r>
        <w:rPr>
          <w:spacing w:val="-5"/>
        </w:rPr>
        <w:t>（</w:t>
      </w:r>
      <w:r>
        <w:rPr>
          <w:rFonts w:ascii="Times New Roman" w:hAnsi="Times New Roman" w:cs="Times New Roman" w:eastAsia="Times New Roman" w:hint="default"/>
          <w:spacing w:val="-5"/>
        </w:rPr>
        <w:t>1</w:t>
      </w:r>
      <w:r>
        <w:rPr>
          <w:spacing w:val="-5"/>
        </w:rPr>
        <w:t>）根据国家发展和改革委员会办公厅文件（发改办高技</w:t>
      </w:r>
      <w:r>
        <w:rPr>
          <w:rFonts w:ascii="Times New Roman" w:hAnsi="Times New Roman" w:cs="Times New Roman" w:eastAsia="Times New Roman" w:hint="default"/>
          <w:spacing w:val="-5"/>
        </w:rPr>
        <w:t>[2007]2035</w:t>
      </w:r>
      <w:r>
        <w:rPr>
          <w:spacing w:val="-5"/>
        </w:rPr>
        <w:t>号）和深圳市发展和改革委员会文件（深发改</w:t>
      </w:r>
      <w:r>
        <w:rPr>
          <w:rFonts w:ascii="Times New Roman" w:hAnsi="Times New Roman" w:cs="Times New Roman" w:eastAsia="Times New Roman" w:hint="default"/>
          <w:spacing w:val="-5"/>
        </w:rPr>
        <w:t>[2007]2219</w:t>
      </w:r>
      <w:r>
        <w:rPr>
          <w:rFonts w:ascii="Times New Roman" w:hAnsi="Times New Roman" w:cs="Times New Roman" w:eastAsia="Times New Roman" w:hint="default"/>
        </w:rPr>
        <w:t> </w:t>
      </w:r>
      <w:r>
        <w:rPr>
          <w:spacing w:val="-2"/>
        </w:rPr>
        <w:t>号）规定，国家发改委和深圳市发改委分别拨付本公司基于结构无关的低成本灾备系统补助资金</w:t>
      </w:r>
      <w:r>
        <w:rPr>
          <w:rFonts w:ascii="Times New Roman" w:hAnsi="Times New Roman" w:cs="Times New Roman" w:eastAsia="Times New Roman" w:hint="default"/>
          <w:spacing w:val="-2"/>
        </w:rPr>
        <w:t>450</w:t>
      </w:r>
      <w:r>
        <w:rPr>
          <w:spacing w:val="-2"/>
        </w:rPr>
        <w:t>万元和</w:t>
      </w:r>
      <w:r>
        <w:rPr>
          <w:rFonts w:ascii="Times New Roman" w:hAnsi="Times New Roman" w:cs="Times New Roman" w:eastAsia="Times New Roman" w:hint="default"/>
          <w:spacing w:val="-2"/>
        </w:rPr>
        <w:t>200</w:t>
      </w:r>
      <w:r>
        <w:rPr>
          <w:spacing w:val="-2"/>
        </w:rPr>
        <w:t>万元，深圳市</w:t>
      </w:r>
      <w:r>
        <w:rPr>
          <w:spacing w:val="-61"/>
        </w:rPr>
        <w:t> </w:t>
      </w:r>
      <w:r>
        <w:rPr>
          <w:spacing w:val="-61"/>
        </w:rPr>
      </w:r>
      <w:r>
        <w:rPr>
          <w:spacing w:val="-2"/>
        </w:rPr>
        <w:t>南山区财政局也配套拨付</w:t>
      </w:r>
      <w:r>
        <w:rPr>
          <w:rFonts w:ascii="Times New Roman" w:hAnsi="Times New Roman" w:cs="Times New Roman" w:eastAsia="Times New Roman" w:hint="default"/>
          <w:spacing w:val="-2"/>
        </w:rPr>
        <w:t>20</w:t>
      </w:r>
      <w:r>
        <w:rPr>
          <w:spacing w:val="-2"/>
        </w:rPr>
        <w:t>万元，三项拨款合计</w:t>
      </w:r>
      <w:r>
        <w:rPr>
          <w:rFonts w:ascii="Times New Roman" w:hAnsi="Times New Roman" w:cs="Times New Roman" w:eastAsia="Times New Roman" w:hint="default"/>
          <w:spacing w:val="-2"/>
        </w:rPr>
        <w:t>670</w:t>
      </w:r>
      <w:r>
        <w:rPr>
          <w:spacing w:val="-2"/>
        </w:rPr>
        <w:t>万元。该项目于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月完成验收，本公司自</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月起，将该递延</w:t>
      </w:r>
      <w:r>
        <w:rPr>
          <w:spacing w:val="-57"/>
        </w:rPr>
        <w:t> </w:t>
      </w:r>
      <w:r>
        <w:rPr>
          <w:spacing w:val="-57"/>
        </w:rPr>
      </w:r>
      <w:r>
        <w:rPr/>
        <w:t>收益按</w:t>
      </w:r>
      <w:r>
        <w:rPr>
          <w:rFonts w:ascii="Times New Roman" w:hAnsi="Times New Roman" w:cs="Times New Roman" w:eastAsia="Times New Roman" w:hint="default"/>
        </w:rPr>
        <w:t>5</w:t>
      </w:r>
      <w:r>
        <w:rPr/>
        <w:t>年分期计入补贴收入。</w:t>
      </w:r>
    </w:p>
    <w:p>
      <w:pPr>
        <w:pStyle w:val="BodyText"/>
        <w:spacing w:line="300" w:lineRule="auto" w:before="13"/>
        <w:ind w:right="98"/>
        <w:jc w:val="left"/>
      </w:pPr>
      <w:r>
        <w:rPr/>
        <w:t>（</w:t>
      </w:r>
      <w:r>
        <w:rPr>
          <w:rFonts w:ascii="Times New Roman" w:hAnsi="Times New Roman" w:cs="Times New Roman" w:eastAsia="Times New Roman" w:hint="default"/>
        </w:rPr>
        <w:t>2</w:t>
      </w:r>
      <w:r>
        <w:rPr/>
        <w:t>）根据国家发展和改革委员会办公厅文件（发改办高技</w:t>
      </w:r>
      <w:r>
        <w:rPr>
          <w:rFonts w:ascii="Times New Roman" w:hAnsi="Times New Roman" w:cs="Times New Roman" w:eastAsia="Times New Roman" w:hint="default"/>
        </w:rPr>
        <w:t>[2009]924</w:t>
      </w:r>
      <w:r>
        <w:rPr/>
        <w:t>号）和深圳市发展和改革委员会文件（深发改</w:t>
      </w:r>
      <w:r>
        <w:rPr>
          <w:rFonts w:ascii="Times New Roman" w:hAnsi="Times New Roman" w:cs="Times New Roman" w:eastAsia="Times New Roman" w:hint="default"/>
        </w:rPr>
        <w:t>[2010]128 </w:t>
      </w:r>
      <w:r>
        <w:rPr>
          <w:spacing w:val="-4"/>
        </w:rPr>
        <w:t>号）规定，国家发改委和深圳市发改委分别拨付本公司信盾计算机终端监控系统产品产业化项目补助资金</w:t>
      </w:r>
      <w:r>
        <w:rPr>
          <w:rFonts w:ascii="Times New Roman" w:hAnsi="Times New Roman" w:cs="Times New Roman" w:eastAsia="Times New Roman" w:hint="default"/>
          <w:spacing w:val="-4"/>
        </w:rPr>
        <w:t>800</w:t>
      </w:r>
      <w:r>
        <w:rPr>
          <w:spacing w:val="-4"/>
        </w:rPr>
        <w:t>万元和</w:t>
      </w:r>
      <w:r>
        <w:rPr>
          <w:rFonts w:ascii="Times New Roman" w:hAnsi="Times New Roman" w:cs="Times New Roman" w:eastAsia="Times New Roman" w:hint="default"/>
          <w:spacing w:val="-4"/>
        </w:rPr>
        <w:t>300</w:t>
      </w:r>
      <w:r>
        <w:rPr>
          <w:spacing w:val="-4"/>
        </w:rPr>
        <w:t>万元，</w:t>
      </w:r>
      <w:r>
        <w:rPr>
          <w:spacing w:val="-34"/>
        </w:rPr>
        <w:t> </w:t>
      </w:r>
      <w:r>
        <w:rPr>
          <w:spacing w:val="-34"/>
        </w:rPr>
      </w:r>
      <w:r>
        <w:rPr/>
        <w:t>两项合计</w:t>
      </w:r>
      <w:r>
        <w:rPr>
          <w:rFonts w:ascii="Times New Roman" w:hAnsi="Times New Roman" w:cs="Times New Roman" w:eastAsia="Times New Roman" w:hint="default"/>
        </w:rPr>
        <w:t>1100</w:t>
      </w:r>
      <w:r>
        <w:rPr/>
        <w:t>万元。该项目于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月完成验收，本公司自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月起，将该递延收益按</w:t>
      </w:r>
      <w:r>
        <w:rPr>
          <w:rFonts w:ascii="Times New Roman" w:hAnsi="Times New Roman" w:cs="Times New Roman" w:eastAsia="Times New Roman" w:hint="default"/>
        </w:rPr>
        <w:t>5</w:t>
      </w:r>
      <w:r>
        <w:rPr/>
        <w:t>年分期计入补贴收入。</w:t>
      </w:r>
    </w:p>
    <w:p>
      <w:pPr>
        <w:pStyle w:val="BodyText"/>
        <w:spacing w:line="300" w:lineRule="auto" w:before="13"/>
        <w:ind w:right="98"/>
        <w:jc w:val="left"/>
      </w:pPr>
      <w:r>
        <w:rPr/>
        <w:t>（</w:t>
      </w:r>
      <w:r>
        <w:rPr>
          <w:rFonts w:ascii="Times New Roman" w:hAnsi="Times New Roman" w:cs="Times New Roman" w:eastAsia="Times New Roman" w:hint="default"/>
        </w:rPr>
        <w:t>3</w:t>
      </w:r>
      <w:r>
        <w:rPr/>
        <w:t>）根据工业和信息化部文件（工信部财</w:t>
      </w:r>
      <w:r>
        <w:rPr>
          <w:rFonts w:ascii="Times New Roman" w:hAnsi="Times New Roman" w:cs="Times New Roman" w:eastAsia="Times New Roman" w:hint="default"/>
        </w:rPr>
        <w:t>[2010]301</w:t>
      </w:r>
      <w:r>
        <w:rPr/>
        <w:t>号）和深圳市发展和改革委员会文件（深发改</w:t>
      </w:r>
      <w:r>
        <w:rPr>
          <w:rFonts w:ascii="Times New Roman" w:hAnsi="Times New Roman" w:cs="Times New Roman" w:eastAsia="Times New Roman" w:hint="default"/>
        </w:rPr>
        <w:t>[2010]1324</w:t>
      </w:r>
      <w:r>
        <w:rPr/>
        <w:t>号）规定，工 </w:t>
      </w:r>
      <w:r>
        <w:rPr>
          <w:spacing w:val="-2"/>
        </w:rPr>
        <w:t>信部和深圳市发改委分别拨付本公司互联网音视频节目信息识别技术及监管平台研发项目补助资金</w:t>
      </w:r>
      <w:r>
        <w:rPr>
          <w:rFonts w:ascii="Times New Roman" w:hAnsi="Times New Roman" w:cs="Times New Roman" w:eastAsia="Times New Roman" w:hint="default"/>
          <w:spacing w:val="-2"/>
        </w:rPr>
        <w:t>200</w:t>
      </w:r>
      <w:r>
        <w:rPr>
          <w:spacing w:val="-2"/>
        </w:rPr>
        <w:t>万元和</w:t>
      </w:r>
      <w:r>
        <w:rPr>
          <w:rFonts w:ascii="Times New Roman" w:hAnsi="Times New Roman" w:cs="Times New Roman" w:eastAsia="Times New Roman" w:hint="default"/>
          <w:spacing w:val="-2"/>
        </w:rPr>
        <w:t>100</w:t>
      </w:r>
      <w:r>
        <w:rPr>
          <w:spacing w:val="-2"/>
        </w:rPr>
        <w:t>万元。该项</w:t>
      </w:r>
      <w:r>
        <w:rPr>
          <w:spacing w:val="-59"/>
        </w:rPr>
        <w:t> </w:t>
      </w:r>
      <w:r>
        <w:rPr>
          <w:spacing w:val="-59"/>
        </w:rPr>
      </w:r>
      <w:r>
        <w:rPr/>
        <w:t>目已于</w:t>
      </w:r>
      <w:r>
        <w:rPr>
          <w:rFonts w:ascii="Times New Roman" w:hAnsi="Times New Roman" w:cs="Times New Roman" w:eastAsia="Times New Roman" w:hint="default"/>
        </w:rPr>
        <w:t>2012</w:t>
      </w:r>
      <w:r>
        <w:rPr/>
        <w:t>年完成验收，计入补贴收入。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月，深圳市发展和改革委员会根据深发改</w:t>
      </w:r>
      <w:r>
        <w:rPr>
          <w:rFonts w:ascii="Times New Roman" w:hAnsi="Times New Roman" w:cs="Times New Roman" w:eastAsia="Times New Roman" w:hint="default"/>
        </w:rPr>
        <w:t>[2011]1782</w:t>
      </w:r>
      <w:r>
        <w:rPr/>
        <w:t>号文拨付本公司补助 资金</w:t>
      </w:r>
      <w:r>
        <w:rPr>
          <w:rFonts w:ascii="Times New Roman" w:hAnsi="Times New Roman" w:cs="Times New Roman" w:eastAsia="Times New Roman" w:hint="default"/>
        </w:rPr>
        <w:t>100</w:t>
      </w:r>
      <w:r>
        <w:rPr/>
        <w:t>万元，用于购置资产，暂计入递延收益。</w:t>
      </w:r>
    </w:p>
    <w:p>
      <w:pPr>
        <w:pStyle w:val="BodyText"/>
        <w:spacing w:line="300" w:lineRule="auto" w:before="13"/>
        <w:ind w:right="191"/>
        <w:jc w:val="both"/>
      </w:pPr>
      <w:r>
        <w:rPr>
          <w:spacing w:val="-1"/>
        </w:rPr>
        <w:t>（</w:t>
      </w:r>
      <w:r>
        <w:rPr>
          <w:rFonts w:ascii="Times New Roman" w:hAnsi="Times New Roman" w:cs="Times New Roman" w:eastAsia="Times New Roman" w:hint="default"/>
          <w:spacing w:val="-1"/>
        </w:rPr>
        <w:t>4</w:t>
      </w:r>
      <w:r>
        <w:rPr>
          <w:spacing w:val="-1"/>
        </w:rPr>
        <w:t>）根据深圳市发展和改革委员会文件（深发改</w:t>
      </w:r>
      <w:r>
        <w:rPr>
          <w:rFonts w:ascii="Times New Roman" w:hAnsi="Times New Roman" w:cs="Times New Roman" w:eastAsia="Times New Roman" w:hint="default"/>
          <w:spacing w:val="-1"/>
        </w:rPr>
        <w:t>[2011]168</w:t>
      </w:r>
      <w:r>
        <w:rPr>
          <w:spacing w:val="-1"/>
        </w:rPr>
        <w:t>号）规定，深圳市科技工贸和信息化委员会拨付本公司互联网多</w:t>
      </w:r>
      <w:r>
        <w:rPr>
          <w:spacing w:val="-58"/>
        </w:rPr>
        <w:t> </w:t>
      </w:r>
      <w:r>
        <w:rPr>
          <w:spacing w:val="-58"/>
        </w:rPr>
      </w:r>
      <w:r>
        <w:rPr/>
        <w:t>媒体内容监管关键技术研发及产业化项目补助资金</w:t>
      </w:r>
      <w:r>
        <w:rPr>
          <w:rFonts w:ascii="Times New Roman" w:hAnsi="Times New Roman" w:cs="Times New Roman" w:eastAsia="Times New Roman" w:hint="default"/>
        </w:rPr>
        <w:t>500</w:t>
      </w:r>
      <w:r>
        <w:rPr/>
        <w:t>万元。按受益期计入</w:t>
      </w:r>
      <w:r>
        <w:rPr>
          <w:rFonts w:ascii="Times New Roman" w:hAnsi="Times New Roman" w:cs="Times New Roman" w:eastAsia="Times New Roman" w:hint="default"/>
        </w:rPr>
        <w:t>2011</w:t>
      </w:r>
      <w:r>
        <w:rPr/>
        <w:t>年度收益</w:t>
      </w:r>
      <w:r>
        <w:rPr>
          <w:rFonts w:ascii="Times New Roman" w:hAnsi="Times New Roman" w:cs="Times New Roman" w:eastAsia="Times New Roman" w:hint="default"/>
        </w:rPr>
        <w:t>125</w:t>
      </w:r>
      <w:r>
        <w:rPr/>
        <w:t>万元，计入</w:t>
      </w:r>
      <w:r>
        <w:rPr>
          <w:rFonts w:ascii="Times New Roman" w:hAnsi="Times New Roman" w:cs="Times New Roman" w:eastAsia="Times New Roman" w:hint="default"/>
        </w:rPr>
        <w:t>2012</w:t>
      </w:r>
      <w:r>
        <w:rPr/>
        <w:t>年度收益</w:t>
      </w:r>
      <w:r>
        <w:rPr>
          <w:rFonts w:ascii="Times New Roman" w:hAnsi="Times New Roman" w:cs="Times New Roman" w:eastAsia="Times New Roman" w:hint="default"/>
        </w:rPr>
        <w:t>225</w:t>
      </w:r>
      <w:r>
        <w:rPr/>
        <w:t>万 元，分配给合作单位</w:t>
      </w:r>
      <w:r>
        <w:rPr>
          <w:rFonts w:ascii="Times New Roman" w:hAnsi="Times New Roman" w:cs="Times New Roman" w:eastAsia="Times New Roman" w:hint="default"/>
        </w:rPr>
        <w:t>150</w:t>
      </w:r>
      <w:r>
        <w:rPr/>
        <w:t>万元。</w:t>
      </w:r>
    </w:p>
    <w:p>
      <w:pPr>
        <w:pStyle w:val="BodyText"/>
        <w:spacing w:line="300" w:lineRule="auto" w:before="13"/>
        <w:ind w:right="190"/>
        <w:jc w:val="both"/>
      </w:pPr>
      <w:r>
        <w:rPr/>
        <w:t>（</w:t>
      </w:r>
      <w:r>
        <w:rPr>
          <w:rFonts w:ascii="Times New Roman" w:hAnsi="Times New Roman" w:cs="Times New Roman" w:eastAsia="Times New Roman" w:hint="default"/>
        </w:rPr>
        <w:t>5</w:t>
      </w:r>
      <w:r>
        <w:rPr/>
        <w:t>）根据国家发展和改革委员会办公厅复函文件（发改办高技【</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1424</w:t>
      </w:r>
      <w:r>
        <w:rPr/>
        <w:t>号文）和深圳市发展和改革委员会关于转发国 家发展和改革委员会办公厅复函文件的通知（深发改【</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703</w:t>
      </w:r>
      <w:r>
        <w:rPr/>
        <w:t>号文件以及深圳市发展和改革委员会转发的《国家发展改 </w:t>
      </w:r>
      <w:r>
        <w:rPr>
          <w:spacing w:val="-2"/>
        </w:rPr>
        <w:t>革委员会关于下达</w:t>
      </w:r>
      <w:r>
        <w:rPr>
          <w:rFonts w:ascii="Times New Roman" w:hAnsi="Times New Roman" w:cs="Times New Roman" w:eastAsia="Times New Roman" w:hint="default"/>
          <w:spacing w:val="-2"/>
        </w:rPr>
        <w:t>2012</w:t>
      </w:r>
      <w:r>
        <w:rPr>
          <w:spacing w:val="-2"/>
        </w:rPr>
        <w:t>年第三批产业技术研究与开发资金高技术产业发展项目投资计划的通知》（深发改【</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1152</w:t>
      </w:r>
      <w:r>
        <w:rPr>
          <w:spacing w:val="-2"/>
        </w:rPr>
        <w:t>号文</w:t>
      </w:r>
      <w:r>
        <w:rPr>
          <w:spacing w:val="-61"/>
        </w:rPr>
        <w:t> </w:t>
      </w:r>
      <w:r>
        <w:rPr>
          <w:spacing w:val="-2"/>
        </w:rPr>
        <w:t>件），拨付本公司面向三网融合的多媒体网络舆情分析平台产业化项目资金</w:t>
      </w:r>
      <w:r>
        <w:rPr>
          <w:rFonts w:ascii="Times New Roman" w:hAnsi="Times New Roman" w:cs="Times New Roman" w:eastAsia="Times New Roman" w:hint="default"/>
          <w:spacing w:val="-2"/>
        </w:rPr>
        <w:t>800</w:t>
      </w:r>
      <w:r>
        <w:rPr>
          <w:spacing w:val="-2"/>
        </w:rPr>
        <w:t>万元。截至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日，已实际拨付</w:t>
      </w:r>
      <w:r>
        <w:rPr>
          <w:rFonts w:ascii="Times New Roman" w:hAnsi="Times New Roman" w:cs="Times New Roman" w:eastAsia="Times New Roman" w:hint="default"/>
          <w:spacing w:val="-2"/>
        </w:rPr>
        <w:t>350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万元。因该项目尚未完成，暂计入递延收益。</w:t>
      </w:r>
    </w:p>
    <w:p>
      <w:pPr>
        <w:pStyle w:val="BodyText"/>
        <w:spacing w:line="300" w:lineRule="auto" w:before="31"/>
        <w:ind w:right="192"/>
        <w:jc w:val="both"/>
      </w:pPr>
      <w:r>
        <w:rPr>
          <w:spacing w:val="-2"/>
        </w:rPr>
        <w:t>（</w:t>
      </w:r>
      <w:r>
        <w:rPr>
          <w:rFonts w:ascii="Times New Roman" w:hAnsi="Times New Roman" w:cs="Times New Roman" w:eastAsia="Times New Roman" w:hint="default"/>
          <w:spacing w:val="-2"/>
        </w:rPr>
        <w:t>6</w:t>
      </w:r>
      <w:r>
        <w:rPr>
          <w:spacing w:val="-2"/>
        </w:rPr>
        <w:t>）根据深圳市科技创新委员会下发的深科技创新【</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139</w:t>
      </w:r>
      <w:r>
        <w:rPr>
          <w:spacing w:val="-2"/>
        </w:rPr>
        <w:t>号文件规定，深圳市科技创新委员会拨付本公司互联网舆情</w:t>
      </w:r>
      <w:r>
        <w:rPr>
          <w:spacing w:val="-59"/>
        </w:rPr>
        <w:t> </w:t>
      </w:r>
      <w:r>
        <w:rPr>
          <w:spacing w:val="-59"/>
        </w:rPr>
      </w:r>
      <w:r>
        <w:rPr/>
        <w:t>综合管理系统项目资助款</w:t>
      </w:r>
      <w:r>
        <w:rPr>
          <w:rFonts w:ascii="Times New Roman" w:hAnsi="Times New Roman" w:cs="Times New Roman" w:eastAsia="Times New Roman" w:hint="default"/>
        </w:rPr>
        <w:t>90</w:t>
      </w:r>
      <w:r>
        <w:rPr/>
        <w:t>万元，因该项目尚未完成，暂计入递延收益。</w:t>
      </w:r>
    </w:p>
    <w:p>
      <w:pPr>
        <w:pStyle w:val="BodyText"/>
        <w:spacing w:line="300" w:lineRule="auto" w:before="13"/>
        <w:ind w:right="191"/>
        <w:jc w:val="both"/>
      </w:pPr>
      <w:r>
        <w:rPr/>
        <w:t>（</w:t>
      </w:r>
      <w:r>
        <w:rPr>
          <w:rFonts w:ascii="Times New Roman" w:hAnsi="Times New Roman" w:cs="Times New Roman" w:eastAsia="Times New Roman" w:hint="default"/>
        </w:rPr>
        <w:t>7</w:t>
      </w:r>
      <w:r>
        <w:rPr/>
        <w:t>）根据深圳市发展和改革委员会、深圳市经济贸易和信息化委员会、深圳市科技创新委员会、深圳市财政委员会关于下 </w:t>
      </w:r>
      <w:r>
        <w:rPr>
          <w:spacing w:val="-2"/>
        </w:rPr>
        <w:t>达</w:t>
      </w:r>
      <w:r>
        <w:rPr>
          <w:rFonts w:ascii="Times New Roman" w:hAnsi="Times New Roman" w:cs="Times New Roman" w:eastAsia="Times New Roman" w:hint="default"/>
          <w:spacing w:val="-2"/>
        </w:rPr>
        <w:t>2012</w:t>
      </w:r>
      <w:r>
        <w:rPr>
          <w:spacing w:val="-2"/>
        </w:rPr>
        <w:t>年第一批扶持计划的文件（深发改【</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707</w:t>
      </w:r>
      <w:r>
        <w:rPr>
          <w:spacing w:val="-2"/>
        </w:rPr>
        <w:t>号）规定，拨付本公司市互联网产业发展专项资金补助</w:t>
      </w:r>
      <w:r>
        <w:rPr>
          <w:rFonts w:ascii="Times New Roman" w:hAnsi="Times New Roman" w:cs="Times New Roman" w:eastAsia="Times New Roman" w:hint="default"/>
          <w:spacing w:val="-2"/>
        </w:rPr>
        <w:t>500</w:t>
      </w:r>
      <w:r>
        <w:rPr>
          <w:spacing w:val="-2"/>
        </w:rPr>
        <w:t>万元，因该</w:t>
      </w:r>
      <w:r>
        <w:rPr>
          <w:spacing w:val="-58"/>
        </w:rPr>
        <w:t> </w:t>
      </w:r>
      <w:r>
        <w:rPr>
          <w:spacing w:val="-58"/>
        </w:rPr>
      </w:r>
      <w:r>
        <w:rPr/>
        <w:t>项目尚未完成，暂计入递延收益。</w:t>
      </w:r>
    </w:p>
    <w:p>
      <w:pPr>
        <w:pStyle w:val="BodyText"/>
        <w:spacing w:line="300" w:lineRule="auto" w:before="31"/>
        <w:ind w:right="193"/>
        <w:jc w:val="both"/>
      </w:pPr>
      <w:r>
        <w:rPr/>
        <w:t>（</w:t>
      </w:r>
      <w:r>
        <w:rPr>
          <w:rFonts w:ascii="Times New Roman" w:hAnsi="Times New Roman" w:cs="Times New Roman" w:eastAsia="Times New Roman" w:hint="default"/>
        </w:rPr>
        <w:t>8</w:t>
      </w:r>
      <w:r>
        <w:rPr/>
        <w:t>）根据深圳市发展和改革委员会、深圳市科技工贸和信息化委员会、深圳市财政委员会关于下达专项资金</w:t>
      </w:r>
      <w:r>
        <w:rPr>
          <w:rFonts w:ascii="Times New Roman" w:hAnsi="Times New Roman" w:cs="Times New Roman" w:eastAsia="Times New Roman" w:hint="default"/>
        </w:rPr>
        <w:t>2011</w:t>
      </w:r>
      <w:r>
        <w:rPr/>
        <w:t>年第一批 扶持计划的通知（深发改【</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1673</w:t>
      </w:r>
      <w:r>
        <w:rPr/>
        <w:t>号文）规定，拨付本公司网络内容与行为审计和监管平台研究项目补助</w:t>
      </w:r>
      <w:r>
        <w:rPr>
          <w:rFonts w:ascii="Times New Roman" w:hAnsi="Times New Roman" w:cs="Times New Roman" w:eastAsia="Times New Roman" w:hint="default"/>
        </w:rPr>
        <w:t>200</w:t>
      </w:r>
      <w:r>
        <w:rPr/>
        <w:t>万元，因</w:t>
      </w:r>
      <w:r>
        <w:rPr>
          <w:spacing w:val="-87"/>
        </w:rPr>
        <w:t> </w:t>
      </w:r>
      <w:r>
        <w:rPr/>
        <w:t>该项目尚未完成，暂计入递延收益。</w:t>
      </w:r>
    </w:p>
    <w:p>
      <w:pPr>
        <w:pStyle w:val="BodyText"/>
        <w:spacing w:line="300" w:lineRule="auto" w:before="31"/>
        <w:ind w:right="198"/>
        <w:jc w:val="both"/>
      </w:pPr>
      <w:r>
        <w:rPr/>
        <w:t>（</w:t>
      </w:r>
      <w:r>
        <w:rPr>
          <w:rFonts w:ascii="Times New Roman" w:hAnsi="Times New Roman" w:cs="Times New Roman" w:eastAsia="Times New Roman" w:hint="default"/>
        </w:rPr>
        <w:t>9</w:t>
      </w:r>
      <w:r>
        <w:rPr/>
        <w:t>）根据深圳市发展和改革委员会、深圳市经济贸易和信息化委员会、深圳市科技创新委员会、深圳市财政委员会联合文 件（深发改【</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1241</w:t>
      </w:r>
      <w:r>
        <w:rPr/>
        <w:t>号文）规定，拨付本公司互联网内容安全工程实验室项目补助资金</w:t>
      </w:r>
      <w:r>
        <w:rPr>
          <w:rFonts w:ascii="Times New Roman" w:hAnsi="Times New Roman" w:cs="Times New Roman" w:eastAsia="Times New Roman" w:hint="default"/>
        </w:rPr>
        <w:t>500</w:t>
      </w:r>
      <w:r>
        <w:rPr/>
        <w:t>万元，因该项目尚未完成， 暂计入递延收益。</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23</w:t>
      </w:r>
      <w:r>
        <w:rPr/>
        <w:t>、股本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9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9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53,000,000.00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17,700,000.00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17,700,000.00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0" w:right="0"/>
              <w:jc w:val="left"/>
              <w:rPr>
                <w:rFonts w:ascii="Times New Roman" w:hAnsi="Times New Roman" w:cs="Times New Roman" w:eastAsia="Times New Roman" w:hint="default"/>
                <w:sz w:val="18"/>
                <w:szCs w:val="18"/>
              </w:rPr>
            </w:pPr>
            <w:r>
              <w:rPr>
                <w:rFonts w:ascii="Times New Roman"/>
                <w:sz w:val="18"/>
              </w:rPr>
              <w:t>70,700,000.00</w:t>
            </w:r>
          </w:p>
        </w:tc>
      </w:tr>
    </w:tbl>
    <w:p>
      <w:pPr>
        <w:pStyle w:val="BodyText"/>
        <w:spacing w:line="240" w:lineRule="auto" w:before="49"/>
        <w:ind w:right="98"/>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spacing w:after="0" w:line="240" w:lineRule="auto"/>
        <w:jc w:val="left"/>
        <w:rPr>
          <w:rFonts w:ascii="Times New Roman" w:hAnsi="Times New Roman" w:cs="Times New Roman" w:eastAsia="Times New Roman" w:hint="default"/>
        </w:rPr>
        <w:sectPr>
          <w:pgSz w:w="11910" w:h="16840"/>
          <w:pgMar w:header="0" w:footer="980" w:top="1100" w:bottom="1160" w:left="980" w:right="940"/>
        </w:sectPr>
      </w:pPr>
    </w:p>
    <w:p>
      <w:pPr>
        <w:spacing w:line="240" w:lineRule="auto" w:before="9"/>
        <w:rPr>
          <w:rFonts w:ascii="Times New Roman" w:hAnsi="Times New Roman" w:cs="Times New Roman" w:eastAsia="Times New Roman" w:hint="default"/>
          <w:sz w:val="24"/>
          <w:szCs w:val="24"/>
        </w:rPr>
      </w:pPr>
    </w:p>
    <w:p>
      <w:pPr>
        <w:pStyle w:val="BodyText"/>
        <w:spacing w:line="360" w:lineRule="auto" w:before="44"/>
        <w:ind w:left="585" w:right="151" w:hanging="433"/>
        <w:jc w:val="left"/>
      </w:pPr>
      <w:r>
        <w:rPr/>
        <w:t>年的股份有限公司，设立前的年份只需说明净资产情况；有限责任公司整体变更为股份公司应说明公司设立时的验资情况 根据中国证券监督管理委员会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[2012]411</w:t>
      </w:r>
      <w:r>
        <w:rPr/>
        <w:t>号</w:t>
      </w:r>
      <w:r>
        <w:rPr>
          <w:rFonts w:ascii="Times New Roman" w:hAnsi="Times New Roman" w:cs="Times New Roman" w:eastAsia="Times New Roman" w:hint="default"/>
        </w:rPr>
        <w:t>”</w:t>
      </w:r>
      <w:r>
        <w:rPr/>
        <w:t>文《关于核准任子行网络技术股份有限公司首次公开发行股票并</w:t>
      </w:r>
    </w:p>
    <w:p>
      <w:pPr>
        <w:pStyle w:val="BodyText"/>
        <w:spacing w:line="212" w:lineRule="exact"/>
        <w:ind w:right="0"/>
        <w:jc w:val="both"/>
      </w:pPr>
      <w:r>
        <w:rPr/>
        <w:t>在创业板上市的批复》，公司于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日向社会公开发行人民币普通股（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17,700,000.00</w:t>
      </w:r>
      <w:r>
        <w:rPr>
          <w:rFonts w:ascii="Times New Roman" w:hAnsi="Times New Roman" w:cs="Times New Roman" w:eastAsia="Times New Roman" w:hint="default"/>
          <w:spacing w:val="7"/>
        </w:rPr>
        <w:t> </w:t>
      </w:r>
      <w:r>
        <w:rPr/>
        <w:t>股，增加注册资本</w:t>
      </w:r>
    </w:p>
    <w:p>
      <w:pPr>
        <w:pStyle w:val="BodyText"/>
        <w:spacing w:line="300" w:lineRule="auto" w:before="63"/>
        <w:ind w:right="151"/>
        <w:jc w:val="both"/>
      </w:pPr>
      <w:r>
        <w:rPr>
          <w:rFonts w:ascii="Times New Roman" w:hAnsi="Times New Roman" w:cs="Times New Roman" w:eastAsia="Times New Roman" w:hint="default"/>
        </w:rPr>
        <w:t>17,700,000.00 </w:t>
      </w:r>
      <w:r>
        <w:rPr/>
        <w:t>元，变更后的注册资本为人民币</w:t>
      </w:r>
      <w:r>
        <w:rPr>
          <w:rFonts w:ascii="Times New Roman" w:hAnsi="Times New Roman" w:cs="Times New Roman" w:eastAsia="Times New Roman" w:hint="default"/>
        </w:rPr>
        <w:t>70,700,000.00 </w:t>
      </w:r>
      <w:r>
        <w:rPr/>
        <w:t>元。募集资金净额</w:t>
      </w:r>
      <w:r>
        <w:rPr>
          <w:rFonts w:ascii="Times New Roman" w:hAnsi="Times New Roman" w:cs="Times New Roman" w:eastAsia="Times New Roman" w:hint="default"/>
        </w:rPr>
        <w:t>231,079,987.00</w:t>
      </w:r>
      <w:r>
        <w:rPr>
          <w:rFonts w:ascii="Times New Roman" w:hAnsi="Times New Roman" w:cs="Times New Roman" w:eastAsia="Times New Roman" w:hint="default"/>
          <w:spacing w:val="2"/>
        </w:rPr>
        <w:t> </w:t>
      </w:r>
      <w:r>
        <w:rPr>
          <w:spacing w:val="-4"/>
        </w:rPr>
        <w:t>元，其中注册资本（股本）人</w:t>
      </w:r>
      <w:r>
        <w:rPr/>
        <w:t> 民币壹仟柒佰柒拾万元，溢价人民币</w:t>
      </w:r>
      <w:r>
        <w:rPr>
          <w:rFonts w:ascii="Times New Roman" w:hAnsi="Times New Roman" w:cs="Times New Roman" w:eastAsia="Times New Roman" w:hint="default"/>
        </w:rPr>
        <w:t>213,379,987.00</w:t>
      </w:r>
      <w:r>
        <w:rPr>
          <w:rFonts w:ascii="Times New Roman" w:hAnsi="Times New Roman" w:cs="Times New Roman" w:eastAsia="Times New Roman" w:hint="default"/>
          <w:spacing w:val="7"/>
        </w:rPr>
        <w:t> </w:t>
      </w:r>
      <w:r>
        <w:rPr/>
        <w:t>元计入资本公积。以上股本业经北京永拓会计师事务所有限责任公司以 京永验字</w:t>
      </w:r>
      <w:r>
        <w:rPr>
          <w:rFonts w:ascii="Times New Roman" w:hAnsi="Times New Roman" w:cs="Times New Roman" w:eastAsia="Times New Roman" w:hint="default"/>
        </w:rPr>
        <w:t>(2012)  </w:t>
      </w:r>
      <w:r>
        <w:rPr/>
        <w:t>第</w:t>
      </w:r>
      <w:r>
        <w:rPr>
          <w:rFonts w:ascii="Times New Roman" w:hAnsi="Times New Roman" w:cs="Times New Roman" w:eastAsia="Times New Roman" w:hint="default"/>
        </w:rPr>
        <w:t>21002</w:t>
      </w:r>
      <w:r>
        <w:rPr>
          <w:rFonts w:ascii="Times New Roman" w:hAnsi="Times New Roman" w:cs="Times New Roman" w:eastAsia="Times New Roman" w:hint="default"/>
          <w:spacing w:val="6"/>
        </w:rPr>
        <w:t> </w:t>
      </w:r>
      <w:r>
        <w:rPr/>
        <w:t>号验资报告验证。</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19,066,977.92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213,379,987.00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232,446,964.92</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19,066,977.92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213,379,987.00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232,446,964.92</w:t>
            </w:r>
          </w:p>
        </w:tc>
      </w:tr>
    </w:tbl>
    <w:p>
      <w:pPr>
        <w:pStyle w:val="BodyText"/>
        <w:spacing w:line="240" w:lineRule="auto" w:before="49"/>
        <w:ind w:right="0"/>
        <w:jc w:val="left"/>
      </w:pPr>
      <w:r>
        <w:rPr/>
        <w:t>资本公积说明</w:t>
      </w:r>
    </w:p>
    <w:p>
      <w:pPr>
        <w:pStyle w:val="BodyText"/>
        <w:spacing w:line="300" w:lineRule="auto" w:before="115"/>
        <w:ind w:right="141" w:firstLine="288"/>
        <w:jc w:val="left"/>
      </w:pPr>
      <w:r>
        <w:rPr/>
        <w:t>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日向社会公开发行人民币普通股（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17,700,000.00 </w:t>
      </w:r>
      <w:r>
        <w:rPr/>
        <w:t>股，募集资金净额</w:t>
      </w:r>
      <w:r>
        <w:rPr>
          <w:rFonts w:ascii="Times New Roman" w:hAnsi="Times New Roman" w:cs="Times New Roman" w:eastAsia="Times New Roman" w:hint="default"/>
        </w:rPr>
        <w:t>231,079,987.00</w:t>
      </w:r>
      <w:r>
        <w:rPr>
          <w:rFonts w:ascii="Times New Roman" w:hAnsi="Times New Roman" w:cs="Times New Roman" w:eastAsia="Times New Roman" w:hint="default"/>
          <w:spacing w:val="14"/>
        </w:rPr>
        <w:t> </w:t>
      </w:r>
      <w:r>
        <w:rPr>
          <w:spacing w:val="-6"/>
        </w:rPr>
        <w:t>元，其中</w:t>
      </w:r>
      <w:r>
        <w:rPr/>
        <w:t> 注册资本（股本）人民币壹仟柒佰柒拾万元，溢价人民币</w:t>
      </w:r>
      <w:r>
        <w:rPr>
          <w:rFonts w:ascii="Times New Roman" w:hAnsi="Times New Roman" w:cs="Times New Roman" w:eastAsia="Times New Roman" w:hint="default"/>
        </w:rPr>
        <w:t>213,379,987.00</w:t>
      </w:r>
      <w:r>
        <w:rPr/>
        <w:t>元计入资本公积。</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、盈余公积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6,855,096.08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3,872,744.74</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10,727,840.82</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6,855,096.08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3,872,744.74</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10,727,840.82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26</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10"/>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63,590,682.63</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63,590,682.63</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39,007,060.36</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3,872,744.74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right"/>
              <w:rPr>
                <w:rFonts w:ascii="Times New Roman" w:hAnsi="Times New Roman" w:cs="Times New Roman" w:eastAsia="Times New Roman" w:hint="default"/>
                <w:sz w:val="18"/>
                <w:szCs w:val="18"/>
              </w:rPr>
            </w:pPr>
            <w:r>
              <w:rPr>
                <w:rFonts w:ascii="Times New Roman"/>
                <w:sz w:val="18"/>
              </w:rPr>
              <w:t>10%</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91,654,998.25</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0" w:footer="980" w:top="1100" w:bottom="1160" w:left="980" w:right="980"/>
        </w:sectPr>
      </w:pPr>
    </w:p>
    <w:p>
      <w:pPr>
        <w:spacing w:line="240" w:lineRule="auto" w:before="11"/>
        <w:rPr>
          <w:rFonts w:ascii="宋体" w:hAnsi="宋体" w:cs="宋体" w:eastAsia="宋体" w:hint="default"/>
          <w:sz w:val="21"/>
          <w:szCs w:val="21"/>
        </w:rPr>
      </w:pPr>
    </w:p>
    <w:p>
      <w:pPr>
        <w:pStyle w:val="BodyText"/>
        <w:spacing w:line="326" w:lineRule="auto" w:before="44"/>
        <w:ind w:right="0"/>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pStyle w:val="BodyText"/>
        <w:spacing w:line="300" w:lineRule="auto" w:before="50"/>
        <w:ind w:left="441" w:right="228" w:firstLine="72"/>
        <w:jc w:val="left"/>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日召开的临时股东大会审议批准，公司公开发行前的滚存利润由新老股东共同享有。 本公司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  </w:t>
      </w:r>
      <w:r>
        <w:rPr/>
        <w:t>日召开的</w:t>
      </w:r>
      <w:r>
        <w:rPr>
          <w:rFonts w:ascii="Times New Roman" w:hAnsi="Times New Roman" w:cs="Times New Roman" w:eastAsia="Times New Roman" w:hint="default"/>
        </w:rPr>
        <w:t>2012  </w:t>
      </w:r>
      <w:r>
        <w:rPr/>
        <w:t>年第四次临时股东大会决议，以公司总股本</w:t>
      </w:r>
      <w:r>
        <w:rPr>
          <w:rFonts w:ascii="Times New Roman" w:hAnsi="Times New Roman" w:cs="Times New Roman" w:eastAsia="Times New Roman" w:hint="default"/>
        </w:rPr>
        <w:t>70,700,000.00</w:t>
      </w:r>
      <w:r>
        <w:rPr>
          <w:rFonts w:ascii="Times New Roman" w:hAnsi="Times New Roman" w:cs="Times New Roman" w:eastAsia="Times New Roman" w:hint="default"/>
          <w:spacing w:val="-13"/>
        </w:rPr>
        <w:t> </w:t>
      </w:r>
      <w:r>
        <w:rPr/>
        <w:t>股为基数，向全体股东按</w:t>
      </w:r>
    </w:p>
    <w:p>
      <w:pPr>
        <w:pStyle w:val="BodyText"/>
        <w:spacing w:line="240" w:lineRule="auto" w:before="13"/>
        <w:ind w:right="0"/>
        <w:jc w:val="left"/>
      </w:pPr>
      <w:r>
        <w:rPr/>
        <w:t>每</w:t>
      </w:r>
      <w:r>
        <w:rPr>
          <w:rFonts w:ascii="Times New Roman" w:hAnsi="Times New Roman" w:cs="Times New Roman" w:eastAsia="Times New Roman" w:hint="default"/>
        </w:rPr>
        <w:t>10  </w:t>
      </w:r>
      <w:r>
        <w:rPr/>
        <w:t>股派发现金红利</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元（含税），合计共派发现金红利</w:t>
      </w:r>
      <w:r>
        <w:rPr>
          <w:rFonts w:ascii="Times New Roman" w:hAnsi="Times New Roman" w:cs="Times New Roman" w:eastAsia="Times New Roman" w:hint="default"/>
        </w:rPr>
        <w:t>7,070,000.00</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27</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192,965,600.79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175,027,892.96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8,574.29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85,580.00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83,974,440.74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76,276,299.40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软件销售收入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64,486,286.87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865,291.15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61,444,099.29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401,086.18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102,046,432.84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70,617,479.15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87,544,697.05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67,466,191.41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服务类收入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26,432,881.08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12,478,624.02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26,039,096.62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8,333,744.63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192,965,600.79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83,961,394.32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175,027,892.96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76,201,022.22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专用安全审计产品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51,630,903.71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23,748,180.63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57,760,765.76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17,564,852.90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通用安全审计产品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59,898,969.48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13,253,569.16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47,449,103.06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9,837,630.42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网络监管产品及安全集成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75,286,018.28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41,824,938.11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69,818,024.14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48,798,538.90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6,149,709.32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5,134,706.42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192,965,600.79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83,961,394.32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175,027,892.96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76,201,022.22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30,704,136.64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4,052,616.38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7,561,571.66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2,114,625.95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7,067,219.19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2,698,000.27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54,666,097.04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30,042,072.64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74,115,183.89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43,980,698.57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12,523,295.87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7,307,610.54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11,435,401.52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4,469,161.71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41,267,670.90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19,206,194.96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39,550,611.39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11,879,869.69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11,798,567.28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7,382,315.54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12,092,452.39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4,446,894.65</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16,624,189.24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6,536,489.22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16,739,457.07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4,669,328.70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17,820,072.16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7,319,469.09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14,027,567.51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4,057,068.63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192,965,600.79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83,961,394.32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175,027,892.96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76,201,022.22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49"/>
        <w:gridCol w:w="4127"/>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萃和国际有限公司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30,704,136.64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11,829,059.83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国家计算机网络应急技术处理协 调中心</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11,410,000.00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深圳市公安局网络警察支队</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8,429,333.33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北京爱信诺航天科技有限公司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7,705,982.91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70,078,512.71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36.31%</w:t>
            </w:r>
          </w:p>
        </w:tc>
      </w:tr>
    </w:tbl>
    <w:p>
      <w:pPr>
        <w:pStyle w:val="BodyText"/>
        <w:spacing w:line="240" w:lineRule="auto" w:before="49"/>
        <w:ind w:right="0"/>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28</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1"/>
        <w:gridCol w:w="2003"/>
        <w:gridCol w:w="1863"/>
        <w:gridCol w:w="2921"/>
      </w:tblGrid>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1,209,949.78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1,361,698.97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631,059.16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731,742.09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450,759.25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520,641.18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33,659.81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56,478.95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2,325,428.00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2,670,561.19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32"/>
          <w:pgSz w:w="11910" w:h="16840"/>
          <w:pgMar w:footer="980" w:header="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8,558,967.36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6,190,560.13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3,742,673.52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3,268,057.99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1,955,096.46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1,864,498.99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2,179,675.14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2,000,049.24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1,003,284.67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909,716.67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881,752.83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846,297.79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633,671.90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690,940.00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1,208,245.40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729,700.43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20,163,367.28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16,499,821.24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30</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22,540,430.09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17,953,106.33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19,026,443.51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15,011,889.12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7,884,870.15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3,623,863.35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2,420,598.11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2,417,511.06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1,857,531.43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1,777,738.01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1,398,195.20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1,388,007.53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879,030.58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620,522.56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368,848.50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346,977.23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464,755.31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202,597.10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422,374.42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360,723.72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556,051.50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测试及托管费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536,015.00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320,990.35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78,845.86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58,676,134.15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43,781,781.87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31</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footerReference w:type="default" r:id="rId33"/>
          <w:pgSz w:w="11910" w:h="16840"/>
          <w:pgMar w:footer="980" w:header="0" w:top="1100" w:bottom="1160" w:left="980" w:right="980"/>
          <w:pgNumType w:start="101"/>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808,262.65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-1,690,989.61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-581,122.23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340,819.60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69,533.14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57,922.12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-472,374.22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-523,200.11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-442,251.51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-442,251.51</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北京中天信安科技有限责任公司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-442,251.51</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-442,251.51</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1,510,455.56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918,019.61</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849,998.58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107,169.36</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1,715,800.00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4,076,254.14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1,025,188.97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、营业外收入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6"/>
        <w:gridCol w:w="2160"/>
        <w:gridCol w:w="2149"/>
      </w:tblGrid>
      <w:tr>
        <w:trPr>
          <w:trHeight w:val="715"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95" w:right="70"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bl>
    <w:p>
      <w:pPr>
        <w:spacing w:after="0" w:line="316" w:lineRule="auto"/>
        <w:jc w:val="left"/>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9,860,249.96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9,860,249.96</w:t>
            </w:r>
          </w:p>
        </w:tc>
      </w:tr>
      <w:tr>
        <w:trPr>
          <w:trHeight w:val="40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6,863,789.62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4,034,965.69</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赔偿款收入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33,340.00</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1,700.00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60,347.94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1,700.00</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16,759,079.58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9,033,313.63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9,895,289.96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5"/>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基于结构无关的低成本灾备系统 补助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1,339,999.96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互联网多媒体内容监管关键技术 研发及产业化项目补助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信盾计算机终端监控系统产品产 业化项目补助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互联网音视频节目识别技术及监 管研发平台补助资金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公司上市补助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绿色上网相关标准研制项目补助</w:t>
            </w:r>
          </w:p>
        </w:tc>
        <w:tc>
          <w:tcPr>
            <w:tcW w:w="1995"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其他项目补助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70,250.00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9,860,249.96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4,920,000.00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354"/>
        <w:jc w:val="left"/>
      </w:pPr>
      <w:r>
        <w:rPr/>
        <w:t>营业外收入说明 公司本年度营业外收入较</w:t>
      </w:r>
      <w:r>
        <w:rPr>
          <w:rFonts w:ascii="Times New Roman" w:hAnsi="Times New Roman" w:cs="Times New Roman" w:eastAsia="Times New Roman" w:hint="default"/>
        </w:rPr>
        <w:t>2011</w:t>
      </w:r>
      <w:r>
        <w:rPr/>
        <w:t>年度增加</w:t>
      </w:r>
      <w:r>
        <w:rPr>
          <w:rFonts w:ascii="Times New Roman" w:hAnsi="Times New Roman" w:cs="Times New Roman" w:eastAsia="Times New Roman" w:hint="default"/>
        </w:rPr>
        <w:t>7,725,765.95</w:t>
      </w:r>
      <w:r>
        <w:rPr/>
        <w:t>元，增长幅度</w:t>
      </w:r>
      <w:r>
        <w:rPr>
          <w:rFonts w:ascii="Times New Roman" w:hAnsi="Times New Roman" w:cs="Times New Roman" w:eastAsia="Times New Roman" w:hint="default"/>
        </w:rPr>
        <w:t>85.53%</w:t>
      </w:r>
      <w:r>
        <w:rPr/>
        <w:t>，主要是本年度收到的政府补助收入增加所致。</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35</w:t>
      </w:r>
      <w:r>
        <w:rPr/>
        <w:t>、营业外支出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16,518.04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16,518.04</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71,048.80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71,048.80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87,566.84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87,566.84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、所得税费用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4,647,185.82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7,283,543.36</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-1,394,267.23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-1,490,278.34</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3,252,918.59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5,793,265.02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、基本每股收益和稀释每股收益的计算过程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）基本每股收益的计算过程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637"/>
        <w:gridCol w:w="1699"/>
        <w:gridCol w:w="1748"/>
        <w:gridCol w:w="1753"/>
      </w:tblGrid>
      <w:tr>
        <w:trPr>
          <w:trHeight w:val="346"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39,007,060.36</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38,566,119.01</w:t>
            </w:r>
          </w:p>
        </w:tc>
      </w:tr>
      <w:tr>
        <w:trPr>
          <w:trHeight w:val="34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B</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7,107,009.78</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4,190,347.65</w:t>
            </w:r>
          </w:p>
        </w:tc>
      </w:tr>
      <w:tr>
        <w:trPr>
          <w:trHeight w:val="65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的净利润</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C=A-B</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31,900,050.58</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34,375,771.36</w:t>
            </w:r>
          </w:p>
        </w:tc>
      </w:tr>
      <w:tr>
        <w:trPr>
          <w:trHeight w:val="349"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53,000,000.00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53,000,000.00</w:t>
            </w:r>
          </w:p>
        </w:tc>
      </w:tr>
      <w:tr>
        <w:trPr>
          <w:trHeight w:val="660"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数</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E</w:t>
            </w:r>
          </w:p>
        </w:tc>
        <w:tc>
          <w:tcPr>
            <w:tcW w:w="1748" w:type="dxa"/>
            <w:tcBorders>
              <w:top w:val="single" w:sz="6" w:space="0" w:color="000000"/>
              <w:left w:val="single" w:sz="6" w:space="0" w:color="000000"/>
              <w:bottom w:val="single" w:sz="6" w:space="0" w:color="000000"/>
              <w:right w:val="single" w:sz="6" w:space="0" w:color="000000"/>
            </w:tcBorders>
          </w:tcPr>
          <w:p>
            <w:pPr/>
          </w:p>
        </w:tc>
        <w:tc>
          <w:tcPr>
            <w:tcW w:w="175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17,700,000.00</w:t>
            </w:r>
          </w:p>
        </w:tc>
        <w:tc>
          <w:tcPr>
            <w:tcW w:w="175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8</w:t>
            </w:r>
          </w:p>
        </w:tc>
        <w:tc>
          <w:tcPr>
            <w:tcW w:w="175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1748" w:type="dxa"/>
            <w:tcBorders>
              <w:top w:val="single" w:sz="6" w:space="0" w:color="000000"/>
              <w:left w:val="single" w:sz="6" w:space="0" w:color="000000"/>
              <w:bottom w:val="single" w:sz="6" w:space="0" w:color="000000"/>
              <w:right w:val="single" w:sz="6" w:space="0" w:color="000000"/>
            </w:tcBorders>
          </w:tcPr>
          <w:p>
            <w:pPr/>
          </w:p>
        </w:tc>
        <w:tc>
          <w:tcPr>
            <w:tcW w:w="175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I</w:t>
            </w:r>
            <w:r>
              <w:rPr>
                <w:rFonts w:ascii="Times New Roman"/>
                <w:sz w:val="18"/>
              </w:rPr>
            </w:r>
          </w:p>
        </w:tc>
        <w:tc>
          <w:tcPr>
            <w:tcW w:w="1748" w:type="dxa"/>
            <w:tcBorders>
              <w:top w:val="single" w:sz="6" w:space="0" w:color="000000"/>
              <w:left w:val="single" w:sz="6" w:space="0" w:color="000000"/>
              <w:bottom w:val="single" w:sz="6" w:space="0" w:color="000000"/>
              <w:right w:val="single" w:sz="6" w:space="0" w:color="000000"/>
            </w:tcBorders>
          </w:tcPr>
          <w:p>
            <w:pPr/>
          </w:p>
        </w:tc>
        <w:tc>
          <w:tcPr>
            <w:tcW w:w="175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w w:val="99"/>
                <w:sz w:val="18"/>
              </w:rPr>
              <w:t>J</w:t>
            </w:r>
            <w:r>
              <w:rPr>
                <w:rFonts w:ascii="Times New Roman"/>
                <w:sz w:val="18"/>
              </w:rPr>
            </w:r>
          </w:p>
        </w:tc>
        <w:tc>
          <w:tcPr>
            <w:tcW w:w="1748" w:type="dxa"/>
            <w:tcBorders>
              <w:top w:val="single" w:sz="6" w:space="0" w:color="000000"/>
              <w:left w:val="single" w:sz="6" w:space="0" w:color="000000"/>
              <w:bottom w:val="single" w:sz="6" w:space="0" w:color="000000"/>
              <w:right w:val="single" w:sz="6" w:space="0" w:color="000000"/>
            </w:tcBorders>
          </w:tcPr>
          <w:p>
            <w:pPr/>
          </w:p>
        </w:tc>
        <w:tc>
          <w:tcPr>
            <w:tcW w:w="175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12</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w:t>
            </w:r>
          </w:p>
        </w:tc>
      </w:tr>
      <w:tr>
        <w:trPr>
          <w:trHeight w:val="660"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712" w:right="60" w:hanging="65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L=D+E+F×G/K-H×I/ K-J</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64,800,000.00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53,000,000.00</w:t>
            </w:r>
          </w:p>
        </w:tc>
      </w:tr>
      <w:tr>
        <w:trPr>
          <w:trHeight w:val="346"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M=A/L</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10" w:right="0"/>
              <w:jc w:val="left"/>
              <w:rPr>
                <w:rFonts w:ascii="Times New Roman" w:hAnsi="Times New Roman" w:cs="Times New Roman" w:eastAsia="Times New Roman" w:hint="default"/>
                <w:sz w:val="18"/>
                <w:szCs w:val="18"/>
              </w:rPr>
            </w:pPr>
            <w:r>
              <w:rPr>
                <w:rFonts w:ascii="Times New Roman"/>
                <w:sz w:val="18"/>
              </w:rPr>
              <w:t>0.60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12" w:right="0"/>
              <w:jc w:val="left"/>
              <w:rPr>
                <w:rFonts w:ascii="Times New Roman" w:hAnsi="Times New Roman" w:cs="Times New Roman" w:eastAsia="Times New Roman" w:hint="default"/>
                <w:sz w:val="18"/>
                <w:szCs w:val="18"/>
              </w:rPr>
            </w:pPr>
            <w:r>
              <w:rPr>
                <w:rFonts w:ascii="Times New Roman"/>
                <w:sz w:val="18"/>
              </w:rPr>
              <w:t>0.73</w:t>
            </w:r>
          </w:p>
        </w:tc>
      </w:tr>
      <w:tr>
        <w:trPr>
          <w:trHeight w:val="348" w:hRule="exact"/>
        </w:trPr>
        <w:tc>
          <w:tcPr>
            <w:tcW w:w="3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N=C/L</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10" w:right="0"/>
              <w:jc w:val="left"/>
              <w:rPr>
                <w:rFonts w:ascii="Times New Roman" w:hAnsi="Times New Roman" w:cs="Times New Roman" w:eastAsia="Times New Roman" w:hint="default"/>
                <w:sz w:val="18"/>
                <w:szCs w:val="18"/>
              </w:rPr>
            </w:pPr>
            <w:r>
              <w:rPr>
                <w:rFonts w:ascii="Times New Roman"/>
                <w:sz w:val="18"/>
              </w:rPr>
              <w:t>0.49</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12" w:right="0"/>
              <w:jc w:val="left"/>
              <w:rPr>
                <w:rFonts w:ascii="Times New Roman" w:hAnsi="Times New Roman" w:cs="Times New Roman" w:eastAsia="Times New Roman" w:hint="default"/>
                <w:sz w:val="18"/>
                <w:szCs w:val="18"/>
              </w:rPr>
            </w:pPr>
            <w:r>
              <w:rPr>
                <w:rFonts w:ascii="Times New Roman"/>
                <w:sz w:val="18"/>
              </w:rPr>
              <w:t>0.65</w:t>
            </w:r>
          </w:p>
        </w:tc>
      </w:tr>
    </w:tbl>
    <w:p>
      <w:pPr>
        <w:pStyle w:val="BodyText"/>
        <w:spacing w:line="300" w:lineRule="auto" w:before="8"/>
        <w:ind w:right="0" w:firstLine="72"/>
        <w:jc w:val="left"/>
      </w:pPr>
      <w:r>
        <w:rPr>
          <w:spacing w:val="-2"/>
        </w:rPr>
        <w:t>（</w:t>
      </w:r>
      <w:r>
        <w:rPr>
          <w:rFonts w:ascii="Times New Roman" w:hAnsi="Times New Roman" w:cs="Times New Roman" w:eastAsia="Times New Roman" w:hint="default"/>
          <w:spacing w:val="-2"/>
        </w:rPr>
        <w:t>2</w:t>
      </w:r>
      <w:r>
        <w:rPr>
          <w:spacing w:val="-2"/>
        </w:rPr>
        <w:t>）本公司报告期内不存在发行可转换公司债券、股份期权、认股权证等稀释性潜在普通股，因此，稀释每股收益和基本</w:t>
      </w:r>
      <w:r>
        <w:rPr/>
        <w:t> 每股收益相同。</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政府补贴款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16,970,250.00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5,050,765.11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1,690,989.61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23,747,044.72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支付除员工薪酬外的管理费用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14,891,188.68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支付除员工薪酬外的销售费用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11,604,399.42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11,528,769.64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497,919.58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38,522,277.32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支付的与股票发行相关的费用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4,726,013.00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用于融资的限定性存款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1,722,880.14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6,448,893.14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37,207,267.63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38,566,119.01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4,076,254.14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1,025,188.97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7,813,015.18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3,480,741.13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428,331.91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357,256.03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132,376.74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746,446.70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442,251.51</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-1,394,267.23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-1,490,278.35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3,693,661.53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-15,341,902.47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-35,749,845.04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-8,737,466.27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57,799,527.21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22,923,526.43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75,195,020.28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40,783,184.48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323,891,627.84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58,889,310.06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58,889,310.06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68,846,967.35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265,002,317.78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-9,957,657.29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1,479,440.72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6,120,559.28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6,126,643.66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43,067,705.54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3,069,810.50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40,010,872.38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323,891,627.84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58,889,310.06</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66,200.89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53,941.46</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323,825,426.95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58,835,368.60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323,891,627.84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58,889,310.06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本公司的控股股东为自然人景晓军，持有本公司</w:t>
      </w:r>
      <w:r>
        <w:rPr>
          <w:rFonts w:ascii="Times New Roman" w:hAnsi="Times New Roman" w:cs="Times New Roman" w:eastAsia="Times New Roman" w:hint="default"/>
        </w:rPr>
        <w:t>53.45%</w:t>
      </w:r>
      <w:r>
        <w:rPr/>
        <w:t>的表决权股份，为本公司第一大股东。</w:t>
      </w:r>
    </w:p>
    <w:p>
      <w:pPr>
        <w:spacing w:after="0" w:line="240" w:lineRule="auto"/>
        <w:jc w:val="left"/>
        <w:sectPr>
          <w:pgSz w:w="11910" w:h="16840"/>
          <w:pgMar w:header="0" w:footer="980" w:top="1100" w:bottom="1160" w:left="980" w:right="980"/>
        </w:sect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80" w:top="1100" w:bottom="1160" w:left="980" w:right="980"/>
        </w:sectPr>
      </w:pPr>
    </w:p>
    <w:p>
      <w:pPr>
        <w:pStyle w:val="Heading3"/>
        <w:spacing w:line="240" w:lineRule="auto" w:before="36"/>
        <w:ind w:right="-7"/>
        <w:jc w:val="left"/>
        <w:rPr>
          <w:b w:val="0"/>
          <w:bCs w:val="0"/>
        </w:rPr>
      </w:pPr>
      <w:r>
        <w:rPr>
          <w:rFonts w:ascii="Times New Roman" w:hAnsi="Times New Roman" w:cs="Times New Roman" w:eastAsia="Times New Roman" w:hint="default"/>
          <w:spacing w:val="-1"/>
        </w:rPr>
        <w:t>2</w:t>
      </w:r>
      <w:r>
        <w:rPr>
          <w:spacing w:val="-1"/>
        </w:rPr>
        <w:t>、本企业的子公司情况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369" w:space="6461"/>
            <w:col w:w="112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61"/>
        <w:gridCol w:w="958"/>
        <w:gridCol w:w="956"/>
        <w:gridCol w:w="958"/>
        <w:gridCol w:w="955"/>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深圳市任网 游科技发展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78831832-0</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深圳市任子 行科技开发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55387242-3</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深圳市博海 通讯技术有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76915378-6</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980" w:right="980"/>
        </w:sectPr>
      </w:pPr>
    </w:p>
    <w:p>
      <w:pPr>
        <w:pStyle w:val="Heading3"/>
        <w:spacing w:line="240" w:lineRule="auto" w:before="36"/>
        <w:ind w:right="-3"/>
        <w:jc w:val="left"/>
        <w:rPr>
          <w:b w:val="0"/>
          <w:bCs w:val="0"/>
        </w:rPr>
      </w:pPr>
      <w:r>
        <w:rPr>
          <w:rFonts w:ascii="Times New Roman" w:hAnsi="Times New Roman" w:cs="Times New Roman" w:eastAsia="Times New Roman" w:hint="default"/>
          <w:spacing w:val="-1"/>
        </w:rPr>
        <w:t>3</w:t>
      </w:r>
      <w:r>
        <w:rPr>
          <w:spacing w:val="-1"/>
        </w:rPr>
        <w:t>、本企业的合营和联营企业情况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3"/>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3211" w:space="5618"/>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566"/>
        <w:gridCol w:w="566"/>
        <w:gridCol w:w="711"/>
        <w:gridCol w:w="991"/>
        <w:gridCol w:w="991"/>
        <w:gridCol w:w="994"/>
        <w:gridCol w:w="1558"/>
        <w:gridCol w:w="958"/>
        <w:gridCol w:w="960"/>
      </w:tblGrid>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42" w:right="9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9" w:right="96"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80" w:hanging="92"/>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7" w:right="41"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50"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本企业在被投资单 位表决权比例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北京中天信安 科技有限责任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北京 市</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刘宏伟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center"/>
              <w:rPr>
                <w:rFonts w:ascii="宋体" w:hAnsi="宋体" w:cs="宋体" w:eastAsia="宋体" w:hint="default"/>
                <w:sz w:val="18"/>
                <w:szCs w:val="18"/>
              </w:rPr>
            </w:pPr>
            <w:r>
              <w:rPr>
                <w:rFonts w:ascii="宋体" w:hAnsi="宋体" w:cs="宋体" w:eastAsia="宋体" w:hint="default"/>
                <w:sz w:val="18"/>
                <w:szCs w:val="18"/>
              </w:rPr>
              <w:t>计算机应用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12,500,000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59968335-3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深圳市华信远景投资咨询有限公司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55034698-9</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天津东方富海股权投资基金合伙企业</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69405351-X</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程厚博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付昭阳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闵锐</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潘绿英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本公司职工监事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师召辉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本公司股东、监事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本公司监事</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唐海林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吴宁莉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本公司财务总监</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深圳市翰博天宝艺术品有限公司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受同一控制人控制的企业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68535971-X</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12" w:right="70" w:hanging="541"/>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任子行网络技术股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博海通讯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12,000,000.00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关联担保情况说明</w:t>
      </w:r>
    </w:p>
    <w:p>
      <w:pPr>
        <w:pStyle w:val="BodyText"/>
        <w:spacing w:line="300" w:lineRule="auto" w:before="115"/>
        <w:ind w:right="149"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日，博海通讯与中国银行股份有限公司深圳高新区支行（以下简称</w:t>
      </w:r>
      <w:r>
        <w:rPr>
          <w:rFonts w:ascii="Times New Roman" w:hAnsi="Times New Roman" w:cs="Times New Roman" w:eastAsia="Times New Roman" w:hint="default"/>
        </w:rPr>
        <w:t>“</w:t>
      </w:r>
      <w:r>
        <w:rPr/>
        <w:t>高新区中行</w:t>
      </w:r>
      <w:r>
        <w:rPr>
          <w:rFonts w:ascii="Times New Roman" w:hAnsi="Times New Roman" w:cs="Times New Roman" w:eastAsia="Times New Roman" w:hint="default"/>
        </w:rPr>
        <w:t>”</w:t>
      </w:r>
      <w:r>
        <w:rPr/>
        <w:t>）签署合同编号为</w:t>
      </w:r>
      <w:r>
        <w:rPr>
          <w:rFonts w:ascii="Times New Roman" w:hAnsi="Times New Roman" w:cs="Times New Roman" w:eastAsia="Times New Roman" w:hint="default"/>
        </w:rPr>
        <w:t>2012</w:t>
      </w:r>
      <w:r>
        <w:rPr/>
        <w:t>圳 </w:t>
      </w:r>
      <w:r>
        <w:rPr>
          <w:spacing w:val="-2"/>
        </w:rPr>
        <w:t>中银高小额字第</w:t>
      </w:r>
      <w:r>
        <w:rPr>
          <w:rFonts w:ascii="Times New Roman" w:hAnsi="Times New Roman" w:cs="Times New Roman" w:eastAsia="Times New Roman" w:hint="default"/>
          <w:spacing w:val="-2"/>
        </w:rPr>
        <w:t>000040</w:t>
      </w:r>
      <w:r>
        <w:rPr>
          <w:spacing w:val="-2"/>
        </w:rPr>
        <w:t>号《中小企业业务授信额度协议》。协议约定高新区中行为博海通讯提供</w:t>
      </w:r>
      <w:r>
        <w:rPr>
          <w:rFonts w:ascii="Times New Roman" w:hAnsi="Times New Roman" w:cs="Times New Roman" w:eastAsia="Times New Roman" w:hint="default"/>
          <w:spacing w:val="-2"/>
        </w:rPr>
        <w:t>1200</w:t>
      </w:r>
      <w:r>
        <w:rPr>
          <w:spacing w:val="-2"/>
        </w:rPr>
        <w:t>万元授信额度，其中贷</w:t>
      </w:r>
      <w:r>
        <w:rPr>
          <w:spacing w:val="-56"/>
        </w:rPr>
        <w:t> </w:t>
      </w:r>
      <w:r>
        <w:rPr>
          <w:spacing w:val="-56"/>
        </w:rPr>
      </w:r>
      <w:r>
        <w:rPr>
          <w:spacing w:val="-2"/>
        </w:rPr>
        <w:t>款</w:t>
      </w:r>
      <w:r>
        <w:rPr>
          <w:rFonts w:ascii="Times New Roman" w:hAnsi="Times New Roman" w:cs="Times New Roman" w:eastAsia="Times New Roman" w:hint="default"/>
          <w:spacing w:val="-2"/>
        </w:rPr>
        <w:t>300</w:t>
      </w:r>
      <w:r>
        <w:rPr>
          <w:spacing w:val="-2"/>
        </w:rPr>
        <w:t>万元、银行承兑汇票额度</w:t>
      </w:r>
      <w:r>
        <w:rPr>
          <w:rFonts w:ascii="Times New Roman" w:hAnsi="Times New Roman" w:cs="Times New Roman" w:eastAsia="Times New Roman" w:hint="default"/>
          <w:spacing w:val="-2"/>
        </w:rPr>
        <w:t>900</w:t>
      </w:r>
      <w:r>
        <w:rPr>
          <w:spacing w:val="-2"/>
        </w:rPr>
        <w:t>万元，本公司及自然人常峻、高巍、杜卫华、曹保忠为该授信额度提供担保，本公司与高</w:t>
      </w:r>
      <w:r>
        <w:rPr>
          <w:spacing w:val="-64"/>
        </w:rPr>
        <w:t> </w:t>
      </w:r>
      <w:r>
        <w:rPr>
          <w:spacing w:val="-64"/>
        </w:rPr>
      </w:r>
      <w:r>
        <w:rPr/>
        <w:t>新区中行签订合同编号为</w:t>
      </w:r>
      <w:r>
        <w:rPr>
          <w:rFonts w:ascii="Times New Roman" w:hAnsi="Times New Roman" w:cs="Times New Roman" w:eastAsia="Times New Roman" w:hint="default"/>
        </w:rPr>
        <w:t>2012</w:t>
      </w:r>
      <w:r>
        <w:rPr/>
        <w:t>圳中银高小保字第</w:t>
      </w:r>
      <w:r>
        <w:rPr>
          <w:rFonts w:ascii="Times New Roman" w:hAnsi="Times New Roman" w:cs="Times New Roman" w:eastAsia="Times New Roman" w:hint="default"/>
        </w:rPr>
        <w:t>000040</w:t>
      </w:r>
      <w:r>
        <w:rPr/>
        <w:t>号《中小企业业务最高额保证合同》。</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）关联方资金拆借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275"/>
        <w:gridCol w:w="1702"/>
        <w:gridCol w:w="1699"/>
        <w:gridCol w:w="2201"/>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深圳市任子行科技开发有限公司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11,956,000.00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经营性往来款</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深圳市博海通讯技术有限公司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委托贷款用于博海通讯资 金周转</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深圳市任网游科技发展有限公司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420,307.10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经营性往来款</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九、承诺事项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2"/>
        <w:rPr>
          <w:rFonts w:ascii="宋体" w:hAnsi="宋体" w:cs="宋体" w:eastAsia="宋体" w:hint="default"/>
          <w:b/>
          <w:bCs/>
          <w:sz w:val="26"/>
          <w:szCs w:val="26"/>
        </w:rPr>
      </w:pPr>
    </w:p>
    <w:p>
      <w:pPr>
        <w:pStyle w:val="BodyText"/>
        <w:spacing w:line="307" w:lineRule="auto"/>
        <w:ind w:right="149" w:firstLine="288"/>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日，博海通讯与中国银行股份有限公司上海市浦东开发区支行（以下简称</w:t>
      </w:r>
      <w:r>
        <w:rPr>
          <w:rFonts w:ascii="Times New Roman" w:hAnsi="Times New Roman" w:cs="Times New Roman" w:eastAsia="Times New Roman" w:hint="default"/>
          <w:spacing w:val="-2"/>
        </w:rPr>
        <w:t>“</w:t>
      </w:r>
      <w:r>
        <w:rPr>
          <w:spacing w:val="-2"/>
        </w:rPr>
        <w:t>浦发行</w:t>
      </w:r>
      <w:r>
        <w:rPr>
          <w:rFonts w:ascii="Times New Roman" w:hAnsi="Times New Roman" w:cs="Times New Roman" w:eastAsia="Times New Roman" w:hint="default"/>
          <w:spacing w:val="-2"/>
        </w:rPr>
        <w:t>”</w:t>
      </w:r>
      <w:r>
        <w:rPr>
          <w:spacing w:val="-2"/>
        </w:rPr>
        <w:t>）、上海中兴通讯技</w:t>
      </w:r>
      <w:r>
        <w:rPr/>
        <w:t> </w:t>
      </w:r>
      <w:r>
        <w:rPr>
          <w:spacing w:val="-1"/>
        </w:rPr>
        <w:t>术有限责任公司（以下简称</w:t>
      </w:r>
      <w:r>
        <w:rPr>
          <w:rFonts w:ascii="Times New Roman" w:hAnsi="Times New Roman" w:cs="Times New Roman" w:eastAsia="Times New Roman" w:hint="default"/>
          <w:spacing w:val="-1"/>
        </w:rPr>
        <w:t>“</w:t>
      </w:r>
      <w:r>
        <w:rPr>
          <w:spacing w:val="-1"/>
        </w:rPr>
        <w:t>上海中兴</w:t>
      </w:r>
      <w:r>
        <w:rPr>
          <w:rFonts w:ascii="Times New Roman" w:hAnsi="Times New Roman" w:cs="Times New Roman" w:eastAsia="Times New Roman" w:hint="default"/>
          <w:spacing w:val="-1"/>
        </w:rPr>
        <w:t>”</w:t>
      </w:r>
      <w:r>
        <w:rPr>
          <w:spacing w:val="-1"/>
        </w:rPr>
        <w:t>）签订了编号为</w:t>
      </w:r>
      <w:r>
        <w:rPr>
          <w:rFonts w:ascii="Times New Roman" w:hAnsi="Times New Roman" w:cs="Times New Roman" w:eastAsia="Times New Roman" w:hint="default"/>
          <w:spacing w:val="-1"/>
        </w:rPr>
        <w:t>2012</w:t>
      </w:r>
      <w:r>
        <w:rPr>
          <w:spacing w:val="-1"/>
        </w:rPr>
        <w:t>年浦开发结易字</w:t>
      </w:r>
      <w:r>
        <w:rPr>
          <w:rFonts w:ascii="Times New Roman" w:hAnsi="Times New Roman" w:cs="Times New Roman" w:eastAsia="Times New Roman" w:hint="default"/>
          <w:spacing w:val="-1"/>
        </w:rPr>
        <w:t>006-01</w:t>
      </w:r>
      <w:r>
        <w:rPr>
          <w:spacing w:val="-1"/>
        </w:rPr>
        <w:t>号《融易达业务合同》。合同约定在博海</w:t>
      </w:r>
      <w:r>
        <w:rPr>
          <w:spacing w:val="-68"/>
        </w:rPr>
        <w:t> </w:t>
      </w:r>
      <w:r>
        <w:rPr>
          <w:spacing w:val="-68"/>
        </w:rPr>
      </w:r>
      <w:r>
        <w:rPr>
          <w:spacing w:val="-2"/>
        </w:rPr>
        <w:t>通讯作为卖方向买方上海中兴提供真实赊销交易的基础上，浦发行全额占用博海通讯的赊销额度，为博海通讯提供无追索权</w:t>
      </w:r>
      <w:r>
        <w:rPr>
          <w:spacing w:val="-63"/>
        </w:rPr>
        <w:t> </w:t>
      </w:r>
      <w:r>
        <w:rPr>
          <w:spacing w:val="-63"/>
        </w:rPr>
      </w:r>
      <w:r>
        <w:rPr/>
        <w:t>应收账款融资。截至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日，博海通讯已经使用该贸易融资</w:t>
      </w:r>
      <w:r>
        <w:rPr>
          <w:rFonts w:ascii="Times New Roman" w:hAnsi="Times New Roman" w:cs="Times New Roman" w:eastAsia="Times New Roman" w:hint="default"/>
        </w:rPr>
        <w:t>2,842,410.00</w:t>
      </w:r>
      <w:r>
        <w:rPr/>
        <w:t>元。</w:t>
      </w:r>
    </w:p>
    <w:p>
      <w:pPr>
        <w:spacing w:after="0" w:line="307" w:lineRule="auto"/>
        <w:jc w:val="both"/>
        <w:sectPr>
          <w:pgSz w:w="11910" w:h="16840"/>
          <w:pgMar w:header="0" w:footer="980" w:top="1100" w:bottom="1160" w:left="980" w:right="980"/>
        </w:sectPr>
      </w:pPr>
    </w:p>
    <w:p>
      <w:pPr>
        <w:spacing w:line="240" w:lineRule="auto" w:before="11"/>
        <w:rPr>
          <w:rFonts w:ascii="宋体" w:hAnsi="宋体" w:cs="宋体" w:eastAsia="宋体" w:hint="default"/>
          <w:sz w:val="21"/>
          <w:szCs w:val="21"/>
        </w:rPr>
      </w:pPr>
    </w:p>
    <w:p>
      <w:pPr>
        <w:pStyle w:val="BodyText"/>
        <w:spacing w:line="300" w:lineRule="auto" w:before="44"/>
        <w:ind w:right="0" w:firstLine="288"/>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日，本公司与中国银行股份有限公司深圳高新区支行（以下简称</w:t>
      </w:r>
      <w:r>
        <w:rPr>
          <w:rFonts w:ascii="Times New Roman" w:hAnsi="Times New Roman" w:cs="Times New Roman" w:eastAsia="Times New Roman" w:hint="default"/>
          <w:spacing w:val="-2"/>
        </w:rPr>
        <w:t>“</w:t>
      </w:r>
      <w:r>
        <w:rPr>
          <w:spacing w:val="-2"/>
        </w:rPr>
        <w:t>高新区中行</w:t>
      </w:r>
      <w:r>
        <w:rPr>
          <w:rFonts w:ascii="Times New Roman" w:hAnsi="Times New Roman" w:cs="Times New Roman" w:eastAsia="Times New Roman" w:hint="default"/>
          <w:spacing w:val="-2"/>
        </w:rPr>
        <w:t>”</w:t>
      </w:r>
      <w:r>
        <w:rPr>
          <w:spacing w:val="-2"/>
        </w:rPr>
        <w:t>）签订了编号为</w:t>
      </w:r>
      <w:r>
        <w:rPr>
          <w:rFonts w:ascii="Times New Roman" w:hAnsi="Times New Roman" w:cs="Times New Roman" w:eastAsia="Times New Roman" w:hint="default"/>
          <w:spacing w:val="-2"/>
        </w:rPr>
        <w:t>2012</w:t>
      </w:r>
      <w:r>
        <w:rPr>
          <w:spacing w:val="-2"/>
        </w:rPr>
        <w:t>圳中</w:t>
      </w:r>
      <w:r>
        <w:rPr>
          <w:spacing w:val="-3"/>
        </w:rPr>
        <w:t> </w:t>
      </w:r>
      <w:r>
        <w:rPr>
          <w:spacing w:val="-5"/>
        </w:rPr>
        <w:t>银高额协字第</w:t>
      </w:r>
      <w:r>
        <w:rPr>
          <w:rFonts w:ascii="Times New Roman" w:hAnsi="Times New Roman" w:cs="Times New Roman" w:eastAsia="Times New Roman" w:hint="default"/>
          <w:spacing w:val="-5"/>
        </w:rPr>
        <w:t>050504</w:t>
      </w:r>
      <w:r>
        <w:rPr>
          <w:spacing w:val="-5"/>
        </w:rPr>
        <w:t>号《授信额度协议》。协议约定，高新区中行同意向本公司提供肆仟万元授信额度，种类可为借款额度、</w:t>
      </w:r>
      <w:r>
        <w:rPr>
          <w:spacing w:val="-66"/>
        </w:rPr>
        <w:t> </w:t>
      </w:r>
      <w:r>
        <w:rPr>
          <w:spacing w:val="-66"/>
        </w:rPr>
      </w:r>
      <w:r>
        <w:rPr/>
        <w:t>银行承兑汇票额度或者保函额度，使用期限至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日止。截至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日，本公司已使用票据额度</w:t>
      </w:r>
      <w:r>
        <w:rPr>
          <w:rFonts w:ascii="Times New Roman" w:hAnsi="Times New Roman" w:cs="Times New Roman" w:eastAsia="Times New Roman" w:hint="default"/>
        </w:rPr>
        <w:t>39,480.00 </w:t>
      </w:r>
      <w:r>
        <w:rPr/>
        <w:t>元。</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十、资产负债表日后事项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46" w:firstLine="288"/>
        <w:jc w:val="both"/>
      </w:pPr>
      <w:r>
        <w:rPr>
          <w:rFonts w:ascii="Times New Roman" w:hAnsi="Times New Roman" w:cs="Times New Roman" w:eastAsia="Times New Roman" w:hint="default"/>
          <w:spacing w:val="-5"/>
        </w:rPr>
        <w:t>1</w:t>
      </w:r>
      <w:r>
        <w:rPr>
          <w:spacing w:val="-5"/>
        </w:rPr>
        <w:t>、本公司</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7</w:t>
      </w:r>
      <w:r>
        <w:rPr>
          <w:spacing w:val="-5"/>
        </w:rPr>
        <w:t>日第一届董事会第二十一次会议，审议通过了公司</w:t>
      </w:r>
      <w:r>
        <w:rPr>
          <w:rFonts w:ascii="Times New Roman" w:hAnsi="Times New Roman" w:cs="Times New Roman" w:eastAsia="Times New Roman" w:hint="default"/>
          <w:spacing w:val="-5"/>
        </w:rPr>
        <w:t>2012</w:t>
      </w:r>
      <w:r>
        <w:rPr>
          <w:spacing w:val="-5"/>
        </w:rPr>
        <w:t>年度利润分配预案，以总股本</w:t>
      </w:r>
      <w:r>
        <w:rPr>
          <w:rFonts w:ascii="Times New Roman" w:hAnsi="Times New Roman" w:cs="Times New Roman" w:eastAsia="Times New Roman" w:hint="default"/>
          <w:spacing w:val="-5"/>
        </w:rPr>
        <w:t>70,700,000</w:t>
      </w:r>
      <w:r>
        <w:rPr>
          <w:rFonts w:ascii="Times New Roman" w:hAnsi="Times New Roman" w:cs="Times New Roman" w:eastAsia="Times New Roman" w:hint="default"/>
          <w:spacing w:val="43"/>
        </w:rPr>
        <w:t> </w:t>
      </w:r>
      <w:r>
        <w:rPr/>
        <w:t>股为基数， </w:t>
      </w:r>
      <w:r>
        <w:rPr>
          <w:spacing w:val="-1"/>
        </w:rPr>
        <w:t>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1.10</w:t>
      </w:r>
      <w:r>
        <w:rPr>
          <w:spacing w:val="-1"/>
        </w:rPr>
        <w:t>元（含税），剩余未分配利润结转以后年度分配。上述利润分配预案尚需公司</w:t>
      </w:r>
      <w:r>
        <w:rPr>
          <w:rFonts w:ascii="Times New Roman" w:hAnsi="Times New Roman" w:cs="Times New Roman" w:eastAsia="Times New Roman" w:hint="default"/>
          <w:spacing w:val="-1"/>
        </w:rPr>
        <w:t>2012</w:t>
      </w:r>
      <w:r>
        <w:rPr>
          <w:spacing w:val="-1"/>
        </w:rPr>
        <w:t>年度股东</w:t>
      </w:r>
      <w:r>
        <w:rPr>
          <w:spacing w:val="-74"/>
        </w:rPr>
        <w:t> </w:t>
      </w:r>
      <w:r>
        <w:rPr>
          <w:spacing w:val="-74"/>
        </w:rPr>
      </w:r>
      <w:r>
        <w:rPr/>
        <w:t>大会批准实施。</w:t>
      </w:r>
    </w:p>
    <w:p>
      <w:pPr>
        <w:pStyle w:val="BodyText"/>
        <w:spacing w:line="304" w:lineRule="auto" w:before="31"/>
        <w:ind w:right="0" w:firstLine="288"/>
        <w:jc w:val="left"/>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3</w:t>
      </w:r>
      <w:r>
        <w:rPr>
          <w:spacing w:val="-5"/>
        </w:rPr>
        <w:t>月，本公司被国家发展和改革委员会、工业和信息化部、财政部、商务部和国家税务总局联合认定为</w:t>
      </w:r>
      <w:r>
        <w:rPr>
          <w:rFonts w:ascii="Times New Roman" w:hAnsi="Times New Roman" w:cs="Times New Roman" w:eastAsia="Times New Roman" w:hint="default"/>
          <w:spacing w:val="-5"/>
        </w:rPr>
        <w:t>2011-2012</w:t>
      </w:r>
      <w:r>
        <w:rPr>
          <w:rFonts w:ascii="Times New Roman" w:hAnsi="Times New Roman" w:cs="Times New Roman" w:eastAsia="Times New Roman" w:hint="default"/>
        </w:rPr>
        <w:t> </w:t>
      </w:r>
      <w:r>
        <w:rPr/>
        <w:t>年度国家规划布局内重点软件企业。根据《关于进一步鼓励软件产业和集成电路产业发展企业所得税政策的通知》（财税 </w:t>
      </w:r>
      <w:r>
        <w:rPr>
          <w:rFonts w:ascii="Times New Roman" w:hAnsi="Times New Roman" w:cs="Times New Roman" w:eastAsia="Times New Roman" w:hint="default"/>
          <w:spacing w:val="-2"/>
        </w:rPr>
        <w:t>[2012]27</w:t>
      </w:r>
      <w:r>
        <w:rPr>
          <w:spacing w:val="-2"/>
        </w:rPr>
        <w:t>号）关于</w:t>
      </w:r>
      <w:r>
        <w:rPr>
          <w:rFonts w:ascii="Times New Roman" w:hAnsi="Times New Roman" w:cs="Times New Roman" w:eastAsia="Times New Roman" w:hint="default"/>
          <w:spacing w:val="-2"/>
        </w:rPr>
        <w:t>“</w:t>
      </w:r>
      <w:r>
        <w:rPr>
          <w:spacing w:val="-2"/>
        </w:rPr>
        <w:t>国家规划布局内的重点软件企业和集成电路设计企业，如当年未享受免税优惠的，可减按</w:t>
      </w:r>
      <w:r>
        <w:rPr>
          <w:rFonts w:ascii="Times New Roman" w:hAnsi="Times New Roman" w:cs="Times New Roman" w:eastAsia="Times New Roman" w:hint="default"/>
          <w:spacing w:val="-2"/>
        </w:rPr>
        <w:t>10%</w:t>
      </w:r>
      <w:r>
        <w:rPr>
          <w:spacing w:val="-2"/>
        </w:rPr>
        <w:t>的税率征收</w:t>
      </w:r>
      <w:r>
        <w:rPr>
          <w:spacing w:val="-45"/>
        </w:rPr>
        <w:t> </w:t>
      </w:r>
      <w:r>
        <w:rPr/>
        <w:t>企业所得税</w:t>
      </w:r>
      <w:r>
        <w:rPr>
          <w:rFonts w:ascii="Times New Roman" w:hAnsi="Times New Roman" w:cs="Times New Roman" w:eastAsia="Times New Roman" w:hint="default"/>
        </w:rPr>
        <w:t>”</w:t>
      </w:r>
      <w:r>
        <w:rPr/>
        <w:t>的规定，本公司</w:t>
      </w:r>
      <w:r>
        <w:rPr>
          <w:rFonts w:ascii="Times New Roman" w:hAnsi="Times New Roman" w:cs="Times New Roman" w:eastAsia="Times New Roman" w:hint="default"/>
        </w:rPr>
        <w:t>2011</w:t>
      </w:r>
      <w:r>
        <w:rPr/>
        <w:t>年度企业所得税税率将由原来的</w:t>
      </w:r>
      <w:r>
        <w:rPr>
          <w:rFonts w:ascii="Times New Roman" w:hAnsi="Times New Roman" w:cs="Times New Roman" w:eastAsia="Times New Roman" w:hint="default"/>
        </w:rPr>
        <w:t>15%</w:t>
      </w:r>
      <w:r>
        <w:rPr/>
        <w:t>调整为</w:t>
      </w:r>
      <w:r>
        <w:rPr>
          <w:rFonts w:ascii="Times New Roman" w:hAnsi="Times New Roman" w:cs="Times New Roman" w:eastAsia="Times New Roman" w:hint="default"/>
        </w:rPr>
        <w:t>10%</w:t>
      </w:r>
      <w:r>
        <w:rPr/>
        <w:t>，减少的所得税费用公司将在税费返还时 做相应处理。</w:t>
      </w:r>
      <w:r>
        <w:rPr>
          <w:rFonts w:ascii="Times New Roman" w:hAnsi="Times New Roman" w:cs="Times New Roman" w:eastAsia="Times New Roman" w:hint="default"/>
        </w:rPr>
        <w:t>2012</w:t>
      </w:r>
      <w:r>
        <w:rPr/>
        <w:t>年公司企业所得税费按</w:t>
      </w:r>
      <w:r>
        <w:rPr>
          <w:rFonts w:ascii="Times New Roman" w:hAnsi="Times New Roman" w:cs="Times New Roman" w:eastAsia="Times New Roman" w:hint="default"/>
        </w:rPr>
        <w:t>10%</w:t>
      </w:r>
      <w:r>
        <w:rPr/>
        <w:t>的税率缴纳。</w:t>
      </w:r>
    </w:p>
    <w:p>
      <w:pPr>
        <w:pStyle w:val="BodyText"/>
        <w:spacing w:line="240" w:lineRule="auto" w:before="9"/>
        <w:ind w:left="441" w:right="0"/>
        <w:jc w:val="left"/>
      </w:pPr>
      <w:r>
        <w:rPr/>
        <w:t>除上述事项外，截至本财务报表签发日止，本公司不存在其他应披露的资产负债表日后事项。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199"/>
        <w:gridCol w:w="533"/>
        <w:gridCol w:w="1327"/>
        <w:gridCol w:w="666"/>
        <w:gridCol w:w="1195"/>
        <w:gridCol w:w="665"/>
        <w:gridCol w:w="1328"/>
        <w:gridCol w:w="665"/>
      </w:tblGrid>
      <w:tr>
        <w:trPr>
          <w:trHeight w:val="398" w:hRule="exact"/>
        </w:trPr>
        <w:tc>
          <w:tcPr>
            <w:tcW w:w="1994" w:type="dxa"/>
            <w:vMerge w:val="restart"/>
            <w:tcBorders>
              <w:top w:val="single" w:sz="4" w:space="0" w:color="000000"/>
              <w:left w:val="single" w:sz="4" w:space="0" w:color="000000"/>
              <w:right w:val="single" w:sz="4" w:space="0" w:color="000000"/>
            </w:tcBorders>
            <w:shd w:val="clear" w:color="auto" w:fill="D2D2D2"/>
          </w:tcPr>
          <w:p>
            <w:pPr/>
          </w:p>
        </w:tc>
        <w:tc>
          <w:tcPr>
            <w:tcW w:w="37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1994" w:type="dxa"/>
            <w:vMerge/>
            <w:tcBorders>
              <w:left w:val="single" w:sz="4" w:space="0" w:color="000000"/>
              <w:bottom w:val="nil" w:sz="6" w:space="0" w:color="auto"/>
              <w:right w:val="single" w:sz="4" w:space="0" w:color="000000"/>
            </w:tcBorders>
            <w:shd w:val="clear" w:color="auto" w:fill="D2D2D2"/>
          </w:tcPr>
          <w:p>
            <w:pPr/>
          </w:p>
        </w:tc>
        <w:tc>
          <w:tcPr>
            <w:tcW w:w="1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1" w:hRule="exact"/>
        </w:trPr>
        <w:tc>
          <w:tcPr>
            <w:tcW w:w="1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32" w:type="dxa"/>
            <w:gridSpan w:val="2"/>
            <w:vMerge/>
            <w:tcBorders>
              <w:left w:val="single" w:sz="4" w:space="0" w:color="000000"/>
              <w:bottom w:val="single" w:sz="4" w:space="0" w:color="000000"/>
              <w:right w:val="single" w:sz="4" w:space="0" w:color="000000"/>
            </w:tcBorders>
            <w:shd w:val="clear" w:color="auto" w:fill="D2D2D2"/>
          </w:tcPr>
          <w:p>
            <w:pPr/>
          </w:p>
        </w:tc>
        <w:tc>
          <w:tcPr>
            <w:tcW w:w="1993" w:type="dxa"/>
            <w:gridSpan w:val="2"/>
            <w:vMerge/>
            <w:tcBorders>
              <w:left w:val="single" w:sz="4" w:space="0" w:color="000000"/>
              <w:bottom w:val="single" w:sz="4" w:space="0" w:color="000000"/>
              <w:right w:val="single" w:sz="4" w:space="0" w:color="000000"/>
            </w:tcBorders>
            <w:shd w:val="clear" w:color="auto" w:fill="D2D2D2"/>
          </w:tcPr>
          <w:p>
            <w:pPr/>
          </w:p>
        </w:tc>
        <w:tc>
          <w:tcPr>
            <w:tcW w:w="1859" w:type="dxa"/>
            <w:gridSpan w:val="2"/>
            <w:vMerge/>
            <w:tcBorders>
              <w:left w:val="single" w:sz="4" w:space="0" w:color="000000"/>
              <w:bottom w:val="single" w:sz="4" w:space="0" w:color="000000"/>
              <w:right w:val="single" w:sz="4" w:space="0" w:color="000000"/>
            </w:tcBorders>
            <w:shd w:val="clear" w:color="auto" w:fill="D2D2D2"/>
          </w:tcPr>
          <w:p>
            <w:pPr/>
          </w:p>
        </w:tc>
        <w:tc>
          <w:tcPr>
            <w:tcW w:w="1993"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1994" w:type="dxa"/>
            <w:vMerge/>
            <w:tcBorders>
              <w:left w:val="single" w:sz="4" w:space="0" w:color="000000"/>
              <w:bottom w:val="nil" w:sz="6" w:space="0" w:color="auto"/>
              <w:right w:val="single" w:sz="4" w:space="0" w:color="000000"/>
            </w:tcBorders>
            <w:shd w:val="clear" w:color="auto" w:fill="D2D2D2"/>
          </w:tcPr>
          <w:p>
            <w:pPr/>
          </w:p>
        </w:tc>
        <w:tc>
          <w:tcPr>
            <w:tcW w:w="11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1994" w:type="dxa"/>
            <w:vMerge w:val="restart"/>
            <w:tcBorders>
              <w:top w:val="nil" w:sz="6" w:space="0" w:color="auto"/>
              <w:left w:val="single" w:sz="4" w:space="0" w:color="000000"/>
              <w:right w:val="single" w:sz="4" w:space="0" w:color="000000"/>
            </w:tcBorders>
            <w:shd w:val="clear" w:color="auto" w:fill="D2D2D2"/>
          </w:tcPr>
          <w:p>
            <w:pPr/>
          </w:p>
        </w:tc>
        <w:tc>
          <w:tcPr>
            <w:tcW w:w="11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5"/>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r>
      <w:tr>
        <w:trPr>
          <w:trHeight w:val="16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1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20,662,849.16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1,459,273.65</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35.39%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9,043,324.06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536,787.96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20.96%</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按照账龄分析法计提坏 账准备的应收账款</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11,740,254.11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888,341.94</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9,258,263.80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47.14%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684,156.73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26.71%</w:t>
            </w:r>
          </w:p>
        </w:tc>
      </w:tr>
      <w:tr>
        <w:trPr>
          <w:trHeight w:val="71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11,740,254.11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34.35</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888,341.94</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9,258,263.80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47.14%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684,156.73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26.71%</w:t>
            </w:r>
          </w:p>
        </w:tc>
      </w:tr>
      <w:tr>
        <w:trPr>
          <w:trHeight w:val="102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1,776,303.00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1,776,303.00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1,340,310.00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1,340,310.00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52.33%</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34,179,406.27</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4,123,918.59</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19,641,897.86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2,561,254.69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期末单项金额重大并单项计提坏账准备的应收账款</w:t>
      </w:r>
    </w:p>
    <w:p>
      <w:pPr>
        <w:spacing w:after="0" w:line="240" w:lineRule="auto"/>
        <w:jc w:val="left"/>
        <w:sectPr>
          <w:pgSz w:w="11910" w:h="16840"/>
          <w:pgMar w:header="0" w:footer="980"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1274"/>
        <w:gridCol w:w="1136"/>
        <w:gridCol w:w="1418"/>
        <w:gridCol w:w="2341"/>
      </w:tblGrid>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国家计算机网络应急技术处理协调中心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5,956,500.00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297,825.00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国家计算机网络应急技术处理协调中心新 疆分中心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2,132,434.96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395,730.49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18.56%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金额重大，但账龄在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年、</w:t>
            </w:r>
            <w:r>
              <w:rPr>
                <w:rFonts w:ascii="Times New Roman" w:hAnsi="Times New Roman" w:cs="Times New Roman" w:eastAsia="Times New Roman" w:hint="default"/>
                <w:spacing w:val="-12"/>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年内</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深圳市公安局网络警察支队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1,950,800.00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97,540.00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中国电信集团系统集成有限责任公司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1,579,760.00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157,976.00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新疆维吾尔自治区广播电影电视局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1,212,337.60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60,616.88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吉林省公安厅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1,147,950.00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57,397.50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北京中传视讯科技有限公司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976,647.00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97,664.70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新疆维吾尔自治区公安厅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新疆爱普新通信网络维护技术有限公司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830,305.50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41,515.27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河南飞灵科技有限公司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787,942.10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39,397.11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武汉市鑫中城网络信息技术有限公司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692,730.00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34,636.50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广元市公安局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r>
      <w:tr>
        <w:trPr>
          <w:trHeight w:val="71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陕西众信科技有限公司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508,442.00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34,624.20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金额重大，但账龄在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年或</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20,662,849.16</w:t>
            </w:r>
          </w:p>
        </w:tc>
        <w:tc>
          <w:tcPr>
            <w:tcW w:w="113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1,459,273.65</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34"/>
          <w:pgSz w:w="11910" w:h="16840"/>
          <w:pgMar w:footer="980" w:header="0" w:top="1100" w:bottom="1160" w:left="980" w:right="980"/>
          <w:pgNumType w:start="110"/>
        </w:sectPr>
      </w:pPr>
    </w:p>
    <w:p>
      <w:pPr>
        <w:pStyle w:val="BodyText"/>
        <w:spacing w:line="240" w:lineRule="auto" w:before="49"/>
        <w:ind w:right="-20"/>
        <w:jc w:val="left"/>
      </w:pPr>
      <w:r>
        <w:rPr/>
        <w:t>组合中，采用账龄分析法计提坏账准备的应收账款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416"/>
        <w:gridCol w:w="1172"/>
        <w:gridCol w:w="1462"/>
        <w:gridCol w:w="1620"/>
        <w:gridCol w:w="1171"/>
        <w:gridCol w:w="1594"/>
      </w:tblGrid>
      <w:tr>
        <w:trPr>
          <w:trHeight w:val="403"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136" w:type="dxa"/>
            <w:vMerge/>
            <w:tcBorders>
              <w:left w:val="single" w:sz="4" w:space="0" w:color="000000"/>
              <w:right w:val="single" w:sz="4" w:space="0" w:color="000000"/>
            </w:tcBorders>
            <w:shd w:val="clear" w:color="auto" w:fill="D2D2D2"/>
          </w:tcPr>
          <w:p>
            <w:pPr/>
          </w:p>
        </w:tc>
        <w:tc>
          <w:tcPr>
            <w:tcW w:w="2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25,564,298.71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1,278,214.94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14,802,821.90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740,141.10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25,564,298.71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1,278,214.94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14,802,821.90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740,141.10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4,928,703.60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492,870.36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2,844,130.96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284,413.10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1,905,100.96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571,530.29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654,635.00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196,390.50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1,781,303.00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1,781,303.00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1,340,310.00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1,340,310.00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1,781,303.00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1,781,303.00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1,340,310.00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1,340,310.00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34,179,406.27</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4,123,918.59</w:t>
            </w:r>
          </w:p>
        </w:tc>
        <w:tc>
          <w:tcPr>
            <w:tcW w:w="162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19,641,897.86</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2,561,254.69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80" w:top="1100" w:bottom="1160" w:left="980" w:right="980"/>
        </w:sectPr>
      </w:pPr>
    </w:p>
    <w:p>
      <w:pPr>
        <w:pStyle w:val="BodyText"/>
        <w:spacing w:line="240" w:lineRule="auto" w:before="44"/>
        <w:ind w:right="-19"/>
        <w:jc w:val="left"/>
      </w:pPr>
      <w:r>
        <w:rPr/>
        <w:t>期末单项金额虽不重大但单项计提坏账准备的应收账款</w:t>
      </w:r>
    </w:p>
    <w:p>
      <w:pPr>
        <w:pStyle w:val="BodyText"/>
        <w:spacing w:line="240" w:lineRule="auto" w:before="117"/>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702"/>
        <w:gridCol w:w="1632"/>
        <w:gridCol w:w="1913"/>
        <w:gridCol w:w="1916"/>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石家庄青藤网络技术有限公司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243,200.00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石家庄公安局行动技术支队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194,334.00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194,334.00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安徽省公安厅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李朝阳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安徽省电信公司合肥分公司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938,769.00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938,769.00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1,776,303.00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1,776,303.00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980" w:right="980"/>
        </w:sectPr>
      </w:pPr>
    </w:p>
    <w:p>
      <w:pPr>
        <w:pStyle w:val="Heading3"/>
        <w:spacing w:line="240" w:lineRule="auto" w:before="36"/>
        <w:ind w:right="0"/>
        <w:jc w:val="left"/>
        <w:rPr>
          <w:b w:val="0"/>
          <w:bCs w:val="0"/>
        </w:rPr>
      </w:pPr>
      <w:r>
        <w:rPr>
          <w:spacing w:val="-1"/>
        </w:rPr>
        <w:t>（</w:t>
      </w:r>
      <w:r>
        <w:rPr>
          <w:rFonts w:ascii="Times New Roman" w:hAnsi="Times New Roman" w:cs="Times New Roman" w:eastAsia="Times New Roman" w:hint="default"/>
          <w:spacing w:val="-1"/>
        </w:rPr>
        <w:t>2</w:t>
      </w:r>
      <w:r>
        <w:rPr>
          <w:spacing w:val="-1"/>
        </w:rPr>
        <w:t>）应收账款中金额前五名单位情况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3634" w:space="5195"/>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1916"/>
        <w:gridCol w:w="1913"/>
        <w:gridCol w:w="1916"/>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国家计算机网络应急技术处 理协调中心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5,956,500.00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17.43%</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国家计算机网络应急技术处 理协调中心新疆分中心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2,132,434.96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深圳市公安局网络警察支队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中国电信集团系统集成有限 责任公司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1,579,760.00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新疆维吾尔自治区广播电影 电视局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13,131,494.96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160" w:left="980" w:right="980"/>
        </w:sectPr>
      </w:pPr>
    </w:p>
    <w:p>
      <w:pPr>
        <w:pStyle w:val="Heading3"/>
        <w:spacing w:line="240" w:lineRule="auto" w:before="36"/>
        <w:ind w:right="-16"/>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1738" w:space="7091"/>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8"/>
        <w:gridCol w:w="1135"/>
        <w:gridCol w:w="749"/>
        <w:gridCol w:w="1092"/>
        <w:gridCol w:w="759"/>
        <w:gridCol w:w="1085"/>
        <w:gridCol w:w="763"/>
        <w:gridCol w:w="939"/>
        <w:gridCol w:w="778"/>
      </w:tblGrid>
      <w:tr>
        <w:trPr>
          <w:trHeight w:val="403" w:hRule="exact"/>
        </w:trPr>
        <w:tc>
          <w:tcPr>
            <w:tcW w:w="22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7" w:hRule="exact"/>
        </w:trPr>
        <w:tc>
          <w:tcPr>
            <w:tcW w:w="22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8"/>
              <w:jc w:val="center"/>
              <w:rPr>
                <w:rFonts w:ascii="宋体" w:hAnsi="宋体" w:cs="宋体" w:eastAsia="宋体" w:hint="default"/>
                <w:sz w:val="18"/>
                <w:szCs w:val="18"/>
              </w:rPr>
            </w:pPr>
            <w:r>
              <w:rPr>
                <w:rFonts w:ascii="宋体" w:hAnsi="宋体" w:cs="宋体" w:eastAsia="宋体" w:hint="default"/>
                <w:sz w:val="18"/>
                <w:szCs w:val="18"/>
              </w:rPr>
              <w:t>种类</w:t>
            </w:r>
          </w:p>
        </w:tc>
        <w:tc>
          <w:tcPr>
            <w:tcW w:w="18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22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71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单项金额重大并单项计提坏 账准备的其他应收款</w:t>
            </w:r>
          </w:p>
        </w:tc>
        <w:tc>
          <w:tcPr>
            <w:tcW w:w="11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2,656,743.10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43.84%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85,160.00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2,737,583.00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43.31%</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179,659.15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19.87%</w:t>
            </w:r>
          </w:p>
        </w:tc>
      </w:tr>
      <w:tr>
        <w:trPr>
          <w:trHeight w:val="402"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7"/>
        <w:gridCol w:w="1136"/>
        <w:gridCol w:w="749"/>
        <w:gridCol w:w="1092"/>
        <w:gridCol w:w="756"/>
        <w:gridCol w:w="1087"/>
        <w:gridCol w:w="763"/>
        <w:gridCol w:w="939"/>
        <w:gridCol w:w="778"/>
      </w:tblGrid>
      <w:tr>
        <w:trPr>
          <w:trHeight w:val="713" w:hRule="exact"/>
        </w:trPr>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按照账龄分析法计提坏账准 备的应收账款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2,815,935.74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46.47%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228,274.14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25.34%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3,043,377.67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48.14%</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184,273.25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20.37%</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2,815,935.74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46.47%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228,274.14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25.34%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3,043,377.67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48.14%</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184,273.25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20.37%</w:t>
            </w: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587,540.85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587,540.85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65.21%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540,464.85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8.55%</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540,464.85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59.76%</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6,060,219.69</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900,974.99</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6,321,425.52</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904,397.25</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0" w:top="110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419"/>
        <w:gridCol w:w="1491"/>
        <w:gridCol w:w="1488"/>
        <w:gridCol w:w="2341"/>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深圳市任网游科技发展有限公司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1,805,143.10</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pacing w:val="-5"/>
                <w:sz w:val="18"/>
                <w:szCs w:val="18"/>
              </w:rPr>
              <w:t>控制下的子公司，未计提坏帐</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广西壮族自治区公安厅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851,600.00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85,160.00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保证金，账龄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年，风险小</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2,656,743.10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85,160.00</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组合中，采用账龄分析法计提坏账准备的其他应收款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428"/>
        <w:gridCol w:w="1028"/>
        <w:gridCol w:w="1594"/>
        <w:gridCol w:w="1630"/>
        <w:gridCol w:w="898"/>
        <w:gridCol w:w="1726"/>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3,933,475.08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129,973.77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4,045,914.67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176,422.60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3,933,475.08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129,973.77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4,045,914.67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176,422.60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1,390,603.76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138,880.37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1,667,970.00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166,797.00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44,580.00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67,076.00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21,442.80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587,540.85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587,540.85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540,464.85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539,734.85</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587,540.85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587,540.85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540,464.85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539,734.85</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6,060,219.69</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900,974.99</w:t>
            </w:r>
          </w:p>
        </w:tc>
        <w:tc>
          <w:tcPr>
            <w:tcW w:w="163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6,321,425.52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904,397.25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19"/>
        <w:jc w:val="left"/>
      </w:pPr>
      <w:r>
        <w:rPr/>
        <w:t>期末单项金额虽不重大但单项计提坏账准备的其他应收款</w:t>
      </w:r>
    </w:p>
    <w:p>
      <w:pPr>
        <w:pStyle w:val="BodyText"/>
        <w:spacing w:line="240" w:lineRule="auto" w:before="115"/>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4" w:space="4175"/>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558"/>
        <w:gridCol w:w="1491"/>
        <w:gridCol w:w="1913"/>
        <w:gridCol w:w="1916"/>
      </w:tblGrid>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3"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西安通联网络科技发展有限公司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88,196.58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88,196.58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深圳市三科达电子有限公司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84,280.60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84,280.60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北京国佳利兴科贸有限公司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79,744.00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79,744.00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96"/>
        <w:gridCol w:w="1558"/>
        <w:gridCol w:w="1491"/>
        <w:gridCol w:w="1913"/>
        <w:gridCol w:w="1916"/>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北京恒泰天宇科技有限公司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65,250.09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65,250.09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浙江省计算机信息系统安全协会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陕西龙寰招标有限责任公司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170,069.58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170,069.58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账龄三年以上，风险大</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587,540.85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587,540.85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80" w:top="1100" w:bottom="1160" w:left="980" w:right="980"/>
        </w:sectPr>
      </w:pPr>
    </w:p>
    <w:p>
      <w:pPr>
        <w:pStyle w:val="Heading3"/>
        <w:spacing w:line="240" w:lineRule="auto" w:before="36"/>
        <w:ind w:right="0"/>
        <w:jc w:val="left"/>
        <w:rPr>
          <w:b w:val="0"/>
          <w:bCs w:val="0"/>
        </w:rPr>
      </w:pPr>
      <w:r>
        <w:rPr>
          <w:spacing w:val="-1"/>
        </w:rPr>
        <w:t>（</w:t>
      </w:r>
      <w:r>
        <w:rPr>
          <w:rFonts w:ascii="Times New Roman" w:hAnsi="Times New Roman" w:cs="Times New Roman" w:eastAsia="Times New Roman" w:hint="default"/>
          <w:spacing w:val="-1"/>
        </w:rPr>
        <w:t>2</w:t>
      </w:r>
      <w:r>
        <w:rPr>
          <w:spacing w:val="-1"/>
        </w:rPr>
        <w:t>）其他应收款金额前五名单位情况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3634" w:space="5195"/>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417"/>
        <w:gridCol w:w="1632"/>
        <w:gridCol w:w="1344"/>
        <w:gridCol w:w="2485"/>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深圳市任网游科技发展有限公司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1,805,143.10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28.78%</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广西壮族自治区公安厅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851,600.00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14.05%</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雇员</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479,428.00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7.91%</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雇员</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187,050.00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刘文彬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雇员</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2.48%</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3,473,221.10</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24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566"/>
        <w:gridCol w:w="994"/>
        <w:gridCol w:w="1133"/>
        <w:gridCol w:w="1135"/>
        <w:gridCol w:w="1133"/>
        <w:gridCol w:w="850"/>
        <w:gridCol w:w="994"/>
        <w:gridCol w:w="1561"/>
      </w:tblGrid>
      <w:tr>
        <w:trPr>
          <w:trHeight w:val="1027"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深圳市任网 游科技发展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成本 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9,000,000.00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深圳市任子 行科技开发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成本 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深圳市博海 通讯技术有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成本 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7,600,000.00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北京中天信 安科技有限 责任公司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权益 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4,557,748.49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4,557,748.49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566"/>
        <w:gridCol w:w="994"/>
        <w:gridCol w:w="1133"/>
        <w:gridCol w:w="1135"/>
        <w:gridCol w:w="1134"/>
        <w:gridCol w:w="848"/>
        <w:gridCol w:w="994"/>
        <w:gridCol w:w="1561"/>
      </w:tblGrid>
      <w:tr>
        <w:trPr>
          <w:trHeight w:val="71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21,157,748.49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42,157,748.49</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172,514,237.05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171,138,132.96</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6,976.00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85,580.00</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172,521,213.05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171,223,712.96</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74,770,300.53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75,916,659.55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63,725,263.54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865,291.15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61,147,740.07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401,086.18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84,364,387.99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61,723,731.69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87,462,128.63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67,531,969.17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服务类收入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24,424,585.52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12,169,700.51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22,528,264.26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7,908,327.02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172,514,237.05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74,758,723.35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171,138,132.96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75,841,382.37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专用安全审计产品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49,614,103.88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23,435,846.86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53,871,005.76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17,205,213.05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通用安全审计产品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47,614,114.89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9,497,938.38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47,449,103.06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9,837,630.42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网络监管产品及安全集成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75,286,018.28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41,824,938.11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69,818,024.14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48,798,538.90</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172,514,237.05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74,758,723.35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171,138,132.96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75,841,382.37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3723"/>
        <w:gridCol w:w="3575"/>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7,561,571.66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2,114,625.95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7,067,219.19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2,698,000.27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52,129,594.22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29,502,998.46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72,163,865.72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43,804,684.48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9,533,574.61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4,468,708.00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11,335,401.52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4,456,177.81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58,544,620.40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18,776,320.14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38,630,732.36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11,812,643.81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11,257,459.27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6,971,612.04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12,092,452.39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4,446,894.65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16,568,746.44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6,497,297.38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15,837,157.07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4,567,474.32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16,918,670.45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6,427,161.38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14,011,304.71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4,055,507.03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172,514,237.05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74,758,723.35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171,138,132.96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75,841,382.37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1"/>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6"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深圳市任子行科技开发有限公司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19,320,683.76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11,829,059.83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国家计算机网络应急技术处理协调中心</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11,410,000.00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深圳市公安局网络警察支队</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8,429,333.33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北京爱信诺航天科技有限公司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7,705,982.91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4.47%</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58,695,059.83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-442,251.51</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222,333.32</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-219,918.19</w:t>
            </w:r>
          </w:p>
        </w:tc>
        <w:tc>
          <w:tcPr>
            <w:tcW w:w="2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北京中天信安科技有限责任公司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-442,251.51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327"/>
        <w:gridCol w:w="1728"/>
        <w:gridCol w:w="1606"/>
        <w:gridCol w:w="2899"/>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-442,251.51</w:t>
            </w:r>
          </w:p>
        </w:tc>
        <w:tc>
          <w:tcPr>
            <w:tcW w:w="1606" w:type="dxa"/>
            <w:tcBorders>
              <w:top w:val="single" w:sz="4" w:space="0" w:color="000000"/>
              <w:left w:val="single" w:sz="4" w:space="0" w:color="000000"/>
              <w:bottom w:val="single" w:sz="4" w:space="0" w:color="000000"/>
              <w:right w:val="single" w:sz="13" w:space="0" w:color="D2D2D2"/>
            </w:tcBorders>
          </w:tcPr>
          <w:p>
            <w:pPr/>
          </w:p>
        </w:tc>
        <w:tc>
          <w:tcPr>
            <w:tcW w:w="2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38,727,447.37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38,638,651.79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2,409,239.22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1,028,438.44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7,360,911.99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3,465,859.18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412,150.69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357,256.03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219,918.19</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-1,401,584.99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-1,490,765.78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6,181,781.25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-15,315,743.50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-16,427,099.83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-8,795,490.89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45,327,764.20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23,009,883.36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82,810,528.09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40,898,088.63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299,778,895.38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54,507,898.29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54,507,898.29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47,410,519.61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245,270,997.09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7,097,378.68</w:t>
            </w:r>
          </w:p>
        </w:tc>
      </w:tr>
    </w:tbl>
    <w:p>
      <w:pPr>
        <w:pStyle w:val="Heading2"/>
        <w:spacing w:line="274" w:lineRule="exact"/>
        <w:ind w:right="0"/>
        <w:jc w:val="left"/>
        <w:rPr>
          <w:b w:val="0"/>
          <w:bCs w:val="0"/>
        </w:rPr>
      </w:pPr>
      <w:r>
        <w:rPr/>
        <w:t>十二、补充资料</w:t>
      </w:r>
      <w:r>
        <w:rPr>
          <w:b w:val="0"/>
          <w:bCs w:val="0"/>
        </w:rPr>
      </w:r>
    </w:p>
    <w:p>
      <w:pPr>
        <w:spacing w:line="240" w:lineRule="auto" w:before="6"/>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980" w:top="1100" w:bottom="1160" w:left="980" w:right="980"/>
        </w:sectPr>
      </w:pPr>
    </w:p>
    <w:p>
      <w:pPr>
        <w:pStyle w:val="Heading3"/>
        <w:spacing w:line="240" w:lineRule="auto" w:before="36"/>
        <w:ind w:right="-6"/>
        <w:jc w:val="left"/>
        <w:rPr>
          <w:b w:val="0"/>
          <w:bCs w:val="0"/>
        </w:rPr>
      </w:pPr>
      <w:r>
        <w:rPr>
          <w:rFonts w:ascii="Times New Roman" w:hAnsi="Times New Roman" w:cs="Times New Roman" w:eastAsia="Times New Roman" w:hint="default"/>
          <w:spacing w:val="-1"/>
        </w:rPr>
        <w:t>1</w:t>
      </w:r>
      <w:r>
        <w:rPr>
          <w:spacing w:val="-1"/>
        </w:rPr>
        <w:t>、净资产收益率及每股收益</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3"/>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789" w:space="6041"/>
            <w:col w:w="1120"/>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242"/>
        <w:gridCol w:w="2410"/>
        <w:gridCol w:w="1277"/>
        <w:gridCol w:w="1630"/>
      </w:tblGrid>
      <w:tr>
        <w:trPr>
          <w:trHeight w:val="206" w:hRule="exact"/>
        </w:trPr>
        <w:tc>
          <w:tcPr>
            <w:tcW w:w="4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42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07"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4242" w:type="dxa"/>
            <w:vMerge/>
            <w:tcBorders>
              <w:left w:val="single" w:sz="4" w:space="0" w:color="000000"/>
              <w:bottom w:val="nil" w:sz="6" w:space="0" w:color="auto"/>
              <w:right w:val="single" w:sz="4" w:space="0" w:color="000000"/>
            </w:tcBorders>
            <w:shd w:val="clear" w:color="auto" w:fill="D2D2D2"/>
          </w:tcPr>
          <w:p>
            <w:pPr/>
          </w:p>
        </w:tc>
        <w:tc>
          <w:tcPr>
            <w:tcW w:w="2410"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4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w:t>
            </w:r>
          </w:p>
        </w:tc>
      </w:tr>
      <w:tr>
        <w:trPr>
          <w:trHeight w:val="401"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4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0.49</w:t>
            </w:r>
          </w:p>
        </w:tc>
      </w:tr>
    </w:tbl>
    <w:p>
      <w:pPr>
        <w:pStyle w:val="Heading3"/>
        <w:spacing w:line="240" w:lineRule="auto" w:before="28"/>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pStyle w:val="BodyText"/>
        <w:spacing w:line="309" w:lineRule="auto" w:before="143"/>
        <w:ind w:right="153"/>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2012</w:t>
      </w:r>
      <w:r>
        <w:rPr/>
        <w:t>年末货币资金比</w:t>
      </w:r>
      <w:r>
        <w:rPr>
          <w:rFonts w:ascii="Times New Roman" w:hAnsi="Times New Roman" w:cs="Times New Roman" w:eastAsia="Times New Roman" w:hint="default"/>
        </w:rPr>
        <w:t>2011</w:t>
      </w:r>
      <w:r>
        <w:rPr/>
        <w:t>年末增长</w:t>
      </w:r>
      <w:r>
        <w:rPr>
          <w:rFonts w:ascii="Times New Roman" w:hAnsi="Times New Roman" w:cs="Times New Roman" w:eastAsia="Times New Roman" w:hint="default"/>
        </w:rPr>
        <w:t>266,725,197.92</w:t>
      </w:r>
      <w:r>
        <w:rPr/>
        <w:t>元，增长幅度为</w:t>
      </w:r>
      <w:r>
        <w:rPr>
          <w:rFonts w:ascii="Times New Roman" w:hAnsi="Times New Roman" w:cs="Times New Roman" w:eastAsia="Times New Roman" w:hint="default"/>
        </w:rPr>
        <w:t>452.93%</w:t>
      </w:r>
      <w:r>
        <w:rPr/>
        <w:t>，主要原因是本公司本年公开发行股票募 集资金及经营活动利润增加资金所致。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2012</w:t>
      </w:r>
      <w:r>
        <w:rPr/>
        <w:t>年末应收票据较</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5,391,005.56</w:t>
      </w:r>
      <w:r>
        <w:rPr/>
        <w:t>元，增加幅度为</w:t>
      </w:r>
      <w:r>
        <w:rPr>
          <w:rFonts w:ascii="Times New Roman" w:hAnsi="Times New Roman" w:cs="Times New Roman" w:eastAsia="Times New Roman" w:hint="default"/>
        </w:rPr>
        <w:t>442.95%</w:t>
      </w:r>
      <w:r>
        <w:rPr/>
        <w:t>，主要是本年度公司新增子公司博海通讯并 表增加所致。 </w:t>
      </w:r>
      <w:r>
        <w:rPr>
          <w:rFonts w:ascii="Times New Roman" w:hAnsi="Times New Roman" w:cs="Times New Roman" w:eastAsia="Times New Roman" w:hint="default"/>
          <w:spacing w:val="-1"/>
        </w:rPr>
        <w:t>3</w:t>
      </w:r>
      <w:r>
        <w:rPr>
          <w:spacing w:val="-1"/>
        </w:rPr>
        <w:t>、公司</w:t>
      </w:r>
      <w:r>
        <w:rPr>
          <w:rFonts w:ascii="Times New Roman" w:hAnsi="Times New Roman" w:cs="Times New Roman" w:eastAsia="Times New Roman" w:hint="default"/>
          <w:spacing w:val="-1"/>
        </w:rPr>
        <w:t>2012</w:t>
      </w:r>
      <w:r>
        <w:rPr>
          <w:spacing w:val="-1"/>
        </w:rPr>
        <w:t>年末应收帐款余额较</w:t>
      </w:r>
      <w:r>
        <w:rPr>
          <w:rFonts w:ascii="Times New Roman" w:hAnsi="Times New Roman" w:cs="Times New Roman" w:eastAsia="Times New Roman" w:hint="default"/>
          <w:spacing w:val="-1"/>
        </w:rPr>
        <w:t>2011</w:t>
      </w:r>
      <w:r>
        <w:rPr>
          <w:spacing w:val="-1"/>
        </w:rPr>
        <w:t>年末增加</w:t>
      </w:r>
      <w:r>
        <w:rPr>
          <w:rFonts w:ascii="Times New Roman" w:hAnsi="Times New Roman" w:cs="Times New Roman" w:eastAsia="Times New Roman" w:hint="default"/>
          <w:spacing w:val="-1"/>
        </w:rPr>
        <w:t>26,419,798.58</w:t>
      </w:r>
      <w:r>
        <w:rPr>
          <w:spacing w:val="-1"/>
        </w:rPr>
        <w:t>元，增长幅度为</w:t>
      </w:r>
      <w:r>
        <w:rPr>
          <w:rFonts w:ascii="Times New Roman" w:hAnsi="Times New Roman" w:cs="Times New Roman" w:eastAsia="Times New Roman" w:hint="default"/>
          <w:spacing w:val="-1"/>
        </w:rPr>
        <w:t>134.59%</w:t>
      </w:r>
      <w:r>
        <w:rPr>
          <w:spacing w:val="-1"/>
        </w:rPr>
        <w:t>，主要是本年新增控股子公司博海通讯</w:t>
      </w:r>
      <w:r>
        <w:rPr>
          <w:spacing w:val="-88"/>
        </w:rPr>
        <w:t> </w:t>
      </w:r>
      <w:r>
        <w:rPr>
          <w:spacing w:val="-88"/>
        </w:rPr>
      </w:r>
      <w:r>
        <w:rPr/>
        <w:t>并表计入及公司项目款增加所致。 </w:t>
      </w: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2012</w:t>
      </w:r>
      <w:r>
        <w:rPr/>
        <w:t>年末预付帐款较</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1,704,209.99</w:t>
      </w:r>
      <w:r>
        <w:rPr/>
        <w:t>元</w:t>
      </w:r>
      <w:r>
        <w:rPr>
          <w:rFonts w:ascii="Times New Roman" w:hAnsi="Times New Roman" w:cs="Times New Roman" w:eastAsia="Times New Roman" w:hint="default"/>
        </w:rPr>
        <w:t>,</w:t>
      </w:r>
      <w:r>
        <w:rPr/>
        <w:t>增长幅度</w:t>
      </w:r>
      <w:r>
        <w:rPr>
          <w:rFonts w:ascii="Times New Roman" w:hAnsi="Times New Roman" w:cs="Times New Roman" w:eastAsia="Times New Roman" w:hint="default"/>
        </w:rPr>
        <w:t>134.30%</w:t>
      </w:r>
      <w:r>
        <w:rPr/>
        <w:t>，主要是公司采购规模增加所致。</w:t>
      </w:r>
    </w:p>
    <w:p>
      <w:pPr>
        <w:spacing w:after="0" w:line="309" w:lineRule="auto"/>
        <w:jc w:val="left"/>
        <w:sectPr>
          <w:type w:val="continuous"/>
          <w:pgSz w:w="11910" w:h="16840"/>
          <w:pgMar w:top="1060" w:bottom="1160" w:left="980" w:right="980"/>
        </w:sectPr>
      </w:pPr>
    </w:p>
    <w:p>
      <w:pPr>
        <w:spacing w:line="240" w:lineRule="auto" w:before="11"/>
        <w:rPr>
          <w:rFonts w:ascii="宋体" w:hAnsi="宋体" w:cs="宋体" w:eastAsia="宋体" w:hint="default"/>
          <w:sz w:val="21"/>
          <w:szCs w:val="21"/>
        </w:rPr>
      </w:pPr>
    </w:p>
    <w:p>
      <w:pPr>
        <w:pStyle w:val="BodyText"/>
        <w:spacing w:line="309" w:lineRule="auto" w:before="44"/>
        <w:ind w:right="174"/>
        <w:jc w:val="left"/>
      </w:pPr>
      <w:r>
        <w:rPr>
          <w:rFonts w:ascii="Times New Roman" w:hAnsi="Times New Roman" w:cs="Times New Roman" w:eastAsia="Times New Roman" w:hint="default"/>
        </w:rPr>
        <w:t>5</w:t>
      </w:r>
      <w:r>
        <w:rPr/>
        <w:t>、公司</w:t>
      </w:r>
      <w:r>
        <w:rPr>
          <w:rFonts w:ascii="Times New Roman" w:hAnsi="Times New Roman" w:cs="Times New Roman" w:eastAsia="Times New Roman" w:hint="default"/>
        </w:rPr>
        <w:t>2012</w:t>
      </w:r>
      <w:r>
        <w:rPr/>
        <w:t>年末存货余额较</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13,749,037.02</w:t>
      </w:r>
      <w:r>
        <w:rPr/>
        <w:t>元，增长幅度</w:t>
      </w:r>
      <w:r>
        <w:rPr>
          <w:rFonts w:ascii="Times New Roman" w:hAnsi="Times New Roman" w:cs="Times New Roman" w:eastAsia="Times New Roman" w:hint="default"/>
        </w:rPr>
        <w:t>70.38%</w:t>
      </w:r>
      <w:r>
        <w:rPr/>
        <w:t>，主要是本年新增子公司博海通讯并表增加所 致。 </w:t>
      </w:r>
      <w:r>
        <w:rPr>
          <w:rFonts w:ascii="Times New Roman" w:hAnsi="Times New Roman" w:cs="Times New Roman" w:eastAsia="Times New Roman" w:hint="default"/>
        </w:rPr>
        <w:t>6</w:t>
      </w:r>
      <w:r>
        <w:rPr/>
        <w:t>、公司</w:t>
      </w:r>
      <w:r>
        <w:rPr>
          <w:rFonts w:ascii="Times New Roman" w:hAnsi="Times New Roman" w:cs="Times New Roman" w:eastAsia="Times New Roman" w:hint="default"/>
        </w:rPr>
        <w:t>2012</w:t>
      </w:r>
      <w:r>
        <w:rPr/>
        <w:t>年末固定资产原值较</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30,479,260.41</w:t>
      </w:r>
      <w:r>
        <w:rPr/>
        <w:t>元，增长幅度为</w:t>
      </w:r>
      <w:r>
        <w:rPr>
          <w:rFonts w:ascii="Times New Roman" w:hAnsi="Times New Roman" w:cs="Times New Roman" w:eastAsia="Times New Roman" w:hint="default"/>
        </w:rPr>
        <w:t>31.61%</w:t>
      </w:r>
      <w:r>
        <w:rPr/>
        <w:t>，主要是公司增加了研发投入设备及新 增子公司博海通讯并表增加所致。 </w:t>
      </w:r>
      <w:r>
        <w:rPr>
          <w:rFonts w:ascii="Times New Roman" w:hAnsi="Times New Roman" w:cs="Times New Roman" w:eastAsia="Times New Roman" w:hint="default"/>
        </w:rPr>
        <w:t>7</w:t>
      </w:r>
      <w:r>
        <w:rPr/>
        <w:t>、公司</w:t>
      </w:r>
      <w:r>
        <w:rPr>
          <w:rFonts w:ascii="Times New Roman" w:hAnsi="Times New Roman" w:cs="Times New Roman" w:eastAsia="Times New Roman" w:hint="default"/>
        </w:rPr>
        <w:t>2012</w:t>
      </w:r>
      <w:r>
        <w:rPr/>
        <w:t>年末商誉较</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2,759,611.73</w:t>
      </w:r>
      <w:r>
        <w:rPr/>
        <w:t>元，是公司本年度购买博海通讯合并报表形成的。</w:t>
      </w:r>
    </w:p>
    <w:p>
      <w:pPr>
        <w:pStyle w:val="BodyText"/>
        <w:spacing w:line="309" w:lineRule="auto" w:before="5"/>
        <w:ind w:right="0"/>
        <w:jc w:val="left"/>
      </w:pPr>
      <w:r>
        <w:rPr>
          <w:rFonts w:ascii="Times New Roman" w:hAnsi="Times New Roman" w:cs="Times New Roman" w:eastAsia="Times New Roman" w:hint="default"/>
          <w:spacing w:val="-1"/>
        </w:rPr>
        <w:t>8</w:t>
      </w:r>
      <w:r>
        <w:rPr>
          <w:spacing w:val="-1"/>
        </w:rPr>
        <w:t>、公司</w:t>
      </w:r>
      <w:r>
        <w:rPr>
          <w:rFonts w:ascii="Times New Roman" w:hAnsi="Times New Roman" w:cs="Times New Roman" w:eastAsia="Times New Roman" w:hint="default"/>
          <w:spacing w:val="-1"/>
        </w:rPr>
        <w:t>2012</w:t>
      </w:r>
      <w:r>
        <w:rPr>
          <w:spacing w:val="-1"/>
        </w:rPr>
        <w:t>年末递延所得税资产余额较</w:t>
      </w:r>
      <w:r>
        <w:rPr>
          <w:rFonts w:ascii="Times New Roman" w:hAnsi="Times New Roman" w:cs="Times New Roman" w:eastAsia="Times New Roman" w:hint="default"/>
          <w:spacing w:val="-1"/>
        </w:rPr>
        <w:t>2011</w:t>
      </w:r>
      <w:r>
        <w:rPr>
          <w:spacing w:val="-1"/>
        </w:rPr>
        <w:t>年末增加</w:t>
      </w:r>
      <w:r>
        <w:rPr>
          <w:rFonts w:ascii="Times New Roman" w:hAnsi="Times New Roman" w:cs="Times New Roman" w:eastAsia="Times New Roman" w:hint="default"/>
          <w:spacing w:val="-1"/>
        </w:rPr>
        <w:t>1,564,339.54</w:t>
      </w:r>
      <w:r>
        <w:rPr>
          <w:spacing w:val="-1"/>
        </w:rPr>
        <w:t>元，增长幅度</w:t>
      </w:r>
      <w:r>
        <w:rPr>
          <w:rFonts w:ascii="Times New Roman" w:hAnsi="Times New Roman" w:cs="Times New Roman" w:eastAsia="Times New Roman" w:hint="default"/>
          <w:spacing w:val="-1"/>
        </w:rPr>
        <w:t>40.61%</w:t>
      </w:r>
      <w:r>
        <w:rPr>
          <w:spacing w:val="-1"/>
        </w:rPr>
        <w:t>，主要是公司坏账的计提和政府补贴</w:t>
      </w:r>
      <w:r>
        <w:rPr>
          <w:spacing w:val="-85"/>
        </w:rPr>
        <w:t> </w:t>
      </w:r>
      <w:r>
        <w:rPr>
          <w:spacing w:val="-85"/>
        </w:rPr>
      </w:r>
      <w:r>
        <w:rPr/>
        <w:t>项目形成的递延收益增加所致。 </w:t>
      </w:r>
      <w:r>
        <w:rPr>
          <w:rFonts w:ascii="Times New Roman" w:hAnsi="Times New Roman" w:cs="Times New Roman" w:eastAsia="Times New Roman" w:hint="default"/>
        </w:rPr>
        <w:t>9</w:t>
      </w:r>
      <w:r>
        <w:rPr/>
        <w:t>、公司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日短期借款较年初余额增长了</w:t>
      </w:r>
      <w:r>
        <w:rPr>
          <w:rFonts w:ascii="Times New Roman" w:hAnsi="Times New Roman" w:cs="Times New Roman" w:eastAsia="Times New Roman" w:hint="default"/>
        </w:rPr>
        <w:t>2,662,833.33</w:t>
      </w:r>
      <w:r>
        <w:rPr/>
        <w:t>元，是本年新增子公司博海通讯增加了银行借款所致。</w:t>
      </w:r>
    </w:p>
    <w:p>
      <w:pPr>
        <w:pStyle w:val="BodyText"/>
        <w:spacing w:line="240" w:lineRule="auto" w:before="5"/>
        <w:ind w:right="0"/>
        <w:jc w:val="left"/>
      </w:pPr>
      <w:r>
        <w:rPr>
          <w:rFonts w:ascii="Times New Roman" w:hAnsi="Times New Roman" w:cs="Times New Roman" w:eastAsia="Times New Roman" w:hint="default"/>
        </w:rPr>
        <w:t>10</w:t>
      </w:r>
      <w:r>
        <w:rPr/>
        <w:t>、公司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日应付票据较年初余额增长了</w:t>
      </w:r>
      <w:r>
        <w:rPr>
          <w:rFonts w:ascii="Times New Roman" w:hAnsi="Times New Roman" w:cs="Times New Roman" w:eastAsia="Times New Roman" w:hint="default"/>
        </w:rPr>
        <w:t>6,710,958.58</w:t>
      </w:r>
      <w:r>
        <w:rPr/>
        <w:t>元，主要是本年新增子公司博海通讯增加所致。</w:t>
      </w:r>
    </w:p>
    <w:p>
      <w:pPr>
        <w:pStyle w:val="BodyText"/>
        <w:spacing w:line="240" w:lineRule="auto" w:before="63"/>
        <w:ind w:right="0"/>
        <w:jc w:val="left"/>
      </w:pPr>
      <w:r>
        <w:rPr>
          <w:rFonts w:ascii="Times New Roman" w:hAnsi="Times New Roman" w:cs="Times New Roman" w:eastAsia="Times New Roman" w:hint="default"/>
          <w:spacing w:val="-3"/>
        </w:rPr>
        <w:t>11</w:t>
      </w:r>
      <w:r>
        <w:rPr>
          <w:spacing w:val="-3"/>
        </w:rPr>
        <w:t>、公司</w:t>
      </w:r>
      <w:r>
        <w:rPr>
          <w:rFonts w:ascii="Times New Roman" w:hAnsi="Times New Roman" w:cs="Times New Roman" w:eastAsia="Times New Roman" w:hint="default"/>
          <w:spacing w:val="-3"/>
        </w:rPr>
        <w:t>2012</w:t>
      </w:r>
      <w:r>
        <w:rPr>
          <w:spacing w:val="-3"/>
        </w:rPr>
        <w:t>年末应付帐款较</w:t>
      </w:r>
      <w:r>
        <w:rPr>
          <w:rFonts w:ascii="Times New Roman" w:hAnsi="Times New Roman" w:cs="Times New Roman" w:eastAsia="Times New Roman" w:hint="default"/>
          <w:spacing w:val="-3"/>
        </w:rPr>
        <w:t>2011</w:t>
      </w:r>
      <w:r>
        <w:rPr>
          <w:spacing w:val="-3"/>
        </w:rPr>
        <w:t>年末增加</w:t>
      </w:r>
      <w:r>
        <w:rPr>
          <w:rFonts w:ascii="Times New Roman" w:hAnsi="Times New Roman" w:cs="Times New Roman" w:eastAsia="Times New Roman" w:hint="default"/>
          <w:spacing w:val="-3"/>
        </w:rPr>
        <w:t>12,950,036.58</w:t>
      </w:r>
      <w:r>
        <w:rPr>
          <w:spacing w:val="-3"/>
        </w:rPr>
        <w:t>元，增长</w:t>
      </w:r>
      <w:r>
        <w:rPr>
          <w:rFonts w:ascii="Times New Roman" w:hAnsi="Times New Roman" w:cs="Times New Roman" w:eastAsia="Times New Roman" w:hint="default"/>
          <w:spacing w:val="-3"/>
        </w:rPr>
        <w:t>140.19%</w:t>
      </w:r>
      <w:r>
        <w:rPr>
          <w:spacing w:val="-3"/>
        </w:rPr>
        <w:t>，主要是本年新增子公司博海通讯并表增加所致。</w:t>
      </w:r>
    </w:p>
    <w:p>
      <w:pPr>
        <w:pStyle w:val="BodyText"/>
        <w:spacing w:line="309" w:lineRule="auto" w:before="63"/>
        <w:ind w:right="0"/>
        <w:jc w:val="left"/>
      </w:pPr>
      <w:r>
        <w:rPr>
          <w:rFonts w:ascii="Times New Roman" w:hAnsi="Times New Roman" w:cs="Times New Roman" w:eastAsia="Times New Roman" w:hint="default"/>
        </w:rPr>
        <w:t>12</w:t>
      </w:r>
      <w:r>
        <w:rPr/>
        <w:t>、公司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日预收帐款较年初余额增加</w:t>
      </w:r>
      <w:r>
        <w:rPr>
          <w:rFonts w:ascii="Times New Roman" w:hAnsi="Times New Roman" w:cs="Times New Roman" w:eastAsia="Times New Roman" w:hint="default"/>
        </w:rPr>
        <w:t>30,391,347.93</w:t>
      </w:r>
      <w:r>
        <w:rPr/>
        <w:t>元，增长幅度为</w:t>
      </w:r>
      <w:r>
        <w:rPr>
          <w:rFonts w:ascii="Times New Roman" w:hAnsi="Times New Roman" w:cs="Times New Roman" w:eastAsia="Times New Roman" w:hint="default"/>
        </w:rPr>
        <w:t>211.53%</w:t>
      </w:r>
      <w:r>
        <w:rPr/>
        <w:t>，主要是本年度预收了客户合同款 尚未结转收入所致。 </w:t>
      </w:r>
      <w:r>
        <w:rPr>
          <w:rFonts w:ascii="Times New Roman" w:hAnsi="Times New Roman" w:cs="Times New Roman" w:eastAsia="Times New Roman" w:hint="default"/>
        </w:rPr>
        <w:t>13</w:t>
      </w:r>
      <w:r>
        <w:rPr/>
        <w:t>、公司</w:t>
      </w:r>
      <w:r>
        <w:rPr>
          <w:rFonts w:ascii="Times New Roman" w:hAnsi="Times New Roman" w:cs="Times New Roman" w:eastAsia="Times New Roman" w:hint="default"/>
        </w:rPr>
        <w:t>2012</w:t>
      </w:r>
      <w:r>
        <w:rPr/>
        <w:t>年末应付职工薪酬较</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2,497,346.75</w:t>
      </w:r>
      <w:r>
        <w:rPr/>
        <w:t>元，增加幅度为</w:t>
      </w:r>
      <w:r>
        <w:rPr>
          <w:rFonts w:ascii="Times New Roman" w:hAnsi="Times New Roman" w:cs="Times New Roman" w:eastAsia="Times New Roman" w:hint="default"/>
        </w:rPr>
        <w:t>50.52%</w:t>
      </w:r>
      <w:r>
        <w:rPr/>
        <w:t>，主要是公司员工人数增加及工资薪酬 增加所致。 </w:t>
      </w:r>
      <w:r>
        <w:rPr>
          <w:rFonts w:ascii="Times New Roman" w:hAnsi="Times New Roman" w:cs="Times New Roman" w:eastAsia="Times New Roman" w:hint="default"/>
          <w:spacing w:val="-1"/>
        </w:rPr>
        <w:t>14</w:t>
      </w:r>
      <w:r>
        <w:rPr>
          <w:spacing w:val="-1"/>
        </w:rPr>
        <w:t>、公司</w:t>
      </w:r>
      <w:r>
        <w:rPr>
          <w:rFonts w:ascii="Times New Roman" w:hAnsi="Times New Roman" w:cs="Times New Roman" w:eastAsia="Times New Roman" w:hint="default"/>
          <w:spacing w:val="-1"/>
        </w:rPr>
        <w:t>2012</w:t>
      </w:r>
      <w:r>
        <w:rPr>
          <w:spacing w:val="-1"/>
        </w:rPr>
        <w:t>年末应交税费较</w:t>
      </w:r>
      <w:r>
        <w:rPr>
          <w:rFonts w:ascii="Times New Roman" w:hAnsi="Times New Roman" w:cs="Times New Roman" w:eastAsia="Times New Roman" w:hint="default"/>
          <w:spacing w:val="-1"/>
        </w:rPr>
        <w:t>2011</w:t>
      </w:r>
      <w:r>
        <w:rPr>
          <w:spacing w:val="-1"/>
        </w:rPr>
        <w:t>年末增加</w:t>
      </w:r>
      <w:r>
        <w:rPr>
          <w:rFonts w:ascii="Times New Roman" w:hAnsi="Times New Roman" w:cs="Times New Roman" w:eastAsia="Times New Roman" w:hint="default"/>
          <w:spacing w:val="-1"/>
        </w:rPr>
        <w:t>4,318,249.28</w:t>
      </w:r>
      <w:r>
        <w:rPr>
          <w:spacing w:val="-1"/>
        </w:rPr>
        <w:t>元，增长幅度为</w:t>
      </w:r>
      <w:r>
        <w:rPr>
          <w:rFonts w:ascii="Times New Roman" w:hAnsi="Times New Roman" w:cs="Times New Roman" w:eastAsia="Times New Roman" w:hint="default"/>
          <w:spacing w:val="-1"/>
        </w:rPr>
        <w:t>135.37%</w:t>
      </w:r>
      <w:r>
        <w:rPr>
          <w:spacing w:val="-1"/>
        </w:rPr>
        <w:t>，主要是公司销售收入增加引起应交增值税</w:t>
      </w:r>
      <w:r>
        <w:rPr>
          <w:spacing w:val="-84"/>
        </w:rPr>
        <w:t> </w:t>
      </w:r>
      <w:r>
        <w:rPr>
          <w:spacing w:val="-84"/>
        </w:rPr>
      </w:r>
      <w:r>
        <w:rPr/>
        <w:t>增加所致。 </w:t>
      </w:r>
      <w:r>
        <w:rPr>
          <w:rFonts w:ascii="Times New Roman" w:hAnsi="Times New Roman" w:cs="Times New Roman" w:eastAsia="Times New Roman" w:hint="default"/>
          <w:spacing w:val="-1"/>
        </w:rPr>
        <w:t>15</w:t>
      </w:r>
      <w:r>
        <w:rPr>
          <w:spacing w:val="-1"/>
        </w:rPr>
        <w:t>、公司</w:t>
      </w:r>
      <w:r>
        <w:rPr>
          <w:rFonts w:ascii="Times New Roman" w:hAnsi="Times New Roman" w:cs="Times New Roman" w:eastAsia="Times New Roman" w:hint="default"/>
          <w:spacing w:val="-1"/>
        </w:rPr>
        <w:t>2012</w:t>
      </w:r>
      <w:r>
        <w:rPr>
          <w:spacing w:val="-1"/>
        </w:rPr>
        <w:t>年末其他应付款较</w:t>
      </w:r>
      <w:r>
        <w:rPr>
          <w:rFonts w:ascii="Times New Roman" w:hAnsi="Times New Roman" w:cs="Times New Roman" w:eastAsia="Times New Roman" w:hint="default"/>
          <w:spacing w:val="-1"/>
        </w:rPr>
        <w:t>2011</w:t>
      </w:r>
      <w:r>
        <w:rPr>
          <w:spacing w:val="-1"/>
        </w:rPr>
        <w:t>年末增加</w:t>
      </w:r>
      <w:r>
        <w:rPr>
          <w:rFonts w:ascii="Times New Roman" w:hAnsi="Times New Roman" w:cs="Times New Roman" w:eastAsia="Times New Roman" w:hint="default"/>
          <w:spacing w:val="-1"/>
        </w:rPr>
        <w:t>8,071,020.09</w:t>
      </w:r>
      <w:r>
        <w:rPr>
          <w:spacing w:val="-1"/>
        </w:rPr>
        <w:t>，增长幅度为</w:t>
      </w:r>
      <w:r>
        <w:rPr>
          <w:rFonts w:ascii="Times New Roman" w:hAnsi="Times New Roman" w:cs="Times New Roman" w:eastAsia="Times New Roman" w:hint="default"/>
          <w:spacing w:val="-1"/>
        </w:rPr>
        <w:t>1,018.08%</w:t>
      </w:r>
      <w:r>
        <w:rPr>
          <w:spacing w:val="-1"/>
        </w:rPr>
        <w:t>，主要是新增子公司博海通讯并表增加所</w:t>
      </w:r>
      <w:r>
        <w:rPr>
          <w:spacing w:val="-39"/>
        </w:rPr>
        <w:t> </w:t>
      </w:r>
      <w:r>
        <w:rPr>
          <w:spacing w:val="-39"/>
        </w:rPr>
      </w:r>
      <w:r>
        <w:rPr/>
        <w:t>致。 </w:t>
      </w:r>
      <w:r>
        <w:rPr>
          <w:rFonts w:ascii="Times New Roman" w:hAnsi="Times New Roman" w:cs="Times New Roman" w:eastAsia="Times New Roman" w:hint="default"/>
        </w:rPr>
        <w:t>16</w:t>
      </w:r>
      <w:r>
        <w:rPr/>
        <w:t>、公司</w:t>
      </w:r>
      <w:r>
        <w:rPr>
          <w:rFonts w:ascii="Times New Roman" w:hAnsi="Times New Roman" w:cs="Times New Roman" w:eastAsia="Times New Roman" w:hint="default"/>
        </w:rPr>
        <w:t>2012</w:t>
      </w:r>
      <w:r>
        <w:rPr/>
        <w:t>年末其他非流动负债较</w:t>
      </w:r>
      <w:r>
        <w:rPr>
          <w:rFonts w:ascii="Times New Roman" w:hAnsi="Times New Roman" w:cs="Times New Roman" w:eastAsia="Times New Roman" w:hint="default"/>
        </w:rPr>
        <w:t>2011</w:t>
      </w:r>
      <w:r>
        <w:rPr/>
        <w:t>年末增加</w:t>
      </w:r>
      <w:r>
        <w:rPr>
          <w:rFonts w:ascii="Times New Roman" w:hAnsi="Times New Roman" w:cs="Times New Roman" w:eastAsia="Times New Roman" w:hint="default"/>
        </w:rPr>
        <w:t>7,110,000.04</w:t>
      </w:r>
      <w:r>
        <w:rPr/>
        <w:t>，增长幅度为</w:t>
      </w:r>
      <w:r>
        <w:rPr>
          <w:rFonts w:ascii="Times New Roman" w:hAnsi="Times New Roman" w:cs="Times New Roman" w:eastAsia="Times New Roman" w:hint="default"/>
        </w:rPr>
        <w:t>32.66%</w:t>
      </w:r>
      <w:r>
        <w:rPr/>
        <w:t>，主要是新增子公司博海通讯并表增加 所致。 </w:t>
      </w:r>
      <w:r>
        <w:rPr>
          <w:rFonts w:ascii="Times New Roman" w:hAnsi="Times New Roman" w:cs="Times New Roman" w:eastAsia="Times New Roman" w:hint="default"/>
          <w:spacing w:val="-1"/>
        </w:rPr>
        <w:t>17</w:t>
      </w:r>
      <w:r>
        <w:rPr>
          <w:spacing w:val="-1"/>
        </w:rPr>
        <w:t>、公司本年度管理费用较</w:t>
      </w:r>
      <w:r>
        <w:rPr>
          <w:rFonts w:ascii="Times New Roman" w:hAnsi="Times New Roman" w:cs="Times New Roman" w:eastAsia="Times New Roman" w:hint="default"/>
          <w:spacing w:val="-1"/>
        </w:rPr>
        <w:t>2011</w:t>
      </w:r>
      <w:r>
        <w:rPr>
          <w:spacing w:val="-1"/>
        </w:rPr>
        <w:t>年度增加</w:t>
      </w:r>
      <w:r>
        <w:rPr>
          <w:rFonts w:ascii="Times New Roman" w:hAnsi="Times New Roman" w:cs="Times New Roman" w:eastAsia="Times New Roman" w:hint="default"/>
          <w:spacing w:val="-1"/>
        </w:rPr>
        <w:t>14,894,352.28</w:t>
      </w:r>
      <w:r>
        <w:rPr>
          <w:spacing w:val="-1"/>
        </w:rPr>
        <w:t>元，增长幅度为</w:t>
      </w:r>
      <w:r>
        <w:rPr>
          <w:rFonts w:ascii="Times New Roman" w:hAnsi="Times New Roman" w:cs="Times New Roman" w:eastAsia="Times New Roman" w:hint="default"/>
          <w:spacing w:val="-1"/>
        </w:rPr>
        <w:t>34.02%</w:t>
      </w:r>
      <w:r>
        <w:rPr>
          <w:spacing w:val="-1"/>
        </w:rPr>
        <w:t>，主要是公司加强研发投入、人员工资增加及</w:t>
      </w:r>
      <w:r>
        <w:rPr>
          <w:spacing w:val="-88"/>
        </w:rPr>
        <w:t> </w:t>
      </w:r>
      <w:r>
        <w:rPr>
          <w:spacing w:val="-88"/>
        </w:rPr>
      </w:r>
      <w:r>
        <w:rPr/>
        <w:t>固定资产折旧增加所致。 </w:t>
      </w:r>
      <w:r>
        <w:rPr>
          <w:rFonts w:ascii="Times New Roman" w:hAnsi="Times New Roman" w:cs="Times New Roman" w:eastAsia="Times New Roman" w:hint="default"/>
          <w:spacing w:val="-1"/>
        </w:rPr>
        <w:t>18</w:t>
      </w:r>
      <w:r>
        <w:rPr>
          <w:spacing w:val="-1"/>
        </w:rPr>
        <w:t>、公司本年度资产减值损失较</w:t>
      </w:r>
      <w:r>
        <w:rPr>
          <w:rFonts w:ascii="Times New Roman" w:hAnsi="Times New Roman" w:cs="Times New Roman" w:eastAsia="Times New Roman" w:hint="default"/>
          <w:spacing w:val="-1"/>
        </w:rPr>
        <w:t>2011</w:t>
      </w:r>
      <w:r>
        <w:rPr>
          <w:spacing w:val="-1"/>
        </w:rPr>
        <w:t>年度增加了</w:t>
      </w:r>
      <w:r>
        <w:rPr>
          <w:rFonts w:ascii="Times New Roman" w:hAnsi="Times New Roman" w:cs="Times New Roman" w:eastAsia="Times New Roman" w:hint="default"/>
          <w:spacing w:val="-1"/>
        </w:rPr>
        <w:t>3,051,065.17</w:t>
      </w:r>
      <w:r>
        <w:rPr>
          <w:spacing w:val="-1"/>
        </w:rPr>
        <w:t>元，增长了</w:t>
      </w:r>
      <w:r>
        <w:rPr>
          <w:rFonts w:ascii="Times New Roman" w:hAnsi="Times New Roman" w:cs="Times New Roman" w:eastAsia="Times New Roman" w:hint="default"/>
          <w:spacing w:val="-1"/>
        </w:rPr>
        <w:t>297.61%</w:t>
      </w:r>
      <w:r>
        <w:rPr>
          <w:spacing w:val="-1"/>
        </w:rPr>
        <w:t>，主要是本公司应收款项增幅高于上年以及</w:t>
      </w:r>
      <w:r>
        <w:rPr>
          <w:spacing w:val="-85"/>
        </w:rPr>
        <w:t> </w:t>
      </w:r>
      <w:r>
        <w:rPr>
          <w:spacing w:val="-85"/>
        </w:rPr>
      </w:r>
      <w:r>
        <w:rPr/>
        <w:t>本年计提了对博海通讯的商誉减值所致。 </w:t>
      </w:r>
      <w:r>
        <w:rPr>
          <w:rFonts w:ascii="Times New Roman" w:hAnsi="Times New Roman" w:cs="Times New Roman" w:eastAsia="Times New Roman" w:hint="default"/>
          <w:spacing w:val="-1"/>
        </w:rPr>
        <w:t>19</w:t>
      </w:r>
      <w:r>
        <w:rPr>
          <w:spacing w:val="-1"/>
        </w:rPr>
        <w:t>、公司本年度营业利润较</w:t>
      </w:r>
      <w:r>
        <w:rPr>
          <w:rFonts w:ascii="Times New Roman" w:hAnsi="Times New Roman" w:cs="Times New Roman" w:eastAsia="Times New Roman" w:hint="default"/>
          <w:spacing w:val="-1"/>
        </w:rPr>
        <w:t>2011</w:t>
      </w:r>
      <w:r>
        <w:rPr>
          <w:spacing w:val="-1"/>
        </w:rPr>
        <w:t>年度减少了</w:t>
      </w:r>
      <w:r>
        <w:rPr>
          <w:rFonts w:ascii="Times New Roman" w:hAnsi="Times New Roman" w:cs="Times New Roman" w:eastAsia="Times New Roman" w:hint="default"/>
          <w:spacing w:val="-1"/>
        </w:rPr>
        <w:t>11,594,346.92</w:t>
      </w:r>
      <w:r>
        <w:rPr>
          <w:spacing w:val="-1"/>
        </w:rPr>
        <w:t>元，减少了</w:t>
      </w:r>
      <w:r>
        <w:rPr>
          <w:rFonts w:ascii="Times New Roman" w:hAnsi="Times New Roman" w:cs="Times New Roman" w:eastAsia="Times New Roman" w:hint="default"/>
          <w:spacing w:val="-1"/>
        </w:rPr>
        <w:t>32.77%</w:t>
      </w:r>
      <w:r>
        <w:rPr>
          <w:spacing w:val="-1"/>
        </w:rPr>
        <w:t>，主要是公司本年度加大了研发支出和市场开拓</w:t>
      </w:r>
      <w:r>
        <w:rPr>
          <w:spacing w:val="-84"/>
        </w:rPr>
        <w:t> </w:t>
      </w:r>
      <w:r>
        <w:rPr>
          <w:spacing w:val="-84"/>
        </w:rPr>
      </w:r>
      <w:r>
        <w:rPr/>
        <w:t>费用。 </w:t>
      </w:r>
      <w:r>
        <w:rPr>
          <w:rFonts w:ascii="Times New Roman" w:hAnsi="Times New Roman" w:cs="Times New Roman" w:eastAsia="Times New Roman" w:hint="default"/>
          <w:spacing w:val="-3"/>
        </w:rPr>
        <w:t>20</w:t>
      </w:r>
      <w:r>
        <w:rPr>
          <w:spacing w:val="-3"/>
        </w:rPr>
        <w:t>、公司本年度营业外收入较</w:t>
      </w:r>
      <w:r>
        <w:rPr>
          <w:rFonts w:ascii="Times New Roman" w:hAnsi="Times New Roman" w:cs="Times New Roman" w:eastAsia="Times New Roman" w:hint="default"/>
          <w:spacing w:val="-3"/>
        </w:rPr>
        <w:t>2011</w:t>
      </w:r>
      <w:r>
        <w:rPr>
          <w:spacing w:val="-3"/>
        </w:rPr>
        <w:t>年度增加</w:t>
      </w:r>
      <w:r>
        <w:rPr>
          <w:rFonts w:ascii="Times New Roman" w:hAnsi="Times New Roman" w:cs="Times New Roman" w:eastAsia="Times New Roman" w:hint="default"/>
          <w:spacing w:val="-3"/>
        </w:rPr>
        <w:t>7,725,765.95</w:t>
      </w:r>
      <w:r>
        <w:rPr>
          <w:spacing w:val="-3"/>
        </w:rPr>
        <w:t>元，增长幅度</w:t>
      </w:r>
      <w:r>
        <w:rPr>
          <w:rFonts w:ascii="Times New Roman" w:hAnsi="Times New Roman" w:cs="Times New Roman" w:eastAsia="Times New Roman" w:hint="default"/>
          <w:spacing w:val="-3"/>
        </w:rPr>
        <w:t>85.53%</w:t>
      </w:r>
      <w:r>
        <w:rPr>
          <w:spacing w:val="-3"/>
        </w:rPr>
        <w:t>，主要是本年度收到的政府补助收入增加所致。</w:t>
      </w:r>
    </w:p>
    <w:p>
      <w:pPr>
        <w:spacing w:after="0" w:line="309" w:lineRule="auto"/>
        <w:jc w:val="left"/>
        <w:sectPr>
          <w:pgSz w:w="11910" w:h="16840"/>
          <w:pgMar w:header="0"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right="2602"/>
        <w:jc w:val="center"/>
        <w:rPr>
          <w:b w:val="0"/>
          <w:bCs w:val="0"/>
        </w:rPr>
      </w:pPr>
      <w:bookmarkStart w:name="_bookmark9" w:id="10"/>
      <w:bookmarkEnd w:id="10"/>
      <w:r>
        <w:rPr>
          <w:b w:val="0"/>
          <w:bCs w:val="0"/>
        </w:rPr>
      </w:r>
      <w:r>
        <w:rPr/>
        <w:t>第十节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4374"/>
        <w:jc w:val="left"/>
      </w:pPr>
      <w:r>
        <w:rPr/>
        <w:t>一、公司第一届董事会第二十一次会议决议。 二、第一届监事会第十一次会议决议。 三、公司董事和高级管理人员对本次年度报告的书面确认意见。 四、经公司法定代表人签字和公司盖章的本次年度报告摘要及全文。</w:t>
      </w:r>
    </w:p>
    <w:p>
      <w:pPr>
        <w:pStyle w:val="BodyText"/>
        <w:spacing w:line="316" w:lineRule="auto" w:before="19"/>
        <w:ind w:right="2574"/>
        <w:jc w:val="left"/>
      </w:pPr>
      <w:r>
        <w:rPr/>
        <w:t>五、经公司法定代表人、主管会计工作的负责人、会计机构负责人签字并盖章的审计报告。 以上备查文件的备置地点：深圳市南山区科技中二路软件园</w:t>
      </w:r>
      <w:r>
        <w:rPr>
          <w:rFonts w:ascii="Times New Roman" w:hAnsi="Times New Roman" w:cs="Times New Roman" w:eastAsia="Times New Roman" w:hint="default"/>
        </w:rPr>
        <w:t>2</w:t>
      </w:r>
      <w:r>
        <w:rPr/>
        <w:t>栋</w:t>
      </w:r>
      <w:r>
        <w:rPr>
          <w:rFonts w:ascii="Times New Roman" w:hAnsi="Times New Roman" w:cs="Times New Roman" w:eastAsia="Times New Roman" w:hint="default"/>
        </w:rPr>
        <w:t>6</w:t>
      </w:r>
      <w:r>
        <w:rPr/>
        <w:t>楼公司证券事务部办公室。</w:t>
      </w:r>
    </w:p>
    <w:sectPr>
      <w:pgSz w:w="11910" w:h="16840"/>
      <w:pgMar w:header="0" w:footer="980"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6540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53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6537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653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653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54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653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53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53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39</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653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53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654088" type="#_x0000_t202" filled="false" stroked="false">
          <v:textbox inset="0,0,0,0">
            <w:txbxContent>
              <w:p>
                <w:pPr>
                  <w:pStyle w:val="BodyText"/>
                  <w:spacing w:line="214" w:lineRule="exact"/>
                  <w:ind w:left="20" w:right="0"/>
                  <w:jc w:val="left"/>
                </w:pPr>
                <w:r>
                  <w:rPr/>
                  <w:t>任子行网络技术股份有限公司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654016" type="#_x0000_t202" filled="false" stroked="false">
          <v:textbox inset="0,0,0,0">
            <w:txbxContent>
              <w:p>
                <w:pPr>
                  <w:pStyle w:val="BodyText"/>
                  <w:spacing w:line="214" w:lineRule="exact"/>
                  <w:ind w:left="20" w:right="0"/>
                  <w:jc w:val="left"/>
                </w:pPr>
                <w:r>
                  <w:rPr/>
                  <w:t>任子行网络技术股份有限公司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539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653944" type="#_x0000_t202" filled="false" stroked="false">
          <v:textbox inset="0,0,0,0">
            <w:txbxContent>
              <w:p>
                <w:pPr>
                  <w:pStyle w:val="BodyText"/>
                  <w:spacing w:line="214" w:lineRule="exact"/>
                  <w:ind w:left="20" w:right="0"/>
                  <w:jc w:val="left"/>
                </w:pPr>
                <w:r>
                  <w:rPr/>
                  <w:t>任子行网络技术股份有限公司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653872" type="#_x0000_t202" filled="false" stroked="false">
          <v:textbox inset="0,0,0,0">
            <w:txbxContent>
              <w:p>
                <w:pPr>
                  <w:pStyle w:val="BodyText"/>
                  <w:spacing w:line="214" w:lineRule="exact"/>
                  <w:ind w:left="20" w:right="0"/>
                  <w:jc w:val="left"/>
                </w:pPr>
                <w:r>
                  <w:rPr/>
                  <w:t>任子行网络技术股份有限公司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538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653800" type="#_x0000_t202" filled="false" stroked="false">
          <v:textbox inset="0,0,0,0">
            <w:txbxContent>
              <w:p>
                <w:pPr>
                  <w:pStyle w:val="BodyText"/>
                  <w:spacing w:line="214" w:lineRule="exact"/>
                  <w:ind w:left="20" w:right="0"/>
                  <w:jc w:val="left"/>
                </w:pPr>
                <w:r>
                  <w:rPr/>
                  <w:t>任子行网络技术股份有限公司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60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1218.com.cn/" TargetMode="External"/><Relationship Id="rId10" Type="http://schemas.openxmlformats.org/officeDocument/2006/relationships/hyperlink" Target="mailto:rzxshenzhen@1218.com.cn" TargetMode="External"/><Relationship Id="rId11" Type="http://schemas.openxmlformats.org/officeDocument/2006/relationships/hyperlink" Target="mailto:wuningli@1218.com.cn" TargetMode="External"/><Relationship Id="rId12" Type="http://schemas.openxmlformats.org/officeDocument/2006/relationships/hyperlink" Target="mailto:zhangbing@1218.com.cn"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image" Target="media/image4.png"/><Relationship Id="rId21" Type="http://schemas.openxmlformats.org/officeDocument/2006/relationships/header" Target="head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eader" Target="header5.xml"/><Relationship Id="rId25" Type="http://schemas.openxmlformats.org/officeDocument/2006/relationships/footer" Target="footer7.xml"/><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image" Target="media/image5.jpeg"/><Relationship Id="rId29" Type="http://schemas.openxmlformats.org/officeDocument/2006/relationships/header" Target="header7.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任子行网络技术股份有限公司</dc:creator>
  <dc:title>任子行网络技术股份有限公司2012年度报告全文</dc:title>
  <dcterms:created xsi:type="dcterms:W3CDTF">2020-05-04T02:14:09Z</dcterms:created>
  <dcterms:modified xsi:type="dcterms:W3CDTF">2020-05-04T02:14:09Z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2013-04-08T00:00:00Z</vt:filetime>
  </property>
  <property fmtid="{D5CDD505-2E9C-101B-9397-08002B2CF9AE}" pid="3" name="Creator">
    <vt:lpwstr>Microsoft® Office Word 2007</vt:lpwstr>
  </property>
  <property fmtid="{D5CDD505-2E9C-101B-9397-08002B2CF9AE}" pid="4" name="LastSaved">
    <vt:filetime>2020-05-03T00:00:00Z</vt:filetime>
  </property>
</Properties>
</file>