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022" w:right="1104" w:bottom="988" w:left="1109" w:header="0" w:footer="3" w:gutter="0"/>
          <w:pgNumType w:start="1"/>
          <w:cols w:space="720"/>
          <w:noEndnote/>
          <w:titlePg/>
          <w:rtlGutter w:val="0"/>
          <w:docGrid w:linePitch="360"/>
        </w:sectPr>
      </w:pPr>
    </w:p>
    <w:p>
      <w:pPr>
        <w:pStyle w:val="Style6"/>
        <w:keepNext w:val="0"/>
        <w:keepLines w:val="0"/>
        <w:framePr w:w="1666" w:h="254" w:wrap="none" w:vAnchor="text" w:hAnchor="page" w:x="1110" w:y="21"/>
        <w:widowControl w:val="0"/>
        <w:shd w:val="clear" w:color="auto" w:fill="auto"/>
        <w:bidi w:val="0"/>
        <w:spacing w:before="0" w:after="0" w:line="240" w:lineRule="auto"/>
        <w:ind w:left="0" w:right="0" w:firstLine="0"/>
        <w:jc w:val="left"/>
      </w:pPr>
      <w:r>
        <w:rPr>
          <w:color w:val="000000"/>
          <w:spacing w:val="0"/>
          <w:w w:val="100"/>
          <w:position w:val="0"/>
        </w:rPr>
        <w:t>证券代码：</w:t>
      </w:r>
      <w:r>
        <w:rPr>
          <w:rFonts w:ascii="Times New Roman" w:eastAsia="Times New Roman" w:hAnsi="Times New Roman" w:cs="Times New Roman"/>
          <w:color w:val="000000"/>
          <w:spacing w:val="0"/>
          <w:w w:val="100"/>
          <w:position w:val="0"/>
        </w:rPr>
        <w:t>3003</w:t>
      </w:r>
      <w:r>
        <w:rPr>
          <w:rFonts w:ascii="Times New Roman" w:eastAsia="Times New Roman" w:hAnsi="Times New Roman" w:cs="Times New Roman"/>
          <w:color w:val="000000"/>
          <w:spacing w:val="0"/>
          <w:w w:val="100"/>
          <w:position w:val="0"/>
        </w:rPr>
        <w:t>11.SZ</w:t>
      </w:r>
    </w:p>
    <w:p>
      <w:pPr>
        <w:pStyle w:val="Style9"/>
        <w:keepNext w:val="0"/>
        <w:keepLines w:val="0"/>
        <w:framePr w:w="1411" w:h="235" w:wrap="none" w:vAnchor="text" w:hAnchor="page" w:x="5339" w:y="21"/>
        <w:widowControl w:val="0"/>
        <w:shd w:val="clear" w:color="auto" w:fill="auto"/>
        <w:bidi w:val="0"/>
        <w:spacing w:before="0" w:after="0" w:line="240" w:lineRule="auto"/>
        <w:ind w:left="0" w:right="0" w:firstLine="0"/>
        <w:jc w:val="center"/>
      </w:pPr>
      <w:r>
        <w:rPr>
          <w:color w:val="000000"/>
          <w:spacing w:val="0"/>
          <w:w w:val="100"/>
          <w:position w:val="0"/>
        </w:rPr>
        <w:t>证券简称：任子行</w:t>
      </w:r>
    </w:p>
    <w:p>
      <w:pPr>
        <w:pStyle w:val="Style6"/>
        <w:keepNext w:val="0"/>
        <w:keepLines w:val="0"/>
        <w:framePr w:w="1550" w:h="254" w:wrap="none" w:vAnchor="text" w:hAnchor="page" w:x="9237" w:y="21"/>
        <w:widowControl w:val="0"/>
        <w:shd w:val="clear" w:color="auto" w:fill="auto"/>
        <w:bidi w:val="0"/>
        <w:spacing w:before="0" w:after="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2014-019</w:t>
      </w:r>
    </w:p>
    <w:p>
      <w:pPr>
        <w:widowControl w:val="0"/>
        <w:spacing w:after="253" w:line="1" w:lineRule="exact"/>
      </w:pPr>
    </w:p>
    <w:p>
      <w:pPr>
        <w:widowControl w:val="0"/>
        <w:spacing w:line="1" w:lineRule="exact"/>
        <w:sectPr>
          <w:footnotePr>
            <w:pos w:val="pageBottom"/>
            <w:numFmt w:val="decimal"/>
            <w:numRestart w:val="continuous"/>
          </w:footnotePr>
          <w:type w:val="continuous"/>
          <w:pgSz w:w="11900" w:h="16840"/>
          <w:pgMar w:top="1022" w:right="1104" w:bottom="988" w:left="1109"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839" w:right="0" w:bottom="3730" w:left="0" w:header="0" w:footer="3" w:gutter="0"/>
          <w:cols w:space="720"/>
          <w:noEndnote/>
          <w:rtlGutter w:val="0"/>
          <w:docGrid w:linePitch="360"/>
        </w:sectPr>
      </w:pPr>
    </w:p>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SimHei" w:eastAsia="SimHei" w:hAnsi="SimHei" w:cs="SimHei"/>
          <w:color w:val="893047"/>
          <w:spacing w:val="0"/>
          <w:w w:val="100"/>
          <w:position w:val="0"/>
          <w:sz w:val="24"/>
          <w:szCs w:val="24"/>
        </w:rPr>
        <w:t>W</w:t>
      </w:r>
      <w:r>
        <w:rPr>
          <w:rFonts w:ascii="SimHei" w:eastAsia="SimHei" w:hAnsi="SimHei" w:cs="SimHei"/>
          <w:color w:val="2B2623"/>
          <w:spacing w:val="0"/>
          <w:w w:val="100"/>
          <w:position w:val="0"/>
          <w:sz w:val="24"/>
          <w:szCs w:val="24"/>
        </w:rPr>
        <w:t>任子行</w:t>
      </w:r>
    </w:p>
    <w:p>
      <w:pPr>
        <w:pStyle w:val="Style6"/>
        <w:keepNext w:val="0"/>
        <w:keepLines w:val="0"/>
        <w:widowControl w:val="0"/>
        <w:shd w:val="clear" w:color="auto" w:fill="auto"/>
        <w:bidi w:val="0"/>
        <w:spacing w:before="0" w:after="320" w:line="180" w:lineRule="auto"/>
        <w:ind w:left="0" w:right="0" w:firstLine="0"/>
        <w:jc w:val="center"/>
        <w:rPr>
          <w:sz w:val="13"/>
          <w:szCs w:val="13"/>
        </w:rPr>
      </w:pPr>
      <w:r>
        <w:rPr>
          <w:rFonts w:ascii="Arial" w:eastAsia="Arial" w:hAnsi="Arial" w:cs="Arial"/>
          <w:i/>
          <w:iCs/>
          <w:color w:val="603158"/>
          <w:spacing w:val="0"/>
          <w:w w:val="100"/>
          <w:position w:val="0"/>
          <w:sz w:val="20"/>
          <w:szCs w:val="20"/>
        </w:rPr>
        <w:t>V</w:t>
      </w:r>
      <w:r>
        <w:rPr>
          <w:b/>
          <w:bCs/>
          <w:i/>
          <w:iCs/>
          <w:color w:val="603158"/>
          <w:spacing w:val="0"/>
          <w:w w:val="100"/>
          <w:position w:val="0"/>
          <w:sz w:val="15"/>
          <w:szCs w:val="15"/>
        </w:rPr>
        <w:t>、</w:t>
      </w:r>
      <w:r>
        <w:rPr>
          <w:rFonts w:ascii="Arial" w:eastAsia="Arial" w:hAnsi="Arial" w:cs="Arial"/>
          <w:b/>
          <w:bCs/>
          <w:color w:val="2B2623"/>
          <w:spacing w:val="0"/>
          <w:w w:val="100"/>
          <w:position w:val="0"/>
          <w:sz w:val="13"/>
          <w:szCs w:val="13"/>
        </w:rPr>
        <w:t>SURFILTER</w:t>
      </w:r>
    </w:p>
    <w:p>
      <w:pPr>
        <w:pStyle w:val="Style6"/>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任子行网络技术股份有限公司</w:t>
      </w:r>
    </w:p>
    <w:p>
      <w:pPr>
        <w:pStyle w:val="Style6"/>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2013</w:t>
      </w:r>
      <w:r>
        <w:rPr>
          <w:b/>
          <w:bCs/>
          <w:color w:val="000000"/>
          <w:spacing w:val="0"/>
          <w:w w:val="100"/>
          <w:position w:val="0"/>
          <w:sz w:val="32"/>
          <w:szCs w:val="32"/>
        </w:rPr>
        <w:t>年度报告</w:t>
      </w:r>
    </w:p>
    <w:p>
      <w:pPr>
        <w:pStyle w:val="Style6"/>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9"/>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6"/>
        <w:keepNext w:val="0"/>
        <w:keepLines w:val="0"/>
        <w:widowControl w:val="0"/>
        <w:shd w:val="clear" w:color="auto" w:fill="auto"/>
        <w:bidi w:val="0"/>
        <w:spacing w:before="0" w:after="360" w:line="626" w:lineRule="exact"/>
        <w:ind w:left="0" w:right="0" w:firstLine="580"/>
        <w:jc w:val="both"/>
        <w:rPr>
          <w:sz w:val="28"/>
          <w:szCs w:val="28"/>
        </w:rPr>
      </w:pPr>
      <w:bookmarkStart w:id="3" w:name="bookmark3"/>
      <w:r>
        <w:rPr>
          <w:b/>
          <w:bCs/>
          <w:color w:val="000000"/>
          <w:spacing w:val="0"/>
          <w:w w:val="100"/>
          <w:position w:val="0"/>
          <w:sz w:val="28"/>
          <w:szCs w:val="28"/>
        </w:rPr>
        <w:t>本公司董事会、监事会及董事、监事、高级管理人员保证本报告所载资料 不存在任何虚假记载、误导性陈述或者重大遗漏，并对其内容的真实性、准确 性和完整性承担个别及连带责任。</w:t>
      </w:r>
      <w:bookmarkEnd w:id="3"/>
    </w:p>
    <w:p>
      <w:pPr>
        <w:pStyle w:val="Style22"/>
        <w:keepNext w:val="0"/>
        <w:keepLines w:val="0"/>
        <w:widowControl w:val="0"/>
        <w:shd w:val="clear" w:color="auto" w:fill="auto"/>
        <w:bidi w:val="0"/>
        <w:spacing w:before="0" w:after="0" w:line="240" w:lineRule="auto"/>
        <w:ind w:left="566"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400"/>
        <w:gridCol w:w="2390"/>
        <w:gridCol w:w="2390"/>
        <w:gridCol w:w="2405"/>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未亲自出席董事姓名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未亲自出席董事职务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未亲自出席会议原因</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被委托人姓名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肖建军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闵锐</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出差</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r>
    </w:tbl>
    <w:p>
      <w:pPr>
        <w:widowControl w:val="0"/>
        <w:spacing w:after="219" w:line="1" w:lineRule="exact"/>
      </w:pPr>
    </w:p>
    <w:p>
      <w:pPr>
        <w:pStyle w:val="Style6"/>
        <w:keepNext w:val="0"/>
        <w:keepLines w:val="0"/>
        <w:widowControl w:val="0"/>
        <w:shd w:val="clear" w:color="auto" w:fill="auto"/>
        <w:bidi w:val="0"/>
        <w:spacing w:before="0" w:after="260" w:line="240" w:lineRule="auto"/>
        <w:ind w:left="0" w:right="0" w:firstLine="580"/>
        <w:jc w:val="both"/>
        <w:rPr>
          <w:sz w:val="28"/>
          <w:szCs w:val="28"/>
        </w:rPr>
      </w:pPr>
      <w:r>
        <w:rPr>
          <w:b/>
          <w:bCs/>
          <w:color w:val="000000"/>
          <w:spacing w:val="0"/>
          <w:w w:val="100"/>
          <w:position w:val="0"/>
          <w:sz w:val="28"/>
          <w:szCs w:val="28"/>
        </w:rPr>
        <w:t>公司负责人景晓军、主管会计工作负责人周益斌及会计机构负责人</w:t>
      </w:r>
      <w:r>
        <w:rPr>
          <w:rFonts w:ascii="SimHei" w:eastAsia="SimHei" w:hAnsi="SimHei" w:cs="SimHei"/>
          <w:color w:val="000000"/>
          <w:spacing w:val="0"/>
          <w:w w:val="100"/>
          <w:position w:val="0"/>
          <w:sz w:val="24"/>
          <w:szCs w:val="24"/>
        </w:rPr>
        <w:t>（</w:t>
      </w:r>
      <w:r>
        <w:rPr>
          <w:b/>
          <w:bCs/>
          <w:color w:val="000000"/>
          <w:spacing w:val="0"/>
          <w:w w:val="100"/>
          <w:position w:val="0"/>
          <w:sz w:val="28"/>
          <w:szCs w:val="28"/>
        </w:rPr>
        <w:t>会计主</w:t>
      </w:r>
    </w:p>
    <w:p>
      <w:pPr>
        <w:pStyle w:val="Style6"/>
        <w:keepNext w:val="0"/>
        <w:keepLines w:val="0"/>
        <w:widowControl w:val="0"/>
        <w:shd w:val="clear" w:color="auto" w:fill="auto"/>
        <w:bidi w:val="0"/>
        <w:spacing w:before="0" w:after="320" w:line="240" w:lineRule="auto"/>
        <w:ind w:left="0" w:right="0" w:firstLine="0"/>
        <w:jc w:val="left"/>
        <w:rPr>
          <w:sz w:val="28"/>
          <w:szCs w:val="28"/>
        </w:rPr>
        <w:sectPr>
          <w:footnotePr>
            <w:pos w:val="pageBottom"/>
            <w:numFmt w:val="decimal"/>
            <w:numRestart w:val="continuous"/>
          </w:footnotePr>
          <w:type w:val="continuous"/>
          <w:pgSz w:w="11900" w:h="16840"/>
          <w:pgMar w:top="1839" w:right="1104" w:bottom="3730" w:left="1109" w:header="0" w:footer="3" w:gutter="0"/>
          <w:cols w:space="720"/>
          <w:noEndnote/>
          <w:rtlGutter w:val="0"/>
          <w:docGrid w:linePitch="360"/>
        </w:sectPr>
      </w:pPr>
      <w:r>
        <w:rPr>
          <w:b/>
          <w:bCs/>
          <w:color w:val="000000"/>
          <w:spacing w:val="0"/>
          <w:w w:val="100"/>
          <w:position w:val="0"/>
          <w:sz w:val="28"/>
          <w:szCs w:val="28"/>
        </w:rPr>
        <w:t>管人员</w:t>
      </w:r>
      <w:r>
        <w:rPr>
          <w:rFonts w:ascii="SimHei" w:eastAsia="SimHei" w:hAnsi="SimHei" w:cs="SimHei"/>
          <w:color w:val="000000"/>
          <w:spacing w:val="0"/>
          <w:w w:val="100"/>
          <w:position w:val="0"/>
          <w:sz w:val="24"/>
          <w:szCs w:val="24"/>
        </w:rPr>
        <w:t>）</w:t>
      </w:r>
      <w:r>
        <w:rPr>
          <w:b/>
          <w:bCs/>
          <w:color w:val="000000"/>
          <w:spacing w:val="0"/>
          <w:w w:val="100"/>
          <w:position w:val="0"/>
          <w:sz w:val="28"/>
          <w:szCs w:val="28"/>
        </w:rPr>
        <w:t>钟海川声明：保证年度报告中财务报告的真实、准确、完整。</w:t>
      </w:r>
    </w:p>
    <w:p>
      <w:pPr>
        <w:pStyle w:val="Style6"/>
        <w:keepNext w:val="0"/>
        <w:keepLines w:val="0"/>
        <w:widowControl w:val="0"/>
        <w:shd w:val="clear" w:color="auto" w:fill="auto"/>
        <w:bidi w:val="0"/>
        <w:spacing w:before="1460" w:after="1580" w:line="240" w:lineRule="auto"/>
        <w:ind w:left="0" w:right="0" w:firstLine="0"/>
        <w:jc w:val="center"/>
        <w:rPr>
          <w:sz w:val="36"/>
          <w:szCs w:val="36"/>
        </w:rPr>
      </w:pPr>
      <w:r>
        <w:rPr>
          <w:b/>
          <w:bCs/>
          <w:color w:val="000000"/>
          <w:spacing w:val="0"/>
          <w:w w:val="100"/>
          <w:position w:val="0"/>
          <w:sz w:val="36"/>
          <w:szCs w:val="36"/>
        </w:rPr>
        <w:t>目录</w:t>
      </w:r>
    </w:p>
    <w:p>
      <w:pPr>
        <w:pStyle w:val="Style26"/>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26"/>
        <w:keepNext w:val="0"/>
        <w:keepLines w:val="0"/>
        <w:widowControl w:val="0"/>
        <w:shd w:val="clear" w:color="auto" w:fill="auto"/>
        <w:tabs>
          <w:tab w:leader="dot" w:pos="9614" w:val="right"/>
        </w:tabs>
        <w:bidi w:val="0"/>
        <w:spacing w:before="0" w:line="240" w:lineRule="auto"/>
        <w:ind w:left="0" w:right="0" w:firstLine="0"/>
        <w:jc w:val="left"/>
      </w:pPr>
      <w:hyperlink w:anchor="bookmark5" w:tooltip="Current Document">
        <w:r>
          <w:rPr>
            <w:color w:val="000000"/>
            <w:spacing w:val="0"/>
            <w:w w:val="100"/>
            <w:position w:val="0"/>
            <w:sz w:val="24"/>
            <w:szCs w:val="24"/>
          </w:rPr>
          <w:t>第二节公司基本情况简介</w:t>
        </w:r>
        <w:r>
          <w:rPr>
            <w:color w:val="000000"/>
            <w:spacing w:val="0"/>
            <w:w w:val="100"/>
            <w:position w:val="0"/>
            <w:sz w:val="24"/>
            <w:szCs w:val="24"/>
          </w:rPr>
          <w:tab/>
        </w:r>
        <w:r>
          <w:rPr>
            <w:color w:val="000000"/>
            <w:spacing w:val="0"/>
            <w:w w:val="100"/>
            <w:position w:val="0"/>
            <w:sz w:val="24"/>
            <w:szCs w:val="24"/>
          </w:rPr>
          <w:t>5</w:t>
        </w:r>
      </w:hyperlink>
    </w:p>
    <w:p>
      <w:pPr>
        <w:pStyle w:val="Style26"/>
        <w:keepNext w:val="0"/>
        <w:keepLines w:val="0"/>
        <w:widowControl w:val="0"/>
        <w:shd w:val="clear" w:color="auto" w:fill="auto"/>
        <w:tabs>
          <w:tab w:leader="dot" w:pos="9614" w:val="right"/>
        </w:tabs>
        <w:bidi w:val="0"/>
        <w:spacing w:before="0" w:line="240" w:lineRule="auto"/>
        <w:ind w:left="0" w:right="0" w:firstLine="0"/>
        <w:jc w:val="left"/>
      </w:pPr>
      <w:hyperlink w:anchor="bookmark24"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color w:val="000000"/>
            <w:spacing w:val="0"/>
            <w:w w:val="100"/>
            <w:position w:val="0"/>
            <w:sz w:val="24"/>
            <w:szCs w:val="24"/>
          </w:rPr>
          <w:t>7</w:t>
        </w:r>
      </w:hyperlink>
    </w:p>
    <w:p>
      <w:pPr>
        <w:pStyle w:val="Style26"/>
        <w:keepNext w:val="0"/>
        <w:keepLines w:val="0"/>
        <w:widowControl w:val="0"/>
        <w:shd w:val="clear" w:color="auto" w:fill="auto"/>
        <w:tabs>
          <w:tab w:leader="dot" w:pos="9614" w:val="right"/>
        </w:tabs>
        <w:bidi w:val="0"/>
        <w:spacing w:before="0" w:line="240" w:lineRule="auto"/>
        <w:ind w:left="0" w:right="0" w:firstLine="0"/>
        <w:jc w:val="left"/>
      </w:pPr>
      <w:hyperlink w:anchor="bookmark45" w:tooltip="Current Document">
        <w:r>
          <w:rPr>
            <w:color w:val="000000"/>
            <w:spacing w:val="0"/>
            <w:w w:val="100"/>
            <w:position w:val="0"/>
            <w:sz w:val="24"/>
            <w:szCs w:val="24"/>
          </w:rPr>
          <w:t>第四节董事会报告</w:t>
        </w:r>
        <w:r>
          <w:rPr>
            <w:color w:val="000000"/>
            <w:spacing w:val="0"/>
            <w:w w:val="100"/>
            <w:position w:val="0"/>
            <w:sz w:val="24"/>
            <w:szCs w:val="24"/>
          </w:rPr>
          <w:tab/>
        </w:r>
        <w:r>
          <w:rPr>
            <w:color w:val="000000"/>
            <w:spacing w:val="0"/>
            <w:w w:val="100"/>
            <w:position w:val="0"/>
            <w:sz w:val="24"/>
            <w:szCs w:val="24"/>
          </w:rPr>
          <w:t>10</w:t>
        </w:r>
      </w:hyperlink>
    </w:p>
    <w:p>
      <w:pPr>
        <w:pStyle w:val="Style26"/>
        <w:keepNext w:val="0"/>
        <w:keepLines w:val="0"/>
        <w:widowControl w:val="0"/>
        <w:shd w:val="clear" w:color="auto" w:fill="auto"/>
        <w:tabs>
          <w:tab w:leader="dot" w:pos="9614" w:val="right"/>
        </w:tabs>
        <w:bidi w:val="0"/>
        <w:spacing w:before="0" w:line="240" w:lineRule="auto"/>
        <w:ind w:left="0" w:right="0" w:firstLine="0"/>
        <w:jc w:val="left"/>
      </w:pPr>
      <w:hyperlink w:anchor="bookmark159"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25</w:t>
        </w:r>
      </w:hyperlink>
    </w:p>
    <w:p>
      <w:pPr>
        <w:pStyle w:val="Style26"/>
        <w:keepNext w:val="0"/>
        <w:keepLines w:val="0"/>
        <w:widowControl w:val="0"/>
        <w:shd w:val="clear" w:color="auto" w:fill="auto"/>
        <w:tabs>
          <w:tab w:leader="dot" w:pos="9614" w:val="right"/>
        </w:tabs>
        <w:bidi w:val="0"/>
        <w:spacing w:before="0" w:line="240" w:lineRule="auto"/>
        <w:ind w:left="0" w:right="0" w:firstLine="0"/>
        <w:jc w:val="left"/>
      </w:pPr>
      <w:hyperlink w:anchor="bookmark18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i/>
            <w:iCs/>
            <w:color w:val="000000"/>
            <w:spacing w:val="0"/>
            <w:w w:val="100"/>
            <w:position w:val="0"/>
            <w:sz w:val="24"/>
            <w:szCs w:val="24"/>
          </w:rPr>
          <w:t>29</w:t>
        </w:r>
      </w:hyperlink>
    </w:p>
    <w:p>
      <w:pPr>
        <w:pStyle w:val="Style26"/>
        <w:keepNext w:val="0"/>
        <w:keepLines w:val="0"/>
        <w:widowControl w:val="0"/>
        <w:shd w:val="clear" w:color="auto" w:fill="auto"/>
        <w:tabs>
          <w:tab w:leader="dot" w:pos="9614" w:val="right"/>
        </w:tabs>
        <w:bidi w:val="0"/>
        <w:spacing w:before="0" w:line="240" w:lineRule="auto"/>
        <w:ind w:left="0" w:right="0" w:firstLine="0"/>
        <w:jc w:val="left"/>
      </w:pPr>
      <w:hyperlink w:anchor="bookmark227"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color w:val="000000"/>
            <w:spacing w:val="0"/>
            <w:w w:val="100"/>
            <w:position w:val="0"/>
            <w:sz w:val="24"/>
            <w:szCs w:val="24"/>
          </w:rPr>
          <w:t>34</w:t>
        </w:r>
      </w:hyperlink>
    </w:p>
    <w:p>
      <w:pPr>
        <w:pStyle w:val="Style26"/>
        <w:keepNext w:val="0"/>
        <w:keepLines w:val="0"/>
        <w:widowControl w:val="0"/>
        <w:shd w:val="clear" w:color="auto" w:fill="auto"/>
        <w:tabs>
          <w:tab w:leader="dot" w:pos="9614" w:val="right"/>
        </w:tabs>
        <w:bidi w:val="0"/>
        <w:spacing w:before="0" w:line="240" w:lineRule="auto"/>
        <w:ind w:left="0" w:right="0" w:firstLine="0"/>
        <w:jc w:val="left"/>
      </w:pPr>
      <w:hyperlink w:anchor="bookmark273" w:tooltip="Current Document">
        <w:r>
          <w:rPr>
            <w:color w:val="000000"/>
            <w:spacing w:val="0"/>
            <w:w w:val="100"/>
            <w:position w:val="0"/>
            <w:sz w:val="24"/>
            <w:szCs w:val="24"/>
          </w:rPr>
          <w:t>第八节公司治理</w:t>
        </w:r>
        <w:r>
          <w:rPr>
            <w:color w:val="000000"/>
            <w:spacing w:val="0"/>
            <w:w w:val="100"/>
            <w:position w:val="0"/>
            <w:sz w:val="24"/>
            <w:szCs w:val="24"/>
          </w:rPr>
          <w:tab/>
        </w:r>
        <w:r>
          <w:rPr>
            <w:color w:val="000000"/>
            <w:spacing w:val="0"/>
            <w:w w:val="100"/>
            <w:position w:val="0"/>
            <w:sz w:val="24"/>
            <w:szCs w:val="24"/>
          </w:rPr>
          <w:t>39</w:t>
        </w:r>
      </w:hyperlink>
    </w:p>
    <w:p>
      <w:pPr>
        <w:pStyle w:val="Style26"/>
        <w:keepNext w:val="0"/>
        <w:keepLines w:val="0"/>
        <w:widowControl w:val="0"/>
        <w:shd w:val="clear" w:color="auto" w:fill="auto"/>
        <w:tabs>
          <w:tab w:leader="dot" w:pos="9614" w:val="right"/>
        </w:tabs>
        <w:bidi w:val="0"/>
        <w:spacing w:before="0" w:line="240" w:lineRule="auto"/>
        <w:ind w:left="0" w:right="0" w:firstLine="0"/>
        <w:jc w:val="left"/>
      </w:pPr>
      <w:hyperlink w:anchor="bookmark305" w:tooltip="Current Document">
        <w:r>
          <w:rPr>
            <w:color w:val="000000"/>
            <w:spacing w:val="0"/>
            <w:w w:val="100"/>
            <w:position w:val="0"/>
            <w:sz w:val="24"/>
            <w:szCs w:val="24"/>
          </w:rPr>
          <w:t>第九节财务报告</w:t>
        </w:r>
        <w:r>
          <w:rPr>
            <w:color w:val="000000"/>
            <w:spacing w:val="0"/>
            <w:w w:val="100"/>
            <w:position w:val="0"/>
            <w:sz w:val="24"/>
            <w:szCs w:val="24"/>
          </w:rPr>
          <w:tab/>
        </w:r>
        <w:r>
          <w:rPr>
            <w:color w:val="000000"/>
            <w:spacing w:val="0"/>
            <w:w w:val="100"/>
            <w:position w:val="0"/>
            <w:sz w:val="24"/>
            <w:szCs w:val="24"/>
          </w:rPr>
          <w:t>41</w:t>
        </w:r>
      </w:hyperlink>
    </w:p>
    <w:p>
      <w:pPr>
        <w:pStyle w:val="Style26"/>
        <w:keepNext w:val="0"/>
        <w:keepLines w:val="0"/>
        <w:widowControl w:val="0"/>
        <w:shd w:val="clear" w:color="auto" w:fill="auto"/>
        <w:tabs>
          <w:tab w:pos="922" w:val="left"/>
          <w:tab w:leader="dot" w:pos="9614" w:val="right"/>
        </w:tabs>
        <w:bidi w:val="0"/>
        <w:spacing w:before="0" w:line="240" w:lineRule="auto"/>
        <w:ind w:left="0" w:right="0" w:firstLine="0"/>
        <w:jc w:val="left"/>
      </w:pPr>
      <w:hyperlink w:anchor="bookmark1178" w:tooltip="Current Document">
        <w:r>
          <w:rPr>
            <w:color w:val="000000"/>
            <w:spacing w:val="0"/>
            <w:w w:val="100"/>
            <w:position w:val="0"/>
            <w:sz w:val="24"/>
            <w:szCs w:val="24"/>
          </w:rPr>
          <w:t>第十节</w:t>
          <w:tab/>
          <w:t>备查文件目录</w:t>
        </w:r>
        <w:r>
          <w:rPr>
            <w:color w:val="000000"/>
            <w:spacing w:val="0"/>
            <w:w w:val="100"/>
            <w:position w:val="0"/>
            <w:sz w:val="24"/>
            <w:szCs w:val="24"/>
          </w:rPr>
          <w:tab/>
          <w:t xml:space="preserve"> </w:t>
        </w:r>
        <w:r>
          <w:rPr>
            <w:color w:val="000000"/>
            <w:spacing w:val="0"/>
            <w:w w:val="100"/>
            <w:position w:val="0"/>
            <w:sz w:val="24"/>
            <w:szCs w:val="24"/>
          </w:rPr>
          <w:t>112</w:t>
        </w:r>
      </w:hyperlink>
      <w:r>
        <w:br w:type="page"/>
      </w:r>
      <w:r>
        <w:fldChar w:fldCharType="end"/>
      </w:r>
    </w:p>
    <w:p>
      <w:pPr>
        <w:pStyle w:val="Style6"/>
        <w:keepNext w:val="0"/>
        <w:keepLines w:val="0"/>
        <w:widowControl w:val="0"/>
        <w:shd w:val="clear" w:color="auto" w:fill="auto"/>
        <w:bidi w:val="0"/>
        <w:spacing w:before="0" w:after="82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任子行、公司或本公司</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任网游</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公司全资子公司深圳市任网游科技发展有限公司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任子行科技</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公司全资子公司深圳市任子行科技开发有限公司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博海通讯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公司控股子深圳市博海通讯技术有限公司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中天信安、北京中天信安</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公司参股子公司北京中天信安科技有限责任公司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网娱互动、成都网娱互动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公司全资子公司成都网娱互动网络科技有限公司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武汉任子行、武汉任子行软件</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公司全资子公司武汉市任子行软件技术有限公司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任子行网络技术股份有限公司股东大会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任子行网络技术股份有限公司董事会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任子行网络技术股份有限公司监事会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任子行网络技术股份有限公司章程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中华人民共和国财政部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国家税务总局</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中华人民共和国国家税务总局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保荐机构、国信证券</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CCID</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赛迪顾问</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CNNIC</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中国互联网信息中心(</w:t>
            </w:r>
            <w:r>
              <w:rPr>
                <w:rFonts w:ascii="Times New Roman" w:eastAsia="Times New Roman" w:hAnsi="Times New Roman" w:cs="Times New Roman"/>
                <w:color w:val="000000"/>
                <w:spacing w:val="0"/>
                <w:w w:val="100"/>
                <w:position w:val="0"/>
              </w:rPr>
              <w:t>C hina Internet Network Information Center</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市场研究公司</w:t>
            </w:r>
            <w:r>
              <w:rPr>
                <w:rFonts w:ascii="Times New Roman" w:eastAsia="Times New Roman" w:hAnsi="Times New Roman" w:cs="Times New Roman"/>
                <w:color w:val="000000"/>
                <w:spacing w:val="0"/>
                <w:w w:val="100"/>
                <w:position w:val="0"/>
              </w:rPr>
              <w:t>(International Data Corporation)</w:t>
            </w:r>
            <w:r>
              <w:rPr>
                <w:color w:val="000000"/>
                <w:spacing w:val="0"/>
                <w:w w:val="100"/>
                <w:position w:val="0"/>
              </w:rPr>
              <w:t xml:space="preserve">或互联网数据中心 </w:t>
            </w:r>
            <w:r>
              <w:rPr>
                <w:color w:val="000000"/>
                <w:spacing w:val="0"/>
                <w:w w:val="100"/>
                <w:position w:val="0"/>
              </w:rPr>
              <w:t>(</w:t>
            </w:r>
            <w:r>
              <w:rPr>
                <w:rFonts w:ascii="Times New Roman" w:eastAsia="Times New Roman" w:hAnsi="Times New Roman" w:cs="Times New Roman"/>
                <w:color w:val="000000"/>
                <w:spacing w:val="0"/>
                <w:w w:val="100"/>
                <w:position w:val="0"/>
              </w:rPr>
              <w:t>Internet Data Center)</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r>
    </w:tbl>
    <w:p>
      <w:pPr>
        <w:spacing w:lineRule="exact" w:line="1"/>
        <w:rPr>
          <w:sz w:val="2"/>
          <w:szCs w:val="2"/>
        </w:rPr>
      </w:pPr>
      <w:r>
        <w:br w:type="page"/>
      </w:r>
    </w:p>
    <w:p>
      <w:pPr>
        <w:pStyle w:val="Style19"/>
        <w:keepNext/>
        <w:keepLines/>
        <w:widowControl w:val="0"/>
        <w:shd w:val="clear" w:color="auto" w:fill="auto"/>
        <w:bidi w:val="0"/>
        <w:spacing w:before="0" w:after="520" w:line="240" w:lineRule="auto"/>
        <w:ind w:left="0" w:right="0" w:firstLine="0"/>
        <w:jc w:val="center"/>
      </w:pPr>
      <w:bookmarkStart w:id="4" w:name="bookmark4"/>
      <w:bookmarkStart w:id="5" w:name="bookmark5"/>
      <w:bookmarkStart w:id="6" w:name="bookmark6"/>
      <w:r>
        <w:rPr>
          <w:color w:val="000000"/>
          <w:spacing w:val="0"/>
          <w:w w:val="100"/>
          <w:position w:val="0"/>
        </w:rPr>
        <w:t>第二节公司基本情况简介</w:t>
      </w:r>
      <w:bookmarkEnd w:id="4"/>
      <w:bookmarkEnd w:id="5"/>
      <w:bookmarkEnd w:id="6"/>
    </w:p>
    <w:p>
      <w:pPr>
        <w:pStyle w:val="Style30"/>
        <w:keepNext/>
        <w:keepLines/>
        <w:widowControl w:val="0"/>
        <w:shd w:val="clear" w:color="auto" w:fill="auto"/>
        <w:bidi w:val="0"/>
        <w:spacing w:before="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938"/>
        <w:gridCol w:w="2318"/>
        <w:gridCol w:w="2141"/>
        <w:gridCol w:w="2189"/>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300311.SZ</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Surfilter Network Technology Co.,Ltd</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Surfilter</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深圳市南山区高新区科技中二路软件园</w:t>
            </w:r>
            <w:r>
              <w:rPr>
                <w:rFonts w:ascii="Times New Roman" w:eastAsia="Times New Roman" w:hAnsi="Times New Roman" w:cs="Times New Roman"/>
                <w:color w:val="000000"/>
                <w:spacing w:val="0"/>
                <w:w w:val="100"/>
                <w:position w:val="0"/>
              </w:rPr>
              <w:t>2</w:t>
            </w:r>
            <w:r>
              <w:rPr>
                <w:color w:val="000000"/>
                <w:spacing w:val="0"/>
                <w:w w:val="100"/>
                <w:position w:val="0"/>
              </w:rPr>
              <w:t>栋</w:t>
            </w:r>
            <w:r>
              <w:rPr>
                <w:rFonts w:ascii="Times New Roman" w:eastAsia="Times New Roman" w:hAnsi="Times New Roman" w:cs="Times New Roman"/>
                <w:color w:val="000000"/>
                <w:spacing w:val="0"/>
                <w:w w:val="100"/>
                <w:position w:val="0"/>
              </w:rPr>
              <w:t>6</w:t>
            </w:r>
            <w:r>
              <w:rPr>
                <w:color w:val="000000"/>
                <w:spacing w:val="0"/>
                <w:w w:val="100"/>
                <w:position w:val="0"/>
              </w:rPr>
              <w:t>楼</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深圳市南山区高新区科技中二路软件园</w:t>
            </w:r>
            <w:r>
              <w:rPr>
                <w:rFonts w:ascii="Times New Roman" w:eastAsia="Times New Roman" w:hAnsi="Times New Roman" w:cs="Times New Roman"/>
                <w:color w:val="000000"/>
                <w:spacing w:val="0"/>
                <w:w w:val="100"/>
                <w:position w:val="0"/>
              </w:rPr>
              <w:t>2</w:t>
            </w:r>
            <w:r>
              <w:rPr>
                <w:color w:val="000000"/>
                <w:spacing w:val="0"/>
                <w:w w:val="100"/>
                <w:position w:val="0"/>
              </w:rPr>
              <w:t>栋</w:t>
            </w:r>
            <w:r>
              <w:rPr>
                <w:rFonts w:ascii="Times New Roman" w:eastAsia="Times New Roman" w:hAnsi="Times New Roman" w:cs="Times New Roman"/>
                <w:color w:val="000000"/>
                <w:spacing w:val="0"/>
                <w:w w:val="100"/>
                <w:position w:val="0"/>
              </w:rPr>
              <w:t>6</w:t>
            </w:r>
            <w:r>
              <w:rPr>
                <w:color w:val="000000"/>
                <w:spacing w:val="0"/>
                <w:w w:val="100"/>
                <w:position w:val="0"/>
              </w:rPr>
              <w:t>楼</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"http://www.1218.com.cn" </w:instrText>
            </w:r>
            <w:r>
              <w:fldChar w:fldCharType="separate"/>
            </w:r>
            <w:r>
              <w:rPr>
                <w:rFonts w:ascii="Times New Roman" w:eastAsia="Times New Roman" w:hAnsi="Times New Roman" w:cs="Times New Roman"/>
                <w:color w:val="000000"/>
                <w:spacing w:val="0"/>
                <w:w w:val="100"/>
                <w:position w:val="0"/>
              </w:rPr>
              <w:t>www.1218.com.cn</w:t>
            </w:r>
            <w:r>
              <w:fldChar w:fldCharType="end"/>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rzxshenzhen@ 1218. com. cn</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北京永拓会计师事务所（特殊普通合伙）</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北京市朝阳区关东店北街</w:t>
            </w:r>
            <w:r>
              <w:rPr>
                <w:rFonts w:ascii="Times New Roman" w:eastAsia="Times New Roman" w:hAnsi="Times New Roman" w:cs="Times New Roman"/>
                <w:color w:val="000000"/>
                <w:spacing w:val="0"/>
                <w:w w:val="100"/>
                <w:position w:val="0"/>
              </w:rPr>
              <w:t>1</w:t>
            </w:r>
            <w:r>
              <w:rPr>
                <w:color w:val="000000"/>
                <w:spacing w:val="0"/>
                <w:w w:val="100"/>
                <w:position w:val="0"/>
              </w:rPr>
              <w:t>号国安大厦</w:t>
            </w: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层</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王震强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张冰</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深圳市南山区高新区科技中二路软件园</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栋</w:t>
            </w:r>
            <w:r>
              <w:rPr>
                <w:rFonts w:ascii="Times New Roman" w:eastAsia="Times New Roman" w:hAnsi="Times New Roman" w:cs="Times New Roman"/>
                <w:color w:val="000000"/>
                <w:spacing w:val="0"/>
                <w:w w:val="100"/>
                <w:position w:val="0"/>
              </w:rPr>
              <w:t>6</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深圳市南山区高新区科技中二路软件园</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栋</w:t>
            </w:r>
            <w:r>
              <w:rPr>
                <w:rFonts w:ascii="Times New Roman" w:eastAsia="Times New Roman" w:hAnsi="Times New Roman" w:cs="Times New Roman"/>
                <w:color w:val="000000"/>
                <w:spacing w:val="0"/>
                <w:w w:val="100"/>
                <w:position w:val="0"/>
              </w:rPr>
              <w:t>6</w:t>
            </w:r>
            <w:r>
              <w:rPr>
                <w:color w:val="000000"/>
                <w:spacing w:val="0"/>
                <w:w w:val="100"/>
                <w:position w:val="0"/>
              </w:rPr>
              <w:t>楼</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0755-86156779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0755-86156779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0755-86168355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0755-86168355</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wangzhenqiang@ 1218. com. cn</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zhangbing @1218. com.cn</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850"/>
        <w:gridCol w:w="5736"/>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公司证券事务部办公室</w:t>
            </w:r>
          </w:p>
        </w:tc>
      </w:tr>
    </w:tbl>
    <w:p>
      <w:pPr>
        <w:spacing w:lineRule="exact" w:line="1"/>
        <w:rPr>
          <w:sz w:val="2"/>
          <w:szCs w:val="2"/>
        </w:rPr>
      </w:pPr>
      <w:r>
        <w:br w:type="page"/>
      </w:r>
    </w:p>
    <w:p>
      <w:pPr>
        <w:pStyle w:val="Style30"/>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、公司历史沿革</w:t>
      </w:r>
      <w:bookmarkEnd w:id="19"/>
      <w:bookmarkEnd w:id="20"/>
      <w:bookmarkEnd w:id="22"/>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深圳市福田区振兴 路建艺大厦西座</w:t>
            </w:r>
            <w:r>
              <w:rPr>
                <w:rFonts w:ascii="Times New Roman" w:eastAsia="Times New Roman" w:hAnsi="Times New Roman" w:cs="Times New Roman"/>
                <w:color w:val="000000"/>
                <w:spacing w:val="0"/>
                <w:w w:val="100"/>
                <w:position w:val="0"/>
              </w:rPr>
              <w:t xml:space="preserve">15 </w:t>
            </w:r>
            <w:r>
              <w:rPr>
                <w:color w:val="000000"/>
                <w:spacing w:val="0"/>
                <w:w w:val="100"/>
                <w:position w:val="0"/>
              </w:rPr>
              <w:t>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4403011047227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440301723005104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72300510-4</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变更为股份有限公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深圳市南山区高新 区科技中</w:t>
            </w:r>
            <w:r>
              <w:rPr>
                <w:rFonts w:ascii="Times New Roman" w:eastAsia="Times New Roman" w:hAnsi="Times New Roman" w:cs="Times New Roman"/>
                <w:color w:val="000000"/>
                <w:spacing w:val="0"/>
                <w:w w:val="100"/>
                <w:position w:val="0"/>
              </w:rPr>
              <w:t>2</w:t>
            </w:r>
            <w:r>
              <w:rPr>
                <w:color w:val="000000"/>
                <w:spacing w:val="0"/>
                <w:w w:val="100"/>
                <w:position w:val="0"/>
              </w:rPr>
              <w:t>路软件 园</w:t>
            </w:r>
            <w:r>
              <w:rPr>
                <w:rFonts w:ascii="Times New Roman" w:eastAsia="Times New Roman" w:hAnsi="Times New Roman" w:cs="Times New Roman"/>
                <w:color w:val="000000"/>
                <w:spacing w:val="0"/>
                <w:w w:val="100"/>
                <w:position w:val="0"/>
              </w:rPr>
              <w:t>2</w:t>
            </w:r>
            <w:r>
              <w:rPr>
                <w:color w:val="000000"/>
                <w:spacing w:val="0"/>
                <w:w w:val="100"/>
                <w:position w:val="0"/>
              </w:rPr>
              <w:t>栋</w:t>
            </w:r>
            <w:r>
              <w:rPr>
                <w:rFonts w:ascii="Times New Roman" w:eastAsia="Times New Roman" w:hAnsi="Times New Roman" w:cs="Times New Roman"/>
                <w:color w:val="000000"/>
                <w:spacing w:val="0"/>
                <w:w w:val="100"/>
                <w:position w:val="0"/>
              </w:rPr>
              <w:t>6</w:t>
            </w:r>
            <w:r>
              <w:rPr>
                <w:color w:val="000000"/>
                <w:spacing w:val="0"/>
                <w:w w:val="100"/>
                <w:position w:val="0"/>
              </w:rPr>
              <w:t>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440301103406723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440301723005104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72300510-4</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变更为上市股份有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深圳市南山区高新 区科技中</w:t>
            </w:r>
            <w:r>
              <w:rPr>
                <w:rFonts w:ascii="Times New Roman" w:eastAsia="Times New Roman" w:hAnsi="Times New Roman" w:cs="Times New Roman"/>
                <w:color w:val="000000"/>
                <w:spacing w:val="0"/>
                <w:w w:val="100"/>
                <w:position w:val="0"/>
              </w:rPr>
              <w:t>2</w:t>
            </w:r>
            <w:r>
              <w:rPr>
                <w:color w:val="000000"/>
                <w:spacing w:val="0"/>
                <w:w w:val="100"/>
                <w:position w:val="0"/>
              </w:rPr>
              <w:t>路软件 园</w:t>
            </w:r>
            <w:r>
              <w:rPr>
                <w:rFonts w:ascii="Times New Roman" w:eastAsia="Times New Roman" w:hAnsi="Times New Roman" w:cs="Times New Roman"/>
                <w:color w:val="000000"/>
                <w:spacing w:val="0"/>
                <w:w w:val="100"/>
                <w:position w:val="0"/>
              </w:rPr>
              <w:t>2</w:t>
            </w:r>
            <w:r>
              <w:rPr>
                <w:color w:val="000000"/>
                <w:spacing w:val="0"/>
                <w:w w:val="100"/>
                <w:position w:val="0"/>
              </w:rPr>
              <w:t>栋</w:t>
            </w:r>
            <w:r>
              <w:rPr>
                <w:rFonts w:ascii="Times New Roman" w:eastAsia="Times New Roman" w:hAnsi="Times New Roman" w:cs="Times New Roman"/>
                <w:color w:val="000000"/>
                <w:spacing w:val="0"/>
                <w:w w:val="100"/>
                <w:position w:val="0"/>
              </w:rPr>
              <w:t>6</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440301103406723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440301723005104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72300510-4</w:t>
            </w:r>
          </w:p>
        </w:tc>
      </w:tr>
    </w:tbl>
    <w:p>
      <w:pPr>
        <w:spacing w:lineRule="exact" w:line="1"/>
        <w:rPr>
          <w:sz w:val="2"/>
          <w:szCs w:val="2"/>
        </w:rPr>
      </w:pPr>
      <w:r>
        <w:br w:type="page"/>
      </w:r>
    </w:p>
    <w:p>
      <w:pPr>
        <w:pStyle w:val="Style19"/>
        <w:keepNext/>
        <w:keepLines/>
        <w:widowControl w:val="0"/>
        <w:shd w:val="clear" w:color="auto" w:fill="auto"/>
        <w:bidi w:val="0"/>
        <w:spacing w:before="0" w:after="540" w:line="240" w:lineRule="auto"/>
        <w:ind w:left="0" w:right="0" w:firstLine="0"/>
        <w:jc w:val="center"/>
      </w:pPr>
      <w:bookmarkStart w:id="23" w:name="bookmark23"/>
      <w:bookmarkStart w:id="24" w:name="bookmark24"/>
      <w:bookmarkStart w:id="25" w:name="bookmark25"/>
      <w:r>
        <w:rPr>
          <w:color w:val="000000"/>
          <w:spacing w:val="0"/>
          <w:w w:val="100"/>
          <w:position w:val="0"/>
        </w:rPr>
        <w:t>第三节会计数据和财务指标摘要</w:t>
      </w:r>
      <w:bookmarkEnd w:id="23"/>
      <w:bookmarkEnd w:id="24"/>
      <w:bookmarkEnd w:id="25"/>
    </w:p>
    <w:p>
      <w:pPr>
        <w:pStyle w:val="Style30"/>
        <w:keepNext/>
        <w:keepLines/>
        <w:widowControl w:val="0"/>
        <w:shd w:val="clear" w:color="auto" w:fill="auto"/>
        <w:bidi w:val="0"/>
        <w:spacing w:before="0" w:after="220" w:line="240" w:lineRule="auto"/>
        <w:ind w:left="0" w:right="0" w:firstLine="240"/>
        <w:jc w:val="left"/>
      </w:pPr>
      <w:bookmarkStart w:id="26" w:name="bookmark26"/>
      <w:bookmarkStart w:id="27" w:name="bookmark27"/>
      <w:bookmarkStart w:id="28" w:name="bookmark28"/>
      <w:bookmarkStart w:id="29" w:name="bookmark29"/>
      <w:r>
        <w:rPr>
          <w:color w:val="000000"/>
          <w:spacing w:val="0"/>
          <w:w w:val="100"/>
          <w:position w:val="0"/>
          <w:sz w:val="24"/>
          <w:szCs w:val="24"/>
        </w:rPr>
        <w:t>、主要会计数据和财务指标</w:t>
      </w:r>
      <w:bookmarkEnd w:id="27"/>
      <w:bookmarkEnd w:id="28"/>
      <w:bookmarkEnd w:id="29"/>
      <w:bookmarkEnd w:id="26"/>
    </w:p>
    <w:p>
      <w:pPr>
        <w:pStyle w:val="Style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tbl>
      <w:tblPr>
        <w:tblOverlap w:val="never"/>
        <w:jc w:val="center"/>
        <w:tblLayout w:type="fixed"/>
      </w:tblPr>
      <w:tblGrid>
        <w:gridCol w:w="2621"/>
        <w:gridCol w:w="1742"/>
        <w:gridCol w:w="1738"/>
        <w:gridCol w:w="1738"/>
        <w:gridCol w:w="174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245,386,180.86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192,974,175.08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175,113,472.96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119,905,374.33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83,974,440.74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42.79%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76,276,299.40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12,226,164.29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23,788,673.48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35,383,020.40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25,717,324.35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40,460,186.22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-36.44%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44,359,384.03</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25,140,974.57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39,007,060.36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38,566,119.01</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21,256,983.47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31,900,050.58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34,375,771.36</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35,821,429.72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75,195,020.28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40,783,184.48</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0.7695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w:t>
            </w:r>
          </w:p>
        </w:tc>
      </w:tr>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本年末比上年末增减</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53,000,000.00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546,858,985.47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535,744,611.99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196,813,509.39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129,930,776.64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129,012,545.34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54,300,752.76</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418,499,478.84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405,529,803.99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142,512,756.63</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2.6889</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27.59%</w:t>
            </w:r>
          </w:p>
        </w:tc>
      </w:tr>
    </w:tbl>
    <w:p>
      <w:pPr>
        <w:pStyle w:val="Style30"/>
        <w:keepNext/>
        <w:keepLines/>
        <w:widowControl w:val="0"/>
        <w:shd w:val="clear" w:color="auto" w:fill="auto"/>
        <w:bidi w:val="0"/>
        <w:spacing w:before="0" w:after="36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二</w:t>
      </w:r>
      <w:bookmarkEnd w:id="32"/>
      <w:r>
        <w:rPr>
          <w:color w:val="000000"/>
          <w:spacing w:val="0"/>
          <w:w w:val="100"/>
          <w:position w:val="0"/>
          <w:sz w:val="24"/>
          <w:szCs w:val="24"/>
        </w:rPr>
        <w:t>、非经常性损益的项目及金额</w:t>
      </w:r>
      <w:bookmarkEnd w:id="30"/>
      <w:bookmarkEnd w:id="31"/>
      <w:bookmarkEnd w:id="3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-68,305.01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8,788,600.00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9,860,249.96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-11,577.24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-11,577.18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-1,093,521.49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-52,526.80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21,397.94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-2,759,611.73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927,407.83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980,312.20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739,473.11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44,185.60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3,883,991.10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7,107,009.78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4,190,347.65</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9"/>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9"/>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sz w:val="24"/>
          <w:szCs w:val="24"/>
        </w:rPr>
        <w:t>三</w:t>
      </w:r>
      <w:bookmarkEnd w:id="36"/>
      <w:r>
        <w:rPr>
          <w:color w:val="000000"/>
          <w:spacing w:val="0"/>
          <w:w w:val="100"/>
          <w:position w:val="0"/>
          <w:sz w:val="24"/>
          <w:szCs w:val="24"/>
        </w:rPr>
        <w:t>、重大风险提示</w:t>
      </w:r>
      <w:bookmarkEnd w:id="34"/>
      <w:bookmarkEnd w:id="35"/>
      <w:bookmarkEnd w:id="37"/>
    </w:p>
    <w:p>
      <w:pPr>
        <w:pStyle w:val="Style9"/>
        <w:keepNext w:val="0"/>
        <w:keepLines w:val="0"/>
        <w:widowControl w:val="0"/>
        <w:shd w:val="clear" w:color="auto" w:fill="auto"/>
        <w:tabs>
          <w:tab w:pos="506" w:val="left"/>
        </w:tabs>
        <w:bidi w:val="0"/>
        <w:spacing w:before="0" w:after="0" w:line="315" w:lineRule="exact"/>
        <w:ind w:left="0" w:right="0" w:firstLine="0"/>
        <w:jc w:val="both"/>
      </w:pPr>
      <w:bookmarkStart w:id="38" w:name="bookmark38"/>
      <w:r>
        <w:rPr>
          <w:color w:val="000000"/>
          <w:spacing w:val="0"/>
          <w:w w:val="100"/>
          <w:position w:val="0"/>
        </w:rPr>
        <w:t>（</w:t>
      </w:r>
      <w:bookmarkEnd w:id="38"/>
      <w:r>
        <w:rPr>
          <w:color w:val="000000"/>
          <w:spacing w:val="0"/>
          <w:w w:val="100"/>
          <w:position w:val="0"/>
        </w:rPr>
        <w:t>一）</w:t>
        <w:tab/>
        <w:t>管理风险</w:t>
      </w:r>
    </w:p>
    <w:p>
      <w:pPr>
        <w:pStyle w:val="Style9"/>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公司自上市以来经营规模和业务范围不断扩大，组织结构日益复杂，人员规模不断扩充，对公司管理水平提出了新的和更高 的要求。如果公司管理层不能结合公司实际情况适时调整和优化管理体系，进一步提高管理水平，以适应资产、人员和业务 规模的进一步增长</w:t>
      </w:r>
      <w:r>
        <w:rPr>
          <w:color w:val="000000"/>
          <w:spacing w:val="0"/>
          <w:w w:val="100"/>
          <w:position w:val="0"/>
        </w:rPr>
        <w:t>，</w:t>
      </w:r>
      <w:r>
        <w:rPr>
          <w:color w:val="000000"/>
          <w:spacing w:val="0"/>
          <w:w w:val="100"/>
          <w:position w:val="0"/>
        </w:rPr>
        <w:t>将可能影响公司的长远发展。</w:t>
      </w:r>
    </w:p>
    <w:p>
      <w:pPr>
        <w:pStyle w:val="Style9"/>
        <w:keepNext w:val="0"/>
        <w:keepLines w:val="0"/>
        <w:widowControl w:val="0"/>
        <w:shd w:val="clear" w:color="auto" w:fill="auto"/>
        <w:tabs>
          <w:tab w:pos="506" w:val="left"/>
        </w:tabs>
        <w:bidi w:val="0"/>
        <w:spacing w:before="0" w:after="0" w:line="315" w:lineRule="exact"/>
        <w:ind w:left="0" w:right="0" w:firstLine="0"/>
        <w:jc w:val="both"/>
      </w:pPr>
      <w:bookmarkStart w:id="39" w:name="bookmark39"/>
      <w:r>
        <w:rPr>
          <w:color w:val="000000"/>
          <w:spacing w:val="0"/>
          <w:w w:val="100"/>
          <w:position w:val="0"/>
        </w:rPr>
        <w:t>（</w:t>
      </w:r>
      <w:bookmarkEnd w:id="39"/>
      <w:r>
        <w:rPr>
          <w:color w:val="000000"/>
          <w:spacing w:val="0"/>
          <w:w w:val="100"/>
          <w:position w:val="0"/>
        </w:rPr>
        <w:t>二）</w:t>
        <w:tab/>
        <w:t>技术进步和创新风险</w:t>
      </w:r>
    </w:p>
    <w:p>
      <w:pPr>
        <w:pStyle w:val="Style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IT</w:t>
      </w:r>
      <w:r>
        <w:rPr>
          <w:color w:val="000000"/>
          <w:spacing w:val="0"/>
          <w:w w:val="100"/>
          <w:position w:val="0"/>
        </w:rPr>
        <w:t>环境日趋复杂和新技术的不断涌现对信息安全提出了更高的要求。云计算、物联网、移动互联网等的不断涌现，使得信息 的获取方式、存储形态、传输渠道和处理方式都发生了变化。用户的爆炸性增长、数据的快速膨胀不断增加了信息安全保护 的难度，也要求信息安全产品具备更高的性能、更丰富的功能和更高的智能化。信息安全产品的形态不断发生变化，信息安 全产品和设备之间加快融合，都带来了信息安全产业的重大变革。如果公司不能准确地把握行业的发展趋势，在技术开发方 向的战略决策上发生失误，或者未能及时进行产品升级和新技术的运用，将可能丧失目前的技术优势，面临技术与产品升级 的双重风险。</w:t>
      </w:r>
    </w:p>
    <w:p>
      <w:pPr>
        <w:pStyle w:val="Style9"/>
        <w:keepNext w:val="0"/>
        <w:keepLines w:val="0"/>
        <w:widowControl w:val="0"/>
        <w:shd w:val="clear" w:color="auto" w:fill="auto"/>
        <w:tabs>
          <w:tab w:pos="506" w:val="left"/>
        </w:tabs>
        <w:bidi w:val="0"/>
        <w:spacing w:before="0" w:after="0" w:line="315" w:lineRule="exact"/>
        <w:ind w:left="0" w:right="0" w:firstLine="0"/>
        <w:jc w:val="both"/>
      </w:pPr>
      <w:bookmarkStart w:id="40" w:name="bookmark40"/>
      <w:r>
        <w:rPr>
          <w:color w:val="000000"/>
          <w:spacing w:val="0"/>
          <w:w w:val="100"/>
          <w:position w:val="0"/>
        </w:rPr>
        <w:t>（</w:t>
      </w:r>
      <w:bookmarkEnd w:id="40"/>
      <w:r>
        <w:rPr>
          <w:color w:val="000000"/>
          <w:spacing w:val="0"/>
          <w:w w:val="100"/>
          <w:position w:val="0"/>
        </w:rPr>
        <w:t>三）</w:t>
        <w:tab/>
        <w:t>市场风险</w:t>
      </w:r>
    </w:p>
    <w:p>
      <w:pPr>
        <w:pStyle w:val="Style9"/>
        <w:keepNext w:val="0"/>
        <w:keepLines w:val="0"/>
        <w:widowControl w:val="0"/>
        <w:shd w:val="clear" w:color="auto" w:fill="auto"/>
        <w:bidi w:val="0"/>
        <w:spacing w:before="0" w:after="0" w:line="315" w:lineRule="exact"/>
        <w:ind w:left="0" w:right="0" w:firstLine="0"/>
        <w:jc w:val="both"/>
      </w:pPr>
      <w:r>
        <w:rPr>
          <w:color w:val="000000"/>
          <w:spacing w:val="0"/>
          <w:w w:val="100"/>
          <w:position w:val="0"/>
        </w:rPr>
        <w:t>随着安全技术与互联网及</w:t>
      </w:r>
      <w:r>
        <w:rPr>
          <w:rFonts w:ascii="Times New Roman" w:eastAsia="Times New Roman" w:hAnsi="Times New Roman" w:cs="Times New Roman"/>
          <w:color w:val="000000"/>
          <w:spacing w:val="0"/>
          <w:w w:val="100"/>
          <w:position w:val="0"/>
        </w:rPr>
        <w:t>IT</w:t>
      </w:r>
      <w:r>
        <w:rPr>
          <w:color w:val="000000"/>
          <w:spacing w:val="0"/>
          <w:w w:val="100"/>
          <w:position w:val="0"/>
        </w:rPr>
        <w:t>设备的融合不断加剧，许多非传统安全厂商，如互联网企业、</w:t>
      </w:r>
      <w:r>
        <w:rPr>
          <w:rFonts w:ascii="Times New Roman" w:eastAsia="Times New Roman" w:hAnsi="Times New Roman" w:cs="Times New Roman"/>
          <w:color w:val="000000"/>
          <w:spacing w:val="0"/>
          <w:w w:val="100"/>
          <w:position w:val="0"/>
        </w:rPr>
        <w:t>IT</w:t>
      </w:r>
      <w:r>
        <w:rPr>
          <w:color w:val="000000"/>
          <w:spacing w:val="0"/>
          <w:w w:val="100"/>
          <w:position w:val="0"/>
        </w:rPr>
        <w:t>设备生产商等开始更多和更深地 介入信息安全市场，竞争愈加激烈的市场环境可能对公司大幅拓展经营规模形成一定的风险。</w:t>
      </w:r>
    </w:p>
    <w:p>
      <w:pPr>
        <w:pStyle w:val="Style9"/>
        <w:keepNext w:val="0"/>
        <w:keepLines w:val="0"/>
        <w:widowControl w:val="0"/>
        <w:shd w:val="clear" w:color="auto" w:fill="auto"/>
        <w:bidi w:val="0"/>
        <w:spacing w:before="0" w:after="0" w:line="315" w:lineRule="exact"/>
        <w:ind w:left="0" w:right="0" w:firstLine="0"/>
        <w:jc w:val="both"/>
      </w:pPr>
      <w:bookmarkStart w:id="41" w:name="bookmark41"/>
      <w:r>
        <w:rPr>
          <w:color w:val="000000"/>
          <w:spacing w:val="0"/>
          <w:w w:val="100"/>
          <w:position w:val="0"/>
        </w:rPr>
        <w:t>（</w:t>
      </w:r>
      <w:bookmarkEnd w:id="41"/>
      <w:r>
        <w:rPr>
          <w:color w:val="000000"/>
          <w:spacing w:val="0"/>
          <w:w w:val="100"/>
          <w:position w:val="0"/>
        </w:rPr>
        <w:t>三）人力资源风险</w:t>
      </w:r>
    </w:p>
    <w:p>
      <w:pPr>
        <w:pStyle w:val="Style9"/>
        <w:keepNext w:val="0"/>
        <w:keepLines w:val="0"/>
        <w:widowControl w:val="0"/>
        <w:shd w:val="clear" w:color="auto" w:fill="auto"/>
        <w:bidi w:val="0"/>
        <w:spacing w:before="0" w:after="260" w:line="315" w:lineRule="exact"/>
        <w:ind w:left="0" w:right="0" w:firstLine="0"/>
        <w:jc w:val="both"/>
      </w:pPr>
      <w:r>
        <w:rPr>
          <w:color w:val="000000"/>
          <w:spacing w:val="0"/>
          <w:w w:val="100"/>
          <w:position w:val="0"/>
        </w:rPr>
        <w:t>我国的网络和信息安全行业正在迎来新的发展机遇，当前公司在经营管理、市场营销、技术研发、项目管理、投资管理等方 面的中高级人才还相对缺乏，不能满足公司快速发展的需要，公司需要不断增强企业凝聚力，引进、培养、留住、储备一批 中高级人才。同时，由于公司属技术密集型行业，人员尤其是核心技术人员是公司未来持续发展的重要保障，如果公司不能 及时有效地优化和完善员工薪酬福利制度、企业文化环境等激励措施，还存在核心人员流失的风险。</w:t>
      </w:r>
    </w:p>
    <w:p>
      <w:pPr>
        <w:pStyle w:val="Style9"/>
        <w:keepNext w:val="0"/>
        <w:keepLines w:val="0"/>
        <w:widowControl w:val="0"/>
        <w:shd w:val="clear" w:color="auto" w:fill="auto"/>
        <w:tabs>
          <w:tab w:pos="471" w:val="left"/>
        </w:tabs>
        <w:bidi w:val="0"/>
        <w:spacing w:before="0" w:after="0" w:line="315" w:lineRule="exact"/>
        <w:ind w:left="0" w:right="0" w:firstLine="0"/>
        <w:jc w:val="left"/>
      </w:pPr>
      <w:bookmarkStart w:id="42" w:name="bookmark42"/>
      <w:r>
        <w:rPr>
          <w:color w:val="000000"/>
          <w:spacing w:val="0"/>
          <w:w w:val="100"/>
          <w:position w:val="0"/>
        </w:rPr>
        <w:t>（</w:t>
      </w:r>
      <w:bookmarkEnd w:id="42"/>
      <w:r>
        <w:rPr>
          <w:color w:val="000000"/>
          <w:spacing w:val="0"/>
          <w:w w:val="100"/>
          <w:position w:val="0"/>
        </w:rPr>
        <w:t>四）</w:t>
        <w:tab/>
        <w:t>子公司未来经营风险</w:t>
      </w:r>
    </w:p>
    <w:p>
      <w:pPr>
        <w:pStyle w:val="Style9"/>
        <w:keepNext w:val="0"/>
        <w:keepLines w:val="0"/>
        <w:widowControl w:val="0"/>
        <w:shd w:val="clear" w:color="auto" w:fill="auto"/>
        <w:bidi w:val="0"/>
        <w:spacing w:before="0" w:after="0" w:line="315" w:lineRule="exact"/>
        <w:ind w:left="0" w:right="0" w:firstLine="0"/>
        <w:jc w:val="left"/>
      </w:pPr>
      <w:r>
        <w:rPr>
          <w:color w:val="000000"/>
          <w:spacing w:val="0"/>
          <w:w w:val="100"/>
          <w:position w:val="0"/>
        </w:rPr>
        <w:t>受到运营商招标进程大幅延后的影响，博海通讯</w:t>
      </w:r>
      <w:r>
        <w:rPr>
          <w:rFonts w:ascii="Times New Roman" w:eastAsia="Times New Roman" w:hAnsi="Times New Roman" w:cs="Times New Roman"/>
          <w:color w:val="000000"/>
          <w:spacing w:val="0"/>
          <w:w w:val="100"/>
          <w:position w:val="0"/>
        </w:rPr>
        <w:t>2013</w:t>
      </w:r>
      <w:r>
        <w:rPr>
          <w:color w:val="000000"/>
          <w:spacing w:val="0"/>
          <w:w w:val="100"/>
          <w:position w:val="0"/>
        </w:rPr>
        <w:t>年业绩下滑幅度较大。目前，公司正在加快促进博海通讯实现业务转型， 如开发新产品、调整市场和产品定位，以及采取减员增效等内部管理优化措施。由于通讯行业具有一定的周期性，加之产品 同质化竞争严重，如果该公司不能准确判断并实现顺利转型，未来存在一定的经营风险。</w:t>
      </w:r>
    </w:p>
    <w:p>
      <w:pPr>
        <w:pStyle w:val="Style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月，公司在成都设立了全资子公司成都网娱互动网络科技有限公司，该子公司致力于搭建一个多元化互动游戏平台， 并将在未来开发和运营更多互联网娱乐产品，为用户提供丰富、优质的网络互动娱乐方式。虽然公司聘请了专业的核心运营 团队，考虑到国内网络游戏市场竞争激烈，受限于内容同质化、营销成本增加，巨头平台独占等多方面因素，子公司在网络 游戏领域能否实现快速成长并实现业务模式创新存在一定的不确定性。</w:t>
      </w:r>
    </w:p>
    <w:p>
      <w:pPr>
        <w:pStyle w:val="Style9"/>
        <w:keepNext w:val="0"/>
        <w:keepLines w:val="0"/>
        <w:widowControl w:val="0"/>
        <w:shd w:val="clear" w:color="auto" w:fill="auto"/>
        <w:tabs>
          <w:tab w:pos="471" w:val="left"/>
        </w:tabs>
        <w:bidi w:val="0"/>
        <w:spacing w:before="0" w:after="0" w:line="315" w:lineRule="exact"/>
        <w:ind w:left="0" w:right="0" w:firstLine="0"/>
        <w:jc w:val="left"/>
      </w:pPr>
      <w:bookmarkStart w:id="43" w:name="bookmark43"/>
      <w:r>
        <w:rPr>
          <w:color w:val="000000"/>
          <w:spacing w:val="0"/>
          <w:w w:val="100"/>
          <w:position w:val="0"/>
        </w:rPr>
        <w:t>（</w:t>
      </w:r>
      <w:bookmarkEnd w:id="43"/>
      <w:r>
        <w:rPr>
          <w:color w:val="000000"/>
          <w:spacing w:val="0"/>
          <w:w w:val="100"/>
          <w:position w:val="0"/>
        </w:rPr>
        <w:t>五）</w:t>
        <w:tab/>
        <w:t>固定资产折旧、摊销费用增加影响未来经营成果的风险</w:t>
      </w:r>
    </w:p>
    <w:p>
      <w:pPr>
        <w:pStyle w:val="Style9"/>
        <w:keepNext w:val="0"/>
        <w:keepLines w:val="0"/>
        <w:widowControl w:val="0"/>
        <w:shd w:val="clear" w:color="auto" w:fill="auto"/>
        <w:bidi w:val="0"/>
        <w:spacing w:before="0" w:after="0" w:line="315" w:lineRule="exact"/>
        <w:ind w:left="0" w:right="0" w:firstLine="0"/>
        <w:jc w:val="left"/>
        <w:sectPr>
          <w:footnotePr>
            <w:pos w:val="pageBottom"/>
            <w:numFmt w:val="decimal"/>
            <w:numRestart w:val="continuous"/>
          </w:footnotePr>
          <w:pgSz w:w="11900" w:h="16840"/>
          <w:pgMar w:top="1383" w:right="1073" w:bottom="1729" w:left="1049" w:header="0" w:footer="3" w:gutter="0"/>
          <w:cols w:space="720"/>
          <w:noEndnote/>
          <w:rtlGutter w:val="0"/>
          <w:docGrid w:linePitch="360"/>
        </w:sectPr>
      </w:pPr>
      <w:r>
        <w:rPr>
          <w:color w:val="000000"/>
          <w:spacing w:val="0"/>
          <w:w w:val="100"/>
          <w:position w:val="0"/>
        </w:rPr>
        <w:t>随着募集资金项目建成投产后陆续产生效益，公司销售收入和盈利水平将大幅提高，新增折旧、摊销费用所增加的生产成本 将会被募集资金投资项目新增的销售收入消化。虽然公司在对项目进行可行性研究时，已经充分考虑了折旧、摊销费用等因 素，但如果募投项目完成后，不能如期产生效益或实际收益低于盈亏平衡点的收益，则新增的折旧、摊销费用将对公司的经 营业绩造成不利影响。</w:t>
      </w:r>
    </w:p>
    <w:p>
      <w:pPr>
        <w:pStyle w:val="Style19"/>
        <w:keepNext/>
        <w:keepLines/>
        <w:widowControl w:val="0"/>
        <w:shd w:val="clear" w:color="auto" w:fill="auto"/>
        <w:bidi w:val="0"/>
        <w:spacing w:before="580" w:after="540" w:line="240" w:lineRule="auto"/>
        <w:ind w:left="0" w:right="0" w:firstLine="0"/>
        <w:jc w:val="center"/>
      </w:pPr>
      <w:bookmarkStart w:id="44" w:name="bookmark44"/>
      <w:bookmarkStart w:id="45" w:name="bookmark45"/>
      <w:bookmarkStart w:id="46" w:name="bookmark46"/>
      <w:r>
        <w:rPr>
          <w:color w:val="000000"/>
          <w:spacing w:val="0"/>
          <w:w w:val="100"/>
          <w:position w:val="0"/>
        </w:rPr>
        <w:t>第四节董事会报告</w:t>
      </w:r>
      <w:bookmarkEnd w:id="44"/>
      <w:bookmarkEnd w:id="45"/>
      <w:bookmarkEnd w:id="46"/>
    </w:p>
    <w:p>
      <w:pPr>
        <w:pStyle w:val="Style30"/>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bookmarkStart w:id="50" w:name="bookmark50"/>
      <w:bookmarkStart w:id="51" w:name="bookmark51"/>
      <w:r>
        <w:rPr>
          <w:color w:val="000000"/>
          <w:spacing w:val="0"/>
          <w:w w:val="100"/>
          <w:position w:val="0"/>
          <w:sz w:val="24"/>
          <w:szCs w:val="24"/>
        </w:rPr>
        <w:t>一</w:t>
      </w:r>
      <w:bookmarkEnd w:id="50"/>
      <w:r>
        <w:rPr>
          <w:color w:val="000000"/>
          <w:spacing w:val="0"/>
          <w:w w:val="100"/>
          <w:position w:val="0"/>
          <w:sz w:val="24"/>
          <w:szCs w:val="24"/>
        </w:rPr>
        <w:t>、管理层讨论与分析</w:t>
      </w:r>
      <w:bookmarkEnd w:id="48"/>
      <w:bookmarkEnd w:id="49"/>
      <w:bookmarkEnd w:id="51"/>
      <w:bookmarkEnd w:id="47"/>
    </w:p>
    <w:p>
      <w:pPr>
        <w:pStyle w:val="Style35"/>
        <w:keepNext/>
        <w:keepLines/>
        <w:widowControl w:val="0"/>
        <w:shd w:val="clear" w:color="auto" w:fill="auto"/>
        <w:bidi w:val="0"/>
        <w:spacing w:before="0" w:after="24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1</w:t>
      </w:r>
      <w:bookmarkEnd w:id="54"/>
      <w:r>
        <w:rPr>
          <w:color w:val="000000"/>
          <w:spacing w:val="0"/>
          <w:w w:val="100"/>
          <w:position w:val="0"/>
        </w:rPr>
        <w:t>、报告期内主要业务回顾</w:t>
      </w:r>
      <w:bookmarkEnd w:id="52"/>
      <w:bookmarkEnd w:id="53"/>
      <w:bookmarkEnd w:id="55"/>
    </w:p>
    <w:p>
      <w:pPr>
        <w:pStyle w:val="Style9"/>
        <w:keepNext w:val="0"/>
        <w:keepLines w:val="0"/>
        <w:widowControl w:val="0"/>
        <w:shd w:val="clear" w:color="auto" w:fill="auto"/>
        <w:tabs>
          <w:tab w:pos="494" w:val="left"/>
        </w:tabs>
        <w:bidi w:val="0"/>
        <w:spacing w:before="0" w:after="0" w:line="311" w:lineRule="exact"/>
        <w:ind w:left="0" w:right="0" w:firstLine="0"/>
        <w:jc w:val="left"/>
      </w:pPr>
      <w:bookmarkStart w:id="56" w:name="bookmark56"/>
      <w:r>
        <w:rPr>
          <w:color w:val="000000"/>
          <w:spacing w:val="0"/>
          <w:w w:val="100"/>
          <w:position w:val="0"/>
        </w:rPr>
        <w:t>（</w:t>
      </w:r>
      <w:bookmarkEnd w:id="56"/>
      <w:r>
        <w:rPr>
          <w:color w:val="000000"/>
          <w:spacing w:val="0"/>
          <w:w w:val="100"/>
          <w:position w:val="0"/>
        </w:rPr>
        <w:t>一）</w:t>
        <w:tab/>
        <w:t>经营规模不断扩大</w:t>
      </w:r>
    </w:p>
    <w:p>
      <w:pPr>
        <w:pStyle w:val="Style9"/>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年，中共十八届三中全会提出设立国家安全委员会；中央计划成立以总书记习近平为组长的网络安全和信息化领导小组， 网络和信息安全被提升到国家战略安全的高度；</w:t>
      </w:r>
      <w:r>
        <w:rPr>
          <w:rFonts w:ascii="Times New Roman" w:eastAsia="Times New Roman" w:hAnsi="Times New Roman" w:cs="Times New Roman"/>
          <w:color w:val="000000"/>
          <w:spacing w:val="0"/>
          <w:w w:val="100"/>
          <w:position w:val="0"/>
        </w:rPr>
        <w:t>“</w:t>
      </w:r>
      <w:r>
        <w:rPr>
          <w:color w:val="000000"/>
          <w:spacing w:val="0"/>
          <w:w w:val="100"/>
          <w:position w:val="0"/>
        </w:rPr>
        <w:t>棱镜门</w:t>
      </w:r>
      <w:r>
        <w:rPr>
          <w:rFonts w:ascii="Times New Roman" w:eastAsia="Times New Roman" w:hAnsi="Times New Roman" w:cs="Times New Roman"/>
          <w:color w:val="000000"/>
          <w:spacing w:val="0"/>
          <w:w w:val="100"/>
          <w:position w:val="0"/>
        </w:rPr>
        <w:t>”</w:t>
      </w:r>
      <w:r>
        <w:rPr>
          <w:color w:val="000000"/>
          <w:spacing w:val="0"/>
          <w:w w:val="100"/>
          <w:position w:val="0"/>
        </w:rPr>
        <w:t>事件，以及不断爆发的信息泄密事件，给信息安全行业发展带来 了新的历史发展机遇。虽然国内经济下行压力加大，但公司在董事会的领导和全体员工的不懈努力下，紧紧抓住国家不断加 强网络和信息安全管理的契机，通过不断扩大经营规模，持续加大研发投入，大力拓展新业务，保持了营业收入的持续增长， 网络应用审计专家的品牌形象得到进一步强化。</w:t>
      </w:r>
    </w:p>
    <w:p>
      <w:pPr>
        <w:pStyle w:val="Style9"/>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年度，公司实现营业收入为</w:t>
      </w:r>
      <w:r>
        <w:rPr>
          <w:rFonts w:ascii="Times New Roman" w:eastAsia="Times New Roman" w:hAnsi="Times New Roman" w:cs="Times New Roman"/>
          <w:color w:val="000000"/>
          <w:spacing w:val="0"/>
          <w:w w:val="100"/>
          <w:position w:val="0"/>
        </w:rPr>
        <w:t>24,538.6</w:t>
      </w:r>
      <w:r>
        <w:rPr>
          <w:rFonts w:ascii="Times New Roman" w:eastAsia="Times New Roman" w:hAnsi="Times New Roman" w:cs="Times New Roman"/>
          <w:color w:val="000000"/>
          <w:spacing w:val="0"/>
          <w:w w:val="100"/>
          <w:position w:val="0"/>
        </w:rPr>
        <w:t>2</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27.16%</w:t>
      </w:r>
      <w:r>
        <w:rPr>
          <w:color w:val="000000"/>
          <w:spacing w:val="0"/>
          <w:w w:val="100"/>
          <w:position w:val="0"/>
        </w:rPr>
        <w:t>，由于在研发和市场方面持续加大投入和新业务拓 展，人员工资、研发费用、固定资产折旧费用增加较多，</w:t>
      </w:r>
      <w:r>
        <w:rPr>
          <w:rFonts w:ascii="Times New Roman" w:eastAsia="Times New Roman" w:hAnsi="Times New Roman" w:cs="Times New Roman"/>
          <w:color w:val="000000"/>
          <w:spacing w:val="0"/>
          <w:w w:val="100"/>
          <w:position w:val="0"/>
        </w:rPr>
        <w:t>2013</w:t>
      </w:r>
      <w:r>
        <w:rPr>
          <w:color w:val="000000"/>
          <w:spacing w:val="0"/>
          <w:w w:val="100"/>
          <w:position w:val="0"/>
        </w:rPr>
        <w:t>年度实现归属于母公司所有者的净利润</w:t>
      </w:r>
      <w:r>
        <w:rPr>
          <w:rFonts w:ascii="Times New Roman" w:eastAsia="Times New Roman" w:hAnsi="Times New Roman" w:cs="Times New Roman"/>
          <w:color w:val="000000"/>
          <w:spacing w:val="0"/>
          <w:w w:val="100"/>
          <w:position w:val="0"/>
        </w:rPr>
        <w:t>2514.10</w:t>
      </w:r>
      <w:r>
        <w:rPr>
          <w:color w:val="000000"/>
          <w:spacing w:val="0"/>
          <w:w w:val="100"/>
          <w:position w:val="0"/>
        </w:rPr>
        <w:t>万元，较上年 同期减少</w:t>
      </w:r>
      <w:r>
        <w:rPr>
          <w:rFonts w:ascii="Times New Roman" w:eastAsia="Times New Roman" w:hAnsi="Times New Roman" w:cs="Times New Roman"/>
          <w:color w:val="000000"/>
          <w:spacing w:val="0"/>
          <w:w w:val="100"/>
          <w:position w:val="0"/>
        </w:rPr>
        <w:t>35.55%</w:t>
      </w:r>
      <w:r>
        <w:rPr>
          <w:color w:val="000000"/>
          <w:spacing w:val="0"/>
          <w:w w:val="100"/>
          <w:position w:val="0"/>
        </w:rPr>
        <w:t>，基本每股收益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.36</w:t>
      </w:r>
      <w:r>
        <w:rPr>
          <w:color w:val="000000"/>
          <w:spacing w:val="0"/>
          <w:w w:val="100"/>
          <w:position w:val="0"/>
        </w:rPr>
        <w:t>元，同比减少</w:t>
      </w:r>
      <w:r>
        <w:rPr>
          <w:rFonts w:ascii="Times New Roman" w:eastAsia="Times New Roman" w:hAnsi="Times New Roman" w:cs="Times New Roman"/>
          <w:color w:val="000000"/>
          <w:spacing w:val="0"/>
          <w:w w:val="100"/>
          <w:position w:val="0"/>
        </w:rPr>
        <w:t>40.73%</w:t>
      </w:r>
      <w:r>
        <w:rPr>
          <w:color w:val="000000"/>
          <w:spacing w:val="0"/>
          <w:w w:val="100"/>
          <w:position w:val="0"/>
        </w:rPr>
        <w:t>。</w:t>
      </w:r>
    </w:p>
    <w:p>
      <w:pPr>
        <w:pStyle w:val="Style9"/>
        <w:keepNext w:val="0"/>
        <w:keepLines w:val="0"/>
        <w:widowControl w:val="0"/>
        <w:shd w:val="clear" w:color="auto" w:fill="auto"/>
        <w:tabs>
          <w:tab w:pos="494" w:val="left"/>
        </w:tabs>
        <w:bidi w:val="0"/>
        <w:spacing w:before="0" w:after="0" w:line="311" w:lineRule="exact"/>
        <w:ind w:left="0" w:right="0" w:firstLine="0"/>
        <w:jc w:val="left"/>
      </w:pPr>
      <w:bookmarkStart w:id="57" w:name="bookmark57"/>
      <w:r>
        <w:rPr>
          <w:color w:val="000000"/>
          <w:spacing w:val="0"/>
          <w:w w:val="100"/>
          <w:position w:val="0"/>
        </w:rPr>
        <w:t>（</w:t>
      </w:r>
      <w:bookmarkEnd w:id="57"/>
      <w:r>
        <w:rPr>
          <w:color w:val="000000"/>
          <w:spacing w:val="0"/>
          <w:w w:val="100"/>
          <w:position w:val="0"/>
        </w:rPr>
        <w:t>二）</w:t>
        <w:tab/>
        <w:t>募集资金投资项目有序推进</w:t>
      </w:r>
    </w:p>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报告期内，公司继续推进募集资金投资项目建设，各项目建设的推进实施工作进展顺利，截至报告期末，公司累计投入募集 资金</w:t>
      </w:r>
      <w:r>
        <w:rPr>
          <w:rFonts w:ascii="Times New Roman" w:eastAsia="Times New Roman" w:hAnsi="Times New Roman" w:cs="Times New Roman"/>
          <w:color w:val="000000"/>
          <w:spacing w:val="0"/>
          <w:w w:val="100"/>
          <w:position w:val="0"/>
        </w:rPr>
        <w:t>13,027.88</w:t>
      </w:r>
      <w:r>
        <w:rPr>
          <w:color w:val="000000"/>
          <w:spacing w:val="0"/>
          <w:w w:val="100"/>
          <w:position w:val="0"/>
        </w:rPr>
        <w:t>万元。与此同时，公司使用超募资金</w:t>
      </w:r>
      <w:r>
        <w:rPr>
          <w:rFonts w:ascii="Times New Roman" w:eastAsia="Times New Roman" w:hAnsi="Times New Roman" w:cs="Times New Roman"/>
          <w:color w:val="000000"/>
          <w:spacing w:val="0"/>
          <w:w w:val="100"/>
          <w:position w:val="0"/>
        </w:rPr>
        <w:t>1000</w:t>
      </w:r>
      <w:r>
        <w:rPr>
          <w:color w:val="000000"/>
          <w:spacing w:val="0"/>
          <w:w w:val="100"/>
          <w:position w:val="0"/>
        </w:rPr>
        <w:t>万元在武汉投资设立全资子公司，设立了武汉研发中心，有望加强公 司在华中区域及其周边的业务辐射能力。</w:t>
      </w:r>
    </w:p>
    <w:p>
      <w:pPr>
        <w:pStyle w:val="Style9"/>
        <w:keepNext w:val="0"/>
        <w:keepLines w:val="0"/>
        <w:widowControl w:val="0"/>
        <w:shd w:val="clear" w:color="auto" w:fill="auto"/>
        <w:tabs>
          <w:tab w:pos="494" w:val="left"/>
        </w:tabs>
        <w:bidi w:val="0"/>
        <w:spacing w:before="0" w:after="0" w:line="311" w:lineRule="exact"/>
        <w:ind w:left="0" w:right="0" w:firstLine="0"/>
        <w:jc w:val="left"/>
      </w:pPr>
      <w:bookmarkStart w:id="58" w:name="bookmark58"/>
      <w:r>
        <w:rPr>
          <w:color w:val="000000"/>
          <w:spacing w:val="0"/>
          <w:w w:val="100"/>
          <w:position w:val="0"/>
        </w:rPr>
        <w:t>（</w:t>
      </w:r>
      <w:bookmarkEnd w:id="58"/>
      <w:r>
        <w:rPr>
          <w:color w:val="000000"/>
          <w:spacing w:val="0"/>
          <w:w w:val="100"/>
          <w:position w:val="0"/>
        </w:rPr>
        <w:t>三）</w:t>
        <w:tab/>
        <w:t>研发投入不断加大</w:t>
      </w:r>
    </w:p>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报告期内，公司加大了研发费用投入，扩充了研发队伍，截至报告期末公司研发人员已达</w:t>
      </w:r>
      <w:r>
        <w:rPr>
          <w:rFonts w:ascii="Times New Roman" w:eastAsia="Times New Roman" w:hAnsi="Times New Roman" w:cs="Times New Roman"/>
          <w:color w:val="000000"/>
          <w:spacing w:val="0"/>
          <w:w w:val="100"/>
          <w:position w:val="0"/>
        </w:rPr>
        <w:t>281</w:t>
      </w:r>
      <w:r>
        <w:rPr>
          <w:color w:val="000000"/>
          <w:spacing w:val="0"/>
          <w:w w:val="100"/>
          <w:position w:val="0"/>
        </w:rPr>
        <w:t>人，累计投入研发费用达</w:t>
      </w:r>
      <w:r>
        <w:rPr>
          <w:rFonts w:ascii="Times New Roman" w:eastAsia="Times New Roman" w:hAnsi="Times New Roman" w:cs="Times New Roman"/>
          <w:color w:val="000000"/>
          <w:spacing w:val="0"/>
          <w:w w:val="100"/>
          <w:position w:val="0"/>
        </w:rPr>
        <w:t xml:space="preserve">3731.15 </w:t>
      </w:r>
      <w:r>
        <w:rPr>
          <w:color w:val="000000"/>
          <w:spacing w:val="0"/>
          <w:w w:val="100"/>
          <w:position w:val="0"/>
        </w:rPr>
        <w:t>万元，占全年营业总收入的</w:t>
      </w:r>
      <w:r>
        <w:rPr>
          <w:rFonts w:ascii="Times New Roman" w:eastAsia="Times New Roman" w:hAnsi="Times New Roman" w:cs="Times New Roman"/>
          <w:color w:val="000000"/>
          <w:spacing w:val="0"/>
          <w:w w:val="100"/>
          <w:position w:val="0"/>
        </w:rPr>
        <w:t>15.21%</w:t>
      </w:r>
      <w:r>
        <w:rPr>
          <w:color w:val="000000"/>
          <w:spacing w:val="0"/>
          <w:w w:val="100"/>
          <w:position w:val="0"/>
        </w:rPr>
        <w:t>,较</w:t>
      </w:r>
      <w:r>
        <w:rPr>
          <w:rFonts w:ascii="Times New Roman" w:eastAsia="Times New Roman" w:hAnsi="Times New Roman" w:cs="Times New Roman"/>
          <w:color w:val="000000"/>
          <w:spacing w:val="0"/>
          <w:w w:val="100"/>
          <w:position w:val="0"/>
        </w:rPr>
        <w:t>2012</w:t>
      </w:r>
      <w:r>
        <w:rPr>
          <w:color w:val="000000"/>
          <w:spacing w:val="0"/>
          <w:w w:val="100"/>
          <w:position w:val="0"/>
        </w:rPr>
        <w:t>年度研发投入占比增加</w:t>
      </w:r>
      <w:r>
        <w:rPr>
          <w:rFonts w:ascii="Times New Roman" w:eastAsia="Times New Roman" w:hAnsi="Times New Roman" w:cs="Times New Roman"/>
          <w:color w:val="000000"/>
          <w:spacing w:val="0"/>
          <w:w w:val="100"/>
          <w:position w:val="0"/>
        </w:rPr>
        <w:t>3.53%</w:t>
      </w:r>
      <w:r>
        <w:rPr>
          <w:color w:val="000000"/>
          <w:spacing w:val="0"/>
          <w:w w:val="100"/>
          <w:position w:val="0"/>
        </w:rPr>
        <w:t>。报告期内，公司及子公司新增授权发明专利</w:t>
      </w:r>
      <w:r>
        <w:rPr>
          <w:rFonts w:ascii="Times New Roman" w:eastAsia="Times New Roman" w:hAnsi="Times New Roman" w:cs="Times New Roman"/>
          <w:color w:val="000000"/>
          <w:spacing w:val="0"/>
          <w:w w:val="100"/>
          <w:position w:val="0"/>
        </w:rPr>
        <w:t>1</w:t>
      </w:r>
      <w:r>
        <w:rPr>
          <w:color w:val="000000"/>
          <w:spacing w:val="0"/>
          <w:w w:val="100"/>
          <w:position w:val="0"/>
        </w:rPr>
        <w:t>项， 新申请发明专利</w:t>
      </w:r>
      <w:r>
        <w:rPr>
          <w:rFonts w:ascii="Times New Roman" w:eastAsia="Times New Roman" w:hAnsi="Times New Roman" w:cs="Times New Roman"/>
          <w:color w:val="000000"/>
          <w:spacing w:val="0"/>
          <w:w w:val="100"/>
          <w:position w:val="0"/>
        </w:rPr>
        <w:t>5</w:t>
      </w:r>
      <w:r>
        <w:rPr>
          <w:color w:val="000000"/>
          <w:spacing w:val="0"/>
          <w:w w:val="100"/>
          <w:position w:val="0"/>
        </w:rPr>
        <w:t>项，新增计算机软件著作权</w:t>
      </w:r>
      <w:r>
        <w:rPr>
          <w:rFonts w:ascii="Times New Roman" w:eastAsia="Times New Roman" w:hAnsi="Times New Roman" w:cs="Times New Roman"/>
          <w:color w:val="000000"/>
          <w:spacing w:val="0"/>
          <w:w w:val="100"/>
          <w:position w:val="0"/>
        </w:rPr>
        <w:t>28</w:t>
      </w:r>
      <w:r>
        <w:rPr>
          <w:color w:val="000000"/>
          <w:spacing w:val="0"/>
          <w:w w:val="100"/>
          <w:position w:val="0"/>
        </w:rPr>
        <w:t>项。公司参与研发的网络信息安全分析与识别的技术、系统及应用项目，获 得</w:t>
      </w:r>
      <w:r>
        <w:rPr>
          <w:rFonts w:ascii="Times New Roman" w:eastAsia="Times New Roman" w:hAnsi="Times New Roman" w:cs="Times New Roman"/>
          <w:color w:val="000000"/>
          <w:spacing w:val="0"/>
          <w:w w:val="100"/>
          <w:position w:val="0"/>
        </w:rPr>
        <w:t>2012</w:t>
      </w:r>
      <w:r>
        <w:rPr>
          <w:color w:val="000000"/>
          <w:spacing w:val="0"/>
          <w:w w:val="100"/>
          <w:position w:val="0"/>
        </w:rPr>
        <w:t>年北京市科学技术奖一等奖。</w:t>
      </w:r>
    </w:p>
    <w:p>
      <w:pPr>
        <w:pStyle w:val="Style9"/>
        <w:keepNext w:val="0"/>
        <w:keepLines w:val="0"/>
        <w:widowControl w:val="0"/>
        <w:shd w:val="clear" w:color="auto" w:fill="auto"/>
        <w:tabs>
          <w:tab w:pos="494" w:val="left"/>
        </w:tabs>
        <w:bidi w:val="0"/>
        <w:spacing w:before="0" w:after="0" w:line="311" w:lineRule="exact"/>
        <w:ind w:left="0" w:right="0" w:firstLine="0"/>
        <w:jc w:val="left"/>
      </w:pPr>
      <w:bookmarkStart w:id="59" w:name="bookmark59"/>
      <w:r>
        <w:rPr>
          <w:color w:val="000000"/>
          <w:spacing w:val="0"/>
          <w:w w:val="100"/>
          <w:position w:val="0"/>
        </w:rPr>
        <w:t>（</w:t>
      </w:r>
      <w:bookmarkEnd w:id="59"/>
      <w:r>
        <w:rPr>
          <w:color w:val="000000"/>
          <w:spacing w:val="0"/>
          <w:w w:val="100"/>
          <w:position w:val="0"/>
        </w:rPr>
        <w:t>四）</w:t>
        <w:tab/>
        <w:t>探索开展网络游戏业务</w:t>
      </w:r>
    </w:p>
    <w:p>
      <w:pPr>
        <w:pStyle w:val="Style9"/>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月，公司投资</w:t>
      </w:r>
      <w:r>
        <w:rPr>
          <w:rFonts w:ascii="Times New Roman" w:eastAsia="Times New Roman" w:hAnsi="Times New Roman" w:cs="Times New Roman"/>
          <w:color w:val="000000"/>
          <w:spacing w:val="0"/>
          <w:w w:val="100"/>
          <w:position w:val="0"/>
        </w:rPr>
        <w:t>1000</w:t>
      </w:r>
      <w:r>
        <w:rPr>
          <w:color w:val="000000"/>
          <w:spacing w:val="0"/>
          <w:w w:val="100"/>
          <w:position w:val="0"/>
        </w:rPr>
        <w:t>万元设立的全资子公司一成都网娱互动网络科技有限公司（下称</w:t>
      </w:r>
      <w:r>
        <w:rPr>
          <w:rFonts w:ascii="Times New Roman" w:eastAsia="Times New Roman" w:hAnsi="Times New Roman" w:cs="Times New Roman"/>
          <w:color w:val="000000"/>
          <w:spacing w:val="0"/>
          <w:w w:val="100"/>
          <w:position w:val="0"/>
        </w:rPr>
        <w:t>“</w:t>
      </w:r>
      <w:r>
        <w:rPr>
          <w:color w:val="000000"/>
          <w:spacing w:val="0"/>
          <w:w w:val="100"/>
          <w:position w:val="0"/>
        </w:rPr>
        <w:t>网娱互动</w:t>
      </w:r>
      <w:r>
        <w:rPr>
          <w:rFonts w:ascii="Times New Roman" w:eastAsia="Times New Roman" w:hAnsi="Times New Roman" w:cs="Times New Roman"/>
          <w:color w:val="000000"/>
          <w:spacing w:val="0"/>
          <w:w w:val="100"/>
          <w:position w:val="0"/>
        </w:rPr>
        <w:t>”</w:t>
      </w:r>
      <w:r>
        <w:rPr>
          <w:color w:val="000000"/>
          <w:spacing w:val="0"/>
          <w:w w:val="100"/>
          <w:position w:val="0"/>
        </w:rPr>
        <w:t>）注册成立，标志 着公司朝网吧资源增值变现方面迈出重要一步。网娱互动致力于搭建一个多元化互动娱乐平台，并将在未来开发和运营更多 互联网娱乐产品，为用户提供丰富、优质的网络互动娱乐方式。</w:t>
      </w:r>
    </w:p>
    <w:p>
      <w:pPr>
        <w:pStyle w:val="Style9"/>
        <w:keepNext w:val="0"/>
        <w:keepLines w:val="0"/>
        <w:widowControl w:val="0"/>
        <w:shd w:val="clear" w:color="auto" w:fill="auto"/>
        <w:tabs>
          <w:tab w:pos="494" w:val="left"/>
        </w:tabs>
        <w:bidi w:val="0"/>
        <w:spacing w:before="0" w:after="0" w:line="311" w:lineRule="exact"/>
        <w:ind w:left="0" w:right="0" w:firstLine="0"/>
        <w:jc w:val="left"/>
      </w:pPr>
      <w:bookmarkStart w:id="60" w:name="bookmark60"/>
      <w:r>
        <w:rPr>
          <w:color w:val="000000"/>
          <w:spacing w:val="0"/>
          <w:w w:val="100"/>
          <w:position w:val="0"/>
        </w:rPr>
        <w:t>（</w:t>
      </w:r>
      <w:bookmarkEnd w:id="60"/>
      <w:r>
        <w:rPr>
          <w:color w:val="000000"/>
          <w:spacing w:val="0"/>
          <w:w w:val="100"/>
          <w:position w:val="0"/>
        </w:rPr>
        <w:t>五）</w:t>
        <w:tab/>
        <w:t>加强内控制度建设，规范和完善管理流程</w:t>
      </w:r>
    </w:p>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报告期内，公司完成了董事会、监事会的换届选举工作，顺利选举产生了第二届董事会和第二届监事会，并完成了新一届公 司高级管理人员的聘任，完成了上市公司治理专项活动和规范财务会计基础工作专项活动两个专项活动，组织安排独立董事 参加后续培训</w:t>
      </w:r>
      <w:r>
        <w:rPr>
          <w:color w:val="000000"/>
          <w:spacing w:val="0"/>
          <w:w w:val="100"/>
          <w:position w:val="0"/>
        </w:rPr>
        <w:t>......</w:t>
      </w:r>
      <w:r>
        <w:rPr>
          <w:color w:val="000000"/>
          <w:spacing w:val="0"/>
          <w:w w:val="100"/>
          <w:position w:val="0"/>
        </w:rPr>
        <w:t>通过不断落实公司各项内部治理相关制度，进一步加强了内部控制，完善了治理结构，推动了治理层与管 理层权责明确；通过进一步推进软件能力成熟度模型</w:t>
      </w:r>
      <w:r>
        <w:rPr>
          <w:color w:val="000000"/>
          <w:spacing w:val="0"/>
          <w:w w:val="100"/>
          <w:position w:val="0"/>
        </w:rPr>
        <w:t>（</w:t>
      </w:r>
      <w:r>
        <w:rPr>
          <w:rFonts w:ascii="Times New Roman" w:eastAsia="Times New Roman" w:hAnsi="Times New Roman" w:cs="Times New Roman"/>
          <w:color w:val="000000"/>
          <w:spacing w:val="0"/>
          <w:w w:val="100"/>
          <w:position w:val="0"/>
        </w:rPr>
        <w:t>CMM3</w:t>
      </w:r>
      <w:r>
        <w:rPr>
          <w:color w:val="000000"/>
          <w:spacing w:val="0"/>
          <w:w w:val="100"/>
          <w:position w:val="0"/>
        </w:rPr>
        <w:t>）</w:t>
      </w:r>
      <w:r>
        <w:rPr>
          <w:color w:val="000000"/>
          <w:spacing w:val="0"/>
          <w:w w:val="100"/>
          <w:position w:val="0"/>
        </w:rPr>
        <w:t>实施，研发管理和流程得到了加强，产品研发的质量和效率 得到提高。</w:t>
      </w:r>
    </w:p>
    <w:p>
      <w:pPr>
        <w:pStyle w:val="Style9"/>
        <w:keepNext w:val="0"/>
        <w:keepLines w:val="0"/>
        <w:widowControl w:val="0"/>
        <w:shd w:val="clear" w:color="auto" w:fill="auto"/>
        <w:tabs>
          <w:tab w:pos="494" w:val="left"/>
        </w:tabs>
        <w:bidi w:val="0"/>
        <w:spacing w:before="0" w:after="0" w:line="311" w:lineRule="exact"/>
        <w:ind w:left="0" w:right="0" w:firstLine="0"/>
        <w:jc w:val="left"/>
      </w:pPr>
      <w:bookmarkStart w:id="61" w:name="bookmark61"/>
      <w:r>
        <w:rPr>
          <w:color w:val="000000"/>
          <w:spacing w:val="0"/>
          <w:w w:val="100"/>
          <w:position w:val="0"/>
        </w:rPr>
        <w:t>（</w:t>
      </w:r>
      <w:bookmarkEnd w:id="61"/>
      <w:r>
        <w:rPr>
          <w:color w:val="000000"/>
          <w:spacing w:val="0"/>
          <w:w w:val="100"/>
          <w:position w:val="0"/>
        </w:rPr>
        <w:t>六）</w:t>
        <w:tab/>
        <w:t>引进各类人才，推进人力资源建设</w:t>
      </w:r>
    </w:p>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作为创新型高新技术企业，人力资源被公司视为最重要的资源，报告期内，公司通过加大了中高层次专业人才的引进力度， 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日，公司（包括全资子公司）拥有员工</w:t>
      </w:r>
      <w:r>
        <w:rPr>
          <w:rFonts w:ascii="Times New Roman" w:eastAsia="Times New Roman" w:hAnsi="Times New Roman" w:cs="Times New Roman"/>
          <w:color w:val="000000"/>
          <w:spacing w:val="0"/>
          <w:w w:val="100"/>
          <w:position w:val="0"/>
        </w:rPr>
        <w:t>648</w:t>
      </w:r>
      <w:r>
        <w:rPr>
          <w:color w:val="000000"/>
          <w:spacing w:val="0"/>
          <w:w w:val="100"/>
          <w:position w:val="0"/>
        </w:rPr>
        <w:t>人，其中，研发人员</w:t>
      </w:r>
      <w:r>
        <w:rPr>
          <w:rFonts w:ascii="Times New Roman" w:eastAsia="Times New Roman" w:hAnsi="Times New Roman" w:cs="Times New Roman"/>
          <w:color w:val="000000"/>
          <w:spacing w:val="0"/>
          <w:w w:val="100"/>
          <w:position w:val="0"/>
        </w:rPr>
        <w:t>281</w:t>
      </w:r>
      <w:r>
        <w:rPr>
          <w:color w:val="000000"/>
          <w:spacing w:val="0"/>
          <w:w w:val="100"/>
          <w:position w:val="0"/>
        </w:rPr>
        <w:t>人，占全体员工总数的</w:t>
      </w:r>
      <w:r>
        <w:rPr>
          <w:rFonts w:ascii="Times New Roman" w:eastAsia="Times New Roman" w:hAnsi="Times New Roman" w:cs="Times New Roman"/>
          <w:color w:val="000000"/>
          <w:spacing w:val="0"/>
          <w:w w:val="100"/>
          <w:position w:val="0"/>
        </w:rPr>
        <w:t>43.36%</w:t>
      </w:r>
      <w:r>
        <w:rPr>
          <w:color w:val="000000"/>
          <w:spacing w:val="0"/>
          <w:w w:val="100"/>
          <w:position w:val="0"/>
        </w:rPr>
        <w:t>，本科 以上学历人员占员工总人数的</w:t>
      </w:r>
      <w:r>
        <w:rPr>
          <w:rFonts w:ascii="Times New Roman" w:eastAsia="Times New Roman" w:hAnsi="Times New Roman" w:cs="Times New Roman"/>
          <w:color w:val="000000"/>
          <w:spacing w:val="0"/>
          <w:w w:val="100"/>
          <w:position w:val="0"/>
        </w:rPr>
        <w:t>60.96%</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岁以下的人员占总人数的比例为</w:t>
      </w:r>
      <w:r>
        <w:rPr>
          <w:rFonts w:ascii="Times New Roman" w:eastAsia="Times New Roman" w:hAnsi="Times New Roman" w:cs="Times New Roman"/>
          <w:color w:val="000000"/>
          <w:spacing w:val="0"/>
          <w:w w:val="100"/>
          <w:position w:val="0"/>
        </w:rPr>
        <w:t>70.09%</w:t>
      </w:r>
      <w:r>
        <w:rPr>
          <w:color w:val="000000"/>
          <w:spacing w:val="0"/>
          <w:w w:val="100"/>
          <w:position w:val="0"/>
        </w:rPr>
        <w:t>,人才队伍呈现出年轻化、知识化、创新 化的特点，为公司产品的研发、生产、销售奠定了坚实的人才基础。与此同时，公司还大力加强企业文化建设，努力为员工 提供轻松和谐的工作氛围，员工在专业技能和专业素质方面都有了较大提高。</w:t>
      </w:r>
    </w:p>
    <w:p>
      <w:pPr>
        <w:pStyle w:val="Style35"/>
        <w:keepNext/>
        <w:keepLines/>
        <w:widowControl w:val="0"/>
        <w:shd w:val="clear" w:color="auto" w:fill="auto"/>
        <w:bidi w:val="0"/>
        <w:spacing w:before="0" w:line="240" w:lineRule="auto"/>
        <w:ind w:left="0" w:right="0" w:firstLine="0"/>
        <w:jc w:val="left"/>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2</w:t>
      </w:r>
      <w:bookmarkEnd w:id="64"/>
      <w:r>
        <w:rPr>
          <w:color w:val="000000"/>
          <w:spacing w:val="0"/>
          <w:w w:val="100"/>
          <w:position w:val="0"/>
        </w:rPr>
        <w:t>、报告期内主要经营情况</w:t>
      </w:r>
      <w:bookmarkEnd w:id="62"/>
      <w:bookmarkEnd w:id="63"/>
      <w:bookmarkEnd w:id="65"/>
    </w:p>
    <w:p>
      <w:pPr>
        <w:pStyle w:val="Style38"/>
        <w:keepNext/>
        <w:keepLines/>
        <w:widowControl w:val="0"/>
        <w:shd w:val="clear" w:color="auto" w:fill="auto"/>
        <w:bidi w:val="0"/>
        <w:spacing w:before="0" w:after="34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rPr>
        <w:t>（</w:t>
      </w:r>
      <w:bookmarkEnd w:id="68"/>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66"/>
      <w:bookmarkEnd w:id="67"/>
      <w:bookmarkEnd w:id="69"/>
    </w:p>
    <w:p>
      <w:pPr>
        <w:pStyle w:val="Style6"/>
        <w:keepNext w:val="0"/>
        <w:keepLines w:val="0"/>
        <w:widowControl w:val="0"/>
        <w:shd w:val="clear" w:color="auto" w:fill="auto"/>
        <w:tabs>
          <w:tab w:pos="330" w:val="left"/>
        </w:tabs>
        <w:bidi w:val="0"/>
        <w:spacing w:before="0" w:after="0" w:line="360" w:lineRule="auto"/>
        <w:ind w:left="0" w:right="0" w:firstLine="0"/>
        <w:jc w:val="left"/>
      </w:pPr>
      <w:bookmarkStart w:id="70" w:name="bookmark70"/>
      <w:r>
        <w:rPr>
          <w:rFonts w:ascii="Times New Roman" w:eastAsia="Times New Roman" w:hAnsi="Times New Roman" w:cs="Times New Roman"/>
          <w:color w:val="000000"/>
          <w:spacing w:val="0"/>
          <w:w w:val="100"/>
          <w:position w:val="0"/>
        </w:rPr>
        <w:t>1</w:t>
      </w:r>
      <w:bookmarkEnd w:id="70"/>
      <w:r>
        <w:rPr>
          <w:rFonts w:ascii="Times New Roman" w:eastAsia="Times New Roman" w:hAnsi="Times New Roman" w:cs="Times New Roman"/>
          <w:color w:val="000000"/>
          <w:spacing w:val="0"/>
          <w:w w:val="100"/>
          <w:position w:val="0"/>
        </w:rPr>
        <w:t>）</w:t>
        <w:tab/>
      </w:r>
      <w:r>
        <w:rPr>
          <w:color w:val="000000"/>
          <w:spacing w:val="0"/>
          <w:w w:val="100"/>
          <w:position w:val="0"/>
        </w:rPr>
        <w:t>概述</w:t>
      </w:r>
    </w:p>
    <w:p>
      <w:pPr>
        <w:pStyle w:val="Style9"/>
        <w:keepNext w:val="0"/>
        <w:keepLines w:val="0"/>
        <w:widowControl w:val="0"/>
        <w:shd w:val="clear" w:color="auto" w:fill="auto"/>
        <w:tabs>
          <w:tab w:pos="334" w:val="left"/>
        </w:tabs>
        <w:bidi w:val="0"/>
        <w:spacing w:before="0" w:after="0" w:line="317" w:lineRule="exact"/>
        <w:ind w:left="0" w:right="0" w:firstLine="0"/>
        <w:jc w:val="left"/>
      </w:pPr>
      <w:bookmarkStart w:id="71" w:name="bookmark71"/>
      <w:r>
        <w:rPr>
          <w:rFonts w:ascii="Times New Roman" w:eastAsia="Times New Roman" w:hAnsi="Times New Roman" w:cs="Times New Roman"/>
          <w:color w:val="000000"/>
          <w:spacing w:val="0"/>
          <w:w w:val="100"/>
          <w:position w:val="0"/>
        </w:rPr>
        <w:t>1</w:t>
      </w:r>
      <w:bookmarkEnd w:id="71"/>
      <w:r>
        <w:rPr>
          <w:color w:val="000000"/>
          <w:spacing w:val="0"/>
          <w:w w:val="100"/>
          <w:position w:val="0"/>
        </w:rPr>
        <w:t>、</w:t>
        <w:tab/>
        <w:t>报告期内，公司主营业务收入同比增长</w:t>
      </w:r>
      <w:r>
        <w:rPr>
          <w:rFonts w:ascii="Times New Roman" w:eastAsia="Times New Roman" w:hAnsi="Times New Roman" w:cs="Times New Roman"/>
          <w:color w:val="000000"/>
          <w:spacing w:val="0"/>
          <w:w w:val="100"/>
          <w:position w:val="0"/>
        </w:rPr>
        <w:t>27.16%</w:t>
      </w:r>
      <w:r>
        <w:rPr>
          <w:color w:val="000000"/>
          <w:spacing w:val="0"/>
          <w:w w:val="100"/>
          <w:position w:val="0"/>
        </w:rPr>
        <w:t>，主要系加强营销体系建设，销售能力提升导致销售合同增加所致。</w:t>
      </w:r>
    </w:p>
    <w:p>
      <w:pPr>
        <w:pStyle w:val="Style9"/>
        <w:keepNext w:val="0"/>
        <w:keepLines w:val="0"/>
        <w:widowControl w:val="0"/>
        <w:shd w:val="clear" w:color="auto" w:fill="auto"/>
        <w:tabs>
          <w:tab w:pos="354" w:val="left"/>
        </w:tabs>
        <w:bidi w:val="0"/>
        <w:spacing w:before="0" w:after="0" w:line="317" w:lineRule="exact"/>
        <w:ind w:left="0" w:right="0" w:firstLine="0"/>
        <w:jc w:val="left"/>
      </w:pPr>
      <w:bookmarkStart w:id="72" w:name="bookmark72"/>
      <w:r>
        <w:rPr>
          <w:rFonts w:ascii="Times New Roman" w:eastAsia="Times New Roman" w:hAnsi="Times New Roman" w:cs="Times New Roman"/>
          <w:color w:val="000000"/>
          <w:spacing w:val="0"/>
          <w:w w:val="100"/>
          <w:position w:val="0"/>
        </w:rPr>
        <w:t>2</w:t>
      </w:r>
      <w:bookmarkEnd w:id="72"/>
      <w:r>
        <w:rPr>
          <w:color w:val="000000"/>
          <w:spacing w:val="0"/>
          <w:w w:val="100"/>
          <w:position w:val="0"/>
        </w:rPr>
        <w:t>、</w:t>
        <w:tab/>
        <w:t>报告期内，公司主营业务成本同比增长</w:t>
      </w:r>
      <w:r>
        <w:rPr>
          <w:rFonts w:ascii="Times New Roman" w:eastAsia="Times New Roman" w:hAnsi="Times New Roman" w:cs="Times New Roman"/>
          <w:color w:val="000000"/>
          <w:spacing w:val="0"/>
          <w:w w:val="100"/>
          <w:position w:val="0"/>
        </w:rPr>
        <w:t>42.79%</w:t>
      </w:r>
      <w:r>
        <w:rPr>
          <w:color w:val="000000"/>
          <w:spacing w:val="0"/>
          <w:w w:val="100"/>
          <w:position w:val="0"/>
        </w:rPr>
        <w:t>，主要系销售收入增加导致销售成本增加所致。</w:t>
      </w:r>
    </w:p>
    <w:p>
      <w:pPr>
        <w:pStyle w:val="Style9"/>
        <w:keepNext w:val="0"/>
        <w:keepLines w:val="0"/>
        <w:widowControl w:val="0"/>
        <w:shd w:val="clear" w:color="auto" w:fill="auto"/>
        <w:tabs>
          <w:tab w:pos="354" w:val="left"/>
        </w:tabs>
        <w:bidi w:val="0"/>
        <w:spacing w:before="0" w:after="0" w:line="317" w:lineRule="exact"/>
        <w:ind w:left="0" w:right="0" w:firstLine="0"/>
        <w:jc w:val="left"/>
      </w:pPr>
      <w:bookmarkStart w:id="73" w:name="bookmark73"/>
      <w:r>
        <w:rPr>
          <w:rFonts w:ascii="Times New Roman" w:eastAsia="Times New Roman" w:hAnsi="Times New Roman" w:cs="Times New Roman"/>
          <w:color w:val="000000"/>
          <w:spacing w:val="0"/>
          <w:w w:val="100"/>
          <w:position w:val="0"/>
        </w:rPr>
        <w:t>3</w:t>
      </w:r>
      <w:bookmarkEnd w:id="73"/>
      <w:r>
        <w:rPr>
          <w:color w:val="000000"/>
          <w:spacing w:val="0"/>
          <w:w w:val="100"/>
          <w:position w:val="0"/>
        </w:rPr>
        <w:t>、</w:t>
        <w:tab/>
        <w:t>报告期内，公司主销售费用同比增长</w:t>
      </w:r>
      <w:r>
        <w:rPr>
          <w:rFonts w:ascii="Times New Roman" w:eastAsia="Times New Roman" w:hAnsi="Times New Roman" w:cs="Times New Roman"/>
          <w:color w:val="000000"/>
          <w:spacing w:val="0"/>
          <w:w w:val="100"/>
          <w:position w:val="0"/>
        </w:rPr>
        <w:t>17.58%</w:t>
      </w:r>
      <w:r>
        <w:rPr>
          <w:color w:val="000000"/>
          <w:spacing w:val="0"/>
          <w:w w:val="100"/>
          <w:position w:val="0"/>
        </w:rPr>
        <w:t>,主要系销售人员工资性支出增加所致。</w:t>
      </w:r>
    </w:p>
    <w:p>
      <w:pPr>
        <w:pStyle w:val="Style9"/>
        <w:keepNext w:val="0"/>
        <w:keepLines w:val="0"/>
        <w:widowControl w:val="0"/>
        <w:shd w:val="clear" w:color="auto" w:fill="auto"/>
        <w:tabs>
          <w:tab w:pos="354" w:val="left"/>
        </w:tabs>
        <w:bidi w:val="0"/>
        <w:spacing w:before="0" w:after="0" w:line="317" w:lineRule="exact"/>
        <w:ind w:left="0" w:right="0" w:firstLine="0"/>
        <w:jc w:val="left"/>
      </w:pPr>
      <w:bookmarkStart w:id="74" w:name="bookmark74"/>
      <w:r>
        <w:rPr>
          <w:rFonts w:ascii="Times New Roman" w:eastAsia="Times New Roman" w:hAnsi="Times New Roman" w:cs="Times New Roman"/>
          <w:color w:val="000000"/>
          <w:spacing w:val="0"/>
          <w:w w:val="100"/>
          <w:position w:val="0"/>
        </w:rPr>
        <w:t>4</w:t>
      </w:r>
      <w:bookmarkEnd w:id="74"/>
      <w:r>
        <w:rPr>
          <w:color w:val="000000"/>
          <w:spacing w:val="0"/>
          <w:w w:val="100"/>
          <w:position w:val="0"/>
        </w:rPr>
        <w:t>、</w:t>
        <w:tab/>
        <w:t>报告期内，公司主管理费用同比增长</w:t>
      </w:r>
      <w:r>
        <w:rPr>
          <w:rFonts w:ascii="Times New Roman" w:eastAsia="Times New Roman" w:hAnsi="Times New Roman" w:cs="Times New Roman"/>
          <w:color w:val="000000"/>
          <w:spacing w:val="0"/>
          <w:w w:val="100"/>
          <w:position w:val="0"/>
        </w:rPr>
        <w:t>47.20%</w:t>
      </w:r>
      <w:r>
        <w:rPr>
          <w:color w:val="000000"/>
          <w:spacing w:val="0"/>
          <w:w w:val="100"/>
          <w:position w:val="0"/>
        </w:rPr>
        <w:t>，主要系研发投入增加与资产折旧费用增加所致。</w:t>
      </w:r>
    </w:p>
    <w:p>
      <w:pPr>
        <w:pStyle w:val="Style9"/>
        <w:keepNext w:val="0"/>
        <w:keepLines w:val="0"/>
        <w:widowControl w:val="0"/>
        <w:shd w:val="clear" w:color="auto" w:fill="auto"/>
        <w:tabs>
          <w:tab w:pos="354" w:val="left"/>
        </w:tabs>
        <w:bidi w:val="0"/>
        <w:spacing w:before="0" w:after="0" w:line="317" w:lineRule="exact"/>
        <w:ind w:left="0" w:right="0" w:firstLine="0"/>
        <w:jc w:val="left"/>
      </w:pPr>
      <w:bookmarkStart w:id="75" w:name="bookmark75"/>
      <w:r>
        <w:rPr>
          <w:rFonts w:ascii="Times New Roman" w:eastAsia="Times New Roman" w:hAnsi="Times New Roman" w:cs="Times New Roman"/>
          <w:color w:val="000000"/>
          <w:spacing w:val="0"/>
          <w:w w:val="100"/>
          <w:position w:val="0"/>
        </w:rPr>
        <w:t>5</w:t>
      </w:r>
      <w:bookmarkEnd w:id="75"/>
      <w:r>
        <w:rPr>
          <w:color w:val="000000"/>
          <w:spacing w:val="0"/>
          <w:w w:val="100"/>
          <w:position w:val="0"/>
        </w:rPr>
        <w:t>、</w:t>
        <w:tab/>
        <w:t>报告期内，公司财务费用减少</w:t>
      </w:r>
      <w:r>
        <w:rPr>
          <w:rFonts w:ascii="Times New Roman" w:eastAsia="Times New Roman" w:hAnsi="Times New Roman" w:cs="Times New Roman"/>
          <w:color w:val="000000"/>
          <w:spacing w:val="0"/>
          <w:w w:val="100"/>
          <w:position w:val="0"/>
        </w:rPr>
        <w:t>643.57%</w:t>
      </w:r>
      <w:r>
        <w:rPr>
          <w:color w:val="000000"/>
          <w:spacing w:val="0"/>
          <w:w w:val="100"/>
          <w:position w:val="0"/>
        </w:rPr>
        <w:t>，主要系银行存款利息增加所致。</w:t>
      </w:r>
    </w:p>
    <w:p>
      <w:pPr>
        <w:pStyle w:val="Style9"/>
        <w:keepNext w:val="0"/>
        <w:keepLines w:val="0"/>
        <w:widowControl w:val="0"/>
        <w:shd w:val="clear" w:color="auto" w:fill="auto"/>
        <w:tabs>
          <w:tab w:pos="354" w:val="left"/>
        </w:tabs>
        <w:bidi w:val="0"/>
        <w:spacing w:before="0" w:after="0" w:line="317" w:lineRule="exact"/>
        <w:ind w:left="0" w:right="0" w:firstLine="0"/>
        <w:jc w:val="left"/>
      </w:pPr>
      <w:bookmarkStart w:id="76" w:name="bookmark76"/>
      <w:r>
        <w:rPr>
          <w:rFonts w:ascii="Times New Roman" w:eastAsia="Times New Roman" w:hAnsi="Times New Roman" w:cs="Times New Roman"/>
          <w:color w:val="000000"/>
          <w:spacing w:val="0"/>
          <w:w w:val="100"/>
          <w:position w:val="0"/>
        </w:rPr>
        <w:t>6</w:t>
      </w:r>
      <w:bookmarkEnd w:id="76"/>
      <w:r>
        <w:rPr>
          <w:color w:val="000000"/>
          <w:spacing w:val="0"/>
          <w:w w:val="100"/>
          <w:position w:val="0"/>
        </w:rPr>
        <w:t>、</w:t>
        <w:tab/>
        <w:t>报告期内，公司营业外收入减少</w:t>
      </w:r>
      <w:r>
        <w:rPr>
          <w:rFonts w:ascii="Times New Roman" w:eastAsia="Times New Roman" w:hAnsi="Times New Roman" w:cs="Times New Roman"/>
          <w:color w:val="000000"/>
          <w:spacing w:val="0"/>
          <w:w w:val="100"/>
          <w:position w:val="0"/>
        </w:rPr>
        <w:t>12.14%</w:t>
      </w:r>
      <w:r>
        <w:rPr>
          <w:color w:val="000000"/>
          <w:spacing w:val="0"/>
          <w:w w:val="100"/>
          <w:position w:val="0"/>
        </w:rPr>
        <w:t>，主要系收到与收益相关的政府补助收入减少所致。</w:t>
      </w:r>
    </w:p>
    <w:p>
      <w:pPr>
        <w:pStyle w:val="Style9"/>
        <w:keepNext w:val="0"/>
        <w:keepLines w:val="0"/>
        <w:widowControl w:val="0"/>
        <w:shd w:val="clear" w:color="auto" w:fill="auto"/>
        <w:tabs>
          <w:tab w:pos="354" w:val="left"/>
        </w:tabs>
        <w:bidi w:val="0"/>
        <w:spacing w:before="0" w:after="0" w:line="317" w:lineRule="exact"/>
        <w:ind w:left="0" w:right="0" w:firstLine="0"/>
        <w:jc w:val="left"/>
      </w:pPr>
      <w:bookmarkStart w:id="77" w:name="bookmark77"/>
      <w:r>
        <w:rPr>
          <w:rFonts w:ascii="Times New Roman" w:eastAsia="Times New Roman" w:hAnsi="Times New Roman" w:cs="Times New Roman"/>
          <w:color w:val="000000"/>
          <w:spacing w:val="0"/>
          <w:w w:val="100"/>
          <w:position w:val="0"/>
        </w:rPr>
        <w:t>7</w:t>
      </w:r>
      <w:bookmarkEnd w:id="77"/>
      <w:r>
        <w:rPr>
          <w:color w:val="000000"/>
          <w:spacing w:val="0"/>
          <w:w w:val="100"/>
          <w:position w:val="0"/>
        </w:rPr>
        <w:t>、</w:t>
        <w:tab/>
        <w:t>报告期内，公司经营活动产生的现金流净额较上年同期减少</w:t>
      </w:r>
      <w:r>
        <w:rPr>
          <w:rFonts w:ascii="Times New Roman" w:eastAsia="Times New Roman" w:hAnsi="Times New Roman" w:cs="Times New Roman"/>
          <w:color w:val="000000"/>
          <w:spacing w:val="0"/>
          <w:w w:val="100"/>
          <w:position w:val="0"/>
        </w:rPr>
        <w:t>52.36%</w:t>
      </w:r>
      <w:r>
        <w:rPr>
          <w:color w:val="000000"/>
          <w:spacing w:val="0"/>
          <w:w w:val="100"/>
          <w:position w:val="0"/>
        </w:rPr>
        <w:t>，主要系本年购买商品及接受劳务支付的现金增加所 致。</w:t>
      </w:r>
    </w:p>
    <w:p>
      <w:pPr>
        <w:pStyle w:val="Style9"/>
        <w:keepNext w:val="0"/>
        <w:keepLines w:val="0"/>
        <w:widowControl w:val="0"/>
        <w:shd w:val="clear" w:color="auto" w:fill="auto"/>
        <w:tabs>
          <w:tab w:pos="349" w:val="left"/>
        </w:tabs>
        <w:bidi w:val="0"/>
        <w:spacing w:before="0" w:after="0" w:line="317" w:lineRule="exact"/>
        <w:ind w:left="0" w:right="0" w:firstLine="0"/>
        <w:jc w:val="left"/>
      </w:pPr>
      <w:bookmarkStart w:id="78" w:name="bookmark78"/>
      <w:r>
        <w:rPr>
          <w:rFonts w:ascii="Times New Roman" w:eastAsia="Times New Roman" w:hAnsi="Times New Roman" w:cs="Times New Roman"/>
          <w:color w:val="000000"/>
          <w:spacing w:val="0"/>
          <w:w w:val="100"/>
          <w:position w:val="0"/>
        </w:rPr>
        <w:t>2</w:t>
      </w:r>
      <w:bookmarkEnd w:id="78"/>
      <w:r>
        <w:rPr>
          <w:rFonts w:ascii="Times New Roman" w:eastAsia="Times New Roman" w:hAnsi="Times New Roman" w:cs="Times New Roman"/>
          <w:color w:val="000000"/>
          <w:spacing w:val="0"/>
          <w:w w:val="100"/>
          <w:position w:val="0"/>
        </w:rPr>
        <w:t>）</w:t>
        <w:tab/>
      </w:r>
      <w:r>
        <w:rPr>
          <w:color w:val="000000"/>
          <w:spacing w:val="0"/>
          <w:w w:val="100"/>
          <w:position w:val="0"/>
        </w:rPr>
        <w:t>报告期利润构成或利润来源发生重大变动的说明</w:t>
      </w:r>
    </w:p>
    <w:p>
      <w:pPr>
        <w:pStyle w:val="Style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报告期内，公司利润构成或利润来源未发生重大变动。</w:t>
      </w:r>
    </w:p>
    <w:p>
      <w:pPr>
        <w:pStyle w:val="Style6"/>
        <w:keepNext w:val="0"/>
        <w:keepLines w:val="0"/>
        <w:widowControl w:val="0"/>
        <w:shd w:val="clear" w:color="auto" w:fill="auto"/>
        <w:tabs>
          <w:tab w:pos="349" w:val="left"/>
        </w:tabs>
        <w:bidi w:val="0"/>
        <w:spacing w:before="0" w:after="0" w:line="360" w:lineRule="auto"/>
        <w:ind w:left="0" w:right="0" w:firstLine="0"/>
        <w:jc w:val="both"/>
      </w:pPr>
      <w:bookmarkStart w:id="79" w:name="bookmark79"/>
      <w:r>
        <w:rPr>
          <w:rFonts w:ascii="Times New Roman" w:eastAsia="Times New Roman" w:hAnsi="Times New Roman" w:cs="Times New Roman"/>
          <w:color w:val="000000"/>
          <w:spacing w:val="0"/>
          <w:w w:val="100"/>
          <w:position w:val="0"/>
        </w:rPr>
        <w:t>3</w:t>
      </w:r>
      <w:bookmarkEnd w:id="79"/>
      <w:r>
        <w:rPr>
          <w:rFonts w:ascii="Times New Roman" w:eastAsia="Times New Roman" w:hAnsi="Times New Roman" w:cs="Times New Roman"/>
          <w:color w:val="000000"/>
          <w:spacing w:val="0"/>
          <w:w w:val="100"/>
          <w:position w:val="0"/>
        </w:rPr>
        <w:t>）</w:t>
        <w:tab/>
      </w:r>
      <w:r>
        <w:rPr>
          <w:color w:val="000000"/>
          <w:spacing w:val="0"/>
          <w:w w:val="100"/>
          <w:position w:val="0"/>
        </w:rPr>
        <w:t>收入</w:t>
      </w:r>
    </w:p>
    <w:p>
      <w:pPr>
        <w:pStyle w:val="Style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245,386,180.86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192,974,175.08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27.16%</w:t>
            </w:r>
          </w:p>
        </w:tc>
      </w:tr>
    </w:tbl>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驱动收入变化的因素</w:t>
      </w:r>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报告期内，公司实现了主营业务收入同比增长</w:t>
      </w:r>
      <w:r>
        <w:rPr>
          <w:rFonts w:ascii="Times New Roman" w:eastAsia="Times New Roman" w:hAnsi="Times New Roman" w:cs="Times New Roman"/>
          <w:color w:val="000000"/>
          <w:spacing w:val="0"/>
          <w:w w:val="100"/>
          <w:position w:val="0"/>
        </w:rPr>
        <w:t>27.16%</w:t>
      </w:r>
      <w:r>
        <w:rPr>
          <w:color w:val="000000"/>
          <w:spacing w:val="0"/>
          <w:w w:val="100"/>
          <w:position w:val="0"/>
        </w:rPr>
        <w:t>，主要得益于公司营销体系建设初见成效，除专用审计产品领域外， 公司向通用审计产品领域市场积极开拓，取得了较好的成效。公司通过加强渠道建设，与各行业领域系统集成商建立了合作 关系，提升了公司监管和系统集成项目的中标率。</w:t>
      </w:r>
    </w:p>
    <w:p>
      <w:pPr>
        <w:pStyle w:val="Style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公司实物销售收入是否大于劳务收入</w:t>
      </w:r>
    </w:p>
    <w:p>
      <w:pPr>
        <w:pStyle w:val="Style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公司重大的在手订单情况</w:t>
      </w:r>
    </w:p>
    <w:p>
      <w:pPr>
        <w:pStyle w:val="Style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数量分散的订单情况</w:t>
      </w:r>
    </w:p>
    <w:p>
      <w:pPr>
        <w:pStyle w:val="Style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公司报告期内产品或服务发生重大变化或调整有关情况</w:t>
      </w:r>
    </w:p>
    <w:p>
      <w:pPr>
        <w:pStyle w:val="Style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0"/>
        <w:ind w:left="0" w:right="0" w:firstLine="0"/>
        <w:jc w:val="left"/>
      </w:pPr>
      <w:bookmarkStart w:id="80" w:name="bookmark80"/>
      <w:r>
        <w:rPr>
          <w:rFonts w:ascii="Times New Roman" w:eastAsia="Times New Roman" w:hAnsi="Times New Roman" w:cs="Times New Roman"/>
          <w:color w:val="000000"/>
          <w:spacing w:val="0"/>
          <w:w w:val="100"/>
          <w:position w:val="0"/>
        </w:rPr>
        <w:t>4</w:t>
      </w:r>
      <w:bookmarkEnd w:id="80"/>
      <w:r>
        <w:rPr>
          <w:rFonts w:ascii="Times New Roman" w:eastAsia="Times New Roman" w:hAnsi="Times New Roman" w:cs="Times New Roman"/>
          <w:color w:val="000000"/>
          <w:spacing w:val="0"/>
          <w:w w:val="100"/>
          <w:position w:val="0"/>
        </w:rPr>
        <w:t>）</w:t>
      </w:r>
      <w:r>
        <w:rPr>
          <w:color w:val="000000"/>
          <w:spacing w:val="0"/>
          <w:w w:val="100"/>
          <w:position w:val="0"/>
        </w:rPr>
        <w:t>费用</w:t>
      </w:r>
    </w:p>
    <w:p>
      <w:pPr>
        <w:pStyle w:val="Style9"/>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709"/>
        <w:gridCol w:w="1560"/>
        <w:gridCol w:w="1416"/>
        <w:gridCol w:w="1560"/>
        <w:gridCol w:w="3341"/>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23,708,858.06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20,163,367.28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公司销售规模扩大导致销售费用增长</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86,372,923.10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58,676,134.15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公司加大了研发投入及固定资产折旧增加 所致</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-3,512,419.48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-472,374.22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公司存款利息增加所致</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3,424,182.17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3,252,918.59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公司应纳税所得额增加所致</w:t>
            </w:r>
          </w:p>
        </w:tc>
      </w:tr>
    </w:tbl>
    <w:p>
      <w:pPr>
        <w:spacing w:lineRule="exact" w:line="1"/>
        <w:rPr>
          <w:sz w:val="2"/>
          <w:szCs w:val="2"/>
        </w:rPr>
      </w:pPr>
      <w:r>
        <w:br w:type="page"/>
      </w:r>
    </w:p>
    <w:p>
      <w:pPr>
        <w:pStyle w:val="Style9"/>
        <w:keepNext w:val="0"/>
        <w:keepLines w:val="0"/>
        <w:widowControl w:val="0"/>
        <w:shd w:val="clear" w:color="auto" w:fill="auto"/>
        <w:bidi w:val="0"/>
        <w:spacing w:before="0" w:after="100" w:line="309" w:lineRule="exact"/>
        <w:ind w:left="0" w:right="0" w:firstLine="0"/>
        <w:jc w:val="both"/>
      </w:pPr>
      <w:r>
        <w:rPr>
          <w:color w:val="000000"/>
          <w:spacing w:val="0"/>
          <w:w w:val="100"/>
          <w:position w:val="0"/>
        </w:rPr>
        <w:t>公司报告期进行的研发项目主要有三大类:一是目前拳头产品网络内容与行为审计产品升级优化项目和网络信息监管平台建 设项目，主要围绕募集资金投资项目进行。二是面向三网融合的多媒体网络舆情分析平台产业化项目，能够给用户提供更完 整、更易用的整体解决方案。三是移动互联审计平台产业化项目。目前为初级版本开发阶段，并在小范围用户内进行示范应 用和体验。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37,311,497.86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22,540,430.09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17,953,106.33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研发投入资本化率大幅变动的原因及其合理性说明</w:t>
      </w:r>
    </w:p>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现金流</w:t>
      </w:r>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315,921,626.79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266,017,001.93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280,100,197.07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190,821,981.65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46.79%</w:t>
            </w:r>
          </w:p>
        </w:tc>
      </w:tr>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35,821,429.72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75,195,020.28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17,284,441.39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37,090,195.99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-17,249,441.39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-37,090,195.99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241,192,000.00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14,428,666.65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14,294,506.51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0.94%</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-14,428,666.65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226,897,493.49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-106.36%</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4,143,321.68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265,002,317.78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-98.44%</w:t>
            </w:r>
          </w:p>
        </w:tc>
      </w:tr>
    </w:tbl>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9"/>
        <w:keepNext w:val="0"/>
        <w:keepLines w:val="0"/>
        <w:widowControl w:val="0"/>
        <w:shd w:val="clear" w:color="auto" w:fill="auto"/>
        <w:tabs>
          <w:tab w:pos="334" w:val="left"/>
        </w:tabs>
        <w:bidi w:val="0"/>
        <w:spacing w:before="0" w:after="100" w:line="240" w:lineRule="auto"/>
        <w:ind w:left="0" w:right="0" w:firstLine="0"/>
        <w:jc w:val="both"/>
      </w:pPr>
      <w:bookmarkStart w:id="81" w:name="bookmark81"/>
      <w:r>
        <w:rPr>
          <w:rFonts w:ascii="Times New Roman" w:eastAsia="Times New Roman" w:hAnsi="Times New Roman" w:cs="Times New Roman"/>
          <w:color w:val="000000"/>
          <w:spacing w:val="0"/>
          <w:w w:val="100"/>
          <w:position w:val="0"/>
        </w:rPr>
        <w:t>1</w:t>
      </w:r>
      <w:bookmarkEnd w:id="81"/>
      <w:r>
        <w:rPr>
          <w:color w:val="000000"/>
          <w:spacing w:val="0"/>
          <w:w w:val="100"/>
          <w:position w:val="0"/>
        </w:rPr>
        <w:t>、</w:t>
        <w:tab/>
        <w:t>本年度经营活动产生的现金流量净额同比减少</w:t>
      </w:r>
      <w:r>
        <w:rPr>
          <w:rFonts w:ascii="Times New Roman" w:eastAsia="Times New Roman" w:hAnsi="Times New Roman" w:cs="Times New Roman"/>
          <w:color w:val="000000"/>
          <w:spacing w:val="0"/>
          <w:w w:val="100"/>
          <w:position w:val="0"/>
        </w:rPr>
        <w:t>52.36%</w:t>
      </w:r>
      <w:r>
        <w:rPr>
          <w:color w:val="000000"/>
          <w:spacing w:val="0"/>
          <w:w w:val="100"/>
          <w:position w:val="0"/>
        </w:rPr>
        <w:t>，主要是本年度购买商品、接受劳务支付的现金增加所致;</w:t>
      </w:r>
    </w:p>
    <w:p>
      <w:pPr>
        <w:pStyle w:val="Style9"/>
        <w:keepNext w:val="0"/>
        <w:keepLines w:val="0"/>
        <w:widowControl w:val="0"/>
        <w:shd w:val="clear" w:color="auto" w:fill="auto"/>
        <w:tabs>
          <w:tab w:pos="354" w:val="left"/>
        </w:tabs>
        <w:bidi w:val="0"/>
        <w:spacing w:before="0" w:after="100" w:line="240" w:lineRule="auto"/>
        <w:ind w:left="0" w:right="0" w:firstLine="0"/>
        <w:jc w:val="both"/>
      </w:pPr>
      <w:bookmarkStart w:id="82" w:name="bookmark82"/>
      <w:r>
        <w:rPr>
          <w:rFonts w:ascii="Times New Roman" w:eastAsia="Times New Roman" w:hAnsi="Times New Roman" w:cs="Times New Roman"/>
          <w:color w:val="000000"/>
          <w:spacing w:val="0"/>
          <w:w w:val="100"/>
          <w:position w:val="0"/>
        </w:rPr>
        <w:t>2</w:t>
      </w:r>
      <w:bookmarkEnd w:id="82"/>
      <w:r>
        <w:rPr>
          <w:color w:val="000000"/>
          <w:spacing w:val="0"/>
          <w:w w:val="100"/>
          <w:position w:val="0"/>
        </w:rPr>
        <w:t>、</w:t>
        <w:tab/>
        <w:t>投资活动现金流出同比减少</w:t>
      </w:r>
      <w:r>
        <w:rPr>
          <w:rFonts w:ascii="Times New Roman" w:eastAsia="Times New Roman" w:hAnsi="Times New Roman" w:cs="Times New Roman"/>
          <w:color w:val="000000"/>
          <w:spacing w:val="0"/>
          <w:w w:val="100"/>
          <w:position w:val="0"/>
        </w:rPr>
        <w:t>53.40%</w:t>
      </w:r>
      <w:r>
        <w:rPr>
          <w:color w:val="000000"/>
          <w:spacing w:val="0"/>
          <w:w w:val="100"/>
          <w:position w:val="0"/>
        </w:rPr>
        <w:t>，主要是本年度公司加大了研发人工的投入，适当减少了固定资产的投入；</w:t>
      </w:r>
    </w:p>
    <w:p>
      <w:pPr>
        <w:pStyle w:val="Style9"/>
        <w:keepNext w:val="0"/>
        <w:keepLines w:val="0"/>
        <w:widowControl w:val="0"/>
        <w:shd w:val="clear" w:color="auto" w:fill="auto"/>
        <w:tabs>
          <w:tab w:pos="354" w:val="left"/>
        </w:tabs>
        <w:bidi w:val="0"/>
        <w:spacing w:before="0" w:after="100" w:line="240" w:lineRule="auto"/>
        <w:ind w:left="0" w:right="0" w:firstLine="0"/>
        <w:jc w:val="both"/>
      </w:pPr>
      <w:bookmarkStart w:id="83" w:name="bookmark83"/>
      <w:r>
        <w:rPr>
          <w:rFonts w:ascii="Times New Roman" w:eastAsia="Times New Roman" w:hAnsi="Times New Roman" w:cs="Times New Roman"/>
          <w:color w:val="000000"/>
          <w:spacing w:val="0"/>
          <w:w w:val="100"/>
          <w:position w:val="0"/>
        </w:rPr>
        <w:t>3</w:t>
      </w:r>
      <w:bookmarkEnd w:id="83"/>
      <w:r>
        <w:rPr>
          <w:color w:val="000000"/>
          <w:spacing w:val="0"/>
          <w:w w:val="100"/>
          <w:position w:val="0"/>
        </w:rPr>
        <w:t>、</w:t>
        <w:tab/>
        <w:t>现金及现金等价物净增加额同比减少</w:t>
      </w:r>
      <w:r>
        <w:rPr>
          <w:rFonts w:ascii="Times New Roman" w:eastAsia="Times New Roman" w:hAnsi="Times New Roman" w:cs="Times New Roman"/>
          <w:color w:val="000000"/>
          <w:spacing w:val="0"/>
          <w:w w:val="100"/>
          <w:position w:val="0"/>
        </w:rPr>
        <w:t>98.44%</w:t>
      </w:r>
      <w:r>
        <w:rPr>
          <w:color w:val="000000"/>
          <w:spacing w:val="0"/>
          <w:w w:val="100"/>
          <w:position w:val="0"/>
        </w:rPr>
        <w:t>，主要是</w:t>
      </w:r>
      <w:r>
        <w:rPr>
          <w:rFonts w:ascii="Times New Roman" w:eastAsia="Times New Roman" w:hAnsi="Times New Roman" w:cs="Times New Roman"/>
          <w:color w:val="000000"/>
          <w:spacing w:val="0"/>
          <w:w w:val="100"/>
          <w:position w:val="0"/>
        </w:rPr>
        <w:t>2012</w:t>
      </w:r>
      <w:r>
        <w:rPr>
          <w:color w:val="000000"/>
          <w:spacing w:val="0"/>
          <w:w w:val="100"/>
          <w:position w:val="0"/>
        </w:rPr>
        <w:t>年公司收到募集资金所致。</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报告期内公司经营活动的现金流量与本年度净利润存在重大差异的原因说明</w:t>
      </w:r>
    </w:p>
    <w:p>
      <w:pPr>
        <w:pStyle w:val="Style9"/>
        <w:keepNext w:val="0"/>
        <w:keepLines w:val="0"/>
        <w:widowControl w:val="0"/>
        <w:shd w:val="clear" w:color="auto" w:fill="auto"/>
        <w:bidi w:val="0"/>
        <w:spacing w:before="0" w:after="100" w:line="240" w:lineRule="auto"/>
        <w:ind w:left="0" w:right="0" w:firstLine="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366" w:right="1062" w:bottom="1550" w:left="106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 xml:space="preserve">不适用 </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报告期内，公司经营活动的现金流净额</w:t>
      </w:r>
      <w:r>
        <w:rPr>
          <w:rFonts w:ascii="Times New Roman" w:eastAsia="Times New Roman" w:hAnsi="Times New Roman" w:cs="Times New Roman"/>
          <w:color w:val="000000"/>
          <w:spacing w:val="0"/>
          <w:w w:val="100"/>
          <w:position w:val="0"/>
        </w:rPr>
        <w:t>3,581.21</w:t>
      </w:r>
      <w:r>
        <w:rPr>
          <w:color w:val="000000"/>
          <w:spacing w:val="0"/>
          <w:w w:val="100"/>
          <w:position w:val="0"/>
        </w:rPr>
        <w:t>万元，实现归属于母公司所有者的净利润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,514.10</w:t>
      </w:r>
      <w:r>
        <w:rPr>
          <w:color w:val="000000"/>
          <w:spacing w:val="0"/>
          <w:w w:val="100"/>
          <w:position w:val="0"/>
        </w:rPr>
        <w:t>万元。二者存在重大差异的 主要原因是：一是公司销售存在明显的季节性，公司大部分营业收入和净利润都在下半年尤其是第四季度实现，集中形成应 收账款未到结算期所致；二是公司本年度为购买商品接受劳务增加了部分存货和预付账款导致现金流出增加所致。</w:t>
      </w:r>
    </w:p>
    <w:p>
      <w:pPr>
        <w:pStyle w:val="Style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公司主要供应商、客户情况</w:t>
      </w:r>
    </w:p>
    <w:p>
      <w:pPr>
        <w:pStyle w:val="Style9"/>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139,006,268.46</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56.65%</w:t>
            </w:r>
          </w:p>
        </w:tc>
      </w:tr>
    </w:tbl>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848"/>
        <w:gridCol w:w="2083"/>
        <w:gridCol w:w="2832"/>
        <w:gridCol w:w="2818"/>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销售额（元）</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销售金额或比例与以前年度相比发 生较大变化的说明</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萃和国际有限公司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78,180,256.43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外围同类市场出现大的增长，公司 产品及技术能力得到客户的认可。</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78,180,256.43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31.86%</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81,801,734.48</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57.61%</w:t>
            </w:r>
          </w:p>
        </w:tc>
      </w:tr>
    </w:tbl>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rPr>
        <w:t>（</w:t>
      </w:r>
      <w:bookmarkEnd w:id="86"/>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84"/>
      <w:bookmarkEnd w:id="85"/>
      <w:bookmarkEnd w:id="87"/>
    </w:p>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报告期主营业务收入及主营业务利润的构成</w:t>
      </w:r>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专用安全审计产品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46,099,381.42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20,638,542.69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通用安全审计产品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102,913,862.07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46,473,368.87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网络监管产品及安全集成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83,684,851.39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57,719,257.72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12,688,085.98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661,214.49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245,386,180.86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125,492,383.77</w:t>
            </w:r>
          </w:p>
        </w:tc>
      </w:tr>
      <w:tr>
        <w:trPr>
          <w:trHeight w:val="403" w:hRule="exact"/>
        </w:trPr>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78,459,798.36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72,097,224.31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137,444,578.88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37,490,352.66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29,481,803.62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15,904,806.80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245,386,180.86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125,492,383.77</w:t>
            </w:r>
          </w:p>
        </w:tc>
      </w:tr>
      <w:tr>
        <w:trPr>
          <w:trHeight w:val="413" w:hRule="exact"/>
        </w:trPr>
        <w:tc>
          <w:tcPr>
            <w:gridSpan w:val="3"/>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78,180,256.43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35,842,447.02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10,072,219.51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4,571,920.01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62,085,150.54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49,025,154.36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10,063,757.46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4,404,478.58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42,891,774.26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9,591,834.21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16,612,991.83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8,120,800.77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13,251,267.93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7,166,355.30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12,228,762.90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6,769,393.52</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245,386,180.86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125,492,383.77</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rPr>
        <w:t>（</w:t>
      </w:r>
      <w:bookmarkEnd w:id="90"/>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88"/>
      <w:bookmarkEnd w:id="89"/>
      <w:bookmarkEnd w:id="91"/>
    </w:p>
    <w:p>
      <w:pPr>
        <w:pStyle w:val="Style9"/>
        <w:keepNext w:val="0"/>
        <w:keepLines w:val="0"/>
        <w:widowControl w:val="0"/>
        <w:shd w:val="clear" w:color="auto" w:fill="auto"/>
        <w:bidi w:val="0"/>
        <w:spacing w:before="0" w:after="100" w:line="240" w:lineRule="auto"/>
        <w:ind w:left="0" w:right="0" w:firstLine="0"/>
        <w:jc w:val="left"/>
      </w:pPr>
      <w:bookmarkStart w:id="92" w:name="bookmark92"/>
      <w:r>
        <w:rPr>
          <w:rFonts w:ascii="Times New Roman" w:eastAsia="Times New Roman" w:hAnsi="Times New Roman" w:cs="Times New Roman"/>
          <w:color w:val="000000"/>
          <w:spacing w:val="0"/>
          <w:w w:val="100"/>
          <w:position w:val="0"/>
        </w:rPr>
        <w:t>1</w:t>
      </w:r>
      <w:bookmarkEnd w:id="92"/>
      <w:r>
        <w:rPr>
          <w:rFonts w:ascii="Times New Roman" w:eastAsia="Times New Roman" w:hAnsi="Times New Roman" w:cs="Times New Roman"/>
          <w:color w:val="000000"/>
          <w:spacing w:val="0"/>
          <w:w w:val="100"/>
          <w:position w:val="0"/>
        </w:rPr>
        <w:t>）</w:t>
      </w:r>
      <w:r>
        <w:rPr>
          <w:color w:val="000000"/>
          <w:spacing w:val="0"/>
          <w:w w:val="100"/>
          <w:position w:val="0"/>
        </w:rPr>
        <w:t>资产项目重大变动情况</w:t>
      </w:r>
    </w:p>
    <w:p>
      <w:pPr>
        <w:pStyle w:val="Style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166"/>
        <w:gridCol w:w="413"/>
        <w:gridCol w:w="648"/>
        <w:gridCol w:w="1200"/>
        <w:gridCol w:w="1061"/>
        <w:gridCol w:w="802"/>
        <w:gridCol w:w="2923"/>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4D4D4"/>
            <w:vAlign w:val="top"/>
          </w:tcPr>
          <w:p>
            <w:pP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278"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例</w:t>
            </w:r>
          </w:p>
        </w:tc>
        <w:tc>
          <w:tcPr>
            <w:tcBorders/>
            <w:shd w:val="clear" w:color="auto" w:fill="D4D4D4"/>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329,279,776.5</w:t>
            </w:r>
          </w:p>
          <w:p>
            <w:pPr>
              <w:pStyle w:val="Style6"/>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325,614,507.98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30,137,745.01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40,883,734.28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40,407,539.99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32,166,662.20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539,862.82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551,440.06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3,721,710.42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4,557,748.49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113,659,140.6</w:t>
            </w:r>
          </w:p>
          <w:p>
            <w:pPr>
              <w:pStyle w:val="Style6"/>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108,724,281.55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负债项目重大变动情况</w:t>
      </w:r>
    </w:p>
    <w:p>
      <w:pPr>
        <w:widowControl w:val="0"/>
        <w:spacing w:after="99" w:line="1" w:lineRule="exact"/>
      </w:pPr>
    </w:p>
    <w:p>
      <w:pPr>
        <w:pStyle w:val="Style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166"/>
        <w:gridCol w:w="1056"/>
        <w:gridCol w:w="1205"/>
        <w:gridCol w:w="1061"/>
        <w:gridCol w:w="802"/>
        <w:gridCol w:w="2923"/>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218,148.35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2,662,833.33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both"/>
      </w:pPr>
      <w:bookmarkStart w:id="93" w:name="bookmark93"/>
      <w:bookmarkStart w:id="94" w:name="bookmark94"/>
      <w:bookmarkStart w:id="95" w:name="bookmark95"/>
      <w:bookmarkStart w:id="96" w:name="bookmark96"/>
      <w:r>
        <w:rPr>
          <w:color w:val="000000"/>
          <w:spacing w:val="0"/>
          <w:w w:val="100"/>
          <w:position w:val="0"/>
        </w:rPr>
        <w:t>（</w:t>
      </w:r>
      <w:bookmarkEnd w:id="95"/>
      <w:r>
        <w:rPr>
          <w:rFonts w:ascii="Times New Roman" w:eastAsia="Times New Roman" w:hAnsi="Times New Roman" w:cs="Times New Roman"/>
          <w:color w:val="000000"/>
          <w:spacing w:val="0"/>
          <w:w w:val="100"/>
          <w:position w:val="0"/>
        </w:rPr>
        <w:t>4</w:t>
      </w:r>
      <w:r>
        <w:rPr>
          <w:color w:val="000000"/>
          <w:spacing w:val="0"/>
          <w:w w:val="100"/>
          <w:position w:val="0"/>
        </w:rPr>
        <w:t>）投资状况分析</w:t>
      </w:r>
      <w:bookmarkEnd w:id="93"/>
      <w:bookmarkEnd w:id="94"/>
      <w:bookmarkEnd w:id="96"/>
    </w:p>
    <w:p>
      <w:pPr>
        <w:pStyle w:val="Style9"/>
        <w:keepNext w:val="0"/>
        <w:keepLines w:val="0"/>
        <w:widowControl w:val="0"/>
        <w:shd w:val="clear" w:color="auto" w:fill="auto"/>
        <w:bidi w:val="0"/>
        <w:spacing w:before="0" w:after="100" w:line="240" w:lineRule="auto"/>
        <w:ind w:left="0" w:right="0" w:firstLine="0"/>
        <w:jc w:val="both"/>
      </w:pPr>
      <w:bookmarkStart w:id="97" w:name="bookmark97"/>
      <w:r>
        <w:rPr>
          <w:rFonts w:ascii="Times New Roman" w:eastAsia="Times New Roman" w:hAnsi="Times New Roman" w:cs="Times New Roman"/>
          <w:color w:val="000000"/>
          <w:spacing w:val="0"/>
          <w:w w:val="100"/>
          <w:position w:val="0"/>
        </w:rPr>
        <w:t>1</w:t>
      </w:r>
      <w:bookmarkEnd w:id="97"/>
      <w:r>
        <w:rPr>
          <w:rFonts w:ascii="Times New Roman" w:eastAsia="Times New Roman" w:hAnsi="Times New Roman" w:cs="Times New Roman"/>
          <w:color w:val="000000"/>
          <w:spacing w:val="0"/>
          <w:w w:val="100"/>
          <w:position w:val="0"/>
        </w:rPr>
        <w:t>）</w:t>
      </w:r>
      <w:r>
        <w:rPr>
          <w:color w:val="000000"/>
          <w:spacing w:val="0"/>
          <w:w w:val="100"/>
          <w:position w:val="0"/>
        </w:rPr>
        <w:t>对外投资情况</w:t>
      </w:r>
    </w:p>
    <w:tbl>
      <w:tblPr>
        <w:tblOverlap w:val="never"/>
        <w:jc w:val="center"/>
        <w:tblLayout w:type="fixed"/>
      </w:tblPr>
      <w:tblGrid>
        <w:gridCol w:w="3197"/>
        <w:gridCol w:w="3187"/>
        <w:gridCol w:w="3202"/>
      </w:tblGrid>
      <w:tr>
        <w:trPr>
          <w:trHeight w:val="408" w:hRule="exact"/>
        </w:trPr>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141"/>
        <w:gridCol w:w="1728"/>
        <w:gridCol w:w="1594"/>
        <w:gridCol w:w="1061"/>
        <w:gridCol w:w="1066"/>
        <w:gridCol w:w="926"/>
        <w:gridCol w:w="1070"/>
      </w:tblGrid>
      <w:tr>
        <w:trPr>
          <w:trHeight w:val="403" w:hRule="exact"/>
        </w:trPr>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5326" w:val="left"/>
                <w:tab w:pos="8984" w:val="left"/>
              </w:tabs>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20,000,000.00</w:t>
              <w:tab/>
              <w:t>12,600,000.00</w:t>
              <w:tab/>
            </w:r>
            <w:r>
              <w:rPr>
                <w:rFonts w:ascii="Times New Roman" w:eastAsia="Times New Roman" w:hAnsi="Times New Roman" w:cs="Times New Roman"/>
                <w:color w:val="000000"/>
                <w:spacing w:val="0"/>
                <w:w w:val="100"/>
                <w:position w:val="0"/>
              </w:rPr>
              <w:t>58.73%</w:t>
            </w:r>
          </w:p>
        </w:tc>
      </w:tr>
      <w:tr>
        <w:trPr>
          <w:trHeight w:val="403"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上市公司占被投资 公司权益比例(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资金来源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本期投资</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盈亏(元)</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是否涉诉</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武汉市任子行软件技术有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计算机软硬件技术开 发、销售及相关技术 服务等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成都网娱互动网络科技有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-1,623,232.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募集资金总体使用情况</w:t>
      </w:r>
    </w:p>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4"/>
        <w:gridCol w:w="548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5,602.56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13,027.88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募集资金承诺项目情况</w:t>
      </w:r>
    </w:p>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42"/>
        <w:gridCol w:w="720"/>
        <w:gridCol w:w="720"/>
        <w:gridCol w:w="725"/>
        <w:gridCol w:w="720"/>
        <w:gridCol w:w="730"/>
        <w:gridCol w:w="710"/>
        <w:gridCol w:w="725"/>
        <w:gridCol w:w="720"/>
        <w:gridCol w:w="715"/>
        <w:gridCol w:w="730"/>
        <w:gridCol w:w="730"/>
      </w:tblGrid>
      <w:tr>
        <w:trPr>
          <w:trHeight w:val="1656"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 末累计 投入金 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60" w:line="317" w:lineRule="exact"/>
              <w:ind w:left="0" w:right="0" w:firstLine="0"/>
              <w:jc w:val="center"/>
            </w:pPr>
            <w:r>
              <w:rPr>
                <w:color w:val="000000"/>
                <w:spacing w:val="0"/>
                <w:w w:val="100"/>
                <w:position w:val="0"/>
              </w:rPr>
              <w:t xml:space="preserve">截至期 末投资 进度 </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现的效 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6"/>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网络内容与行为审 计产品升级优化项 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7,532.45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7,532.45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2,802.44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5,391.55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网络信息安全监管 平台建设项目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5,652.47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5,652.47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2,076.71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4,746.59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研发中心扩建项目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3,299.55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3,299.55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2,389.74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16,484.4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16,484.4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5,602.56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12,527.8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413" w:hRule="exact"/>
        </w:trPr>
        <w:tc>
          <w:tcPr>
            <w:gridSpan w:val="12"/>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bl>
    <w:p>
      <w:pPr>
        <w:spacing w:lineRule="exact" w:line="1"/>
        <w:rPr>
          <w:sz w:val="2"/>
          <w:szCs w:val="2"/>
        </w:rPr>
      </w:pPr>
      <w:r>
        <w:br w:type="page"/>
      </w:r>
    </w:p>
    <w:tbl>
      <w:tblPr>
        <w:tblOverlap w:val="never"/>
        <w:jc w:val="center"/>
        <w:tblLayout w:type="fixed"/>
      </w:tblPr>
      <w:tblGrid>
        <w:gridCol w:w="1642"/>
        <w:gridCol w:w="720"/>
        <w:gridCol w:w="720"/>
        <w:gridCol w:w="725"/>
        <w:gridCol w:w="720"/>
        <w:gridCol w:w="720"/>
        <w:gridCol w:w="720"/>
        <w:gridCol w:w="725"/>
        <w:gridCol w:w="720"/>
        <w:gridCol w:w="720"/>
        <w:gridCol w:w="725"/>
        <w:gridCol w:w="73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16,484.4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16,484.4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13,027.8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582"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公司首次公开发行股票实际募集资金净额人民币</w:t>
            </w:r>
            <w:r>
              <w:rPr>
                <w:rFonts w:ascii="Times New Roman" w:eastAsia="Times New Roman" w:hAnsi="Times New Roman" w:cs="Times New Roman"/>
                <w:color w:val="000000"/>
                <w:spacing w:val="0"/>
                <w:w w:val="100"/>
                <w:position w:val="0"/>
              </w:rPr>
              <w:t>23,108.00</w:t>
            </w:r>
            <w:r>
              <w:rPr>
                <w:color w:val="000000"/>
                <w:spacing w:val="0"/>
                <w:w w:val="100"/>
                <w:position w:val="0"/>
              </w:rPr>
              <w:t>万元，其中超额募集资金为</w:t>
            </w:r>
            <w:r>
              <w:rPr>
                <w:rFonts w:ascii="Times New Roman" w:eastAsia="Times New Roman" w:hAnsi="Times New Roman" w:cs="Times New Roman"/>
                <w:color w:val="000000"/>
                <w:spacing w:val="0"/>
                <w:w w:val="100"/>
                <w:position w:val="0"/>
              </w:rPr>
              <w:t>6,623.53</w:t>
            </w:r>
            <w:r>
              <w:rPr>
                <w:color w:val="000000"/>
                <w:spacing w:val="0"/>
                <w:w w:val="100"/>
                <w:position w:val="0"/>
              </w:rPr>
              <w:t xml:space="preserve">元。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日，本公司</w:t>
            </w:r>
            <w:r>
              <w:rPr>
                <w:rFonts w:ascii="Times New Roman" w:eastAsia="Times New Roman" w:hAnsi="Times New Roman" w:cs="Times New Roman"/>
                <w:color w:val="000000"/>
                <w:spacing w:val="0"/>
                <w:w w:val="100"/>
                <w:position w:val="0"/>
              </w:rPr>
              <w:t>2012</w:t>
            </w:r>
            <w:r>
              <w:rPr>
                <w:color w:val="000000"/>
                <w:spacing w:val="0"/>
                <w:w w:val="100"/>
                <w:position w:val="0"/>
              </w:rPr>
              <w:t>年第三次临时股东大会审议通过了关于使用超募资金</w:t>
            </w:r>
            <w:r>
              <w:rPr>
                <w:rFonts w:ascii="Times New Roman" w:eastAsia="Times New Roman" w:hAnsi="Times New Roman" w:cs="Times New Roman"/>
                <w:color w:val="000000"/>
                <w:spacing w:val="0"/>
                <w:w w:val="100"/>
                <w:position w:val="0"/>
              </w:rPr>
              <w:t>500</w:t>
            </w:r>
            <w:r>
              <w:rPr>
                <w:color w:val="000000"/>
                <w:spacing w:val="0"/>
                <w:w w:val="100"/>
                <w:position w:val="0"/>
              </w:rPr>
              <w:t>万元向北 京中天信安科技有限责任公司（以下简称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中天信安</w:t>
            </w:r>
            <w:r>
              <w:rPr>
                <w:color w:val="000000"/>
                <w:spacing w:val="0"/>
                <w:w w:val="100"/>
                <w:position w:val="0"/>
              </w:rPr>
              <w:t>''）</w:t>
            </w:r>
            <w:r>
              <w:rPr>
                <w:color w:val="000000"/>
                <w:spacing w:val="0"/>
                <w:w w:val="100"/>
                <w:position w:val="0"/>
              </w:rPr>
              <w:t>增资的议案。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日，本公司与中 天信安及其股东刘宏伟、刘健签订增资扩股协议，以人民币</w:t>
            </w:r>
            <w:r>
              <w:rPr>
                <w:rFonts w:ascii="Times New Roman" w:eastAsia="Times New Roman" w:hAnsi="Times New Roman" w:cs="Times New Roman"/>
                <w:color w:val="000000"/>
                <w:spacing w:val="0"/>
                <w:w w:val="100"/>
                <w:position w:val="0"/>
              </w:rPr>
              <w:t>500</w:t>
            </w:r>
            <w:r>
              <w:rPr>
                <w:color w:val="000000"/>
                <w:spacing w:val="0"/>
                <w:w w:val="100"/>
                <w:position w:val="0"/>
              </w:rPr>
              <w:t>万元向中天信安增资，增资完成后本 公司占中天信安</w:t>
            </w:r>
            <w:r>
              <w:rPr>
                <w:rFonts w:ascii="Times New Roman" w:eastAsia="Times New Roman" w:hAnsi="Times New Roman" w:cs="Times New Roman"/>
                <w:color w:val="000000"/>
                <w:spacing w:val="0"/>
                <w:w w:val="100"/>
                <w:position w:val="0"/>
              </w:rPr>
              <w:t>20%</w:t>
            </w:r>
            <w:r>
              <w:rPr>
                <w:color w:val="000000"/>
                <w:spacing w:val="0"/>
                <w:w w:val="100"/>
                <w:position w:val="0"/>
              </w:rPr>
              <w:t>的股权比例，中天信安的注册资本由</w:t>
            </w:r>
            <w:r>
              <w:rPr>
                <w:rFonts w:ascii="Times New Roman" w:eastAsia="Times New Roman" w:hAnsi="Times New Roman" w:cs="Times New Roman"/>
                <w:color w:val="000000"/>
                <w:spacing w:val="0"/>
                <w:w w:val="100"/>
                <w:position w:val="0"/>
              </w:rPr>
              <w:t>1000</w:t>
            </w:r>
            <w:r>
              <w:rPr>
                <w:color w:val="000000"/>
                <w:spacing w:val="0"/>
                <w:w w:val="100"/>
                <w:position w:val="0"/>
              </w:rPr>
              <w:t>万变为</w:t>
            </w:r>
            <w:r>
              <w:rPr>
                <w:rFonts w:ascii="Times New Roman" w:eastAsia="Times New Roman" w:hAnsi="Times New Roman" w:cs="Times New Roman"/>
                <w:color w:val="000000"/>
                <w:spacing w:val="0"/>
                <w:w w:val="100"/>
                <w:position w:val="0"/>
              </w:rPr>
              <w:t>1250</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 完成了相关的工商变更登记手续。</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日，本公司第二届董事会第二次会议审批通过《关于 对外投资设立武汉子公司的议案》，同意使用超募资金</w:t>
            </w:r>
            <w:r>
              <w:rPr>
                <w:rFonts w:ascii="Times New Roman" w:eastAsia="Times New Roman" w:hAnsi="Times New Roman" w:cs="Times New Roman"/>
                <w:color w:val="000000"/>
                <w:spacing w:val="0"/>
                <w:w w:val="100"/>
                <w:position w:val="0"/>
              </w:rPr>
              <w:t>1000</w:t>
            </w:r>
            <w:r>
              <w:rPr>
                <w:color w:val="000000"/>
                <w:spacing w:val="0"/>
                <w:w w:val="100"/>
                <w:position w:val="0"/>
              </w:rPr>
              <w:t>万元在武汉设立全资子公司武汉任子行， 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日，完成了相关的工商注册登记手续。</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实施地点变更情况</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募集资金投资项目 先期投入及置换情 况</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211"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日，公司募集资金投资项目自筹资金实际已投入的资金总额为</w:t>
            </w:r>
            <w:r>
              <w:rPr>
                <w:rFonts w:ascii="Times New Roman" w:eastAsia="Times New Roman" w:hAnsi="Times New Roman" w:cs="Times New Roman"/>
                <w:color w:val="000000"/>
                <w:spacing w:val="0"/>
                <w:w w:val="100"/>
                <w:position w:val="0"/>
              </w:rPr>
              <w:t>5,380.75</w:t>
            </w:r>
            <w:r>
              <w:rPr>
                <w:color w:val="000000"/>
                <w:spacing w:val="0"/>
                <w:w w:val="100"/>
                <w:position w:val="0"/>
              </w:rPr>
              <w:t>万元。其 中网络内容与行为审计产品升级优化项目先期投入</w:t>
            </w:r>
            <w:r>
              <w:rPr>
                <w:rFonts w:ascii="Times New Roman" w:eastAsia="Times New Roman" w:hAnsi="Times New Roman" w:cs="Times New Roman"/>
                <w:color w:val="000000"/>
                <w:spacing w:val="0"/>
                <w:w w:val="100"/>
                <w:position w:val="0"/>
              </w:rPr>
              <w:t>2,077.64</w:t>
            </w:r>
            <w:r>
              <w:rPr>
                <w:color w:val="000000"/>
                <w:spacing w:val="0"/>
                <w:w w:val="100"/>
                <w:position w:val="0"/>
              </w:rPr>
              <w:t>万元，网络信息安全监管平台建设项目先 期投入</w:t>
            </w:r>
            <w:r>
              <w:rPr>
                <w:rFonts w:ascii="Times New Roman" w:eastAsia="Times New Roman" w:hAnsi="Times New Roman" w:cs="Times New Roman"/>
                <w:color w:val="000000"/>
                <w:spacing w:val="0"/>
                <w:w w:val="100"/>
                <w:position w:val="0"/>
              </w:rPr>
              <w:t>1,954.85</w:t>
            </w:r>
            <w:r>
              <w:rPr>
                <w:color w:val="000000"/>
                <w:spacing w:val="0"/>
                <w:w w:val="100"/>
                <w:position w:val="0"/>
              </w:rPr>
              <w:t>万元，研发中心扩建项目先期投入</w:t>
            </w:r>
            <w:r>
              <w:rPr>
                <w:rFonts w:ascii="Times New Roman" w:eastAsia="Times New Roman" w:hAnsi="Times New Roman" w:cs="Times New Roman"/>
                <w:color w:val="000000"/>
                <w:spacing w:val="0"/>
                <w:w w:val="100"/>
                <w:position w:val="0"/>
              </w:rPr>
              <w:t>1,348.26</w:t>
            </w:r>
            <w:r>
              <w:rPr>
                <w:color w:val="000000"/>
                <w:spacing w:val="0"/>
                <w:w w:val="100"/>
                <w:position w:val="0"/>
              </w:rPr>
              <w:t>万元。北京永拓会计师事务所有限责任 公司对本公司上述募集资金投资项目预先已投入的实际情况进行了审核并于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日出具京 永专字（</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31063</w:t>
            </w:r>
            <w:r>
              <w:rPr>
                <w:color w:val="000000"/>
                <w:spacing w:val="0"/>
                <w:w w:val="100"/>
                <w:position w:val="0"/>
              </w:rPr>
              <w:t>号《关于任子行网络技术股份有限公司以募集资金置换预先投入募集资金投 资项目的自筹资金的鉴证报告》。</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日，本公司第一届董事会第十四次会议和第一届监 事会第七次会议，审议通过了《关于使用募集资金置换预先已投入募投资项目自筹资金》的议案，同 意公司使用募集资金</w:t>
            </w:r>
            <w:r>
              <w:rPr>
                <w:rFonts w:ascii="Times New Roman" w:eastAsia="Times New Roman" w:hAnsi="Times New Roman" w:cs="Times New Roman"/>
                <w:color w:val="000000"/>
                <w:spacing w:val="0"/>
                <w:w w:val="100"/>
                <w:position w:val="0"/>
              </w:rPr>
              <w:t>5,380.75</w:t>
            </w:r>
            <w:r>
              <w:rPr>
                <w:color w:val="000000"/>
                <w:spacing w:val="0"/>
                <w:w w:val="100"/>
                <w:position w:val="0"/>
              </w:rPr>
              <w:t>万元置换预先已投入募集资金投资项目的同等金额自筹资金。保荐机构 国信证券股份有限公司进行了核查，对公司本次募集资金置换预先已投入募集资金投资项目的自筹资 金事项发表无异议核查意见。公司已经在</w:t>
            </w:r>
            <w:r>
              <w:rPr>
                <w:rFonts w:ascii="Times New Roman" w:eastAsia="Times New Roman" w:hAnsi="Times New Roman" w:cs="Times New Roman"/>
                <w:color w:val="000000"/>
                <w:spacing w:val="0"/>
                <w:w w:val="100"/>
                <w:position w:val="0"/>
              </w:rPr>
              <w:t>2012</w:t>
            </w:r>
            <w:r>
              <w:rPr>
                <w:color w:val="000000"/>
                <w:spacing w:val="0"/>
                <w:w w:val="100"/>
                <w:position w:val="0"/>
              </w:rPr>
              <w:t>年上半年完成募集资金投资项目先期投入的置换工作。</w:t>
            </w:r>
          </w:p>
        </w:tc>
      </w:tr>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用闲置募集资金暂 时补充流动资金情 况</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37"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 资金结余的金额及 原因</w:t>
            </w:r>
          </w:p>
        </w:tc>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w:t>
      </w:r>
      <w:bookmarkEnd w:id="100"/>
      <w:r>
        <w:rPr>
          <w:rFonts w:ascii="Times New Roman" w:eastAsia="Times New Roman" w:hAnsi="Times New Roman" w:cs="Times New Roman"/>
          <w:color w:val="000000"/>
          <w:spacing w:val="0"/>
          <w:w w:val="100"/>
          <w:position w:val="0"/>
        </w:rPr>
        <w:t>5</w:t>
      </w:r>
      <w:r>
        <w:rPr>
          <w:color w:val="000000"/>
          <w:spacing w:val="0"/>
          <w:w w:val="100"/>
          <w:position w:val="0"/>
        </w:rPr>
        <w:t>）主要控股参股公司分析</w:t>
      </w:r>
      <w:bookmarkEnd w:id="101"/>
      <w:bookmarkEnd w:id="98"/>
      <w:bookmarkEnd w:id="99"/>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55"/>
        <w:gridCol w:w="1075"/>
        <w:gridCol w:w="946"/>
        <w:gridCol w:w="941"/>
        <w:gridCol w:w="941"/>
        <w:gridCol w:w="946"/>
        <w:gridCol w:w="941"/>
        <w:gridCol w:w="941"/>
        <w:gridCol w:w="811"/>
        <w:gridCol w:w="1085"/>
      </w:tblGrid>
      <w:tr>
        <w:trPr>
          <w:trHeight w:val="73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或服务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总资产</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净资产</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营业收入</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营业利润</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bl>
    <w:p>
      <w:pPr>
        <w:spacing w:lineRule="exact" w:line="1"/>
        <w:rPr>
          <w:sz w:val="2"/>
          <w:szCs w:val="2"/>
        </w:rPr>
      </w:pPr>
      <w:r>
        <w:br w:type="page"/>
      </w:r>
    </w:p>
    <w:tbl>
      <w:tblPr>
        <w:tblOverlap w:val="never"/>
        <w:jc w:val="center"/>
        <w:tblLayout w:type="fixed"/>
      </w:tblPr>
      <w:tblGrid>
        <w:gridCol w:w="955"/>
        <w:gridCol w:w="1075"/>
        <w:gridCol w:w="946"/>
        <w:gridCol w:w="941"/>
        <w:gridCol w:w="941"/>
        <w:gridCol w:w="946"/>
        <w:gridCol w:w="941"/>
        <w:gridCol w:w="941"/>
        <w:gridCol w:w="811"/>
        <w:gridCol w:w="1085"/>
      </w:tblGrid>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深圳市任 子行科技 开发有限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计算机行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20,000,000.</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29,489,917.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24,698,540.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81,723,899.</w:t>
            </w:r>
          </w:p>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5,914,103</w:t>
            </w:r>
          </w:p>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4,987,201.72</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武汉任子 行软件技 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计算机行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10,000,000.</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10,013,060.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10,013,060.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13,060.85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13,060.85</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成都网娱 互动网络 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计算机行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网络游戏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10,000,000.</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8,538,674.4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8,376,767.2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-1,623,23</w:t>
            </w:r>
          </w:p>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-1,623,232.73</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深圳市任 网游科技 发展有限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计算机行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10,000,000.</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17,610,592.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15,291,664.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4,751,405.6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1,447,682</w:t>
            </w:r>
          </w:p>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1,268,228.18</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深圳市博 海通讯技 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通讯产品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6,000,000.0</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24,432,079.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-3,574,480.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12,688,085.</w:t>
            </w:r>
          </w:p>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-6,259,61</w:t>
            </w:r>
          </w:p>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-6,028,077.47</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北京中天 信安科技 有限责任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计算机行</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12,500,000.</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7,167,885.8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3,609,187.1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1,221,647.0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-4,180,19</w:t>
            </w:r>
          </w:p>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-4,179,555.31</w:t>
            </w:r>
          </w:p>
        </w:tc>
      </w:tr>
    </w:tbl>
    <w:p>
      <w:pPr>
        <w:widowControl w:val="0"/>
        <w:spacing w:after="9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主要子公司、参股公司情况说明</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sz w:val="24"/>
          <w:szCs w:val="24"/>
        </w:rPr>
        <w:t>二</w:t>
      </w:r>
      <w:bookmarkEnd w:id="104"/>
      <w:r>
        <w:rPr>
          <w:color w:val="000000"/>
          <w:spacing w:val="0"/>
          <w:w w:val="100"/>
          <w:position w:val="0"/>
          <w:sz w:val="24"/>
          <w:szCs w:val="24"/>
        </w:rPr>
        <w:t>、公司未来发展的展望</w:t>
      </w:r>
      <w:bookmarkEnd w:id="102"/>
      <w:bookmarkEnd w:id="103"/>
      <w:bookmarkEnd w:id="105"/>
    </w:p>
    <w:p>
      <w:pPr>
        <w:pStyle w:val="Style9"/>
        <w:keepNext w:val="0"/>
        <w:keepLines w:val="0"/>
        <w:widowControl w:val="0"/>
        <w:shd w:val="clear" w:color="auto" w:fill="auto"/>
        <w:bidi w:val="0"/>
        <w:spacing w:before="0" w:after="0"/>
        <w:ind w:left="0" w:right="0" w:firstLine="0"/>
        <w:jc w:val="left"/>
      </w:pPr>
      <w:bookmarkStart w:id="106" w:name="bookmark106"/>
      <w:r>
        <w:rPr>
          <w:rFonts w:ascii="Times New Roman" w:eastAsia="Times New Roman" w:hAnsi="Times New Roman" w:cs="Times New Roman"/>
          <w:color w:val="000000"/>
          <w:spacing w:val="0"/>
          <w:w w:val="100"/>
          <w:position w:val="0"/>
        </w:rPr>
        <w:t>（</w:t>
      </w:r>
      <w:bookmarkEnd w:id="106"/>
      <w:r>
        <w:rPr>
          <w:color w:val="000000"/>
          <w:spacing w:val="0"/>
          <w:w w:val="100"/>
          <w:position w:val="0"/>
        </w:rPr>
        <w:t>一</w:t>
      </w:r>
      <w:r>
        <w:rPr>
          <w:color w:val="000000"/>
          <w:spacing w:val="0"/>
          <w:w w:val="100"/>
          <w:position w:val="0"/>
        </w:rPr>
        <w:t>）</w:t>
      </w:r>
      <w:r>
        <w:rPr>
          <w:color w:val="000000"/>
          <w:spacing w:val="0"/>
          <w:w w:val="100"/>
          <w:position w:val="0"/>
        </w:rPr>
        <w:t>行业发展趋势</w:t>
      </w:r>
    </w:p>
    <w:p>
      <w:pPr>
        <w:pStyle w:val="Style9"/>
        <w:keepNext w:val="0"/>
        <w:keepLines w:val="0"/>
        <w:widowControl w:val="0"/>
        <w:shd w:val="clear" w:color="auto" w:fill="auto"/>
        <w:bidi w:val="0"/>
        <w:spacing w:before="0" w:after="100" w:line="315"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棱镜门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国家顶级域名遭到攻击</w:t>
      </w:r>
      <w:r>
        <w:rPr>
          <w:rFonts w:ascii="Times New Roman" w:eastAsia="Times New Roman" w:hAnsi="Times New Roman" w:cs="Times New Roman"/>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rPr>
        <w:t>QQ</w:t>
      </w:r>
      <w:r>
        <w:rPr>
          <w:color w:val="000000"/>
          <w:spacing w:val="0"/>
          <w:w w:val="100"/>
          <w:position w:val="0"/>
        </w:rPr>
        <w:t>群、开房记录等多起信息泄露事件接连不断，信息安全吸引了全世界 的眼球，也颠覆了人们对信息安全的认识，让我们充分认识到了在信息安全的差距，尤其是</w:t>
      </w:r>
      <w:r>
        <w:rPr>
          <w:rFonts w:ascii="Times New Roman" w:eastAsia="Times New Roman" w:hAnsi="Times New Roman" w:cs="Times New Roman"/>
          <w:color w:val="000000"/>
          <w:spacing w:val="0"/>
          <w:w w:val="100"/>
          <w:position w:val="0"/>
        </w:rPr>
        <w:t>“</w:t>
      </w:r>
      <w:r>
        <w:rPr>
          <w:color w:val="000000"/>
          <w:spacing w:val="0"/>
          <w:w w:val="100"/>
          <w:position w:val="0"/>
        </w:rPr>
        <w:t>棱镜门</w:t>
      </w:r>
      <w:r>
        <w:rPr>
          <w:rFonts w:ascii="Times New Roman" w:eastAsia="Times New Roman" w:hAnsi="Times New Roman" w:cs="Times New Roman"/>
          <w:color w:val="000000"/>
          <w:spacing w:val="0"/>
          <w:w w:val="100"/>
          <w:position w:val="0"/>
        </w:rPr>
        <w:t>”</w:t>
      </w:r>
      <w:r>
        <w:rPr>
          <w:color w:val="000000"/>
          <w:spacing w:val="0"/>
          <w:w w:val="100"/>
          <w:position w:val="0"/>
        </w:rPr>
        <w:t>事件，给我国敲响了警 钟，促使我国将注意力转向本质安全，转向信息安全及至</w:t>
      </w:r>
      <w:r>
        <w:rPr>
          <w:rFonts w:ascii="Times New Roman" w:eastAsia="Times New Roman" w:hAnsi="Times New Roman" w:cs="Times New Roman"/>
          <w:color w:val="000000"/>
          <w:spacing w:val="0"/>
          <w:w w:val="100"/>
          <w:position w:val="0"/>
        </w:rPr>
        <w:t>IT</w:t>
      </w:r>
      <w:r>
        <w:rPr>
          <w:color w:val="000000"/>
          <w:spacing w:val="0"/>
          <w:w w:val="100"/>
          <w:position w:val="0"/>
        </w:rPr>
        <w:t>设备的国产替代。展望</w:t>
      </w:r>
      <w:r>
        <w:rPr>
          <w:rFonts w:ascii="Times New Roman" w:eastAsia="Times New Roman" w:hAnsi="Times New Roman" w:cs="Times New Roman"/>
          <w:color w:val="000000"/>
          <w:spacing w:val="0"/>
          <w:w w:val="100"/>
          <w:position w:val="0"/>
        </w:rPr>
        <w:t>2014</w:t>
      </w:r>
      <w:r>
        <w:rPr>
          <w:color w:val="000000"/>
          <w:spacing w:val="0"/>
          <w:w w:val="100"/>
          <w:position w:val="0"/>
        </w:rPr>
        <w:t>年，信息安全风险将进一步加大，国 家对网络和信息安全的重视也达到前所未有的高度，并将进一步加大了对自主可控的信息安全技术与产品的扶持力度，这给 国内的信息安全企业提供了难得的机遇。</w:t>
      </w:r>
    </w:p>
    <w:p>
      <w:pPr>
        <w:pStyle w:val="Style9"/>
        <w:keepNext w:val="0"/>
        <w:keepLines w:val="0"/>
        <w:widowControl w:val="0"/>
        <w:shd w:val="clear" w:color="auto" w:fill="auto"/>
        <w:bidi w:val="0"/>
        <w:spacing w:before="0" w:after="0"/>
        <w:ind w:left="0" w:right="0" w:firstLine="0"/>
        <w:jc w:val="left"/>
      </w:pPr>
      <w:bookmarkStart w:id="107" w:name="bookmark107"/>
      <w:r>
        <w:rPr>
          <w:rFonts w:ascii="Times New Roman" w:eastAsia="Times New Roman" w:hAnsi="Times New Roman" w:cs="Times New Roman"/>
          <w:color w:val="000000"/>
          <w:spacing w:val="0"/>
          <w:w w:val="100"/>
          <w:position w:val="0"/>
        </w:rPr>
        <w:t>1</w:t>
      </w:r>
      <w:bookmarkEnd w:id="107"/>
      <w:r>
        <w:rPr>
          <w:color w:val="000000"/>
          <w:spacing w:val="0"/>
          <w:w w:val="100"/>
          <w:position w:val="0"/>
        </w:rPr>
        <w:t>、政策方面</w:t>
      </w:r>
    </w:p>
    <w:p>
      <w:pPr>
        <w:pStyle w:val="Style9"/>
        <w:keepNext w:val="0"/>
        <w:keepLines w:val="0"/>
        <w:widowControl w:val="0"/>
        <w:shd w:val="clear" w:color="auto" w:fill="auto"/>
        <w:bidi w:val="0"/>
        <w:spacing w:before="0" w:after="0"/>
        <w:ind w:left="0" w:right="0" w:firstLine="0"/>
        <w:jc w:val="left"/>
      </w:pPr>
      <w:bookmarkStart w:id="108" w:name="bookmark108"/>
      <w:r>
        <w:rPr>
          <w:rFonts w:ascii="Times New Roman" w:eastAsia="Times New Roman" w:hAnsi="Times New Roman" w:cs="Times New Roman"/>
          <w:color w:val="000000"/>
          <w:spacing w:val="0"/>
          <w:w w:val="100"/>
          <w:position w:val="0"/>
        </w:rPr>
        <w:t>1</w:t>
      </w:r>
      <w:bookmarkEnd w:id="108"/>
      <w:r>
        <w:rPr>
          <w:rFonts w:ascii="Times New Roman" w:eastAsia="Times New Roman" w:hAnsi="Times New Roman" w:cs="Times New Roman"/>
          <w:color w:val="000000"/>
          <w:spacing w:val="0"/>
          <w:w w:val="100"/>
          <w:position w:val="0"/>
        </w:rPr>
        <w:t>）</w:t>
      </w:r>
      <w:r>
        <w:rPr>
          <w:color w:val="000000"/>
          <w:spacing w:val="0"/>
          <w:w w:val="100"/>
          <w:position w:val="0"/>
        </w:rPr>
        <w:t>设立国家安全委员会</w:t>
      </w:r>
    </w:p>
    <w:p>
      <w:pPr>
        <w:pStyle w:val="Style9"/>
        <w:keepNext w:val="0"/>
        <w:keepLines w:val="0"/>
        <w:widowControl w:val="0"/>
        <w:shd w:val="clear" w:color="auto" w:fill="auto"/>
        <w:bidi w:val="0"/>
        <w:spacing w:before="0" w:after="120" w:line="315"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月，中国共产党十八届三中全会提出要设立国家安全委员会，并依托国家安全委员会不断完善国家的安全体制和安 全战略，确保国家安全。将与国家利益相关的、与民生安危相关的问题，即与主权利益相关的、与民生安危相关的问题。如 网络安全、太空安全、生物安全、金融安全，甚至包括意识形态的安全，都纳入到新的国家安全委员会指导、协调、咨询的 职能与作用范围内。</w:t>
      </w:r>
    </w:p>
    <w:p>
      <w:pPr>
        <w:pStyle w:val="Style9"/>
        <w:keepNext w:val="0"/>
        <w:keepLines w:val="0"/>
        <w:widowControl w:val="0"/>
        <w:shd w:val="clear" w:color="auto" w:fill="auto"/>
        <w:tabs>
          <w:tab w:pos="317" w:val="left"/>
        </w:tabs>
        <w:bidi w:val="0"/>
        <w:spacing w:before="0" w:after="0" w:line="313" w:lineRule="exact"/>
        <w:ind w:left="0" w:right="0" w:firstLine="0"/>
        <w:jc w:val="both"/>
      </w:pPr>
      <w:bookmarkStart w:id="109" w:name="bookmark109"/>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国家网络信息安全战略有望出台</w:t>
      </w:r>
    </w:p>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工信部在</w:t>
      </w:r>
      <w:r>
        <w:rPr>
          <w:rFonts w:ascii="Times New Roman" w:eastAsia="Times New Roman" w:hAnsi="Times New Roman" w:cs="Times New Roman"/>
          <w:color w:val="000000"/>
          <w:spacing w:val="0"/>
          <w:w w:val="100"/>
          <w:position w:val="0"/>
        </w:rPr>
        <w:t>2013</w:t>
      </w:r>
      <w:r>
        <w:rPr>
          <w:color w:val="000000"/>
          <w:spacing w:val="0"/>
          <w:w w:val="100"/>
          <w:position w:val="0"/>
        </w:rPr>
        <w:t>年工作会议中表示，将推动发布中国的国家级信息安全战略，推进信息安全法律及标准研究制定，开展重点领 域网络与信息安全检查与风险评估，并从打造产业价值链、强化顶层设计和统筹规划、加强基础设施与技术手段体系化建设 等多个方面进行了要求。通过采用这种国家级信息安全顶层设计的方式，打造自主信息安全产业生态体系，扶持信息安全</w:t>
      </w:r>
      <w:r>
        <w:rPr>
          <w:rFonts w:ascii="Times New Roman" w:eastAsia="Times New Roman" w:hAnsi="Times New Roman" w:cs="Times New Roman"/>
          <w:color w:val="000000"/>
          <w:spacing w:val="0"/>
          <w:w w:val="100"/>
          <w:position w:val="0"/>
        </w:rPr>
        <w:t>“</w:t>
      </w:r>
      <w:r>
        <w:rPr>
          <w:color w:val="000000"/>
          <w:spacing w:val="0"/>
          <w:w w:val="100"/>
          <w:position w:val="0"/>
        </w:rPr>
        <w:t>国 家队</w:t>
      </w:r>
      <w:r>
        <w:rPr>
          <w:rFonts w:ascii="Times New Roman" w:eastAsia="Times New Roman" w:hAnsi="Times New Roman" w:cs="Times New Roman"/>
          <w:color w:val="000000"/>
          <w:spacing w:val="0"/>
          <w:w w:val="100"/>
          <w:position w:val="0"/>
        </w:rPr>
        <w:t>”</w:t>
      </w:r>
      <w:r>
        <w:rPr>
          <w:color w:val="000000"/>
          <w:spacing w:val="0"/>
          <w:w w:val="100"/>
          <w:position w:val="0"/>
        </w:rPr>
        <w:t>，加快推进自主信息安全核心技术和关键产品研发，以及具有自主信息安全技术产品的使用，有序推进重点和关键领 域信息安全产品与技术的国产化替代，这将为本土的信息安全厂商与服务提供商更大发展空间带来巨大商机。</w:t>
      </w:r>
    </w:p>
    <w:p>
      <w:pPr>
        <w:pStyle w:val="Style9"/>
        <w:keepNext w:val="0"/>
        <w:keepLines w:val="0"/>
        <w:widowControl w:val="0"/>
        <w:shd w:val="clear" w:color="auto" w:fill="auto"/>
        <w:tabs>
          <w:tab w:pos="317" w:val="left"/>
        </w:tabs>
        <w:bidi w:val="0"/>
        <w:spacing w:before="0" w:after="0" w:line="313" w:lineRule="exact"/>
        <w:ind w:left="0" w:right="0" w:firstLine="0"/>
        <w:jc w:val="both"/>
      </w:pPr>
      <w:bookmarkStart w:id="110" w:name="bookmark110"/>
      <w:r>
        <w:rPr>
          <w:rFonts w:ascii="Times New Roman" w:eastAsia="Times New Roman" w:hAnsi="Times New Roman" w:cs="Times New Roman"/>
          <w:color w:val="000000"/>
          <w:spacing w:val="0"/>
          <w:w w:val="100"/>
          <w:position w:val="0"/>
        </w:rPr>
        <w:t>3</w:t>
      </w:r>
      <w:bookmarkEnd w:id="110"/>
      <w:r>
        <w:rPr>
          <w:color w:val="000000"/>
          <w:spacing w:val="0"/>
          <w:w w:val="100"/>
          <w:position w:val="0"/>
        </w:rPr>
        <w:t>）</w:t>
        <w:tab/>
        <w:t>成立中央网络安全和信息化领导小组</w:t>
      </w:r>
    </w:p>
    <w:p>
      <w:pPr>
        <w:pStyle w:val="Style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日，中央网络安全和信息化领导小组在北京成立，习近平亲自担任组长。会议指出网络安全和信息化事关国家 安全和国家发展、事关广大人民群众工作生活的重大战略问题，要努力把我国建设成为网络强国。目前全球已有</w:t>
      </w:r>
      <w:r>
        <w:rPr>
          <w:rFonts w:ascii="Times New Roman" w:eastAsia="Times New Roman" w:hAnsi="Times New Roman" w:cs="Times New Roman"/>
          <w:color w:val="000000"/>
          <w:spacing w:val="0"/>
          <w:w w:val="100"/>
          <w:position w:val="0"/>
        </w:rPr>
        <w:t>40</w:t>
      </w:r>
      <w:r>
        <w:rPr>
          <w:color w:val="000000"/>
          <w:spacing w:val="0"/>
          <w:w w:val="100"/>
          <w:position w:val="0"/>
        </w:rPr>
        <w:t>多个国家 颁布了网络空间国家安全战略，我国中央网络安全和信息化小组的成立是网络安全上升为国家战略的标志，将从战略地位和 政策上解决国家网络安全缺少顶层设计的困境，行业将整体受益于国家政策和资金的扶持。</w:t>
      </w:r>
    </w:p>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信息安全产业呈现</w:t>
      </w:r>
      <w:r>
        <w:rPr>
          <w:rFonts w:ascii="Times New Roman" w:eastAsia="Times New Roman" w:hAnsi="Times New Roman" w:cs="Times New Roman"/>
          <w:color w:val="000000"/>
          <w:spacing w:val="0"/>
          <w:w w:val="100"/>
          <w:position w:val="0"/>
        </w:rPr>
        <w:t>“</w:t>
      </w:r>
      <w:r>
        <w:rPr>
          <w:color w:val="000000"/>
          <w:spacing w:val="0"/>
          <w:w w:val="100"/>
          <w:position w:val="0"/>
        </w:rPr>
        <w:t>泛安全</w:t>
      </w:r>
      <w:r>
        <w:rPr>
          <w:rFonts w:ascii="Times New Roman" w:eastAsia="Times New Roman" w:hAnsi="Times New Roman" w:cs="Times New Roman"/>
          <w:color w:val="000000"/>
          <w:spacing w:val="0"/>
          <w:w w:val="100"/>
          <w:position w:val="0"/>
        </w:rPr>
        <w:t>”</w:t>
      </w:r>
      <w:r>
        <w:rPr>
          <w:color w:val="000000"/>
          <w:spacing w:val="0"/>
          <w:w w:val="100"/>
          <w:position w:val="0"/>
        </w:rPr>
        <w:t>趋势，各级政府以及金融、能源、通信等行业的大型企业对信息安全软硬件和服务的需求明显增 加，并逐渐由强制性的合规性需求向自发性需求拓展。统计数据显示，国内信息安全投资占</w:t>
      </w:r>
      <w:r>
        <w:rPr>
          <w:rFonts w:ascii="Times New Roman" w:eastAsia="Times New Roman" w:hAnsi="Times New Roman" w:cs="Times New Roman"/>
          <w:color w:val="000000"/>
          <w:spacing w:val="0"/>
          <w:w w:val="100"/>
          <w:position w:val="0"/>
        </w:rPr>
        <w:t>IT</w:t>
      </w:r>
      <w:r>
        <w:rPr>
          <w:color w:val="000000"/>
          <w:spacing w:val="0"/>
          <w:w w:val="100"/>
          <w:position w:val="0"/>
        </w:rPr>
        <w:t>投资比重仅为</w:t>
      </w:r>
      <w:r>
        <w:rPr>
          <w:rFonts w:ascii="Times New Roman" w:eastAsia="Times New Roman" w:hAnsi="Times New Roman" w:cs="Times New Roman"/>
          <w:color w:val="000000"/>
          <w:spacing w:val="0"/>
          <w:w w:val="100"/>
          <w:position w:val="0"/>
        </w:rPr>
        <w:t>6%</w:t>
      </w:r>
      <w:r>
        <w:rPr>
          <w:color w:val="000000"/>
          <w:spacing w:val="0"/>
          <w:w w:val="100"/>
          <w:position w:val="0"/>
        </w:rPr>
        <w:t>，相较于发 达国家</w:t>
      </w:r>
      <w:r>
        <w:rPr>
          <w:rFonts w:ascii="Times New Roman" w:eastAsia="Times New Roman" w:hAnsi="Times New Roman" w:cs="Times New Roman"/>
          <w:color w:val="000000"/>
          <w:spacing w:val="0"/>
          <w:w w:val="100"/>
          <w:position w:val="0"/>
        </w:rPr>
        <w:t>15%</w:t>
      </w:r>
      <w:r>
        <w:rPr>
          <w:color w:val="000000"/>
          <w:spacing w:val="0"/>
          <w:w w:val="100"/>
          <w:position w:val="0"/>
        </w:rPr>
        <w:t>以上的水平仍有较大差距。随着网络安全上升为国家战略，国家对网络安全行业的投入也将进一步加大，行业将 迎来难得的历史性发展机遇。</w:t>
      </w:r>
    </w:p>
    <w:p>
      <w:pPr>
        <w:pStyle w:val="Style9"/>
        <w:keepNext w:val="0"/>
        <w:keepLines w:val="0"/>
        <w:widowControl w:val="0"/>
        <w:shd w:val="clear" w:color="auto" w:fill="auto"/>
        <w:tabs>
          <w:tab w:pos="302" w:val="left"/>
        </w:tabs>
        <w:bidi w:val="0"/>
        <w:spacing w:before="0" w:after="0" w:line="313" w:lineRule="exact"/>
        <w:ind w:left="0" w:right="0" w:firstLine="0"/>
        <w:jc w:val="both"/>
      </w:pPr>
      <w:bookmarkStart w:id="111" w:name="bookmark111"/>
      <w:r>
        <w:rPr>
          <w:rFonts w:ascii="Times New Roman" w:eastAsia="Times New Roman" w:hAnsi="Times New Roman" w:cs="Times New Roman"/>
          <w:color w:val="000000"/>
          <w:spacing w:val="0"/>
          <w:w w:val="100"/>
          <w:position w:val="0"/>
        </w:rPr>
        <w:t>2</w:t>
      </w:r>
      <w:bookmarkEnd w:id="111"/>
      <w:r>
        <w:rPr>
          <w:color w:val="000000"/>
          <w:spacing w:val="0"/>
          <w:w w:val="100"/>
          <w:position w:val="0"/>
        </w:rPr>
        <w:t>、</w:t>
        <w:tab/>
        <w:t>技术方面</w:t>
      </w:r>
    </w:p>
    <w:p>
      <w:pPr>
        <w:pStyle w:val="Style9"/>
        <w:keepNext w:val="0"/>
        <w:keepLines w:val="0"/>
        <w:widowControl w:val="0"/>
        <w:shd w:val="clear" w:color="auto" w:fill="auto"/>
        <w:tabs>
          <w:tab w:pos="278" w:val="left"/>
        </w:tabs>
        <w:bidi w:val="0"/>
        <w:spacing w:before="0" w:after="0" w:line="313" w:lineRule="exact"/>
        <w:ind w:left="0" w:right="0" w:firstLine="0"/>
        <w:jc w:val="both"/>
      </w:pPr>
      <w:bookmarkStart w:id="112" w:name="bookmark112"/>
      <w:r>
        <w:rPr>
          <w:rFonts w:ascii="Times New Roman" w:eastAsia="Times New Roman" w:hAnsi="Times New Roman" w:cs="Times New Roman"/>
          <w:color w:val="000000"/>
          <w:spacing w:val="0"/>
          <w:w w:val="100"/>
          <w:position w:val="0"/>
        </w:rPr>
        <w:t>1</w:t>
      </w:r>
      <w:bookmarkEnd w:id="112"/>
      <w:r>
        <w:rPr>
          <w:rFonts w:ascii="Times New Roman" w:eastAsia="Times New Roman" w:hAnsi="Times New Roman" w:cs="Times New Roman"/>
          <w:color w:val="000000"/>
          <w:spacing w:val="0"/>
          <w:w w:val="100"/>
          <w:position w:val="0"/>
        </w:rPr>
        <w:t>）</w:t>
        <w:tab/>
      </w:r>
      <w:r>
        <w:rPr>
          <w:color w:val="000000"/>
          <w:spacing w:val="0"/>
          <w:w w:val="100"/>
          <w:position w:val="0"/>
        </w:rPr>
        <w:t>安全技术与大数据走向融合，虚拟化安全问题渐露端倪</w:t>
      </w:r>
    </w:p>
    <w:p>
      <w:pPr>
        <w:pStyle w:val="Style9"/>
        <w:keepNext w:val="0"/>
        <w:keepLines w:val="0"/>
        <w:widowControl w:val="0"/>
        <w:shd w:val="clear" w:color="auto" w:fill="auto"/>
        <w:bidi w:val="0"/>
        <w:spacing w:before="0" w:after="80" w:line="313" w:lineRule="exact"/>
        <w:ind w:left="0" w:right="0" w:firstLine="0"/>
        <w:jc w:val="both"/>
      </w:pPr>
      <w:r>
        <w:rPr>
          <w:color w:val="000000"/>
          <w:spacing w:val="0"/>
          <w:w w:val="100"/>
          <w:position w:val="0"/>
        </w:rPr>
        <w:t>随着移动互联网、云计算、大数据等新兴技术的不断融合，传统的信息安全技术将向以虚拟化和大数据分析监控为基础的安 全技术改变，据相关机构调查显示，在未来</w:t>
      </w:r>
      <w:r>
        <w:rPr>
          <w:rFonts w:ascii="Times New Roman" w:eastAsia="Times New Roman" w:hAnsi="Times New Roman" w:cs="Times New Roman"/>
          <w:color w:val="000000"/>
          <w:spacing w:val="0"/>
          <w:w w:val="100"/>
          <w:position w:val="0"/>
        </w:rPr>
        <w:t>8</w:t>
      </w:r>
      <w:r>
        <w:rPr>
          <w:color w:val="000000"/>
          <w:spacing w:val="0"/>
          <w:w w:val="100"/>
          <w:position w:val="0"/>
        </w:rPr>
        <w:t>年中，国内虚拟化行业将增长近</w:t>
      </w:r>
      <w:r>
        <w:rPr>
          <w:rFonts w:ascii="Times New Roman" w:eastAsia="Times New Roman" w:hAnsi="Times New Roman" w:cs="Times New Roman"/>
          <w:color w:val="000000"/>
          <w:spacing w:val="0"/>
          <w:w w:val="100"/>
          <w:position w:val="0"/>
        </w:rPr>
        <w:t>400</w:t>
      </w:r>
      <w:r>
        <w:rPr>
          <w:color w:val="000000"/>
          <w:spacing w:val="0"/>
          <w:w w:val="100"/>
          <w:position w:val="0"/>
        </w:rPr>
        <w:t>亿的市场规模，云计算将成为整个产业的发 展方向，而虚拟化则是整个云计算技术的核心。这一趋势将对信息安全技术和产品研发、网络安全防御体系建设产生重要影 响。</w:t>
      </w:r>
    </w:p>
    <w:p>
      <w:pPr>
        <w:pStyle w:val="Style9"/>
        <w:keepNext w:val="0"/>
        <w:keepLines w:val="0"/>
        <w:widowControl w:val="0"/>
        <w:shd w:val="clear" w:color="auto" w:fill="auto"/>
        <w:tabs>
          <w:tab w:pos="297" w:val="left"/>
        </w:tabs>
        <w:bidi w:val="0"/>
        <w:spacing w:before="0" w:after="0"/>
        <w:ind w:left="0" w:right="0" w:firstLine="0"/>
        <w:jc w:val="both"/>
      </w:pPr>
      <w:bookmarkStart w:id="113" w:name="bookmark113"/>
      <w:r>
        <w:rPr>
          <w:rFonts w:ascii="Times New Roman" w:eastAsia="Times New Roman" w:hAnsi="Times New Roman" w:cs="Times New Roman"/>
          <w:color w:val="000000"/>
          <w:spacing w:val="0"/>
          <w:w w:val="100"/>
          <w:position w:val="0"/>
        </w:rPr>
        <w:t>2</w:t>
      </w:r>
      <w:bookmarkEnd w:id="113"/>
      <w:r>
        <w:rPr>
          <w:rFonts w:ascii="Times New Roman" w:eastAsia="Times New Roman" w:hAnsi="Times New Roman" w:cs="Times New Roman"/>
          <w:color w:val="000000"/>
          <w:spacing w:val="0"/>
          <w:w w:val="100"/>
          <w:position w:val="0"/>
        </w:rPr>
        <w:t>）</w:t>
        <w:tab/>
      </w:r>
      <w:r>
        <w:rPr>
          <w:color w:val="000000"/>
          <w:spacing w:val="0"/>
          <w:w w:val="100"/>
          <w:position w:val="0"/>
        </w:rPr>
        <w:t>移动互联网安全技术飞速发展</w:t>
      </w:r>
    </w:p>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据</w:t>
      </w:r>
      <w:r>
        <w:rPr>
          <w:rFonts w:ascii="Times New Roman" w:eastAsia="Times New Roman" w:hAnsi="Times New Roman" w:cs="Times New Roman"/>
          <w:color w:val="000000"/>
          <w:spacing w:val="0"/>
          <w:w w:val="100"/>
          <w:position w:val="0"/>
        </w:rPr>
        <w:t>CNNIC</w:t>
      </w:r>
      <w:r>
        <w:rPr>
          <w:color w:val="000000"/>
          <w:spacing w:val="0"/>
          <w:w w:val="100"/>
          <w:position w:val="0"/>
        </w:rPr>
        <w:t>的报告，截至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月，我国手机网民规模达</w:t>
      </w:r>
      <w:r>
        <w:rPr>
          <w:rFonts w:ascii="Times New Roman" w:eastAsia="Times New Roman" w:hAnsi="Times New Roman" w:cs="Times New Roman"/>
          <w:color w:val="000000"/>
          <w:spacing w:val="0"/>
          <w:w w:val="100"/>
          <w:position w:val="0"/>
        </w:rPr>
        <w:t>5</w:t>
      </w:r>
      <w:r>
        <w:rPr>
          <w:color w:val="000000"/>
          <w:spacing w:val="0"/>
          <w:w w:val="100"/>
          <w:position w:val="0"/>
        </w:rPr>
        <w:t>亿，较</w:t>
      </w:r>
      <w:r>
        <w:rPr>
          <w:rFonts w:ascii="Times New Roman" w:eastAsia="Times New Roman" w:hAnsi="Times New Roman" w:cs="Times New Roman"/>
          <w:color w:val="000000"/>
          <w:spacing w:val="0"/>
          <w:w w:val="100"/>
          <w:position w:val="0"/>
        </w:rPr>
        <w:t>2012</w:t>
      </w:r>
      <w:r>
        <w:rPr>
          <w:color w:val="000000"/>
          <w:spacing w:val="0"/>
          <w:w w:val="100"/>
          <w:position w:val="0"/>
        </w:rPr>
        <w:t>年底增加</w:t>
      </w:r>
      <w:r>
        <w:rPr>
          <w:rFonts w:ascii="Times New Roman" w:eastAsia="Times New Roman" w:hAnsi="Times New Roman" w:cs="Times New Roman"/>
          <w:color w:val="000000"/>
          <w:spacing w:val="0"/>
          <w:w w:val="100"/>
          <w:position w:val="0"/>
        </w:rPr>
        <w:t>8009</w:t>
      </w:r>
      <w:r>
        <w:rPr>
          <w:color w:val="000000"/>
          <w:spacing w:val="0"/>
          <w:w w:val="100"/>
          <w:position w:val="0"/>
        </w:rPr>
        <w:t>万人，网民中使用手机上网的人群占比 由</w:t>
      </w:r>
      <w:r>
        <w:rPr>
          <w:rFonts w:ascii="Times New Roman" w:eastAsia="Times New Roman" w:hAnsi="Times New Roman" w:cs="Times New Roman"/>
          <w:color w:val="000000"/>
          <w:spacing w:val="0"/>
          <w:w w:val="100"/>
          <w:position w:val="0"/>
        </w:rPr>
        <w:t>2012</w:t>
      </w:r>
      <w:r>
        <w:rPr>
          <w:color w:val="000000"/>
          <w:spacing w:val="0"/>
          <w:w w:val="100"/>
          <w:position w:val="0"/>
        </w:rPr>
        <w:t>年底的</w:t>
      </w:r>
      <w:r>
        <w:rPr>
          <w:rFonts w:ascii="Times New Roman" w:eastAsia="Times New Roman" w:hAnsi="Times New Roman" w:cs="Times New Roman"/>
          <w:color w:val="000000"/>
          <w:spacing w:val="0"/>
          <w:w w:val="100"/>
          <w:position w:val="0"/>
        </w:rPr>
        <w:t>74.5%</w:t>
      </w:r>
      <w:r>
        <w:rPr>
          <w:color w:val="000000"/>
          <w:spacing w:val="0"/>
          <w:w w:val="100"/>
          <w:position w:val="0"/>
        </w:rPr>
        <w:t>提升至</w:t>
      </w:r>
      <w:r>
        <w:rPr>
          <w:rFonts w:ascii="Times New Roman" w:eastAsia="Times New Roman" w:hAnsi="Times New Roman" w:cs="Times New Roman"/>
          <w:color w:val="000000"/>
          <w:spacing w:val="0"/>
          <w:w w:val="100"/>
          <w:position w:val="0"/>
        </w:rPr>
        <w:t>81.0%</w:t>
      </w:r>
      <w:r>
        <w:rPr>
          <w:color w:val="000000"/>
          <w:spacing w:val="0"/>
          <w:w w:val="100"/>
          <w:position w:val="0"/>
        </w:rPr>
        <w:t>，手机网民规模继续保持稳定增长。</w:t>
      </w:r>
    </w:p>
    <w:p>
      <w:pPr>
        <w:pStyle w:val="Style9"/>
        <w:keepNext w:val="0"/>
        <w:keepLines w:val="0"/>
        <w:widowControl w:val="0"/>
        <w:shd w:val="clear" w:color="auto" w:fill="auto"/>
        <w:bidi w:val="0"/>
        <w:spacing w:before="0" w:after="80" w:line="313" w:lineRule="exact"/>
        <w:ind w:left="0" w:right="0" w:firstLine="0"/>
        <w:jc w:val="both"/>
      </w:pPr>
      <w:r>
        <w:rPr>
          <w:color w:val="000000"/>
          <w:spacing w:val="0"/>
          <w:w w:val="100"/>
          <w:position w:val="0"/>
        </w:rPr>
        <w:t>随着智能手机等移动上网终端保有量的快速增长，各类基于移动端的应用越来越多，移动终端的安全问题正在挑战传统的网 络攻防体系。由于移动上网终端的便携性和社交属性，终端设备几近成为用户身体的一部分，加之</w:t>
      </w:r>
      <w:r>
        <w:rPr>
          <w:rFonts w:ascii="Times New Roman" w:eastAsia="Times New Roman" w:hAnsi="Times New Roman" w:cs="Times New Roman"/>
          <w:color w:val="000000"/>
          <w:spacing w:val="0"/>
          <w:w w:val="100"/>
          <w:position w:val="0"/>
        </w:rPr>
        <w:t>BYOD</w:t>
      </w:r>
      <w:r>
        <w:rPr>
          <w:color w:val="000000"/>
          <w:spacing w:val="0"/>
          <w:w w:val="100"/>
          <w:position w:val="0"/>
        </w:rPr>
        <w:t>办公趋势的发展， 用户可以进行不受时间、地点、设备、网络环境限制的联网操作，这对信息安全和监管技术提出了更高的要求，针对移动互 联网的安全技术将进入快速发展期。</w:t>
      </w:r>
    </w:p>
    <w:p>
      <w:pPr>
        <w:pStyle w:val="Style9"/>
        <w:keepNext w:val="0"/>
        <w:keepLines w:val="0"/>
        <w:widowControl w:val="0"/>
        <w:shd w:val="clear" w:color="auto" w:fill="auto"/>
        <w:tabs>
          <w:tab w:pos="297" w:val="left"/>
        </w:tabs>
        <w:bidi w:val="0"/>
        <w:spacing w:before="0" w:after="0"/>
        <w:ind w:left="0" w:right="0" w:firstLine="0"/>
        <w:jc w:val="both"/>
      </w:pPr>
      <w:bookmarkStart w:id="114" w:name="bookmark114"/>
      <w:r>
        <w:rPr>
          <w:rFonts w:ascii="Times New Roman" w:eastAsia="Times New Roman" w:hAnsi="Times New Roman" w:cs="Times New Roman"/>
          <w:color w:val="000000"/>
          <w:spacing w:val="0"/>
          <w:w w:val="100"/>
          <w:position w:val="0"/>
        </w:rPr>
        <w:t>3</w:t>
      </w:r>
      <w:bookmarkEnd w:id="114"/>
      <w:r>
        <w:rPr>
          <w:rFonts w:ascii="Times New Roman" w:eastAsia="Times New Roman" w:hAnsi="Times New Roman" w:cs="Times New Roman"/>
          <w:color w:val="000000"/>
          <w:spacing w:val="0"/>
          <w:w w:val="100"/>
          <w:position w:val="0"/>
        </w:rPr>
        <w:t>）</w:t>
        <w:tab/>
      </w:r>
      <w:r>
        <w:rPr>
          <w:color w:val="000000"/>
          <w:spacing w:val="0"/>
          <w:w w:val="100"/>
          <w:position w:val="0"/>
        </w:rPr>
        <w:t>信息安全技术发展关联性主动性显著加强</w:t>
      </w:r>
    </w:p>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信息安全技术向完整、联动、快速响应的防护系统方向发展，采用系统化的思想和方法构建信息系统安全保障体系成为一种 趋势，要求具有复杂性、动态性、可控性等特点。其中，复杂性体现在网络和系统的生存能力方面</w:t>
      </w:r>
      <w:r>
        <w:rPr>
          <w:rFonts w:ascii="Times New Roman" w:eastAsia="Times New Roman" w:hAnsi="Times New Roman" w:cs="Times New Roman"/>
          <w:color w:val="000000"/>
          <w:spacing w:val="0"/>
          <w:w w:val="100"/>
          <w:position w:val="0"/>
        </w:rPr>
        <w:t>;</w:t>
      </w:r>
      <w:r>
        <w:rPr>
          <w:color w:val="000000"/>
          <w:spacing w:val="0"/>
          <w:w w:val="100"/>
          <w:position w:val="0"/>
        </w:rPr>
        <w:t>动态性体现在主动实时 防护能力方面，包括应急响应与数据恢复、病毒与垃圾信息防范、网络监控与安全管理</w:t>
      </w:r>
      <w:r>
        <w:rPr>
          <w:rFonts w:ascii="Times New Roman" w:eastAsia="Times New Roman" w:hAnsi="Times New Roman" w:cs="Times New Roman"/>
          <w:color w:val="000000"/>
          <w:spacing w:val="0"/>
          <w:w w:val="100"/>
          <w:position w:val="0"/>
        </w:rPr>
        <w:t>;</w:t>
      </w:r>
      <w:r>
        <w:rPr>
          <w:color w:val="000000"/>
          <w:spacing w:val="0"/>
          <w:w w:val="100"/>
          <w:position w:val="0"/>
        </w:rPr>
        <w:t>可控性则体现在网络和系统的自主 可控能力方面。</w:t>
      </w:r>
    </w:p>
    <w:p>
      <w:pPr>
        <w:pStyle w:val="Style9"/>
        <w:keepNext w:val="0"/>
        <w:keepLines w:val="0"/>
        <w:widowControl w:val="0"/>
        <w:shd w:val="clear" w:color="auto" w:fill="auto"/>
        <w:tabs>
          <w:tab w:pos="297" w:val="left"/>
        </w:tabs>
        <w:bidi w:val="0"/>
        <w:spacing w:before="0" w:after="0" w:line="313" w:lineRule="exact"/>
        <w:ind w:left="0" w:right="0" w:firstLine="0"/>
        <w:jc w:val="both"/>
      </w:pPr>
      <w:bookmarkStart w:id="115" w:name="bookmark115"/>
      <w:r>
        <w:rPr>
          <w:rFonts w:ascii="Times New Roman" w:eastAsia="Times New Roman" w:hAnsi="Times New Roman" w:cs="Times New Roman"/>
          <w:color w:val="000000"/>
          <w:spacing w:val="0"/>
          <w:w w:val="100"/>
          <w:position w:val="0"/>
        </w:rPr>
        <w:t>4</w:t>
      </w:r>
      <w:bookmarkEnd w:id="115"/>
      <w:r>
        <w:rPr>
          <w:rFonts w:ascii="Times New Roman" w:eastAsia="Times New Roman" w:hAnsi="Times New Roman" w:cs="Times New Roman"/>
          <w:color w:val="000000"/>
          <w:spacing w:val="0"/>
          <w:w w:val="100"/>
          <w:position w:val="0"/>
        </w:rPr>
        <w:t>）</w:t>
        <w:tab/>
      </w:r>
      <w:r>
        <w:rPr>
          <w:color w:val="000000"/>
          <w:spacing w:val="0"/>
          <w:w w:val="100"/>
          <w:position w:val="0"/>
        </w:rPr>
        <w:t>从单一信息安全产品向安全系统集成平台转变</w:t>
      </w:r>
    </w:p>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信息系统的安全是一个整体概念，单一的网络安全产品，并不能满足信息系统的安全性要求。安全产品的简单组合同样不能 带来信息系统的安全效能的累加，因此，以安全策略为核心，将信息安全技术依据一定的安全体系进行设计、整合与集成， 形成体系化的安全防护能力，并通过相应的安全管理平台逐渐完成对单一安全产品的替代。</w:t>
      </w:r>
    </w:p>
    <w:p>
      <w:pPr>
        <w:pStyle w:val="Style9"/>
        <w:keepNext w:val="0"/>
        <w:keepLines w:val="0"/>
        <w:widowControl w:val="0"/>
        <w:shd w:val="clear" w:color="auto" w:fill="auto"/>
        <w:tabs>
          <w:tab w:pos="302" w:val="left"/>
        </w:tabs>
        <w:bidi w:val="0"/>
        <w:spacing w:before="0" w:after="0" w:line="313" w:lineRule="exact"/>
        <w:ind w:left="0" w:right="0" w:firstLine="0"/>
        <w:jc w:val="both"/>
      </w:pPr>
      <w:bookmarkStart w:id="116" w:name="bookmark116"/>
      <w:r>
        <w:rPr>
          <w:rFonts w:ascii="Times New Roman" w:eastAsia="Times New Roman" w:hAnsi="Times New Roman" w:cs="Times New Roman"/>
          <w:color w:val="000000"/>
          <w:spacing w:val="0"/>
          <w:w w:val="100"/>
          <w:position w:val="0"/>
        </w:rPr>
        <w:t>3</w:t>
      </w:r>
      <w:bookmarkEnd w:id="116"/>
      <w:r>
        <w:rPr>
          <w:color w:val="000000"/>
          <w:spacing w:val="0"/>
          <w:w w:val="100"/>
          <w:position w:val="0"/>
        </w:rPr>
        <w:t>、</w:t>
        <w:tab/>
        <w:t>市场方面</w:t>
      </w:r>
    </w:p>
    <w:p>
      <w:pPr>
        <w:pStyle w:val="Style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）国家信息安全投入继续加大</w:t>
      </w:r>
    </w:p>
    <w:p>
      <w:pPr>
        <w:pStyle w:val="Style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APT（</w:t>
      </w:r>
      <w:r>
        <w:rPr>
          <w:color w:val="000000"/>
          <w:spacing w:val="0"/>
          <w:w w:val="100"/>
          <w:position w:val="0"/>
        </w:rPr>
        <w:t>高级持续性，</w:t>
      </w:r>
      <w:r>
        <w:rPr>
          <w:rFonts w:ascii="Times New Roman" w:eastAsia="Times New Roman" w:hAnsi="Times New Roman" w:cs="Times New Roman"/>
          <w:color w:val="000000"/>
          <w:spacing w:val="0"/>
          <w:w w:val="100"/>
          <w:position w:val="0"/>
        </w:rPr>
        <w:t>Advanced Persistent Threat,</w:t>
      </w:r>
      <w:r>
        <w:rPr>
          <w:color w:val="000000"/>
          <w:spacing w:val="0"/>
          <w:w w:val="100"/>
          <w:position w:val="0"/>
        </w:rPr>
        <w:t>简称</w:t>
      </w:r>
      <w:r>
        <w:rPr>
          <w:rFonts w:ascii="Times New Roman" w:eastAsia="Times New Roman" w:hAnsi="Times New Roman" w:cs="Times New Roman"/>
          <w:color w:val="000000"/>
          <w:spacing w:val="0"/>
          <w:w w:val="100"/>
          <w:position w:val="0"/>
        </w:rPr>
        <w:t>APT）</w:t>
      </w:r>
      <w:r>
        <w:rPr>
          <w:color w:val="000000"/>
          <w:spacing w:val="0"/>
          <w:w w:val="100"/>
          <w:position w:val="0"/>
        </w:rPr>
        <w:t>攻击和零日攻击等新型攻击技术的出现使得网络攻击从软件走向硬 件，国家重大基础设施成为亟需保护的对象，网络空间的安全与国土安全、经济安全、政治安全成为国家安全的基础，但我 国国家意义上的网络空间自主可控和防护尚是一片处女地。可以说，当前国内外在信息安全方面的差距主要是基础</w:t>
      </w:r>
      <w:r>
        <w:rPr>
          <w:rFonts w:ascii="Times New Roman" w:eastAsia="Times New Roman" w:hAnsi="Times New Roman" w:cs="Times New Roman"/>
          <w:color w:val="000000"/>
          <w:spacing w:val="0"/>
          <w:w w:val="100"/>
          <w:position w:val="0"/>
        </w:rPr>
        <w:t>IT</w:t>
      </w:r>
      <w:r>
        <w:rPr>
          <w:color w:val="000000"/>
          <w:spacing w:val="0"/>
          <w:w w:val="100"/>
          <w:position w:val="0"/>
        </w:rPr>
        <w:t>软硬件 的技术差距和信息对抗的投入差距，近年来美国在网络安全对抗方面的国家性投入预算达到</w:t>
      </w:r>
      <w:r>
        <w:rPr>
          <w:rFonts w:ascii="Times New Roman" w:eastAsia="Times New Roman" w:hAnsi="Times New Roman" w:cs="Times New Roman"/>
          <w:color w:val="000000"/>
          <w:spacing w:val="0"/>
          <w:w w:val="100"/>
          <w:position w:val="0"/>
        </w:rPr>
        <w:t>40</w:t>
      </w:r>
      <w:r>
        <w:rPr>
          <w:color w:val="000000"/>
          <w:spacing w:val="0"/>
          <w:w w:val="100"/>
          <w:position w:val="0"/>
        </w:rPr>
        <w:t>亿美金左右，中短期来看，通 过加大信息对抗投入以确保网络安全是行之有效的做法，信息安全内涵和边界的扩张将带来行业市场空间的成倍扩张。</w:t>
      </w:r>
    </w:p>
    <w:p>
      <w:pPr>
        <w:pStyle w:val="Style9"/>
        <w:keepNext w:val="0"/>
        <w:keepLines w:val="0"/>
        <w:widowControl w:val="0"/>
        <w:shd w:val="clear" w:color="auto" w:fill="auto"/>
        <w:tabs>
          <w:tab w:pos="295" w:val="left"/>
        </w:tabs>
        <w:bidi w:val="0"/>
        <w:spacing w:before="0" w:after="0" w:line="314" w:lineRule="exact"/>
        <w:ind w:left="0" w:right="0" w:firstLine="0"/>
        <w:jc w:val="both"/>
      </w:pPr>
      <w:bookmarkStart w:id="117" w:name="bookmark117"/>
      <w:r>
        <w:rPr>
          <w:rFonts w:ascii="Times New Roman" w:eastAsia="Times New Roman" w:hAnsi="Times New Roman" w:cs="Times New Roman"/>
          <w:color w:val="000000"/>
          <w:spacing w:val="0"/>
          <w:w w:val="100"/>
          <w:position w:val="0"/>
        </w:rPr>
        <w:t>2</w:t>
      </w:r>
      <w:bookmarkEnd w:id="117"/>
      <w:r>
        <w:rPr>
          <w:rFonts w:ascii="Times New Roman" w:eastAsia="Times New Roman" w:hAnsi="Times New Roman" w:cs="Times New Roman"/>
          <w:color w:val="000000"/>
          <w:spacing w:val="0"/>
          <w:w w:val="100"/>
          <w:position w:val="0"/>
        </w:rPr>
        <w:t>）</w:t>
        <w:tab/>
      </w:r>
      <w:r>
        <w:rPr>
          <w:color w:val="000000"/>
          <w:spacing w:val="0"/>
          <w:w w:val="100"/>
          <w:position w:val="0"/>
        </w:rPr>
        <w:t>自主信息安全产品的需求趋旺</w:t>
      </w:r>
    </w:p>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与全球信息安全市场相比，我国信息安全行业正处于快速成长期，持续增长的市场规模，带动了国内信息安全技术与产品的 快速提升，尤其是在经历了</w:t>
      </w:r>
      <w:r>
        <w:rPr>
          <w:rFonts w:ascii="Times New Roman" w:eastAsia="Times New Roman" w:hAnsi="Times New Roman" w:cs="Times New Roman"/>
          <w:color w:val="000000"/>
          <w:spacing w:val="0"/>
          <w:w w:val="100"/>
          <w:position w:val="0"/>
        </w:rPr>
        <w:t>“</w:t>
      </w:r>
      <w:r>
        <w:rPr>
          <w:color w:val="000000"/>
          <w:spacing w:val="0"/>
          <w:w w:val="100"/>
          <w:position w:val="0"/>
        </w:rPr>
        <w:t>棱镜门</w:t>
      </w:r>
      <w:r>
        <w:rPr>
          <w:rFonts w:ascii="Times New Roman" w:eastAsia="Times New Roman" w:hAnsi="Times New Roman" w:cs="Times New Roman"/>
          <w:color w:val="000000"/>
          <w:spacing w:val="0"/>
          <w:w w:val="100"/>
          <w:position w:val="0"/>
        </w:rPr>
        <w:t>”</w:t>
      </w:r>
      <w:r>
        <w:rPr>
          <w:color w:val="000000"/>
          <w:spacing w:val="0"/>
          <w:w w:val="100"/>
          <w:position w:val="0"/>
        </w:rPr>
        <w:t>事件的冲击后，政府、电信、金融、电力、能源等行业企业和用户，逐渐转向采用自主 可控的信息安全技术与产品替代国外同类产品。</w:t>
      </w:r>
    </w:p>
    <w:p>
      <w:pPr>
        <w:pStyle w:val="Style9"/>
        <w:keepNext w:val="0"/>
        <w:keepLines w:val="0"/>
        <w:widowControl w:val="0"/>
        <w:shd w:val="clear" w:color="auto" w:fill="auto"/>
        <w:tabs>
          <w:tab w:pos="295" w:val="left"/>
        </w:tabs>
        <w:bidi w:val="0"/>
        <w:spacing w:before="0" w:after="0" w:line="314" w:lineRule="exact"/>
        <w:ind w:left="0" w:right="0" w:firstLine="0"/>
        <w:jc w:val="both"/>
      </w:pPr>
      <w:bookmarkStart w:id="118" w:name="bookmark118"/>
      <w:r>
        <w:rPr>
          <w:rFonts w:ascii="Times New Roman" w:eastAsia="Times New Roman" w:hAnsi="Times New Roman" w:cs="Times New Roman"/>
          <w:color w:val="000000"/>
          <w:spacing w:val="0"/>
          <w:w w:val="100"/>
          <w:position w:val="0"/>
        </w:rPr>
        <w:t>3</w:t>
      </w:r>
      <w:bookmarkEnd w:id="118"/>
      <w:r>
        <w:rPr>
          <w:rFonts w:ascii="Times New Roman" w:eastAsia="Times New Roman" w:hAnsi="Times New Roman" w:cs="Times New Roman"/>
          <w:color w:val="000000"/>
          <w:spacing w:val="0"/>
          <w:w w:val="100"/>
          <w:position w:val="0"/>
        </w:rPr>
        <w:t>）</w:t>
        <w:tab/>
      </w:r>
      <w:r>
        <w:rPr>
          <w:color w:val="000000"/>
          <w:spacing w:val="0"/>
          <w:w w:val="100"/>
          <w:position w:val="0"/>
        </w:rPr>
        <w:t>用户需求从产品向整体解决方案演变</w:t>
      </w:r>
    </w:p>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面对日趋复杂和频繁的网络安全威胁，用户需求已经开始从单一的信息安全设备，向安全可信的整体信息安全架构，以及一 体化的安全需求解决方案演变，客户也愿意为了具有高附加值的安全整体解决方案负担相对较高的费用。能否通过有效整合 第三方产品并融合行业应用特点，以用户实际</w:t>
      </w:r>
      <w:r>
        <w:rPr>
          <w:rFonts w:ascii="Times New Roman" w:eastAsia="Times New Roman" w:hAnsi="Times New Roman" w:cs="Times New Roman"/>
          <w:color w:val="000000"/>
          <w:spacing w:val="0"/>
          <w:w w:val="100"/>
          <w:position w:val="0"/>
        </w:rPr>
        <w:t>IT</w:t>
      </w:r>
      <w:r>
        <w:rPr>
          <w:color w:val="000000"/>
          <w:spacing w:val="0"/>
          <w:w w:val="100"/>
          <w:position w:val="0"/>
        </w:rPr>
        <w:t>架构为依托的基础上满足其个性化的安全需求，为用户提供信息系统全生命 周期安全保障与全过程服务，将是未来信息安全厂商的核心竞争力所在。</w:t>
      </w:r>
    </w:p>
    <w:p>
      <w:pPr>
        <w:pStyle w:val="Style9"/>
        <w:keepNext w:val="0"/>
        <w:keepLines w:val="0"/>
        <w:widowControl w:val="0"/>
        <w:shd w:val="clear" w:color="auto" w:fill="auto"/>
        <w:tabs>
          <w:tab w:pos="295" w:val="left"/>
        </w:tabs>
        <w:bidi w:val="0"/>
        <w:spacing w:before="0" w:after="0" w:line="314" w:lineRule="exact"/>
        <w:ind w:left="0" w:right="0" w:firstLine="0"/>
        <w:jc w:val="both"/>
      </w:pPr>
      <w:bookmarkStart w:id="119" w:name="bookmark119"/>
      <w:r>
        <w:rPr>
          <w:rFonts w:ascii="Times New Roman" w:eastAsia="Times New Roman" w:hAnsi="Times New Roman" w:cs="Times New Roman"/>
          <w:color w:val="000000"/>
          <w:spacing w:val="0"/>
          <w:w w:val="100"/>
          <w:position w:val="0"/>
        </w:rPr>
        <w:t>4</w:t>
      </w:r>
      <w:bookmarkEnd w:id="119"/>
      <w:r>
        <w:rPr>
          <w:rFonts w:ascii="Times New Roman" w:eastAsia="Times New Roman" w:hAnsi="Times New Roman" w:cs="Times New Roman"/>
          <w:color w:val="000000"/>
          <w:spacing w:val="0"/>
          <w:w w:val="100"/>
          <w:position w:val="0"/>
        </w:rPr>
        <w:t>）</w:t>
        <w:tab/>
      </w:r>
      <w:r>
        <w:rPr>
          <w:color w:val="000000"/>
          <w:spacing w:val="0"/>
          <w:w w:val="100"/>
          <w:position w:val="0"/>
        </w:rPr>
        <w:t>云安全市场大有可为</w:t>
      </w:r>
    </w:p>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随着云计算、大数据分析等新兴技术和应用的发展，越来越多的用户开始选择将数据和应用从内部</w:t>
      </w:r>
      <w:r>
        <w:rPr>
          <w:rFonts w:ascii="Times New Roman" w:eastAsia="Times New Roman" w:hAnsi="Times New Roman" w:cs="Times New Roman"/>
          <w:color w:val="000000"/>
          <w:spacing w:val="0"/>
          <w:w w:val="100"/>
          <w:position w:val="0"/>
        </w:rPr>
        <w:t>IT</w:t>
      </w:r>
      <w:r>
        <w:rPr>
          <w:color w:val="000000"/>
          <w:spacing w:val="0"/>
          <w:w w:val="100"/>
          <w:position w:val="0"/>
        </w:rPr>
        <w:t>系统迁移到第三方提供 的云服务上云供应商的后台基础设施和平台即服务</w:t>
      </w:r>
      <w:r>
        <w:rPr>
          <w:rFonts w:ascii="Times New Roman" w:eastAsia="Times New Roman" w:hAnsi="Times New Roman" w:cs="Times New Roman"/>
          <w:color w:val="000000"/>
          <w:spacing w:val="0"/>
          <w:w w:val="100"/>
          <w:position w:val="0"/>
        </w:rPr>
        <w:t>（PaaS）</w:t>
      </w:r>
      <w:r>
        <w:rPr>
          <w:color w:val="000000"/>
          <w:spacing w:val="0"/>
          <w:w w:val="100"/>
          <w:position w:val="0"/>
        </w:rPr>
        <w:t>系统的安全性问题变得越来越重要。由于云服务商在安全方面的经 验不足，很难在短期内在云安全上有所作为，加上面临市场的迫切需求，专业化的信息安全企业将迎来发展机会。</w:t>
      </w:r>
    </w:p>
    <w:p>
      <w:pPr>
        <w:pStyle w:val="Style9"/>
        <w:keepNext w:val="0"/>
        <w:keepLines w:val="0"/>
        <w:widowControl w:val="0"/>
        <w:shd w:val="clear" w:color="auto" w:fill="auto"/>
        <w:tabs>
          <w:tab w:pos="477" w:val="left"/>
        </w:tabs>
        <w:bidi w:val="0"/>
        <w:spacing w:before="0" w:after="0" w:line="314" w:lineRule="exact"/>
        <w:ind w:left="0" w:right="0" w:firstLine="0"/>
        <w:jc w:val="both"/>
      </w:pPr>
      <w:bookmarkStart w:id="120" w:name="bookmark120"/>
      <w:r>
        <w:rPr>
          <w:color w:val="000000"/>
          <w:spacing w:val="0"/>
          <w:w w:val="100"/>
          <w:position w:val="0"/>
        </w:rPr>
        <w:t>（</w:t>
      </w:r>
      <w:bookmarkEnd w:id="120"/>
      <w:r>
        <w:rPr>
          <w:color w:val="000000"/>
          <w:spacing w:val="0"/>
          <w:w w:val="100"/>
          <w:position w:val="0"/>
        </w:rPr>
        <w:t>二）</w:t>
        <w:tab/>
        <w:t>行业市场格局</w:t>
      </w:r>
    </w:p>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CCID</w:t>
      </w:r>
      <w:r>
        <w:rPr>
          <w:color w:val="000000"/>
          <w:spacing w:val="0"/>
          <w:w w:val="100"/>
          <w:position w:val="0"/>
        </w:rPr>
        <w:t>发布的《</w:t>
      </w:r>
      <w:r>
        <w:rPr>
          <w:rFonts w:ascii="Times New Roman" w:eastAsia="Times New Roman" w:hAnsi="Times New Roman" w:cs="Times New Roman"/>
          <w:color w:val="000000"/>
          <w:spacing w:val="0"/>
          <w:w w:val="100"/>
          <w:position w:val="0"/>
        </w:rPr>
        <w:t>2012-2013</w:t>
      </w:r>
      <w:r>
        <w:rPr>
          <w:color w:val="000000"/>
          <w:spacing w:val="0"/>
          <w:w w:val="100"/>
          <w:position w:val="0"/>
        </w:rPr>
        <w:t>年度中国信息安全产品市场研究年度报告》显示，</w:t>
      </w:r>
      <w:r>
        <w:rPr>
          <w:rFonts w:ascii="Times New Roman" w:eastAsia="Times New Roman" w:hAnsi="Times New Roman" w:cs="Times New Roman"/>
          <w:color w:val="000000"/>
          <w:spacing w:val="0"/>
          <w:w w:val="100"/>
          <w:position w:val="0"/>
        </w:rPr>
        <w:t>2012</w:t>
      </w:r>
      <w:r>
        <w:rPr>
          <w:color w:val="000000"/>
          <w:spacing w:val="0"/>
          <w:w w:val="100"/>
          <w:position w:val="0"/>
        </w:rPr>
        <w:t>年中国信息安全产品市场规模达到</w:t>
      </w:r>
      <w:r>
        <w:rPr>
          <w:rFonts w:ascii="Times New Roman" w:eastAsia="Times New Roman" w:hAnsi="Times New Roman" w:cs="Times New Roman"/>
          <w:color w:val="000000"/>
          <w:spacing w:val="0"/>
          <w:w w:val="100"/>
          <w:position w:val="0"/>
        </w:rPr>
        <w:t>157.27</w:t>
      </w:r>
      <w:r>
        <w:rPr>
          <w:color w:val="000000"/>
          <w:spacing w:val="0"/>
          <w:w w:val="100"/>
          <w:position w:val="0"/>
        </w:rPr>
        <w:t>亿 元。在产品结构中，安全硬件占了近一半。同期，全球信息安全产品市场规模在</w:t>
      </w:r>
      <w:r>
        <w:rPr>
          <w:rFonts w:ascii="Times New Roman" w:eastAsia="Times New Roman" w:hAnsi="Times New Roman" w:cs="Times New Roman"/>
          <w:color w:val="000000"/>
          <w:spacing w:val="0"/>
          <w:w w:val="100"/>
          <w:position w:val="0"/>
        </w:rPr>
        <w:t>873.53</w:t>
      </w:r>
      <w:r>
        <w:rPr>
          <w:color w:val="000000"/>
          <w:spacing w:val="0"/>
          <w:w w:val="100"/>
          <w:position w:val="0"/>
        </w:rPr>
        <w:t>亿美元，按照最近几年信息安全市场 年均不低于</w:t>
      </w:r>
      <w:r>
        <w:rPr>
          <w:rFonts w:ascii="Times New Roman" w:eastAsia="Times New Roman" w:hAnsi="Times New Roman" w:cs="Times New Roman"/>
          <w:color w:val="000000"/>
          <w:spacing w:val="0"/>
          <w:w w:val="100"/>
          <w:position w:val="0"/>
        </w:rPr>
        <w:t>20%</w:t>
      </w:r>
      <w:r>
        <w:rPr>
          <w:color w:val="000000"/>
          <w:spacing w:val="0"/>
          <w:w w:val="100"/>
          <w:position w:val="0"/>
        </w:rPr>
        <w:t>的增长率预计，</w:t>
      </w:r>
      <w:r>
        <w:rPr>
          <w:rFonts w:ascii="Times New Roman" w:eastAsia="Times New Roman" w:hAnsi="Times New Roman" w:cs="Times New Roman"/>
          <w:color w:val="000000"/>
          <w:spacing w:val="0"/>
          <w:w w:val="100"/>
          <w:position w:val="0"/>
        </w:rPr>
        <w:t>2015</w:t>
      </w:r>
      <w:r>
        <w:rPr>
          <w:color w:val="000000"/>
          <w:spacing w:val="0"/>
          <w:w w:val="100"/>
          <w:position w:val="0"/>
        </w:rPr>
        <w:t>年，市场规模有望超过</w:t>
      </w:r>
      <w:r>
        <w:rPr>
          <w:rFonts w:ascii="Times New Roman" w:eastAsia="Times New Roman" w:hAnsi="Times New Roman" w:cs="Times New Roman"/>
          <w:color w:val="000000"/>
          <w:spacing w:val="0"/>
          <w:w w:val="100"/>
          <w:position w:val="0"/>
        </w:rPr>
        <w:t>270</w:t>
      </w:r>
      <w:r>
        <w:rPr>
          <w:color w:val="000000"/>
          <w:spacing w:val="0"/>
          <w:w w:val="100"/>
          <w:position w:val="0"/>
        </w:rPr>
        <w:t>亿元。随着信息安全市场集中度的提高，未来几年有可能出 现两至三家收入规模达数十亿级别的信息安全龙头企业。</w:t>
      </w:r>
    </w:p>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行业竞争方面，随着平台软件厂商、互联网厂商、存储和网络设备厂商等纷纷加大安全投入，并凭借深厚的信息技术优势将 信息安全技术逐步整合到其产品和服务中，从而站在应用的层面对传统的信息安全企业形成极具威胁的竞争优势。</w:t>
      </w:r>
    </w:p>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产品结构方面，根据</w:t>
      </w:r>
      <w:r>
        <w:rPr>
          <w:rFonts w:ascii="Times New Roman" w:eastAsia="Times New Roman" w:hAnsi="Times New Roman" w:cs="Times New Roman"/>
          <w:color w:val="000000"/>
          <w:spacing w:val="0"/>
          <w:w w:val="100"/>
          <w:position w:val="0"/>
        </w:rPr>
        <w:t>IDC</w:t>
      </w:r>
      <w:r>
        <w:rPr>
          <w:color w:val="000000"/>
          <w:spacing w:val="0"/>
          <w:w w:val="100"/>
          <w:position w:val="0"/>
        </w:rPr>
        <w:t>的统计报告，</w:t>
      </w:r>
      <w:r>
        <w:rPr>
          <w:rFonts w:ascii="Times New Roman" w:eastAsia="Times New Roman" w:hAnsi="Times New Roman" w:cs="Times New Roman"/>
          <w:color w:val="000000"/>
          <w:spacing w:val="0"/>
          <w:w w:val="100"/>
          <w:position w:val="0"/>
        </w:rPr>
        <w:t>2012</w:t>
      </w:r>
      <w:r>
        <w:rPr>
          <w:color w:val="000000"/>
          <w:spacing w:val="0"/>
          <w:w w:val="100"/>
          <w:position w:val="0"/>
        </w:rPr>
        <w:t>年，中国</w:t>
      </w:r>
      <w:r>
        <w:rPr>
          <w:rFonts w:ascii="Times New Roman" w:eastAsia="Times New Roman" w:hAnsi="Times New Roman" w:cs="Times New Roman"/>
          <w:color w:val="000000"/>
          <w:spacing w:val="0"/>
          <w:w w:val="100"/>
          <w:position w:val="0"/>
        </w:rPr>
        <w:t>IT</w:t>
      </w:r>
      <w:r>
        <w:rPr>
          <w:color w:val="000000"/>
          <w:spacing w:val="0"/>
          <w:w w:val="100"/>
          <w:position w:val="0"/>
        </w:rPr>
        <w:t>安全硬件规模中最大的子市场是防火墙</w:t>
      </w:r>
      <w:r>
        <w:rPr>
          <w:rFonts w:ascii="Times New Roman" w:eastAsia="Times New Roman" w:hAnsi="Times New Roman" w:cs="Times New Roman"/>
          <w:color w:val="000000"/>
          <w:spacing w:val="0"/>
          <w:w w:val="100"/>
          <w:position w:val="0"/>
        </w:rPr>
        <w:t>/VPN</w:t>
      </w:r>
      <w:r>
        <w:rPr>
          <w:color w:val="000000"/>
          <w:spacing w:val="0"/>
          <w:w w:val="100"/>
          <w:position w:val="0"/>
        </w:rPr>
        <w:t>硬件；</w:t>
      </w:r>
      <w:r>
        <w:rPr>
          <w:rFonts w:ascii="Times New Roman" w:eastAsia="Times New Roman" w:hAnsi="Times New Roman" w:cs="Times New Roman"/>
          <w:color w:val="000000"/>
          <w:spacing w:val="0"/>
          <w:w w:val="100"/>
          <w:position w:val="0"/>
        </w:rPr>
        <w:t>UTM</w:t>
      </w:r>
      <w:r>
        <w:rPr>
          <w:color w:val="000000"/>
          <w:spacing w:val="0"/>
          <w:w w:val="100"/>
          <w:position w:val="0"/>
        </w:rPr>
        <w:t>和</w:t>
      </w:r>
      <w:r>
        <w:rPr>
          <w:rFonts w:ascii="Times New Roman" w:eastAsia="Times New Roman" w:hAnsi="Times New Roman" w:cs="Times New Roman"/>
          <w:color w:val="000000"/>
          <w:spacing w:val="0"/>
          <w:w w:val="100"/>
          <w:position w:val="0"/>
        </w:rPr>
        <w:t>IPS</w:t>
      </w:r>
      <w:r>
        <w:rPr>
          <w:color w:val="000000"/>
          <w:spacing w:val="0"/>
          <w:w w:val="100"/>
          <w:position w:val="0"/>
        </w:rPr>
        <w:t>的占整 体安全硬件市场的比例也超过</w:t>
      </w:r>
      <w:r>
        <w:rPr>
          <w:rFonts w:ascii="Times New Roman" w:eastAsia="Times New Roman" w:hAnsi="Times New Roman" w:cs="Times New Roman"/>
          <w:color w:val="000000"/>
          <w:spacing w:val="0"/>
          <w:w w:val="100"/>
          <w:position w:val="0"/>
        </w:rPr>
        <w:t>30%</w:t>
      </w:r>
      <w:r>
        <w:rPr>
          <w:color w:val="000000"/>
          <w:spacing w:val="0"/>
          <w:w w:val="100"/>
          <w:position w:val="0"/>
        </w:rPr>
        <w:t>；安全内容管理市场依然保持快速增长，排名第四。我们预计，除去安全内容管理市场将 继续保持快速增长外，未信息安全服务市场的收入规模也将快速上升。</w:t>
      </w:r>
    </w:p>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截至目前，已有多家专注信息安全业务的公司成功上市，未来行业内的兼并重组将日趋频繁。以启明星辰为例，从</w:t>
      </w:r>
      <w:r>
        <w:rPr>
          <w:rFonts w:ascii="Times New Roman" w:eastAsia="Times New Roman" w:hAnsi="Times New Roman" w:cs="Times New Roman"/>
          <w:color w:val="000000"/>
          <w:spacing w:val="0"/>
          <w:w w:val="100"/>
          <w:position w:val="0"/>
        </w:rPr>
        <w:t>2012</w:t>
      </w:r>
      <w:r>
        <w:rPr>
          <w:color w:val="000000"/>
          <w:spacing w:val="0"/>
          <w:w w:val="100"/>
          <w:position w:val="0"/>
        </w:rPr>
        <w:t>年收 购网御星云全部股权，到</w:t>
      </w:r>
      <w:r>
        <w:rPr>
          <w:rFonts w:ascii="Times New Roman" w:eastAsia="Times New Roman" w:hAnsi="Times New Roman" w:cs="Times New Roman"/>
          <w:color w:val="000000"/>
          <w:spacing w:val="0"/>
          <w:w w:val="100"/>
          <w:position w:val="0"/>
        </w:rPr>
        <w:t>2013</w:t>
      </w:r>
      <w:r>
        <w:rPr>
          <w:color w:val="000000"/>
          <w:spacing w:val="0"/>
          <w:w w:val="100"/>
          <w:position w:val="0"/>
        </w:rPr>
        <w:t>年底向其股权投资平台子公司启明星辰信息安全投资有限公司增资</w:t>
      </w:r>
      <w:r>
        <w:rPr>
          <w:rFonts w:ascii="Times New Roman" w:eastAsia="Times New Roman" w:hAnsi="Times New Roman" w:cs="Times New Roman"/>
          <w:color w:val="000000"/>
          <w:spacing w:val="0"/>
          <w:w w:val="100"/>
          <w:position w:val="0"/>
        </w:rPr>
        <w:t>1.3</w:t>
      </w:r>
      <w:r>
        <w:rPr>
          <w:color w:val="000000"/>
          <w:spacing w:val="0"/>
          <w:w w:val="100"/>
          <w:position w:val="0"/>
        </w:rPr>
        <w:t>亿元，启明星辰在信息 安全领域进行股权投资的步伐正在加快，与之相应的营收规模已由上市之初的</w:t>
      </w:r>
      <w:r>
        <w:rPr>
          <w:rFonts w:ascii="Times New Roman" w:eastAsia="Times New Roman" w:hAnsi="Times New Roman" w:cs="Times New Roman"/>
          <w:color w:val="000000"/>
          <w:spacing w:val="0"/>
          <w:w w:val="100"/>
          <w:position w:val="0"/>
        </w:rPr>
        <w:t>3</w:t>
      </w:r>
      <w:r>
        <w:rPr>
          <w:color w:val="000000"/>
          <w:spacing w:val="0"/>
          <w:w w:val="100"/>
          <w:position w:val="0"/>
        </w:rPr>
        <w:t>亿元猛增至近</w:t>
      </w:r>
      <w:r>
        <w:rPr>
          <w:rFonts w:ascii="Times New Roman" w:eastAsia="Times New Roman" w:hAnsi="Times New Roman" w:cs="Times New Roman"/>
          <w:color w:val="000000"/>
          <w:spacing w:val="0"/>
          <w:w w:val="100"/>
          <w:position w:val="0"/>
        </w:rPr>
        <w:t>9</w:t>
      </w:r>
      <w:r>
        <w:rPr>
          <w:color w:val="000000"/>
          <w:spacing w:val="0"/>
          <w:w w:val="100"/>
          <w:position w:val="0"/>
        </w:rPr>
        <w:t>亿多元。随着国家安全委员会 和中央网络安全和信息化领导小组有关促进行业发展的政策举措落地实施,预计在未来几年还会有更多的信息安全企业通过 上市或收购兼并等方式来整合资源，本行业的市场格局也将会产生相应的变化。</w:t>
      </w:r>
    </w:p>
    <w:p>
      <w:pPr>
        <w:pStyle w:val="Style9"/>
        <w:keepNext w:val="0"/>
        <w:keepLines w:val="0"/>
        <w:widowControl w:val="0"/>
        <w:shd w:val="clear" w:color="auto" w:fill="auto"/>
        <w:tabs>
          <w:tab w:pos="477" w:val="left"/>
        </w:tabs>
        <w:bidi w:val="0"/>
        <w:spacing w:before="0" w:after="0" w:line="314" w:lineRule="exact"/>
        <w:ind w:left="0" w:right="0" w:firstLine="0"/>
        <w:jc w:val="both"/>
      </w:pPr>
      <w:bookmarkStart w:id="121" w:name="bookmark121"/>
      <w:r>
        <w:rPr>
          <w:color w:val="000000"/>
          <w:spacing w:val="0"/>
          <w:w w:val="100"/>
          <w:position w:val="0"/>
        </w:rPr>
        <w:t>（</w:t>
      </w:r>
      <w:bookmarkEnd w:id="121"/>
      <w:r>
        <w:rPr>
          <w:color w:val="000000"/>
          <w:spacing w:val="0"/>
          <w:w w:val="100"/>
          <w:position w:val="0"/>
        </w:rPr>
        <w:t>三）</w:t>
        <w:tab/>
        <w:t>面临的挑战</w:t>
      </w:r>
    </w:p>
    <w:p>
      <w:pPr>
        <w:pStyle w:val="Style9"/>
        <w:keepNext w:val="0"/>
        <w:keepLines w:val="0"/>
        <w:widowControl w:val="0"/>
        <w:shd w:val="clear" w:color="auto" w:fill="auto"/>
        <w:tabs>
          <w:tab w:pos="281" w:val="left"/>
        </w:tabs>
        <w:bidi w:val="0"/>
        <w:spacing w:before="0" w:after="0" w:line="314" w:lineRule="exact"/>
        <w:ind w:left="0" w:right="0" w:firstLine="0"/>
        <w:jc w:val="both"/>
      </w:pPr>
      <w:bookmarkStart w:id="122" w:name="bookmark122"/>
      <w:r>
        <w:rPr>
          <w:rFonts w:ascii="Times New Roman" w:eastAsia="Times New Roman" w:hAnsi="Times New Roman" w:cs="Times New Roman"/>
          <w:color w:val="000000"/>
          <w:spacing w:val="0"/>
          <w:w w:val="100"/>
          <w:position w:val="0"/>
        </w:rPr>
        <w:t>1</w:t>
      </w:r>
      <w:bookmarkEnd w:id="122"/>
      <w:r>
        <w:rPr>
          <w:color w:val="000000"/>
          <w:spacing w:val="0"/>
          <w:w w:val="100"/>
          <w:position w:val="0"/>
        </w:rPr>
        <w:t>、</w:t>
        <w:tab/>
        <w:t>我国信息安全领域与国际先进水平存在差距</w:t>
      </w:r>
    </w:p>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目前，我国网络通信、</w:t>
      </w:r>
      <w:r>
        <w:rPr>
          <w:rFonts w:ascii="Times New Roman" w:eastAsia="Times New Roman" w:hAnsi="Times New Roman" w:cs="Times New Roman"/>
          <w:color w:val="000000"/>
          <w:spacing w:val="0"/>
          <w:w w:val="100"/>
          <w:position w:val="0"/>
        </w:rPr>
        <w:t>IT</w:t>
      </w:r>
      <w:r>
        <w:rPr>
          <w:color w:val="000000"/>
          <w:spacing w:val="0"/>
          <w:w w:val="100"/>
          <w:position w:val="0"/>
        </w:rPr>
        <w:t>系统等信息技术相关的软、硬件仍以国外产品为主，从源头上受制于人，这对国家信息安全构成了 潜在的重要威胁。从这个角度讲，只有在实现了信息技术关键设备国产化替代的前提下，开展信息安全技术和产品的升级才 是有效的。虽然信息安全产业在国内初具规模，但我国的信息安全上至国家立法保障、组织监管，下至产品技术，均与世界 先进水平还有差距，关键产品的国产化替代难以在很短的时间内完成。</w:t>
      </w:r>
    </w:p>
    <w:p>
      <w:pPr>
        <w:pStyle w:val="Style9"/>
        <w:keepNext w:val="0"/>
        <w:keepLines w:val="0"/>
        <w:widowControl w:val="0"/>
        <w:shd w:val="clear" w:color="auto" w:fill="auto"/>
        <w:tabs>
          <w:tab w:pos="300" w:val="left"/>
        </w:tabs>
        <w:bidi w:val="0"/>
        <w:spacing w:before="0" w:after="0" w:line="314" w:lineRule="exact"/>
        <w:ind w:left="0" w:right="0" w:firstLine="0"/>
        <w:jc w:val="both"/>
      </w:pPr>
      <w:bookmarkStart w:id="123" w:name="bookmark123"/>
      <w:r>
        <w:rPr>
          <w:rFonts w:ascii="Times New Roman" w:eastAsia="Times New Roman" w:hAnsi="Times New Roman" w:cs="Times New Roman"/>
          <w:color w:val="000000"/>
          <w:spacing w:val="0"/>
          <w:w w:val="100"/>
          <w:position w:val="0"/>
        </w:rPr>
        <w:t>2</w:t>
      </w:r>
      <w:bookmarkEnd w:id="123"/>
      <w:r>
        <w:rPr>
          <w:color w:val="000000"/>
          <w:spacing w:val="0"/>
          <w:w w:val="100"/>
          <w:position w:val="0"/>
        </w:rPr>
        <w:t>、</w:t>
        <w:tab/>
        <w:t>移动互联网安全领域的挑战</w:t>
      </w:r>
    </w:p>
    <w:p>
      <w:pPr>
        <w:pStyle w:val="Style9"/>
        <w:keepNext w:val="0"/>
        <w:keepLines w:val="0"/>
        <w:widowControl w:val="0"/>
        <w:shd w:val="clear" w:color="auto" w:fill="auto"/>
        <w:bidi w:val="0"/>
        <w:spacing w:before="0" w:after="80" w:line="314" w:lineRule="exact"/>
        <w:ind w:left="0" w:right="0" w:firstLine="0"/>
        <w:jc w:val="both"/>
      </w:pPr>
      <w:r>
        <w:rPr>
          <w:color w:val="000000"/>
          <w:spacing w:val="0"/>
          <w:w w:val="100"/>
          <w:position w:val="0"/>
        </w:rPr>
        <w:t>随着网络应用的日益广泛，网购、微信等第三方支付等应用用户对</w:t>
      </w:r>
      <w:r>
        <w:rPr>
          <w:rFonts w:ascii="Times New Roman" w:eastAsia="Times New Roman" w:hAnsi="Times New Roman" w:cs="Times New Roman"/>
          <w:color w:val="000000"/>
          <w:spacing w:val="0"/>
          <w:w w:val="100"/>
          <w:position w:val="0"/>
        </w:rPr>
        <w:t>IT</w:t>
      </w:r>
      <w:r>
        <w:rPr>
          <w:color w:val="000000"/>
          <w:spacing w:val="0"/>
          <w:w w:val="100"/>
          <w:position w:val="0"/>
        </w:rPr>
        <w:t>安全的需求也在不断增加，未来的中国</w:t>
      </w:r>
      <w:r>
        <w:rPr>
          <w:rFonts w:ascii="Times New Roman" w:eastAsia="Times New Roman" w:hAnsi="Times New Roman" w:cs="Times New Roman"/>
          <w:color w:val="000000"/>
          <w:spacing w:val="0"/>
          <w:w w:val="100"/>
          <w:position w:val="0"/>
        </w:rPr>
        <w:t>IT</w:t>
      </w:r>
      <w:r>
        <w:rPr>
          <w:color w:val="000000"/>
          <w:spacing w:val="0"/>
          <w:w w:val="100"/>
          <w:position w:val="0"/>
        </w:rPr>
        <w:t>安全市场发 展潜力巨大；此外，</w:t>
      </w:r>
      <w:r>
        <w:rPr>
          <w:rFonts w:ascii="Times New Roman" w:eastAsia="Times New Roman" w:hAnsi="Times New Roman" w:cs="Times New Roman"/>
          <w:color w:val="000000"/>
          <w:spacing w:val="0"/>
          <w:w w:val="100"/>
          <w:position w:val="0"/>
        </w:rPr>
        <w:t>IT</w:t>
      </w:r>
      <w:r>
        <w:rPr>
          <w:color w:val="000000"/>
          <w:spacing w:val="0"/>
          <w:w w:val="100"/>
          <w:position w:val="0"/>
        </w:rPr>
        <w:t>第三方平台的新兴技术，云计算、大数据、移动以及社交网络的发展将成为引领未来安全领域增长 的主要方向。通过移动终端接入互联网的网络环境更加复杂，这对信息安全企业提出了更高的技术要求。与此同时，由于智 能手机的使用率太高，百度、腾讯、</w:t>
      </w:r>
      <w:r>
        <w:rPr>
          <w:rFonts w:ascii="Times New Roman" w:eastAsia="Times New Roman" w:hAnsi="Times New Roman" w:cs="Times New Roman"/>
          <w:color w:val="000000"/>
          <w:spacing w:val="0"/>
          <w:w w:val="100"/>
          <w:position w:val="0"/>
        </w:rPr>
        <w:t>360</w:t>
      </w:r>
      <w:r>
        <w:rPr>
          <w:color w:val="000000"/>
          <w:spacing w:val="0"/>
          <w:w w:val="100"/>
          <w:position w:val="0"/>
        </w:rPr>
        <w:t>等互联网公司已开始在移动互联网安全领域跑马圈地，这对传统的信息安全企业来 讲，无疑是重要的竞争威胁。</w:t>
      </w:r>
    </w:p>
    <w:p>
      <w:pPr>
        <w:pStyle w:val="Style9"/>
        <w:keepNext w:val="0"/>
        <w:keepLines w:val="0"/>
        <w:widowControl w:val="0"/>
        <w:shd w:val="clear" w:color="auto" w:fill="auto"/>
        <w:tabs>
          <w:tab w:pos="300" w:val="left"/>
        </w:tabs>
        <w:bidi w:val="0"/>
        <w:spacing w:before="0" w:after="0"/>
        <w:ind w:left="0" w:right="0" w:firstLine="0"/>
        <w:jc w:val="both"/>
      </w:pPr>
      <w:bookmarkStart w:id="124" w:name="bookmark124"/>
      <w:r>
        <w:rPr>
          <w:rFonts w:ascii="Times New Roman" w:eastAsia="Times New Roman" w:hAnsi="Times New Roman" w:cs="Times New Roman"/>
          <w:color w:val="000000"/>
          <w:spacing w:val="0"/>
          <w:w w:val="100"/>
          <w:position w:val="0"/>
        </w:rPr>
        <w:t>3</w:t>
      </w:r>
      <w:bookmarkEnd w:id="124"/>
      <w:r>
        <w:rPr>
          <w:color w:val="000000"/>
          <w:spacing w:val="0"/>
          <w:w w:val="100"/>
          <w:position w:val="0"/>
        </w:rPr>
        <w:t>、</w:t>
        <w:tab/>
      </w:r>
      <w:r>
        <w:rPr>
          <w:rFonts w:ascii="Times New Roman" w:eastAsia="Times New Roman" w:hAnsi="Times New Roman" w:cs="Times New Roman"/>
          <w:color w:val="000000"/>
          <w:spacing w:val="0"/>
          <w:w w:val="100"/>
          <w:position w:val="0"/>
        </w:rPr>
        <w:t>APT</w:t>
      </w:r>
      <w:r>
        <w:rPr>
          <w:color w:val="000000"/>
          <w:spacing w:val="0"/>
          <w:w w:val="100"/>
          <w:position w:val="0"/>
        </w:rPr>
        <w:t>攻击愈演愈烈</w:t>
      </w:r>
    </w:p>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APT</w:t>
      </w:r>
      <w:r>
        <w:rPr>
          <w:color w:val="000000"/>
          <w:spacing w:val="0"/>
          <w:w w:val="100"/>
          <w:position w:val="0"/>
        </w:rPr>
        <w:t>攻击是指针对特定对象，长期、有计划性和组织性地攻击，并且往往是为了窃取数据、搜集情报等。由于</w:t>
      </w:r>
      <w:r>
        <w:rPr>
          <w:rFonts w:ascii="Times New Roman" w:eastAsia="Times New Roman" w:hAnsi="Times New Roman" w:cs="Times New Roman"/>
          <w:color w:val="000000"/>
          <w:spacing w:val="0"/>
          <w:w w:val="100"/>
          <w:position w:val="0"/>
        </w:rPr>
        <w:t>APT</w:t>
      </w:r>
      <w:r>
        <w:rPr>
          <w:color w:val="000000"/>
          <w:spacing w:val="0"/>
          <w:w w:val="100"/>
          <w:position w:val="0"/>
        </w:rPr>
        <w:t>攻击范围 更广，针对性更强，新型攻击技术和手段层出不穷使得隐蔽性更高、潜伏期更长，因此，在</w:t>
      </w:r>
      <w:r>
        <w:rPr>
          <w:rFonts w:ascii="Times New Roman" w:eastAsia="Times New Roman" w:hAnsi="Times New Roman" w:cs="Times New Roman"/>
          <w:color w:val="000000"/>
          <w:spacing w:val="0"/>
          <w:w w:val="100"/>
          <w:position w:val="0"/>
        </w:rPr>
        <w:t>APT</w:t>
      </w:r>
      <w:r>
        <w:rPr>
          <w:color w:val="000000"/>
          <w:spacing w:val="0"/>
          <w:w w:val="100"/>
          <w:position w:val="0"/>
        </w:rPr>
        <w:t>攻击愈演愈烈的情况下，对 于</w:t>
      </w:r>
      <w:r>
        <w:rPr>
          <w:rFonts w:ascii="Times New Roman" w:eastAsia="Times New Roman" w:hAnsi="Times New Roman" w:cs="Times New Roman"/>
          <w:color w:val="000000"/>
          <w:spacing w:val="0"/>
          <w:w w:val="100"/>
          <w:position w:val="0"/>
        </w:rPr>
        <w:t>APT</w:t>
      </w:r>
      <w:r>
        <w:rPr>
          <w:color w:val="000000"/>
          <w:spacing w:val="0"/>
          <w:w w:val="100"/>
          <w:position w:val="0"/>
        </w:rPr>
        <w:t xml:space="preserve">攻击的检测与防御愈发困难，单靠信息安全产品本身已不足以应对，信息安全企业只有紧跟全球信息安全技术发展态 </w:t>
      </w:r>
      <w:r>
        <w:rPr>
          <w:color w:val="000000"/>
          <w:spacing w:val="0"/>
          <w:w w:val="100"/>
          <w:position w:val="0"/>
        </w:rPr>
        <w:t>势，加强信息安全综合服务能力，为用户提供个性化的安全解决方案，才能解决用户对</w:t>
      </w:r>
      <w:r>
        <w:rPr>
          <w:rFonts w:ascii="Times New Roman" w:eastAsia="Times New Roman" w:hAnsi="Times New Roman" w:cs="Times New Roman"/>
          <w:color w:val="000000"/>
          <w:spacing w:val="0"/>
          <w:w w:val="100"/>
          <w:position w:val="0"/>
        </w:rPr>
        <w:t>APT</w:t>
      </w:r>
      <w:r>
        <w:rPr>
          <w:color w:val="000000"/>
          <w:spacing w:val="0"/>
          <w:w w:val="100"/>
          <w:position w:val="0"/>
        </w:rPr>
        <w:t>攻击的防御需求。</w:t>
      </w:r>
    </w:p>
    <w:p>
      <w:pPr>
        <w:pStyle w:val="Style9"/>
        <w:keepNext w:val="0"/>
        <w:keepLines w:val="0"/>
        <w:widowControl w:val="0"/>
        <w:shd w:val="clear" w:color="auto" w:fill="auto"/>
        <w:bidi w:val="0"/>
        <w:spacing w:before="0" w:after="0" w:line="314" w:lineRule="exact"/>
        <w:ind w:left="0" w:right="0" w:firstLine="0"/>
        <w:jc w:val="left"/>
      </w:pPr>
      <w:bookmarkStart w:id="125" w:name="bookmark125"/>
      <w:r>
        <w:rPr>
          <w:color w:val="000000"/>
          <w:spacing w:val="0"/>
          <w:w w:val="100"/>
          <w:position w:val="0"/>
        </w:rPr>
        <w:t>（</w:t>
      </w:r>
      <w:bookmarkEnd w:id="125"/>
      <w:r>
        <w:rPr>
          <w:color w:val="000000"/>
          <w:spacing w:val="0"/>
          <w:w w:val="100"/>
          <w:position w:val="0"/>
        </w:rPr>
        <w:t>四）公司未来发展计划</w:t>
      </w:r>
    </w:p>
    <w:p>
      <w:pPr>
        <w:pStyle w:val="Style9"/>
        <w:keepNext w:val="0"/>
        <w:keepLines w:val="0"/>
        <w:widowControl w:val="0"/>
        <w:shd w:val="clear" w:color="auto" w:fill="auto"/>
        <w:bidi w:val="0"/>
        <w:spacing w:before="0" w:after="100" w:line="314"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年，公司将在继续巩固和扩大传统业务领域优势的基础上，采取建立更加灵活的市场营销策略，借助大数据技术整合各 业务线数据资源,加大新业务领域和市场拓展的力度，力争保持主营业务收入稳定增长，完成收入比</w:t>
      </w:r>
      <w:r>
        <w:rPr>
          <w:rFonts w:ascii="Times New Roman" w:eastAsia="Times New Roman" w:hAnsi="Times New Roman" w:cs="Times New Roman"/>
          <w:color w:val="000000"/>
          <w:spacing w:val="0"/>
          <w:w w:val="100"/>
          <w:position w:val="0"/>
        </w:rPr>
        <w:t>2013</w:t>
      </w:r>
      <w:r>
        <w:rPr>
          <w:color w:val="000000"/>
          <w:spacing w:val="0"/>
          <w:w w:val="100"/>
          <w:position w:val="0"/>
        </w:rPr>
        <w:t>年增长</w:t>
      </w:r>
      <w:r>
        <w:rPr>
          <w:rFonts w:ascii="Times New Roman" w:eastAsia="Times New Roman" w:hAnsi="Times New Roman" w:cs="Times New Roman"/>
          <w:color w:val="000000"/>
          <w:spacing w:val="0"/>
          <w:w w:val="100"/>
          <w:position w:val="0"/>
        </w:rPr>
        <w:t>30%</w:t>
      </w:r>
      <w:r>
        <w:rPr>
          <w:color w:val="000000"/>
          <w:spacing w:val="0"/>
          <w:w w:val="100"/>
          <w:position w:val="0"/>
        </w:rPr>
        <w:t>以上（注: 上述目标并不代表公司对</w:t>
      </w:r>
      <w:r>
        <w:rPr>
          <w:rFonts w:ascii="Times New Roman" w:eastAsia="Times New Roman" w:hAnsi="Times New Roman" w:cs="Times New Roman"/>
          <w:color w:val="000000"/>
          <w:spacing w:val="0"/>
          <w:w w:val="100"/>
          <w:position w:val="0"/>
        </w:rPr>
        <w:t>2014</w:t>
      </w:r>
      <w:r>
        <w:rPr>
          <w:color w:val="000000"/>
          <w:spacing w:val="0"/>
          <w:w w:val="100"/>
          <w:position w:val="0"/>
        </w:rPr>
        <w:t>年度的盈利预测，能否实现取决于市场状况变化、经营策略能否有效实施等多种因素，存在很 大的不确定性，请投资者特别注意），为此公司将着重做好以下经营工作：</w:t>
      </w:r>
    </w:p>
    <w:p>
      <w:pPr>
        <w:pStyle w:val="Style9"/>
        <w:keepNext w:val="0"/>
        <w:keepLines w:val="0"/>
        <w:widowControl w:val="0"/>
        <w:shd w:val="clear" w:color="auto" w:fill="auto"/>
        <w:tabs>
          <w:tab w:pos="340" w:val="left"/>
        </w:tabs>
        <w:bidi w:val="0"/>
        <w:spacing w:before="0" w:after="0"/>
        <w:ind w:left="0" w:right="0" w:firstLine="0"/>
        <w:jc w:val="left"/>
      </w:pPr>
      <w:bookmarkStart w:id="126" w:name="bookmark126"/>
      <w:r>
        <w:rPr>
          <w:rFonts w:ascii="Times New Roman" w:eastAsia="Times New Roman" w:hAnsi="Times New Roman" w:cs="Times New Roman"/>
          <w:color w:val="000000"/>
          <w:spacing w:val="0"/>
          <w:w w:val="100"/>
          <w:position w:val="0"/>
        </w:rPr>
        <w:t>1</w:t>
      </w:r>
      <w:bookmarkEnd w:id="126"/>
      <w:r>
        <w:rPr>
          <w:color w:val="000000"/>
          <w:spacing w:val="0"/>
          <w:w w:val="100"/>
          <w:position w:val="0"/>
        </w:rPr>
        <w:t>、</w:t>
        <w:tab/>
        <w:t>充分挖掘安全审计业务潜力</w:t>
      </w:r>
    </w:p>
    <w:p>
      <w:pPr>
        <w:pStyle w:val="Style9"/>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rPr>
        <w:t>CNNIC</w:t>
      </w:r>
      <w:r>
        <w:rPr>
          <w:color w:val="000000"/>
          <w:spacing w:val="0"/>
          <w:w w:val="100"/>
          <w:position w:val="0"/>
        </w:rPr>
        <w:t>的统计，截至</w:t>
      </w:r>
      <w:r>
        <w:rPr>
          <w:rFonts w:ascii="Times New Roman" w:eastAsia="Times New Roman" w:hAnsi="Times New Roman" w:cs="Times New Roman"/>
          <w:color w:val="000000"/>
          <w:spacing w:val="0"/>
          <w:w w:val="100"/>
          <w:position w:val="0"/>
        </w:rPr>
        <w:t>2013</w:t>
      </w:r>
      <w:r>
        <w:rPr>
          <w:color w:val="000000"/>
          <w:spacing w:val="0"/>
          <w:w w:val="100"/>
          <w:position w:val="0"/>
        </w:rPr>
        <w:t>年底，在网吧上网的网民为</w:t>
      </w:r>
      <w:r>
        <w:rPr>
          <w:rFonts w:ascii="Times New Roman" w:eastAsia="Times New Roman" w:hAnsi="Times New Roman" w:cs="Times New Roman"/>
          <w:color w:val="000000"/>
          <w:spacing w:val="0"/>
          <w:w w:val="100"/>
          <w:position w:val="0"/>
        </w:rPr>
        <w:t>1.16</w:t>
      </w:r>
      <w:r>
        <w:rPr>
          <w:color w:val="000000"/>
          <w:spacing w:val="0"/>
          <w:w w:val="100"/>
          <w:position w:val="0"/>
        </w:rPr>
        <w:t>亿，占网民总数的</w:t>
      </w:r>
      <w:r>
        <w:rPr>
          <w:rFonts w:ascii="Times New Roman" w:eastAsia="Times New Roman" w:hAnsi="Times New Roman" w:cs="Times New Roman"/>
          <w:color w:val="000000"/>
          <w:spacing w:val="0"/>
          <w:w w:val="100"/>
          <w:position w:val="0"/>
        </w:rPr>
        <w:t>18.7%</w:t>
      </w:r>
      <w:r>
        <w:rPr>
          <w:color w:val="000000"/>
          <w:spacing w:val="0"/>
          <w:w w:val="100"/>
          <w:position w:val="0"/>
        </w:rPr>
        <w:t>,较</w:t>
      </w:r>
      <w:r>
        <w:rPr>
          <w:rFonts w:ascii="Times New Roman" w:eastAsia="Times New Roman" w:hAnsi="Times New Roman" w:cs="Times New Roman"/>
          <w:color w:val="000000"/>
          <w:spacing w:val="0"/>
          <w:w w:val="100"/>
          <w:position w:val="0"/>
        </w:rPr>
        <w:t>2012</w:t>
      </w:r>
      <w:r>
        <w:rPr>
          <w:color w:val="000000"/>
          <w:spacing w:val="0"/>
          <w:w w:val="100"/>
          <w:position w:val="0"/>
        </w:rPr>
        <w:t>年下降</w:t>
      </w:r>
      <w:r>
        <w:rPr>
          <w:rFonts w:ascii="Times New Roman" w:eastAsia="Times New Roman" w:hAnsi="Times New Roman" w:cs="Times New Roman"/>
          <w:color w:val="000000"/>
          <w:spacing w:val="0"/>
          <w:w w:val="100"/>
          <w:position w:val="0"/>
        </w:rPr>
        <w:t>3.7%</w:t>
      </w:r>
      <w:r>
        <w:rPr>
          <w:color w:val="000000"/>
          <w:spacing w:val="0"/>
          <w:w w:val="100"/>
          <w:position w:val="0"/>
        </w:rPr>
        <w:t>，虽然延续了</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年的负增长趋势，但降幅已经有所收窄。使用手机上网的网民数量则较</w:t>
      </w:r>
      <w:r>
        <w:rPr>
          <w:rFonts w:ascii="Times New Roman" w:eastAsia="Times New Roman" w:hAnsi="Times New Roman" w:cs="Times New Roman"/>
          <w:color w:val="000000"/>
          <w:spacing w:val="0"/>
          <w:w w:val="100"/>
          <w:position w:val="0"/>
        </w:rPr>
        <w:t>2012</w:t>
      </w:r>
      <w:r>
        <w:rPr>
          <w:color w:val="000000"/>
          <w:spacing w:val="0"/>
          <w:w w:val="100"/>
          <w:position w:val="0"/>
        </w:rPr>
        <w:t>年底增加</w:t>
      </w:r>
      <w:r>
        <w:rPr>
          <w:rFonts w:ascii="Times New Roman" w:eastAsia="Times New Roman" w:hAnsi="Times New Roman" w:cs="Times New Roman"/>
          <w:color w:val="000000"/>
          <w:spacing w:val="0"/>
          <w:w w:val="100"/>
          <w:position w:val="0"/>
        </w:rPr>
        <w:t>8009</w:t>
      </w:r>
      <w:r>
        <w:rPr>
          <w:color w:val="000000"/>
          <w:spacing w:val="0"/>
          <w:w w:val="100"/>
          <w:position w:val="0"/>
        </w:rPr>
        <w:t>万人，在网民总数的占比升至</w:t>
      </w:r>
      <w:r>
        <w:rPr>
          <w:rFonts w:ascii="Times New Roman" w:eastAsia="Times New Roman" w:hAnsi="Times New Roman" w:cs="Times New Roman"/>
          <w:color w:val="000000"/>
          <w:spacing w:val="0"/>
          <w:w w:val="100"/>
          <w:position w:val="0"/>
        </w:rPr>
        <w:t>81%</w:t>
      </w:r>
      <w:r>
        <w:rPr>
          <w:color w:val="000000"/>
          <w:spacing w:val="0"/>
          <w:w w:val="100"/>
          <w:position w:val="0"/>
        </w:rPr>
        <w:t>， 较</w:t>
      </w:r>
      <w:r>
        <w:rPr>
          <w:rFonts w:ascii="Times New Roman" w:eastAsia="Times New Roman" w:hAnsi="Times New Roman" w:cs="Times New Roman"/>
          <w:color w:val="000000"/>
          <w:spacing w:val="0"/>
          <w:w w:val="100"/>
          <w:position w:val="0"/>
        </w:rPr>
        <w:t>2012</w:t>
      </w:r>
      <w:r>
        <w:rPr>
          <w:color w:val="000000"/>
          <w:spacing w:val="0"/>
          <w:w w:val="100"/>
          <w:position w:val="0"/>
        </w:rPr>
        <w:t>年上升</w:t>
      </w:r>
      <w:r>
        <w:rPr>
          <w:rFonts w:ascii="Times New Roman" w:eastAsia="Times New Roman" w:hAnsi="Times New Roman" w:cs="Times New Roman"/>
          <w:color w:val="000000"/>
          <w:spacing w:val="0"/>
          <w:w w:val="100"/>
          <w:position w:val="0"/>
        </w:rPr>
        <w:t>6.5%</w:t>
      </w:r>
      <w:r>
        <w:rPr>
          <w:color w:val="000000"/>
          <w:spacing w:val="0"/>
          <w:w w:val="100"/>
          <w:position w:val="0"/>
        </w:rPr>
        <w:t>。公司预计，未来几年，网吧审计业务收入将保持稳定。</w:t>
      </w:r>
      <w:r>
        <w:rPr>
          <w:rFonts w:ascii="Times New Roman" w:eastAsia="Times New Roman" w:hAnsi="Times New Roman" w:cs="Times New Roman"/>
          <w:color w:val="000000"/>
          <w:spacing w:val="0"/>
          <w:w w:val="100"/>
          <w:position w:val="0"/>
        </w:rPr>
        <w:t>2014</w:t>
      </w:r>
      <w:r>
        <w:rPr>
          <w:color w:val="000000"/>
          <w:spacing w:val="0"/>
          <w:w w:val="100"/>
          <w:position w:val="0"/>
        </w:rPr>
        <w:t>年，公司将继续巩固网吧市场优势，通过 创新服务模式加大非经营性上网场所和移动互联网审计业务的拓展力度，充分利用公司平台资源优势，研发建设针对网吧、 非经营性上网场所的增值业务统一管理平台，促进传统增值业务和无线增值业务收入的快速增长。</w:t>
      </w:r>
    </w:p>
    <w:p>
      <w:pPr>
        <w:pStyle w:val="Style9"/>
        <w:keepNext w:val="0"/>
        <w:keepLines w:val="0"/>
        <w:widowControl w:val="0"/>
        <w:shd w:val="clear" w:color="auto" w:fill="auto"/>
        <w:tabs>
          <w:tab w:pos="350" w:val="left"/>
        </w:tabs>
        <w:bidi w:val="0"/>
        <w:spacing w:before="0" w:after="0"/>
        <w:ind w:left="0" w:right="0" w:firstLine="0"/>
        <w:jc w:val="left"/>
      </w:pPr>
      <w:bookmarkStart w:id="127" w:name="bookmark127"/>
      <w:r>
        <w:rPr>
          <w:rFonts w:ascii="Times New Roman" w:eastAsia="Times New Roman" w:hAnsi="Times New Roman" w:cs="Times New Roman"/>
          <w:color w:val="000000"/>
          <w:spacing w:val="0"/>
          <w:w w:val="100"/>
          <w:position w:val="0"/>
        </w:rPr>
        <w:t>2</w:t>
      </w:r>
      <w:bookmarkEnd w:id="127"/>
      <w:r>
        <w:rPr>
          <w:color w:val="000000"/>
          <w:spacing w:val="0"/>
          <w:w w:val="100"/>
          <w:position w:val="0"/>
        </w:rPr>
        <w:t>、</w:t>
        <w:tab/>
        <w:t>加大对网络安全产品的投入和推广力度</w:t>
      </w:r>
    </w:p>
    <w:p>
      <w:pPr>
        <w:pStyle w:val="Style9"/>
        <w:keepNext w:val="0"/>
        <w:keepLines w:val="0"/>
        <w:widowControl w:val="0"/>
        <w:shd w:val="clear" w:color="auto" w:fill="auto"/>
        <w:bidi w:val="0"/>
        <w:spacing w:before="0" w:after="100" w:line="314"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年初推出的下一代防火墙、</w:t>
      </w:r>
      <w:r>
        <w:rPr>
          <w:rFonts w:ascii="Times New Roman" w:eastAsia="Times New Roman" w:hAnsi="Times New Roman" w:cs="Times New Roman"/>
          <w:color w:val="000000"/>
          <w:spacing w:val="0"/>
          <w:w w:val="100"/>
          <w:position w:val="0"/>
        </w:rPr>
        <w:t>UTM</w:t>
      </w:r>
      <w:r>
        <w:rPr>
          <w:color w:val="000000"/>
          <w:spacing w:val="0"/>
          <w:w w:val="100"/>
          <w:position w:val="0"/>
        </w:rPr>
        <w:t>等网络安全产品是公司立足主业，向信息安全行业其它领域拓展业务的一次尝试，由 于网络安全产品市场培育需要一定的周期，加之公司缺乏相关业务的运营经验，在人员组织、渠道保障、技术支持、售后服 务等方面的配套措施不够完善，新产品自投入市场以来，没有达到预期的销售目标。经过一年的运营，公司对网络安全产品 市场的了解更加深入，也积累了一定的经验，认为该类产品具有良好的发展前景，公司将在</w:t>
      </w:r>
      <w:r>
        <w:rPr>
          <w:rFonts w:ascii="Times New Roman" w:eastAsia="Times New Roman" w:hAnsi="Times New Roman" w:cs="Times New Roman"/>
          <w:color w:val="000000"/>
          <w:spacing w:val="0"/>
          <w:w w:val="100"/>
          <w:position w:val="0"/>
        </w:rPr>
        <w:t>2 014</w:t>
      </w:r>
      <w:r>
        <w:rPr>
          <w:color w:val="000000"/>
          <w:spacing w:val="0"/>
          <w:w w:val="100"/>
          <w:position w:val="0"/>
        </w:rPr>
        <w:t>年继续加大该产品线投入， 在诸如品牌宣传、渠道合作、售前售后服务支持等方面加大力度，力争将该类业务培育为新的业务增长点之一。</w:t>
      </w:r>
    </w:p>
    <w:p>
      <w:pPr>
        <w:pStyle w:val="Style9"/>
        <w:keepNext w:val="0"/>
        <w:keepLines w:val="0"/>
        <w:widowControl w:val="0"/>
        <w:shd w:val="clear" w:color="auto" w:fill="auto"/>
        <w:tabs>
          <w:tab w:pos="350" w:val="left"/>
        </w:tabs>
        <w:bidi w:val="0"/>
        <w:spacing w:before="0" w:after="0"/>
        <w:ind w:left="0" w:right="0" w:firstLine="0"/>
        <w:jc w:val="left"/>
      </w:pPr>
      <w:bookmarkStart w:id="128" w:name="bookmark128"/>
      <w:r>
        <w:rPr>
          <w:rFonts w:ascii="Times New Roman" w:eastAsia="Times New Roman" w:hAnsi="Times New Roman" w:cs="Times New Roman"/>
          <w:color w:val="000000"/>
          <w:spacing w:val="0"/>
          <w:w w:val="100"/>
          <w:position w:val="0"/>
        </w:rPr>
        <w:t>3</w:t>
      </w:r>
      <w:bookmarkEnd w:id="128"/>
      <w:r>
        <w:rPr>
          <w:color w:val="000000"/>
          <w:spacing w:val="0"/>
          <w:w w:val="100"/>
          <w:position w:val="0"/>
        </w:rPr>
        <w:t>、</w:t>
        <w:tab/>
        <w:t>扩大</w:t>
      </w:r>
      <w:r>
        <w:rPr>
          <w:rFonts w:ascii="Times New Roman" w:eastAsia="Times New Roman" w:hAnsi="Times New Roman" w:cs="Times New Roman"/>
          <w:color w:val="000000"/>
          <w:spacing w:val="0"/>
          <w:w w:val="100"/>
          <w:position w:val="0"/>
        </w:rPr>
        <w:t>IDC</w:t>
      </w:r>
      <w:r>
        <w:rPr>
          <w:color w:val="000000"/>
          <w:spacing w:val="0"/>
          <w:w w:val="100"/>
          <w:position w:val="0"/>
        </w:rPr>
        <w:t>监管市场份额</w:t>
      </w:r>
    </w:p>
    <w:p>
      <w:pPr>
        <w:pStyle w:val="Style9"/>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凭借在互联网数据中心监管行业较好的技术和品牌优势，</w:t>
      </w:r>
      <w:r>
        <w:rPr>
          <w:rFonts w:ascii="Times New Roman" w:eastAsia="Times New Roman" w:hAnsi="Times New Roman" w:cs="Times New Roman"/>
          <w:color w:val="000000"/>
          <w:spacing w:val="0"/>
          <w:w w:val="100"/>
          <w:position w:val="0"/>
        </w:rPr>
        <w:t>2014</w:t>
      </w:r>
      <w:r>
        <w:rPr>
          <w:color w:val="000000"/>
          <w:spacing w:val="0"/>
          <w:w w:val="100"/>
          <w:position w:val="0"/>
        </w:rPr>
        <w:t>年，公司将重点面向地方通信管理局推广满足三网融合背景下 行业管理需求的互联网综合管理平台；优化和完善基础电信运营商侧产品</w:t>
      </w:r>
      <w:r>
        <w:rPr>
          <w:rFonts w:ascii="Times New Roman" w:eastAsia="Times New Roman" w:hAnsi="Times New Roman" w:cs="Times New Roman"/>
          <w:color w:val="000000"/>
          <w:spacing w:val="0"/>
          <w:w w:val="100"/>
          <w:position w:val="0"/>
        </w:rPr>
        <w:t>DPI</w:t>
      </w:r>
      <w:r>
        <w:rPr>
          <w:color w:val="000000"/>
          <w:spacing w:val="0"/>
          <w:w w:val="100"/>
          <w:position w:val="0"/>
        </w:rPr>
        <w:t xml:space="preserve">和网络安全管理相关功能；进一步拓展面向 </w:t>
      </w:r>
      <w:r>
        <w:rPr>
          <w:rFonts w:ascii="Times New Roman" w:eastAsia="Times New Roman" w:hAnsi="Times New Roman" w:cs="Times New Roman"/>
          <w:color w:val="000000"/>
          <w:spacing w:val="0"/>
          <w:w w:val="100"/>
          <w:position w:val="0"/>
        </w:rPr>
        <w:t>IDC</w:t>
      </w:r>
      <w:r>
        <w:rPr>
          <w:color w:val="000000"/>
          <w:spacing w:val="0"/>
          <w:w w:val="100"/>
          <w:position w:val="0"/>
        </w:rPr>
        <w:t>、</w:t>
      </w:r>
      <w:r>
        <w:rPr>
          <w:rFonts w:ascii="Times New Roman" w:eastAsia="Times New Roman" w:hAnsi="Times New Roman" w:cs="Times New Roman"/>
          <w:color w:val="000000"/>
          <w:spacing w:val="0"/>
          <w:w w:val="100"/>
          <w:position w:val="0"/>
        </w:rPr>
        <w:t>ISP</w:t>
      </w:r>
      <w:r>
        <w:rPr>
          <w:color w:val="000000"/>
          <w:spacing w:val="0"/>
          <w:w w:val="100"/>
          <w:position w:val="0"/>
        </w:rPr>
        <w:t>企业及广电、中小企业客户的</w:t>
      </w:r>
      <w:r>
        <w:rPr>
          <w:rFonts w:ascii="Times New Roman" w:eastAsia="Times New Roman" w:hAnsi="Times New Roman" w:cs="Times New Roman"/>
          <w:color w:val="000000"/>
          <w:spacing w:val="0"/>
          <w:w w:val="100"/>
          <w:position w:val="0"/>
        </w:rPr>
        <w:t>IDC/ISP</w:t>
      </w:r>
      <w:r>
        <w:rPr>
          <w:color w:val="000000"/>
          <w:spacing w:val="0"/>
          <w:w w:val="100"/>
          <w:position w:val="0"/>
        </w:rPr>
        <w:t>信息安全管理系统市场。</w:t>
      </w:r>
    </w:p>
    <w:p>
      <w:pPr>
        <w:pStyle w:val="Style9"/>
        <w:keepNext w:val="0"/>
        <w:keepLines w:val="0"/>
        <w:widowControl w:val="0"/>
        <w:shd w:val="clear" w:color="auto" w:fill="auto"/>
        <w:tabs>
          <w:tab w:pos="350" w:val="left"/>
        </w:tabs>
        <w:bidi w:val="0"/>
        <w:spacing w:before="0" w:after="0"/>
        <w:ind w:left="0" w:right="0" w:firstLine="0"/>
        <w:jc w:val="left"/>
      </w:pPr>
      <w:bookmarkStart w:id="129" w:name="bookmark129"/>
      <w:r>
        <w:rPr>
          <w:rFonts w:ascii="Times New Roman" w:eastAsia="Times New Roman" w:hAnsi="Times New Roman" w:cs="Times New Roman"/>
          <w:color w:val="000000"/>
          <w:spacing w:val="0"/>
          <w:w w:val="100"/>
          <w:position w:val="0"/>
        </w:rPr>
        <w:t>4</w:t>
      </w:r>
      <w:bookmarkEnd w:id="129"/>
      <w:r>
        <w:rPr>
          <w:color w:val="000000"/>
          <w:spacing w:val="0"/>
          <w:w w:val="100"/>
          <w:position w:val="0"/>
        </w:rPr>
        <w:t>、</w:t>
        <w:tab/>
        <w:t>基于全过程的舆情解决方案</w:t>
      </w:r>
    </w:p>
    <w:p>
      <w:pPr>
        <w:pStyle w:val="Style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随着互联网各类新应用的不断涌现和快速发展，新闻</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微博大</w:t>
      </w:r>
      <w:r>
        <w:rPr>
          <w:rFonts w:ascii="Times New Roman" w:eastAsia="Times New Roman" w:hAnsi="Times New Roman" w:cs="Times New Roman"/>
          <w:color w:val="000000"/>
          <w:spacing w:val="0"/>
          <w:w w:val="100"/>
          <w:position w:val="0"/>
        </w:rPr>
        <w:t>V</w:t>
      </w:r>
      <w:r>
        <w:rPr>
          <w:color w:val="000000"/>
          <w:spacing w:val="0"/>
          <w:w w:val="100"/>
          <w:position w:val="0"/>
        </w:rPr>
        <w:t>、微信公众号等新兴互联网媒介的影响力越来越大，功 能相对单一的信息和舆情监测产品已不能满足政府、公安、宣传、广电等传统舆情行业用户的最新需求，</w:t>
      </w:r>
      <w:r>
        <w:rPr>
          <w:rFonts w:ascii="Times New Roman" w:eastAsia="Times New Roman" w:hAnsi="Times New Roman" w:cs="Times New Roman"/>
          <w:color w:val="000000"/>
          <w:spacing w:val="0"/>
          <w:w w:val="100"/>
          <w:position w:val="0"/>
        </w:rPr>
        <w:t>2014</w:t>
      </w:r>
      <w:r>
        <w:rPr>
          <w:color w:val="000000"/>
          <w:spacing w:val="0"/>
          <w:w w:val="100"/>
          <w:position w:val="0"/>
        </w:rPr>
        <w:t>年，公司将致 力于为用户提供从舆情监测和发现延伸到舆情引导、处置、评估的全过程舆情解决方案。同时，尝试向特定行业提供信息服 务和向中小企业和特殊个人群体提供舆情服务，进一步细化舆情产品的目标需求，不断拓展舆情产品的业务覆盖范围，提升 公司市场竞争力和品牌影响力。</w:t>
      </w:r>
    </w:p>
    <w:p>
      <w:pPr>
        <w:pStyle w:val="Style30"/>
        <w:keepNext/>
        <w:keepLines/>
        <w:widowControl w:val="0"/>
        <w:shd w:val="clear" w:color="auto" w:fill="auto"/>
        <w:tabs>
          <w:tab w:pos="523" w:val="left"/>
        </w:tabs>
        <w:bidi w:val="0"/>
        <w:spacing w:before="0" w:after="26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sz w:val="24"/>
          <w:szCs w:val="24"/>
        </w:rPr>
        <w:t>三</w:t>
      </w:r>
      <w:bookmarkEnd w:id="132"/>
      <w:r>
        <w:rPr>
          <w:color w:val="000000"/>
          <w:spacing w:val="0"/>
          <w:w w:val="100"/>
          <w:position w:val="0"/>
          <w:sz w:val="24"/>
          <w:szCs w:val="24"/>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130"/>
      <w:bookmarkEnd w:id="131"/>
      <w:bookmarkEnd w:id="133"/>
    </w:p>
    <w:p>
      <w:pPr>
        <w:pStyle w:val="Style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不适用。</w:t>
      </w:r>
    </w:p>
    <w:p>
      <w:pPr>
        <w:pStyle w:val="Style30"/>
        <w:keepNext/>
        <w:keepLines/>
        <w:widowControl w:val="0"/>
        <w:shd w:val="clear" w:color="auto" w:fill="auto"/>
        <w:tabs>
          <w:tab w:pos="523" w:val="left"/>
        </w:tabs>
        <w:bidi w:val="0"/>
        <w:spacing w:before="0" w:after="26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sz w:val="24"/>
          <w:szCs w:val="24"/>
        </w:rPr>
        <w:t>四</w:t>
      </w:r>
      <w:bookmarkEnd w:id="136"/>
      <w:r>
        <w:rPr>
          <w:color w:val="000000"/>
          <w:spacing w:val="0"/>
          <w:w w:val="100"/>
          <w:position w:val="0"/>
          <w:sz w:val="24"/>
          <w:szCs w:val="24"/>
        </w:rPr>
        <w:t>、</w:t>
        <w:tab/>
        <w:t>董事会关于报告期会计政策、会计估计变更或重要前期差错更正的说明</w:t>
      </w:r>
      <w:bookmarkEnd w:id="134"/>
      <w:bookmarkEnd w:id="135"/>
      <w:bookmarkEnd w:id="137"/>
    </w:p>
    <w:p>
      <w:pPr>
        <w:pStyle w:val="Style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不适用。</w:t>
      </w:r>
    </w:p>
    <w:p>
      <w:pPr>
        <w:pStyle w:val="Style30"/>
        <w:keepNext/>
        <w:keepLines/>
        <w:widowControl w:val="0"/>
        <w:shd w:val="clear" w:color="auto" w:fill="auto"/>
        <w:tabs>
          <w:tab w:pos="523" w:val="left"/>
        </w:tabs>
        <w:bidi w:val="0"/>
        <w:spacing w:before="0" w:after="260" w:line="240" w:lineRule="auto"/>
        <w:ind w:left="0" w:right="0" w:firstLine="0"/>
        <w:jc w:val="both"/>
      </w:pPr>
      <w:bookmarkStart w:id="138" w:name="bookmark138"/>
      <w:bookmarkStart w:id="139" w:name="bookmark139"/>
      <w:bookmarkStart w:id="140" w:name="bookmark140"/>
      <w:bookmarkStart w:id="141" w:name="bookmark141"/>
      <w:r>
        <w:rPr>
          <w:color w:val="000000"/>
          <w:spacing w:val="0"/>
          <w:w w:val="100"/>
          <w:position w:val="0"/>
          <w:sz w:val="24"/>
          <w:szCs w:val="24"/>
        </w:rPr>
        <w:t>五</w:t>
      </w:r>
      <w:bookmarkEnd w:id="140"/>
      <w:r>
        <w:rPr>
          <w:color w:val="000000"/>
          <w:spacing w:val="0"/>
          <w:w w:val="100"/>
          <w:position w:val="0"/>
          <w:sz w:val="24"/>
          <w:szCs w:val="24"/>
        </w:rPr>
        <w:t>、</w:t>
        <w:tab/>
        <w:t>公司利润分配及分红派息情况</w:t>
      </w:r>
      <w:bookmarkEnd w:id="138"/>
      <w:bookmarkEnd w:id="139"/>
      <w:bookmarkEnd w:id="141"/>
    </w:p>
    <w:p>
      <w:pPr>
        <w:pStyle w:val="Style9"/>
        <w:keepNext w:val="0"/>
        <w:keepLines w:val="0"/>
        <w:widowControl w:val="0"/>
        <w:shd w:val="clear" w:color="auto" w:fill="auto"/>
        <w:bidi w:val="0"/>
        <w:spacing w:before="0" w:after="100" w:line="314" w:lineRule="exact"/>
        <w:ind w:left="0" w:right="0" w:firstLine="0"/>
        <w:jc w:val="both"/>
      </w:pPr>
      <w:r>
        <w:rPr>
          <w:color w:val="000000"/>
          <w:spacing w:val="0"/>
          <w:w w:val="100"/>
          <w:position w:val="0"/>
        </w:rPr>
        <w:t>报告期内利润分配政策特别是现金分红政策的制定、执行或调整情况</w:t>
      </w:r>
    </w:p>
    <w:p>
      <w:pPr>
        <w:pStyle w:val="Style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9"/>
        <w:keepNext w:val="0"/>
        <w:keepLines w:val="0"/>
        <w:widowControl w:val="0"/>
        <w:shd w:val="clear" w:color="auto" w:fill="auto"/>
        <w:bidi w:val="0"/>
        <w:spacing w:before="0" w:after="0" w:line="312" w:lineRule="exact"/>
        <w:ind w:left="0" w:right="0" w:firstLine="0"/>
        <w:jc w:val="both"/>
      </w:pPr>
      <w:bookmarkStart w:id="142" w:name="bookmark142"/>
      <w:r>
        <w:rPr>
          <w:rFonts w:ascii="Times New Roman" w:eastAsia="Times New Roman" w:hAnsi="Times New Roman" w:cs="Times New Roman"/>
          <w:color w:val="000000"/>
          <w:spacing w:val="0"/>
          <w:w w:val="100"/>
          <w:position w:val="0"/>
        </w:rPr>
        <w:t>1</w:t>
      </w:r>
      <w:bookmarkEnd w:id="142"/>
      <w:r>
        <w:rPr>
          <w:color w:val="000000"/>
          <w:spacing w:val="0"/>
          <w:w w:val="100"/>
          <w:position w:val="0"/>
        </w:rPr>
        <w:t>、公司章程对利润分配政策的相关规定根据公司《章程》第一百五十七条的规定，公司实行持续、稳定的利润分配政策， 公司的利润分配应当重视对投资者的合理投资回报并兼顾公司的可持续发展。</w:t>
      </w:r>
    </w:p>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公司采取积极的现金或者股票方式分配股利，在公司当年经审计的净利润为正数的情况下，公司每年度采取的利润分配方式 </w:t>
      </w:r>
      <w:r>
        <w:rPr>
          <w:color w:val="000000"/>
          <w:spacing w:val="0"/>
          <w:w w:val="100"/>
          <w:position w:val="0"/>
        </w:rPr>
        <w:t>中必须含有现金分配方式。公司每年度现金分红金额应不低于当年实现的可供分配利润（不含年初未分配利润）的百分之二 十。在有条件的情况下，公司可以进行中期现金分红。若公司营收增长迅速，并且董事会认为公司股票价格与公司股本规模 不匹配时，可以在满足上述现金股利分配的同时，制定股票股利分配预案。</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公司当年未分配利润将用于生产经营或者留待以后年度进行分配。</w:t>
      </w:r>
    </w:p>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每个会计年度结束后，由公司董事会提出利润分配方案。公司董事会在利润分配方案论证过程中，需与独立董事充分讨论， 在考虑对全体股东持续、稳定、科学的回报基础上，形成利润分配预案。公司独立董事和监事会应对利润分配预案进行审核。 公司独立董事和监事会未对利润分配预案提出异议的，利润分配预案将提交公司董事会审议，经全体董事过半数以上表决通 过后提交股东大会审议，相关提案应当由出席股东大会的股东（包括股东代理人）所持表决权的二分之一以上表决通过。公 司股东大会对利润分配方案作出决议后，公司董事会须在股东大会召开后</w:t>
      </w:r>
      <w:r>
        <w:rPr>
          <w:rFonts w:ascii="Times New Roman" w:eastAsia="Times New Roman" w:hAnsi="Times New Roman" w:cs="Times New Roman"/>
          <w:color w:val="000000"/>
          <w:spacing w:val="0"/>
          <w:w w:val="100"/>
          <w:position w:val="0"/>
        </w:rPr>
        <w:t>2</w:t>
      </w:r>
      <w:r>
        <w:rPr>
          <w:color w:val="000000"/>
          <w:spacing w:val="0"/>
          <w:w w:val="100"/>
          <w:position w:val="0"/>
        </w:rPr>
        <w:t>个月内完成股利（或股份）的派发事项。</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如公司董事会决定不实施利润分配，或利润分配方案中不含现金分配方式的，应在定期报告中披露不实施利润分配或利润分 配方案中不含现金分配方式的理由以及留存资金的具体用途，公司独立董事应对此发表独立意见。</w:t>
      </w:r>
    </w:p>
    <w:p>
      <w:pPr>
        <w:pStyle w:val="Style9"/>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公司的利润分配政策不得随意变更。如现行政策与公司生产经营情况、投资规划和长期发展的需要确实发生冲突的，可以调 整利润分配政策。调整后的利润分配政策不得违反中国证监会和证券交易所的有关规定。调整利润分配政策的相关议案需分 别经监事会和二分之一以上独立董事同意后提交董事会、股东大会批准，提交股东大会的相关提案中应详细说明修改利润分 配政策的原因。</w:t>
      </w:r>
    </w:p>
    <w:p>
      <w:pPr>
        <w:pStyle w:val="Style9"/>
        <w:keepNext w:val="0"/>
        <w:keepLines w:val="0"/>
        <w:widowControl w:val="0"/>
        <w:shd w:val="clear" w:color="auto" w:fill="auto"/>
        <w:tabs>
          <w:tab w:pos="302" w:val="left"/>
        </w:tabs>
        <w:bidi w:val="0"/>
        <w:spacing w:before="0" w:after="0"/>
        <w:ind w:left="0" w:right="0" w:firstLine="0"/>
        <w:jc w:val="left"/>
      </w:pPr>
      <w:bookmarkStart w:id="143" w:name="bookmark143"/>
      <w:r>
        <w:rPr>
          <w:rFonts w:ascii="Times New Roman" w:eastAsia="Times New Roman" w:hAnsi="Times New Roman" w:cs="Times New Roman"/>
          <w:color w:val="000000"/>
          <w:spacing w:val="0"/>
          <w:w w:val="100"/>
          <w:position w:val="0"/>
        </w:rPr>
        <w:t>2</w:t>
      </w:r>
      <w:bookmarkEnd w:id="143"/>
      <w:r>
        <w:rPr>
          <w:color w:val="000000"/>
          <w:spacing w:val="0"/>
          <w:w w:val="100"/>
          <w:position w:val="0"/>
        </w:rPr>
        <w:t>、</w:t>
        <w:tab/>
        <w:t>分红回报计划</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经公司第一届董事会第十二次会议审议通过，公司未来的分红回报规划如下：</w:t>
      </w:r>
    </w:p>
    <w:p>
      <w:pPr>
        <w:pStyle w:val="Style9"/>
        <w:keepNext w:val="0"/>
        <w:keepLines w:val="0"/>
        <w:widowControl w:val="0"/>
        <w:shd w:val="clear" w:color="auto" w:fill="auto"/>
        <w:tabs>
          <w:tab w:pos="479" w:val="left"/>
        </w:tabs>
        <w:bidi w:val="0"/>
        <w:spacing w:before="0" w:after="0" w:line="312" w:lineRule="exact"/>
        <w:ind w:left="0" w:right="0" w:firstLine="0"/>
        <w:jc w:val="left"/>
      </w:pPr>
      <w:bookmarkStart w:id="144" w:name="bookmark144"/>
      <w:r>
        <w:rPr>
          <w:color w:val="000000"/>
          <w:spacing w:val="0"/>
          <w:w w:val="100"/>
          <w:position w:val="0"/>
        </w:rPr>
        <w:t>（</w:t>
      </w:r>
      <w:bookmarkEnd w:id="144"/>
      <w:r>
        <w:rPr>
          <w:rFonts w:ascii="Times New Roman" w:eastAsia="Times New Roman" w:hAnsi="Times New Roman" w:cs="Times New Roman"/>
          <w:color w:val="000000"/>
          <w:spacing w:val="0"/>
          <w:w w:val="100"/>
          <w:position w:val="0"/>
        </w:rPr>
        <w:t>1</w:t>
      </w:r>
      <w:r>
        <w:rPr>
          <w:color w:val="000000"/>
          <w:spacing w:val="0"/>
          <w:w w:val="100"/>
          <w:position w:val="0"/>
        </w:rPr>
        <w:t>）</w:t>
        <w:tab/>
        <w:t>公司股东回报规划制定原则：公司股东回报规划充分考虑和听取独立董事、股东特别是中小股东的意愿和要求，实行 持续、稳定的现金股利和股票股利相结合的利润分配政策，并兼顾公司的可持续发展。</w:t>
      </w:r>
    </w:p>
    <w:p>
      <w:pPr>
        <w:pStyle w:val="Style9"/>
        <w:keepNext w:val="0"/>
        <w:keepLines w:val="0"/>
        <w:widowControl w:val="0"/>
        <w:shd w:val="clear" w:color="auto" w:fill="auto"/>
        <w:tabs>
          <w:tab w:pos="484" w:val="left"/>
        </w:tabs>
        <w:bidi w:val="0"/>
        <w:spacing w:before="0" w:after="0" w:line="319" w:lineRule="exact"/>
        <w:ind w:left="0" w:right="0" w:firstLine="0"/>
        <w:jc w:val="left"/>
      </w:pPr>
      <w:bookmarkStart w:id="145" w:name="bookmark145"/>
      <w:r>
        <w:rPr>
          <w:color w:val="000000"/>
          <w:spacing w:val="0"/>
          <w:w w:val="100"/>
          <w:position w:val="0"/>
        </w:rPr>
        <w:t>（</w:t>
      </w:r>
      <w:bookmarkEnd w:id="145"/>
      <w:r>
        <w:rPr>
          <w:rFonts w:ascii="Times New Roman" w:eastAsia="Times New Roman" w:hAnsi="Times New Roman" w:cs="Times New Roman"/>
          <w:color w:val="000000"/>
          <w:spacing w:val="0"/>
          <w:w w:val="100"/>
          <w:position w:val="0"/>
        </w:rPr>
        <w:t>2</w:t>
      </w:r>
      <w:r>
        <w:rPr>
          <w:color w:val="000000"/>
          <w:spacing w:val="0"/>
          <w:w w:val="100"/>
          <w:position w:val="0"/>
        </w:rPr>
        <w:t>）</w:t>
        <w:tab/>
        <w:t>股东回报规划制定考虑因素：公司将着眼于长远和可持续发展，综合考虑了行业发展趋势、公司实际经营状况、发展 目标、股东意愿和要求、社会资金成本和外部融资环境等因素的基础上，建立对投资者持续、稳定、科学的回报规划与机制， 从而对股利分配作出制度性安排，以保证股利分配政策的连续性和稳定性。</w:t>
      </w:r>
    </w:p>
    <w:p>
      <w:pPr>
        <w:pStyle w:val="Style9"/>
        <w:keepNext w:val="0"/>
        <w:keepLines w:val="0"/>
        <w:widowControl w:val="0"/>
        <w:shd w:val="clear" w:color="auto" w:fill="auto"/>
        <w:tabs>
          <w:tab w:pos="489" w:val="left"/>
        </w:tabs>
        <w:bidi w:val="0"/>
        <w:spacing w:before="0" w:after="0" w:line="317" w:lineRule="exact"/>
        <w:ind w:left="0" w:right="0" w:firstLine="0"/>
        <w:jc w:val="left"/>
      </w:pPr>
      <w:bookmarkStart w:id="146" w:name="bookmark146"/>
      <w:r>
        <w:rPr>
          <w:color w:val="000000"/>
          <w:spacing w:val="0"/>
          <w:w w:val="100"/>
          <w:position w:val="0"/>
        </w:rPr>
        <w:t>（</w:t>
      </w:r>
      <w:bookmarkEnd w:id="146"/>
      <w:r>
        <w:rPr>
          <w:rFonts w:ascii="Times New Roman" w:eastAsia="Times New Roman" w:hAnsi="Times New Roman" w:cs="Times New Roman"/>
          <w:color w:val="000000"/>
          <w:spacing w:val="0"/>
          <w:w w:val="100"/>
          <w:position w:val="0"/>
        </w:rPr>
        <w:t>3</w:t>
      </w:r>
      <w:r>
        <w:rPr>
          <w:color w:val="000000"/>
          <w:spacing w:val="0"/>
          <w:w w:val="100"/>
          <w:position w:val="0"/>
        </w:rPr>
        <w:t>）</w:t>
        <w:tab/>
        <w:t>利润分配规划：公司发行上市后，将着眼于长远和可持续发展，以股东利益最大化为公司价值目标，持续采取积极的 现金及股票股利分配政策，注重对投资者回报，切实履行上市公司社会责任，严格按照《中华人民共和国公司法》、《中华人 民共和国证券法》以及中国证券监督管理委员会、深圳证券交易所有关规定，建立对投资者持续、稳定、科学的回报机制。</w:t>
      </w:r>
    </w:p>
    <w:p>
      <w:pPr>
        <w:pStyle w:val="Style9"/>
        <w:keepNext w:val="0"/>
        <w:keepLines w:val="0"/>
        <w:widowControl w:val="0"/>
        <w:shd w:val="clear" w:color="auto" w:fill="auto"/>
        <w:tabs>
          <w:tab w:pos="484" w:val="left"/>
        </w:tabs>
        <w:bidi w:val="0"/>
        <w:spacing w:before="0" w:after="0" w:line="317" w:lineRule="exact"/>
        <w:ind w:left="0" w:right="0" w:firstLine="0"/>
        <w:jc w:val="left"/>
      </w:pPr>
      <w:bookmarkStart w:id="147" w:name="bookmark147"/>
      <w:r>
        <w:rPr>
          <w:color w:val="000000"/>
          <w:spacing w:val="0"/>
          <w:w w:val="100"/>
          <w:position w:val="0"/>
        </w:rPr>
        <w:t>（</w:t>
      </w:r>
      <w:bookmarkEnd w:id="147"/>
      <w:r>
        <w:rPr>
          <w:rFonts w:ascii="Times New Roman" w:eastAsia="Times New Roman" w:hAnsi="Times New Roman" w:cs="Times New Roman"/>
          <w:color w:val="000000"/>
          <w:spacing w:val="0"/>
          <w:w w:val="100"/>
          <w:position w:val="0"/>
        </w:rPr>
        <w:t>4</w:t>
      </w:r>
      <w:r>
        <w:rPr>
          <w:color w:val="000000"/>
          <w:spacing w:val="0"/>
          <w:w w:val="100"/>
          <w:position w:val="0"/>
        </w:rPr>
        <w:t>）</w:t>
        <w:tab/>
        <w:t>利润分配计划：</w:t>
      </w:r>
      <w:r>
        <w:rPr>
          <w:rFonts w:ascii="Times New Roman" w:eastAsia="Times New Roman" w:hAnsi="Times New Roman" w:cs="Times New Roman"/>
          <w:color w:val="000000"/>
          <w:spacing w:val="0"/>
          <w:w w:val="100"/>
          <w:position w:val="0"/>
        </w:rPr>
        <w:t>2011-2015</w:t>
      </w:r>
      <w:r>
        <w:rPr>
          <w:color w:val="000000"/>
          <w:spacing w:val="0"/>
          <w:w w:val="100"/>
          <w:position w:val="0"/>
        </w:rPr>
        <w:t>年股东分红回报计划：公司在足额预留法定公积金、盈余公积金以后，每年以现金方式分 配的利润不少于当年实现的可分配利润（不含年初未分配利润）的百分之二十。在确保足额现金股利分配的前提下，公司可 以另行增加股票股利分配和公积金转增。公司在每个会计年度结束后，由公司董事会提出分红议案，并提交股东大会进行表 决。公司接受所有股东、独立董事、监事和公众投资者对公司分红的建议和监督。</w:t>
      </w:r>
    </w:p>
    <w:p>
      <w:pPr>
        <w:pStyle w:val="Style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公司所有股东出具了书面承诺，对第一届董事会第十二次会议关于修改和完善《公司章程（草案）》有关利润分配条款以及 分红回报规划的决议内容和程序表示赞同，并同时表示，公司上市后，股东大会在根据新修订章程的规定通过利润分配具体 方案时，投赞成票。</w:t>
      </w:r>
    </w:p>
    <w:p>
      <w:pPr>
        <w:pStyle w:val="Style9"/>
        <w:keepNext w:val="0"/>
        <w:keepLines w:val="0"/>
        <w:widowControl w:val="0"/>
        <w:shd w:val="clear" w:color="auto" w:fill="auto"/>
        <w:tabs>
          <w:tab w:pos="302" w:val="left"/>
        </w:tabs>
        <w:bidi w:val="0"/>
        <w:spacing w:before="0" w:after="0"/>
        <w:ind w:left="0" w:right="0" w:firstLine="0"/>
        <w:jc w:val="left"/>
      </w:pPr>
      <w:bookmarkStart w:id="148" w:name="bookmark148"/>
      <w:r>
        <w:rPr>
          <w:rFonts w:ascii="Times New Roman" w:eastAsia="Times New Roman" w:hAnsi="Times New Roman" w:cs="Times New Roman"/>
          <w:color w:val="000000"/>
          <w:spacing w:val="0"/>
          <w:w w:val="100"/>
          <w:position w:val="0"/>
        </w:rPr>
        <w:t>3</w:t>
      </w:r>
      <w:bookmarkEnd w:id="148"/>
      <w:r>
        <w:rPr>
          <w:color w:val="000000"/>
          <w:spacing w:val="0"/>
          <w:w w:val="100"/>
          <w:position w:val="0"/>
        </w:rPr>
        <w:t>、</w:t>
        <w:tab/>
        <w:t>现金分红政策专项制度的制定情况</w:t>
      </w:r>
    </w:p>
    <w:p>
      <w:pPr>
        <w:pStyle w:val="Style9"/>
        <w:keepNext w:val="0"/>
        <w:keepLines w:val="0"/>
        <w:widowControl w:val="0"/>
        <w:shd w:val="clear" w:color="auto" w:fill="auto"/>
        <w:bidi w:val="0"/>
        <w:spacing w:before="0" w:after="120" w:line="322"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日，经公司</w:t>
      </w:r>
      <w:r>
        <w:rPr>
          <w:rFonts w:ascii="Times New Roman" w:eastAsia="Times New Roman" w:hAnsi="Times New Roman" w:cs="Times New Roman"/>
          <w:color w:val="000000"/>
          <w:spacing w:val="0"/>
          <w:w w:val="100"/>
          <w:position w:val="0"/>
        </w:rPr>
        <w:t>2012</w:t>
      </w:r>
      <w:r>
        <w:rPr>
          <w:color w:val="000000"/>
          <w:spacing w:val="0"/>
          <w:w w:val="100"/>
          <w:position w:val="0"/>
        </w:rPr>
        <w:t>年第四次临时股东大会审议通过，制定了《现金分红管理制度》，进一步规范了公司分红行 为，推动了公司建立科学、持续、稳定的分红机制，保护了中小投资者合法权益。</w:t>
      </w:r>
    </w:p>
    <w:p>
      <w:pPr>
        <w:pStyle w:val="Style9"/>
        <w:keepNext w:val="0"/>
        <w:keepLines w:val="0"/>
        <w:widowControl w:val="0"/>
        <w:shd w:val="clear" w:color="auto" w:fill="auto"/>
        <w:tabs>
          <w:tab w:pos="302" w:val="left"/>
        </w:tabs>
        <w:bidi w:val="0"/>
        <w:spacing w:before="0" w:after="0"/>
        <w:ind w:left="0" w:right="0" w:firstLine="0"/>
        <w:jc w:val="left"/>
      </w:pPr>
      <w:bookmarkStart w:id="149" w:name="bookmark149"/>
      <w:r>
        <w:rPr>
          <w:rFonts w:ascii="Times New Roman" w:eastAsia="Times New Roman" w:hAnsi="Times New Roman" w:cs="Times New Roman"/>
          <w:color w:val="000000"/>
          <w:spacing w:val="0"/>
          <w:w w:val="100"/>
          <w:position w:val="0"/>
        </w:rPr>
        <w:t>4</w:t>
      </w:r>
      <w:bookmarkEnd w:id="149"/>
      <w:r>
        <w:rPr>
          <w:color w:val="000000"/>
          <w:spacing w:val="0"/>
          <w:w w:val="100"/>
          <w:position w:val="0"/>
        </w:rPr>
        <w:t>、</w:t>
        <w:tab/>
        <w:t>报告期内利润分配政策的执行情况</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报告期内，公司严格执行了利润分配相关政策。</w:t>
      </w:r>
    </w:p>
    <w:p>
      <w:pPr>
        <w:pStyle w:val="Style9"/>
        <w:keepNext w:val="0"/>
        <w:keepLines w:val="0"/>
        <w:widowControl w:val="0"/>
        <w:shd w:val="clear" w:color="auto" w:fill="auto"/>
        <w:bidi w:val="0"/>
        <w:spacing w:before="0" w:after="5" w:line="31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年度利润分配方案：以截至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rPr>
        <w:t xml:space="preserve">7070 </w:t>
      </w:r>
      <w:r>
        <w:rPr>
          <w:color w:val="000000"/>
          <w:spacing w:val="0"/>
          <w:w w:val="100"/>
          <w:position w:val="0"/>
        </w:rPr>
        <w:t>万股为基数，每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1.1</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rPr>
        <w:t>7,777,000</w:t>
      </w:r>
      <w:r>
        <w:rPr>
          <w:color w:val="000000"/>
          <w:spacing w:val="0"/>
          <w:w w:val="100"/>
          <w:position w:val="0"/>
        </w:rPr>
        <w:t>元，剩余未分配利润结转以后年度 分配。</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日，公司在中国证监会指定媒体巨潮网发布权益分派公告，本次权益分派股权登记日为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p>
      <w:pPr>
        <w:pStyle w:val="Style9"/>
        <w:keepNext w:val="0"/>
        <w:keepLines w:val="0"/>
        <w:widowControl w:val="0"/>
        <w:pBdr>
          <w:top w:val="single" w:sz="0" w:space="6" w:color="D4D4D4"/>
          <w:left w:val="single" w:sz="0" w:space="0" w:color="D4D4D4"/>
          <w:bottom w:val="single" w:sz="0" w:space="3" w:color="D4D4D4"/>
          <w:right w:val="single" w:sz="0" w:space="0" w:color="D4D4D4"/>
        </w:pBdr>
        <w:shd w:val="clear" w:color="auto" w:fill="D4D4D4"/>
        <w:bidi w:val="0"/>
        <w:spacing w:before="0" w:after="0" w:line="312" w:lineRule="exact"/>
        <w:ind w:left="0" w:right="0" w:firstLine="0"/>
        <w:jc w:val="center"/>
      </w:pPr>
      <w:r>
        <w:rPr>
          <w:color w:val="000000"/>
          <w:spacing w:val="0"/>
          <w:w w:val="100"/>
          <w:position w:val="0"/>
        </w:rPr>
        <w:t>现金分红政策的专项说明</w:t>
      </w:r>
      <w:r>
        <w:br w:type="page"/>
      </w:r>
    </w:p>
    <w:tbl>
      <w:tblPr>
        <w:tblOverlap w:val="never"/>
        <w:jc w:val="center"/>
        <w:tblLayout w:type="fixed"/>
      </w:tblPr>
      <w:tblGrid>
        <w:gridCol w:w="4229"/>
        <w:gridCol w:w="5357"/>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9"/>
        <w:keepNext w:val="0"/>
        <w:keepLines w:val="0"/>
        <w:widowControl w:val="0"/>
        <w:shd w:val="clear" w:color="auto" w:fill="auto"/>
        <w:bidi w:val="0"/>
        <w:spacing w:before="0" w:after="100" w:line="341"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7,070,000.00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107,337,657.10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973"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经北京永拓会计师事务所（特殊普通合伙）审计，公司</w:t>
            </w:r>
            <w:r>
              <w:rPr>
                <w:rFonts w:ascii="Times New Roman" w:eastAsia="Times New Roman" w:hAnsi="Times New Roman" w:cs="Times New Roman"/>
                <w:color w:val="000000"/>
                <w:spacing w:val="0"/>
                <w:w w:val="100"/>
                <w:position w:val="0"/>
              </w:rPr>
              <w:t>2013</w:t>
            </w:r>
            <w:r>
              <w:rPr>
                <w:color w:val="000000"/>
                <w:spacing w:val="0"/>
                <w:w w:val="100"/>
                <w:position w:val="0"/>
              </w:rPr>
              <w:t>年实现归属于母公司股东的净利润为</w:t>
            </w:r>
            <w:r>
              <w:rPr>
                <w:rFonts w:ascii="Times New Roman" w:eastAsia="Times New Roman" w:hAnsi="Times New Roman" w:cs="Times New Roman"/>
                <w:color w:val="000000"/>
                <w:spacing w:val="0"/>
                <w:w w:val="100"/>
                <w:position w:val="0"/>
              </w:rPr>
              <w:t>25,140,974.57</w:t>
            </w:r>
            <w:r>
              <w:rPr>
                <w:color w:val="000000"/>
                <w:spacing w:val="0"/>
                <w:w w:val="100"/>
                <w:position w:val="0"/>
              </w:rPr>
              <w:t>元</w:t>
            </w:r>
            <w:r>
              <w:rPr>
                <w:color w:val="000000"/>
                <w:spacing w:val="0"/>
                <w:w w:val="100"/>
                <w:position w:val="0"/>
              </w:rPr>
              <w:t>，</w:t>
            </w:r>
            <w:r>
              <w:rPr>
                <w:color w:val="000000"/>
                <w:spacing w:val="0"/>
                <w:w w:val="100"/>
                <w:position w:val="0"/>
              </w:rPr>
              <w:t>母公 司实现的净利润为</w:t>
            </w:r>
            <w:r>
              <w:rPr>
                <w:rFonts w:ascii="Times New Roman" w:eastAsia="Times New Roman" w:hAnsi="Times New Roman" w:cs="Times New Roman"/>
                <w:color w:val="000000"/>
                <w:spacing w:val="0"/>
                <w:w w:val="100"/>
                <w:position w:val="0"/>
              </w:rPr>
              <w:t>26,435,573.36</w:t>
            </w:r>
            <w:r>
              <w:rPr>
                <w:color w:val="000000"/>
                <w:spacing w:val="0"/>
                <w:w w:val="100"/>
                <w:position w:val="0"/>
              </w:rPr>
              <w:t>元。按照母公司</w:t>
            </w:r>
            <w:r>
              <w:rPr>
                <w:rFonts w:ascii="Times New Roman" w:eastAsia="Times New Roman" w:hAnsi="Times New Roman" w:cs="Times New Roman"/>
                <w:color w:val="000000"/>
                <w:spacing w:val="0"/>
                <w:w w:val="100"/>
                <w:position w:val="0"/>
              </w:rPr>
              <w:t>2013</w:t>
            </w:r>
            <w:r>
              <w:rPr>
                <w:color w:val="000000"/>
                <w:spacing w:val="0"/>
                <w:w w:val="100"/>
                <w:position w:val="0"/>
              </w:rPr>
              <w:t>年度实现净利润的</w:t>
            </w:r>
            <w:r>
              <w:rPr>
                <w:rFonts w:ascii="Times New Roman" w:eastAsia="Times New Roman" w:hAnsi="Times New Roman" w:cs="Times New Roman"/>
                <w:color w:val="000000"/>
                <w:spacing w:val="0"/>
                <w:w w:val="100"/>
                <w:position w:val="0"/>
              </w:rPr>
              <w:t>10%</w:t>
            </w:r>
            <w:r>
              <w:rPr>
                <w:color w:val="000000"/>
                <w:spacing w:val="0"/>
                <w:w w:val="100"/>
                <w:position w:val="0"/>
              </w:rPr>
              <w:t>计提法定盈余公积金</w:t>
            </w:r>
            <w:r>
              <w:rPr>
                <w:rFonts w:ascii="Times New Roman" w:eastAsia="Times New Roman" w:hAnsi="Times New Roman" w:cs="Times New Roman"/>
                <w:color w:val="000000"/>
                <w:spacing w:val="0"/>
                <w:w w:val="100"/>
                <w:position w:val="0"/>
              </w:rPr>
              <w:t>2,643,557.34</w:t>
            </w:r>
            <w:r>
              <w:rPr>
                <w:color w:val="000000"/>
                <w:spacing w:val="0"/>
                <w:w w:val="100"/>
                <w:position w:val="0"/>
              </w:rPr>
              <w:t>元，加年 初未分配利润</w:t>
            </w:r>
            <w:r>
              <w:rPr>
                <w:rFonts w:ascii="Times New Roman" w:eastAsia="Times New Roman" w:hAnsi="Times New Roman" w:cs="Times New Roman"/>
                <w:color w:val="000000"/>
                <w:spacing w:val="0"/>
                <w:w w:val="100"/>
                <w:position w:val="0"/>
              </w:rPr>
              <w:t>91,322,641.08</w:t>
            </w:r>
            <w:r>
              <w:rPr>
                <w:color w:val="000000"/>
                <w:spacing w:val="0"/>
                <w:w w:val="100"/>
                <w:position w:val="0"/>
              </w:rPr>
              <w:t>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日，公司可供股东分配利润为</w:t>
            </w:r>
            <w:r>
              <w:rPr>
                <w:rFonts w:ascii="Times New Roman" w:eastAsia="Times New Roman" w:hAnsi="Times New Roman" w:cs="Times New Roman"/>
                <w:color w:val="000000"/>
                <w:spacing w:val="0"/>
                <w:w w:val="100"/>
                <w:position w:val="0"/>
              </w:rPr>
              <w:t>107,337,657.10</w:t>
            </w:r>
            <w:r>
              <w:rPr>
                <w:color w:val="000000"/>
                <w:spacing w:val="0"/>
                <w:w w:val="100"/>
                <w:position w:val="0"/>
              </w:rPr>
              <w:t>元，母公司年末资本 公积金余额为</w:t>
            </w:r>
            <w:r>
              <w:rPr>
                <w:rFonts w:ascii="Times New Roman" w:eastAsia="Times New Roman" w:hAnsi="Times New Roman" w:cs="Times New Roman"/>
                <w:color w:val="000000"/>
                <w:spacing w:val="0"/>
                <w:w w:val="100"/>
                <w:position w:val="0"/>
              </w:rPr>
              <w:t>232,633,600.72</w:t>
            </w:r>
            <w:r>
              <w:rPr>
                <w:color w:val="000000"/>
                <w:spacing w:val="0"/>
                <w:w w:val="100"/>
                <w:position w:val="0"/>
              </w:rPr>
              <w:t>元。根据《公司法》及《公司章程》的相关规定，拟定如下分配预案：以截至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7,070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color w:val="000000"/>
                <w:spacing w:val="0"/>
                <w:w w:val="100"/>
                <w:position w:val="0"/>
              </w:rPr>
              <w:t>元人民币（含税），同时进行资本公积金转增股本， 以</w:t>
            </w:r>
            <w:r>
              <w:rPr>
                <w:rFonts w:ascii="Times New Roman" w:eastAsia="Times New Roman" w:hAnsi="Times New Roman" w:cs="Times New Roman"/>
                <w:color w:val="000000"/>
                <w:spacing w:val="0"/>
                <w:w w:val="100"/>
                <w:position w:val="0"/>
              </w:rPr>
              <w:t>7,070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股，共计转增</w:t>
            </w:r>
            <w:r>
              <w:rPr>
                <w:rFonts w:ascii="Times New Roman" w:eastAsia="Times New Roman" w:hAnsi="Times New Roman" w:cs="Times New Roman"/>
                <w:color w:val="000000"/>
                <w:spacing w:val="0"/>
                <w:w w:val="100"/>
                <w:position w:val="0"/>
              </w:rPr>
              <w:t>4,242</w:t>
            </w:r>
            <w:r>
              <w:rPr>
                <w:color w:val="000000"/>
                <w:spacing w:val="0"/>
                <w:w w:val="100"/>
                <w:position w:val="0"/>
              </w:rPr>
              <w:t>万股，转增后公司总股本将增加至</w:t>
            </w:r>
            <w:r>
              <w:rPr>
                <w:rFonts w:ascii="Times New Roman" w:eastAsia="Times New Roman" w:hAnsi="Times New Roman" w:cs="Times New Roman"/>
                <w:color w:val="000000"/>
                <w:spacing w:val="0"/>
                <w:w w:val="100"/>
                <w:position w:val="0"/>
              </w:rPr>
              <w:t>11,312</w:t>
            </w:r>
            <w:r>
              <w:rPr>
                <w:color w:val="000000"/>
                <w:spacing w:val="0"/>
                <w:w w:val="100"/>
                <w:position w:val="0"/>
              </w:rPr>
              <w:t>万股。</w:t>
            </w:r>
          </w:p>
        </w:tc>
      </w:tr>
    </w:tbl>
    <w:p>
      <w:pPr>
        <w:pStyle w:val="Style9"/>
        <w:keepNext w:val="0"/>
        <w:keepLines w:val="0"/>
        <w:widowControl w:val="0"/>
        <w:shd w:val="clear" w:color="auto" w:fill="auto"/>
        <w:bidi w:val="0"/>
        <w:spacing w:before="0" w:after="0" w:line="320"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年（含报告期）的利润分配方案及资本公积金转增股本方案情况</w:t>
      </w:r>
    </w:p>
    <w:p>
      <w:pPr>
        <w:pStyle w:val="Style9"/>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年第四次临时股东大会通过利润分配预案，按</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1-6</w:t>
      </w:r>
      <w:r>
        <w:rPr>
          <w:color w:val="000000"/>
          <w:spacing w:val="0"/>
          <w:w w:val="100"/>
          <w:position w:val="0"/>
        </w:rPr>
        <w:t>月公司实现净利润的</w:t>
      </w:r>
      <w:r>
        <w:rPr>
          <w:rFonts w:ascii="Times New Roman" w:eastAsia="Times New Roman" w:hAnsi="Times New Roman" w:cs="Times New Roman"/>
          <w:color w:val="000000"/>
          <w:spacing w:val="0"/>
          <w:w w:val="100"/>
          <w:position w:val="0"/>
        </w:rPr>
        <w:t>10%</w:t>
      </w:r>
      <w:r>
        <w:rPr>
          <w:color w:val="000000"/>
          <w:spacing w:val="0"/>
          <w:w w:val="100"/>
          <w:position w:val="0"/>
        </w:rPr>
        <w:t xml:space="preserve">提取法定盈余公积金 </w:t>
      </w:r>
      <w:r>
        <w:rPr>
          <w:rFonts w:ascii="Times New Roman" w:eastAsia="Times New Roman" w:hAnsi="Times New Roman" w:cs="Times New Roman"/>
          <w:color w:val="000000"/>
          <w:spacing w:val="0"/>
          <w:w w:val="100"/>
          <w:position w:val="0"/>
        </w:rPr>
        <w:t>1,323,207.72</w:t>
      </w:r>
      <w:r>
        <w:rPr>
          <w:color w:val="000000"/>
          <w:spacing w:val="0"/>
          <w:w w:val="100"/>
          <w:position w:val="0"/>
        </w:rPr>
        <w:t>元后，以截至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日的公司总股本</w:t>
      </w:r>
      <w:r>
        <w:rPr>
          <w:rFonts w:ascii="Times New Roman" w:eastAsia="Times New Roman" w:hAnsi="Times New Roman" w:cs="Times New Roman"/>
          <w:color w:val="000000"/>
          <w:spacing w:val="0"/>
          <w:w w:val="100"/>
          <w:position w:val="0"/>
        </w:rPr>
        <w:t>7070</w:t>
      </w:r>
      <w:r>
        <w:rPr>
          <w:color w:val="000000"/>
          <w:spacing w:val="0"/>
          <w:w w:val="100"/>
          <w:position w:val="0"/>
        </w:rPr>
        <w:t>万股为基数，每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1</w:t>
      </w:r>
      <w:r>
        <w:rPr>
          <w:color w:val="000000"/>
          <w:spacing w:val="0"/>
          <w:w w:val="100"/>
          <w:position w:val="0"/>
        </w:rPr>
        <w:t xml:space="preserve">元现金（含税），合计派发现金红利 </w:t>
      </w:r>
      <w:r>
        <w:rPr>
          <w:rFonts w:ascii="Times New Roman" w:eastAsia="Times New Roman" w:hAnsi="Times New Roman" w:cs="Times New Roman"/>
          <w:color w:val="000000"/>
          <w:spacing w:val="0"/>
          <w:w w:val="100"/>
          <w:position w:val="0"/>
        </w:rPr>
        <w:t>7,070,000</w:t>
      </w:r>
      <w:r>
        <w:rPr>
          <w:color w:val="000000"/>
          <w:spacing w:val="0"/>
          <w:w w:val="100"/>
          <w:position w:val="0"/>
        </w:rPr>
        <w:t>元。</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日，公司在中国证监会指定媒体巨潮网发布权益分派公告，本次权益分派股权登记日为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p>
      <w:pPr>
        <w:pStyle w:val="Style9"/>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年年度股东大会通过利润分配预案，以截至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rPr>
        <w:t>7070</w:t>
      </w:r>
      <w:r>
        <w:rPr>
          <w:color w:val="000000"/>
          <w:spacing w:val="0"/>
          <w:w w:val="100"/>
          <w:position w:val="0"/>
        </w:rPr>
        <w:t>万股为基数，每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 利人民币</w:t>
      </w:r>
      <w:r>
        <w:rPr>
          <w:rFonts w:ascii="Times New Roman" w:eastAsia="Times New Roman" w:hAnsi="Times New Roman" w:cs="Times New Roman"/>
          <w:color w:val="000000"/>
          <w:spacing w:val="0"/>
          <w:w w:val="100"/>
          <w:position w:val="0"/>
        </w:rPr>
        <w:t>1.1</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rPr>
        <w:t>7,777,000</w:t>
      </w:r>
      <w:r>
        <w:rPr>
          <w:color w:val="000000"/>
          <w:spacing w:val="0"/>
          <w:w w:val="100"/>
          <w:position w:val="0"/>
        </w:rPr>
        <w:t>元，剩余未分配利润结转以后年度分配。</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日，公司在中国 证监会指定媒体巨潮网发布权益分派公告，本次权益分派股权登记日为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公司近三年现金分红情况表</w:t>
      </w:r>
    </w:p>
    <w:p>
      <w:pPr>
        <w:pStyle w:val="Style9"/>
        <w:keepNext w:val="0"/>
        <w:keepLines w:val="0"/>
        <w:widowControl w:val="0"/>
        <w:shd w:val="clear" w:color="auto" w:fill="auto"/>
        <w:bidi w:val="0"/>
        <w:spacing w:before="0" w:after="0" w:line="320" w:lineRule="exact"/>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0"/>
        <w:gridCol w:w="2405"/>
      </w:tblGrid>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7,070,000.00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25,140,974.57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7,777,000.00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39,007,060.36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7,070,000.00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38,566,119.01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18.33%</w:t>
            </w:r>
          </w:p>
        </w:tc>
      </w:tr>
    </w:tbl>
    <w:p>
      <w:pPr>
        <w:pStyle w:val="Style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24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sz w:val="24"/>
          <w:szCs w:val="24"/>
        </w:rPr>
        <w:t>六</w:t>
      </w:r>
      <w:bookmarkEnd w:id="152"/>
      <w:r>
        <w:rPr>
          <w:color w:val="000000"/>
          <w:spacing w:val="0"/>
          <w:w w:val="100"/>
          <w:position w:val="0"/>
          <w:sz w:val="24"/>
          <w:szCs w:val="24"/>
        </w:rPr>
        <w:t>、内幕信息知情人管理制度的建立和执行情况</w:t>
      </w:r>
      <w:bookmarkEnd w:id="150"/>
      <w:bookmarkEnd w:id="151"/>
      <w:bookmarkEnd w:id="153"/>
    </w:p>
    <w:p>
      <w:pPr>
        <w:pStyle w:val="Style9"/>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2 012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日第一届董事会第十六次会议通过并建立了《内幕信息知情人登记管理制度》，并在报告期内严格 按照制度执行，未发生内幕信息知情人买卖本公司股票及其衍生品种的情况；公司及相关人员未发生因内幕信息知情人登记 管理制度执行或涉嫌内幕交易被监管部门采取监管措施及行政处罚的情况。</w:t>
      </w:r>
    </w:p>
    <w:p>
      <w:pPr>
        <w:pStyle w:val="Style30"/>
        <w:keepNext/>
        <w:keepLines/>
        <w:widowControl w:val="0"/>
        <w:shd w:val="clear" w:color="auto" w:fill="auto"/>
        <w:bidi w:val="0"/>
        <w:spacing w:before="0" w:after="30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sz w:val="24"/>
          <w:szCs w:val="24"/>
        </w:rPr>
        <w:t>七</w:t>
      </w:r>
      <w:bookmarkEnd w:id="156"/>
      <w:r>
        <w:rPr>
          <w:color w:val="000000"/>
          <w:spacing w:val="0"/>
          <w:w w:val="100"/>
          <w:position w:val="0"/>
          <w:sz w:val="24"/>
          <w:szCs w:val="24"/>
        </w:rPr>
        <w:t>、报告期内接待调研、沟通、采访等活动登记表</w:t>
      </w:r>
      <w:bookmarkEnd w:id="154"/>
      <w:bookmarkEnd w:id="155"/>
      <w:bookmarkEnd w:id="157"/>
    </w:p>
    <w:tbl>
      <w:tblPr>
        <w:tblOverlap w:val="never"/>
        <w:jc w:val="center"/>
        <w:tblLayout w:type="fixed"/>
      </w:tblPr>
      <w:tblGrid>
        <w:gridCol w:w="1502"/>
        <w:gridCol w:w="1493"/>
        <w:gridCol w:w="1498"/>
        <w:gridCol w:w="1498"/>
        <w:gridCol w:w="1498"/>
        <w:gridCol w:w="2098"/>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谈论的主要内容及提供的 资料</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董事会秘书办公室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安信证券股份有限 公司、富国基金管 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公司产品情况介绍；未提 供任何资料</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证券事务部办公室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国海证券股份有限</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公司各业务基本情况；未 提供任何资料</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证券事务部办公室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湘财证券有限责任 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公司各业务、产品简介；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未提供任何资料</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证券事务部办公室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民生证券股份有限 公司、招商基金管 理有限公司、广东 西域投资管理有限 公司、安信基金管 理有限责任公司、 民生加银基金管理 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棱镜门</w:t>
            </w:r>
            <w:r>
              <w:rPr>
                <w:rFonts w:ascii="Times New Roman" w:eastAsia="Times New Roman" w:hAnsi="Times New Roman" w:cs="Times New Roman"/>
                <w:color w:val="000000"/>
                <w:spacing w:val="0"/>
                <w:w w:val="100"/>
                <w:position w:val="0"/>
              </w:rPr>
              <w:t>”</w:t>
            </w:r>
            <w:r>
              <w:rPr>
                <w:color w:val="000000"/>
                <w:spacing w:val="0"/>
                <w:w w:val="100"/>
                <w:position w:val="0"/>
              </w:rPr>
              <w:t>事件相关影响及 公司近况；未提供任何资 料</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证券事务部办公室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国信证券股份有限</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中报相关情况及公司近 况；未提供任何资料</w:t>
            </w:r>
          </w:p>
        </w:tc>
      </w:tr>
      <w:tr>
        <w:trPr>
          <w:trHeight w:val="16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VIP</w:t>
            </w:r>
            <w:r>
              <w:rPr>
                <w:color w:val="000000"/>
                <w:spacing w:val="0"/>
                <w:w w:val="100"/>
                <w:position w:val="0"/>
              </w:rPr>
              <w:t>会议室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平安证券有限责任 公司、长城证券有 限责任公司、华安 财产保险股份有限 公司、中银基金管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公司产品及业务基本情 况，中报相关情况，以及 </w:t>
            </w:r>
            <w:r>
              <w:rPr>
                <w:rFonts w:ascii="Times New Roman" w:eastAsia="Times New Roman" w:hAnsi="Times New Roman" w:cs="Times New Roman"/>
                <w:color w:val="000000"/>
                <w:spacing w:val="0"/>
                <w:w w:val="100"/>
                <w:position w:val="0"/>
              </w:rPr>
              <w:t>“</w:t>
            </w:r>
            <w:r>
              <w:rPr>
                <w:color w:val="000000"/>
                <w:spacing w:val="0"/>
                <w:w w:val="100"/>
                <w:position w:val="0"/>
              </w:rPr>
              <w:t>棱镜门</w:t>
            </w:r>
            <w:r>
              <w:rPr>
                <w:rFonts w:ascii="Times New Roman" w:eastAsia="Times New Roman" w:hAnsi="Times New Roman" w:cs="Times New Roman"/>
                <w:color w:val="000000"/>
                <w:spacing w:val="0"/>
                <w:w w:val="100"/>
                <w:position w:val="0"/>
              </w:rPr>
              <w:t>”</w:t>
            </w:r>
            <w:r>
              <w:rPr>
                <w:color w:val="000000"/>
                <w:spacing w:val="0"/>
                <w:w w:val="100"/>
                <w:position w:val="0"/>
              </w:rPr>
              <w:t>事件有关情况 等；未提供任何资料</w:t>
            </w:r>
          </w:p>
        </w:tc>
      </w:tr>
    </w:tbl>
    <w:p>
      <w:pPr>
        <w:spacing w:lineRule="exact" w:line="1"/>
        <w:rPr>
          <w:sz w:val="2"/>
          <w:szCs w:val="2"/>
        </w:rPr>
      </w:pPr>
      <w:r>
        <w:br w:type="page"/>
      </w:r>
    </w:p>
    <w:tbl>
      <w:tblPr>
        <w:tblOverlap w:val="never"/>
        <w:jc w:val="center"/>
        <w:tblLayout w:type="fixed"/>
      </w:tblPr>
      <w:tblGrid>
        <w:gridCol w:w="1502"/>
        <w:gridCol w:w="1493"/>
        <w:gridCol w:w="1498"/>
        <w:gridCol w:w="1498"/>
        <w:gridCol w:w="1498"/>
        <w:gridCol w:w="2098"/>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理有限公司、财通 基金管理有限公 司、中国中投证券、 中国国际金融有限 公司、宝盈基金管 理有限公司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证券事务部办公室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华创证券有限责任</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公司产品及业务基本情 况；未提供任何资料</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公司大会议室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兴业证券股份有限 公司、景顺长城基 金管理有限公司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公司产品相关情况及日常 经营管理模式等；未提供 任何资料</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VIP</w:t>
            </w:r>
            <w:r>
              <w:rPr>
                <w:color w:val="000000"/>
                <w:spacing w:val="0"/>
                <w:w w:val="100"/>
                <w:position w:val="0"/>
              </w:rPr>
              <w:t>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国泰君安股份有限 公司、南方基金管 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公司审计及舆情产品相关 情况，专用审计业务盈利 模式等；未提供任何资料</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VIP</w:t>
            </w:r>
            <w:r>
              <w:rPr>
                <w:color w:val="000000"/>
                <w:spacing w:val="0"/>
                <w:w w:val="100"/>
                <w:position w:val="0"/>
              </w:rPr>
              <w:t>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光大证券股份有限 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公司审计产品及业务基本 情况；未提供任何资料</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VIP</w:t>
            </w:r>
            <w:r>
              <w:rPr>
                <w:color w:val="000000"/>
                <w:spacing w:val="0"/>
                <w:w w:val="100"/>
                <w:position w:val="0"/>
              </w:rPr>
              <w:t>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浙商证券有限责任 公司、华宝兴业基 金管理有限公司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公司专用审计、无线审计 及舆情产品和业务基本情 况，公司经营管理情况等； 未提供任何资料</w:t>
            </w:r>
          </w:p>
        </w:tc>
      </w:tr>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VIP</w:t>
            </w:r>
            <w:r>
              <w:rPr>
                <w:color w:val="000000"/>
                <w:spacing w:val="0"/>
                <w:w w:val="100"/>
                <w:position w:val="0"/>
              </w:rPr>
              <w:t>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中天证券有限责任</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9" w:lineRule="exact"/>
              <w:ind w:left="0" w:right="0" w:firstLine="0"/>
              <w:jc w:val="both"/>
            </w:pPr>
            <w:r>
              <w:rPr>
                <w:color w:val="000000"/>
                <w:spacing w:val="0"/>
                <w:w w:val="100"/>
                <w:position w:val="0"/>
              </w:rPr>
              <w:t>公司审计产品及业务基本 情况，成都子公司相关情 况等；未提供任何资料</w:t>
            </w:r>
          </w:p>
        </w:tc>
      </w:tr>
      <w:tr>
        <w:trPr>
          <w:trHeight w:val="165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VIP</w:t>
            </w:r>
            <w:r>
              <w:rPr>
                <w:color w:val="000000"/>
                <w:spacing w:val="0"/>
                <w:w w:val="100"/>
                <w:position w:val="0"/>
              </w:rPr>
              <w:t>会议室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深圳市诚隆投资股</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份有限公司、银华</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基金管理有限公司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公司三季报相关情况，各 产品及业务基本情况，成 都子公司有关情况，以及 公司研发相关情况等；未 提供任何资料</w:t>
            </w: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366" w:right="1062" w:bottom="1550" w:left="106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2999740</wp:posOffset>
                </wp:positionH>
                <wp:positionV relativeFrom="paragraph">
                  <wp:posOffset>12700</wp:posOffset>
                </wp:positionV>
                <wp:extent cx="1554480" cy="243840"/>
                <wp:wrapSquare wrapText="bothSides"/>
                <wp:docPr id="38" name="Shape 38"/>
                <a:graphic xmlns:a="http://schemas.openxmlformats.org/drawingml/2006/main">
                  <a:graphicData uri="http://schemas.microsoft.com/office/word/2010/wordprocessingShape">
                    <wps:wsp>
                      <wps:cNvSpPr txBox="1"/>
                      <wps:spPr>
                        <a:xfrm>
                          <a:ext cx="1554480" cy="243840"/>
                        </a:xfrm>
                        <a:prstGeom prst="rect"/>
                        <a:noFill/>
                      </wps:spPr>
                      <wps:txbx>
                        <w:txbxContent>
                          <w:p>
                            <w:pPr>
                              <w:pStyle w:val="Style19"/>
                              <w:keepNext/>
                              <w:keepLines/>
                              <w:widowControl w:val="0"/>
                              <w:shd w:val="clear" w:color="auto" w:fill="auto"/>
                              <w:bidi w:val="0"/>
                              <w:spacing w:before="0" w:after="0" w:line="240" w:lineRule="auto"/>
                              <w:ind w:left="0" w:right="0" w:firstLine="0"/>
                              <w:jc w:val="center"/>
                            </w:pPr>
                            <w:bookmarkStart w:id="158" w:name="bookmark158"/>
                            <w:bookmarkStart w:id="159" w:name="bookmark159"/>
                            <w:bookmarkStart w:id="160" w:name="bookmark160"/>
                            <w:r>
                              <w:rPr>
                                <w:color w:val="000000"/>
                                <w:spacing w:val="0"/>
                                <w:w w:val="100"/>
                                <w:position w:val="0"/>
                              </w:rPr>
                              <w:t>第五节重要事项</w:t>
                            </w:r>
                            <w:bookmarkEnd w:id="158"/>
                            <w:bookmarkEnd w:id="159"/>
                            <w:bookmarkEnd w:id="160"/>
                          </w:p>
                        </w:txbxContent>
                      </wps:txbx>
                      <wps:bodyPr wrap="none" lIns="0" tIns="0" rIns="0" bIns="0">
                        <a:noAutoFit/>
                      </wps:bodyPr>
                    </wps:wsp>
                  </a:graphicData>
                </a:graphic>
              </wp:anchor>
            </w:drawing>
          </mc:Choice>
          <mc:Fallback>
            <w:pict>
              <v:shape id="_x0000_s1064" type="#_x0000_t202" style="position:absolute;margin-left:236.20000000000002pt;margin-top:1.pt;width:122.40000000000001pt;height:19.199999999999999pt;z-index:-125829375;mso-wrap-distance-left:9.pt;mso-wrap-distance-right:9.pt;mso-position-horizontal-relative:page" filled="f" stroked="f">
                <v:textbox inset="0,0,0,0">
                  <w:txbxContent>
                    <w:p>
                      <w:pPr>
                        <w:pStyle w:val="Style19"/>
                        <w:keepNext/>
                        <w:keepLines/>
                        <w:widowControl w:val="0"/>
                        <w:shd w:val="clear" w:color="auto" w:fill="auto"/>
                        <w:bidi w:val="0"/>
                        <w:spacing w:before="0" w:after="0" w:line="240" w:lineRule="auto"/>
                        <w:ind w:left="0" w:right="0" w:firstLine="0"/>
                        <w:jc w:val="center"/>
                      </w:pPr>
                      <w:bookmarkStart w:id="158" w:name="bookmark158"/>
                      <w:bookmarkStart w:id="159" w:name="bookmark159"/>
                      <w:bookmarkStart w:id="160" w:name="bookmark160"/>
                      <w:r>
                        <w:rPr>
                          <w:color w:val="000000"/>
                          <w:spacing w:val="0"/>
                          <w:w w:val="100"/>
                          <w:position w:val="0"/>
                        </w:rPr>
                        <w:t>第五节重要事项</w:t>
                      </w:r>
                      <w:bookmarkEnd w:id="158"/>
                      <w:bookmarkEnd w:id="159"/>
                      <w:bookmarkEnd w:id="160"/>
                    </w:p>
                  </w:txbxContent>
                </v:textbox>
                <w10:wrap type="square" anchorx="page"/>
              </v:shape>
            </w:pict>
          </mc:Fallback>
        </mc:AlternateContent>
      </w:r>
    </w:p>
    <w:p>
      <w:pPr>
        <w:pStyle w:val="Style30"/>
        <w:keepNext/>
        <w:keepLines/>
        <w:widowControl w:val="0"/>
        <w:shd w:val="clear" w:color="auto" w:fill="auto"/>
        <w:bidi w:val="0"/>
        <w:spacing w:before="0" w:after="340" w:line="240" w:lineRule="auto"/>
        <w:ind w:left="0" w:right="0" w:firstLine="0"/>
        <w:jc w:val="left"/>
      </w:pPr>
      <w:bookmarkStart w:id="161" w:name="bookmark161"/>
      <w:bookmarkStart w:id="162" w:name="bookmark162"/>
      <w:bookmarkStart w:id="163" w:name="bookmark163"/>
      <w:bookmarkStart w:id="164" w:name="bookmark164"/>
      <w:bookmarkStart w:id="165" w:name="bookmark165"/>
      <w:r>
        <w:rPr>
          <w:color w:val="000000"/>
          <w:spacing w:val="0"/>
          <w:w w:val="100"/>
          <w:position w:val="0"/>
          <w:sz w:val="24"/>
          <w:szCs w:val="24"/>
        </w:rPr>
        <w:t>一</w:t>
      </w:r>
      <w:bookmarkEnd w:id="164"/>
      <w:r>
        <w:rPr>
          <w:color w:val="000000"/>
          <w:spacing w:val="0"/>
          <w:w w:val="100"/>
          <w:position w:val="0"/>
          <w:sz w:val="24"/>
          <w:szCs w:val="24"/>
        </w:rPr>
        <w:t>、重大诉讼仲裁事项</w:t>
      </w:r>
      <w:bookmarkEnd w:id="162"/>
      <w:bookmarkEnd w:id="163"/>
      <w:bookmarkEnd w:id="165"/>
      <w:bookmarkEnd w:id="161"/>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930" w:right="7872" w:bottom="1930" w:left="1109" w:header="0" w:footer="3" w:gutter="0"/>
          <w:cols w:space="720"/>
          <w:noEndnote/>
          <w:rtlGutter w:val="0"/>
          <w:docGrid w:linePitch="360"/>
        </w:sectPr>
      </w:pPr>
      <w:r>
        <w:rPr>
          <w:color w:val="000000"/>
          <w:spacing w:val="0"/>
          <w:w w:val="100"/>
          <w:position w:val="0"/>
        </w:rPr>
        <w:t>本年度公司无重大诉讼、仲裁事项。</w:t>
      </w:r>
    </w:p>
    <w:p>
      <w:pPr>
        <w:pStyle w:val="Style30"/>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sz w:val="24"/>
          <w:szCs w:val="24"/>
        </w:rPr>
        <w:t>二</w:t>
      </w:r>
      <w:bookmarkEnd w:id="168"/>
      <w:r>
        <w:rPr>
          <w:color w:val="000000"/>
          <w:spacing w:val="0"/>
          <w:w w:val="100"/>
          <w:position w:val="0"/>
          <w:sz w:val="24"/>
          <w:szCs w:val="24"/>
        </w:rPr>
        <w:t>、承诺事项履行情况</w:t>
      </w:r>
      <w:bookmarkEnd w:id="166"/>
      <w:bookmarkEnd w:id="167"/>
      <w:bookmarkEnd w:id="169"/>
    </w:p>
    <w:p>
      <w:pPr>
        <w:pStyle w:val="Style35"/>
        <w:keepNext/>
        <w:keepLines/>
        <w:widowControl w:val="0"/>
        <w:shd w:val="clear" w:color="auto" w:fill="auto"/>
        <w:bidi w:val="0"/>
        <w:spacing w:before="0" w:after="32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170"/>
      <w:bookmarkEnd w:id="171"/>
      <w:bookmarkEnd w:id="173"/>
    </w:p>
    <w:tbl>
      <w:tblPr>
        <w:tblOverlap w:val="never"/>
        <w:jc w:val="center"/>
        <w:tblLayout w:type="fixed"/>
      </w:tblPr>
      <w:tblGrid>
        <w:gridCol w:w="1709"/>
        <w:gridCol w:w="1133"/>
        <w:gridCol w:w="7229"/>
        <w:gridCol w:w="1133"/>
        <w:gridCol w:w="1704"/>
        <w:gridCol w:w="114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 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首次公开发行或再融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发行前公司 股东及董事、 监事、高级管 理人员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控股股东景晓军先生、深圳市华信远景投资咨询有限公司、景晓东先生、沈智杰先生、吴宁 莉女士、唐海林先生、古元先生、师召辉先生承诺：自公司股票上市之日起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 转让或者委托他人管理其直接或间接持有的公司公开发行股票前已发行的股份，也不由公司 回购其直接或间接持有的公司公开发行股票前已发行的股份。</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股东天津东方富海股权投资基金合伙企业（有限合伙）承诺：自完成增资工商变更登记之日 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个月内，不转让或者委托他人管理其直接或间接持有的公司公开发行股票前已发行的 股份，也不由公司回购其直接或间接持有的公司公开发行股票前已发行的股份。同时，自公 司股票上市之日起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个月内，不转让或者委托他人管理首次公开发行前本人持有的公司股 份，也不由公司回购本人持有的上述股份。此外，自公司股票上市之日起</w:t>
            </w:r>
            <w:r>
              <w:rPr>
                <w:rFonts w:ascii="Times New Roman" w:eastAsia="Times New Roman" w:hAnsi="Times New Roman" w:cs="Times New Roman"/>
                <w:color w:val="000000"/>
                <w:spacing w:val="0"/>
                <w:w w:val="100"/>
                <w:position w:val="0"/>
              </w:rPr>
              <w:t>24</w:t>
            </w:r>
            <w:r>
              <w:rPr>
                <w:color w:val="000000"/>
                <w:spacing w:val="0"/>
                <w:w w:val="100"/>
                <w:position w:val="0"/>
              </w:rPr>
              <w:t>个月内</w:t>
            </w:r>
            <w:r>
              <w:rPr>
                <w:color w:val="000000"/>
                <w:spacing w:val="0"/>
                <w:w w:val="100"/>
                <w:position w:val="0"/>
              </w:rPr>
              <w:t>，</w:t>
            </w:r>
            <w:r>
              <w:rPr>
                <w:color w:val="000000"/>
                <w:spacing w:val="0"/>
                <w:w w:val="100"/>
                <w:position w:val="0"/>
              </w:rPr>
              <w:t>转让的 公司股份不超过其所持有公司股份总额的</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公司董事景晓军先生、景晓东先生均承诺：除上述锁定期外，在其及其关联方任职期间，每 年转让的股份不超过其所直接和间接持有公司股份总数的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；在其及其关联方离职后半年 内，不转让其所直接和间接持有的公司股份；在申报离任</w:t>
            </w:r>
            <w:r>
              <w:rPr>
                <w:rFonts w:ascii="Times New Roman" w:eastAsia="Times New Roman" w:hAnsi="Times New Roman" w:cs="Times New Roman"/>
                <w:color w:val="000000"/>
                <w:spacing w:val="0"/>
                <w:w w:val="100"/>
                <w:position w:val="0"/>
              </w:rPr>
              <w:t>6</w:t>
            </w:r>
            <w:r>
              <w:rPr>
                <w:color w:val="000000"/>
                <w:spacing w:val="0"/>
                <w:w w:val="100"/>
                <w:position w:val="0"/>
              </w:rPr>
              <w:t>个月后的</w:t>
            </w:r>
            <w:r>
              <w:rPr>
                <w:rFonts w:ascii="Times New Roman" w:eastAsia="Times New Roman" w:hAnsi="Times New Roman" w:cs="Times New Roman"/>
                <w:color w:val="000000"/>
                <w:spacing w:val="0"/>
                <w:w w:val="100"/>
                <w:position w:val="0"/>
              </w:rPr>
              <w:t>12</w:t>
            </w:r>
            <w:r>
              <w:rPr>
                <w:color w:val="000000"/>
                <w:spacing w:val="0"/>
                <w:w w:val="100"/>
                <w:position w:val="0"/>
              </w:rPr>
              <w:t>个月内通过证券交 易所挂牌交易出售公司股票数量占其直接和间接持有公司股票总数的比例不超过</w:t>
            </w:r>
            <w:r>
              <w:rPr>
                <w:rFonts w:ascii="Times New Roman" w:eastAsia="Times New Roman" w:hAnsi="Times New Roman" w:cs="Times New Roman"/>
                <w:color w:val="000000"/>
                <w:spacing w:val="0"/>
                <w:w w:val="100"/>
                <w:position w:val="0"/>
              </w:rPr>
              <w:t>50%</w:t>
            </w:r>
            <w:r>
              <w:rPr>
                <w:color w:val="000000"/>
                <w:spacing w:val="0"/>
                <w:w w:val="100"/>
                <w:position w:val="0"/>
              </w:rPr>
              <w:t>；在公 司股票上市之日起</w:t>
            </w:r>
            <w:r>
              <w:rPr>
                <w:rFonts w:ascii="Times New Roman" w:eastAsia="Times New Roman" w:hAnsi="Times New Roman" w:cs="Times New Roman"/>
                <w:color w:val="000000"/>
                <w:spacing w:val="0"/>
                <w:w w:val="100"/>
                <w:position w:val="0"/>
              </w:rPr>
              <w:t>6</w:t>
            </w:r>
            <w:r>
              <w:rPr>
                <w:color w:val="000000"/>
                <w:spacing w:val="0"/>
                <w:w w:val="100"/>
                <w:position w:val="0"/>
              </w:rPr>
              <w:t>个月内申报离职的，自申报离职之日起</w:t>
            </w:r>
            <w:r>
              <w:rPr>
                <w:rFonts w:ascii="Times New Roman" w:eastAsia="Times New Roman" w:hAnsi="Times New Roman" w:cs="Times New Roman"/>
                <w:color w:val="000000"/>
                <w:spacing w:val="0"/>
                <w:w w:val="100"/>
                <w:position w:val="0"/>
              </w:rPr>
              <w:t>18</w:t>
            </w:r>
            <w:r>
              <w:rPr>
                <w:color w:val="000000"/>
                <w:spacing w:val="0"/>
                <w:w w:val="100"/>
                <w:position w:val="0"/>
              </w:rPr>
              <w:t>个月内不得转让其持有的公 司股份；在公司股票上市之日起第</w:t>
            </w:r>
            <w:r>
              <w:rPr>
                <w:rFonts w:ascii="Times New Roman" w:eastAsia="Times New Roman" w:hAnsi="Times New Roman" w:cs="Times New Roman"/>
                <w:color w:val="000000"/>
                <w:spacing w:val="0"/>
                <w:w w:val="100"/>
                <w:position w:val="0"/>
              </w:rPr>
              <w:t>7</w:t>
            </w:r>
            <w:r>
              <w:rPr>
                <w:color w:val="000000"/>
                <w:spacing w:val="0"/>
                <w:w w:val="100"/>
                <w:position w:val="0"/>
              </w:rPr>
              <w:t>个月至第</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个月之间申报离职的，自申报离职之日起 </w:t>
            </w:r>
            <w:r>
              <w:rPr>
                <w:rFonts w:ascii="Times New Roman" w:eastAsia="Times New Roman" w:hAnsi="Times New Roman" w:cs="Times New Roman"/>
                <w:color w:val="000000"/>
                <w:spacing w:val="0"/>
                <w:w w:val="100"/>
                <w:position w:val="0"/>
              </w:rPr>
              <w:t>12</w:t>
            </w:r>
            <w:r>
              <w:rPr>
                <w:color w:val="000000"/>
                <w:spacing w:val="0"/>
                <w:w w:val="100"/>
                <w:position w:val="0"/>
              </w:rPr>
              <w:t>个月内不得转让其持有的公司股份。</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担任公司董事、监事、高级管理人员的沈智杰先生、吴宁莉女士、唐海林先生、古元先生、 师召辉先生、陈文先生、王晓蓉女士均承诺：除上述锁定期外，在任职期间每年转让的股份 不超过其直接和间接持有公司股份总数的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；离职后半年内，不转让其直接和间接持有的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245"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公司控股股东、实 际控制人景晓军先 生、深圳市华信远景 投资咨询有限公司、 景晓东先生、沈智杰 先生、吴宁莉女士、 唐海林先生、古元先 生、师召辉先生及其 它董事、监事、高级 管理人员的承诺期限 为公司股票上市之日 起</w:t>
            </w:r>
            <w:r>
              <w:rPr>
                <w:rFonts w:ascii="Times New Roman" w:eastAsia="Times New Roman" w:hAnsi="Times New Roman" w:cs="Times New Roman"/>
                <w:color w:val="000000"/>
                <w:spacing w:val="0"/>
                <w:w w:val="100"/>
                <w:position w:val="0"/>
              </w:rPr>
              <w:t>36</w:t>
            </w:r>
            <w:r>
              <w:rPr>
                <w:color w:val="000000"/>
                <w:spacing w:val="0"/>
                <w:w w:val="100"/>
                <w:position w:val="0"/>
              </w:rPr>
              <w:t>个月。</w:t>
            </w:r>
          </w:p>
          <w:p>
            <w:pPr>
              <w:pStyle w:val="Style6"/>
              <w:keepNext w:val="0"/>
              <w:keepLines w:val="0"/>
              <w:widowControl w:val="0"/>
              <w:shd w:val="clear" w:color="auto" w:fill="auto"/>
              <w:tabs>
                <w:tab w:pos="216"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股东天津东方富海 股权投资基金合伙企 业（有限合伙）的承 诺期限为自公司股票 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 末，各承诺方 均严格遵守 了各自出具 的承诺。</w:t>
            </w:r>
          </w:p>
        </w:tc>
      </w:tr>
    </w:tbl>
    <w:p>
      <w:pPr>
        <w:spacing w:lineRule="exact" w:line="1"/>
        <w:rPr>
          <w:sz w:val="2"/>
          <w:szCs w:val="2"/>
        </w:rPr>
      </w:pPr>
      <w:r>
        <w:br w:type="page"/>
      </w:r>
    </w:p>
    <w:tbl>
      <w:tblPr>
        <w:tblOverlap w:val="never"/>
        <w:jc w:val="center"/>
        <w:tblLayout w:type="fixed"/>
      </w:tblPr>
      <w:tblGrid>
        <w:gridCol w:w="1709"/>
        <w:gridCol w:w="1133"/>
        <w:gridCol w:w="7229"/>
        <w:gridCol w:w="1133"/>
        <w:gridCol w:w="1704"/>
        <w:gridCol w:w="1142"/>
      </w:tblGrid>
      <w:tr>
        <w:trPr>
          <w:trHeight w:val="133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公司股份；在申报离任</w:t>
            </w:r>
            <w:r>
              <w:rPr>
                <w:rFonts w:ascii="Times New Roman" w:eastAsia="Times New Roman" w:hAnsi="Times New Roman" w:cs="Times New Roman"/>
                <w:color w:val="000000"/>
                <w:spacing w:val="0"/>
                <w:w w:val="100"/>
                <w:position w:val="0"/>
              </w:rPr>
              <w:t>6</w:t>
            </w:r>
            <w:r>
              <w:rPr>
                <w:color w:val="000000"/>
                <w:spacing w:val="0"/>
                <w:w w:val="100"/>
                <w:position w:val="0"/>
              </w:rPr>
              <w:t>个月后的</w:t>
            </w:r>
            <w:r>
              <w:rPr>
                <w:rFonts w:ascii="Times New Roman" w:eastAsia="Times New Roman" w:hAnsi="Times New Roman" w:cs="Times New Roman"/>
                <w:color w:val="000000"/>
                <w:spacing w:val="0"/>
                <w:w w:val="100"/>
                <w:position w:val="0"/>
              </w:rPr>
              <w:t>12</w:t>
            </w:r>
            <w:r>
              <w:rPr>
                <w:color w:val="000000"/>
                <w:spacing w:val="0"/>
                <w:w w:val="100"/>
                <w:position w:val="0"/>
              </w:rPr>
              <w:t>个月内通过证券交易所挂牌交易出售公司股票数量占 其直接和间接持有公司股票总数的比例不超过</w:t>
            </w:r>
            <w:r>
              <w:rPr>
                <w:rFonts w:ascii="Times New Roman" w:eastAsia="Times New Roman" w:hAnsi="Times New Roman" w:cs="Times New Roman"/>
                <w:color w:val="000000"/>
                <w:spacing w:val="0"/>
                <w:w w:val="100"/>
                <w:position w:val="0"/>
              </w:rPr>
              <w:t>50%</w:t>
            </w:r>
            <w:r>
              <w:rPr>
                <w:color w:val="000000"/>
                <w:spacing w:val="0"/>
                <w:w w:val="100"/>
                <w:position w:val="0"/>
              </w:rPr>
              <w:t>；在公司股票上市之日起</w:t>
            </w:r>
            <w:r>
              <w:rPr>
                <w:rFonts w:ascii="Times New Roman" w:eastAsia="Times New Roman" w:hAnsi="Times New Roman" w:cs="Times New Roman"/>
                <w:color w:val="000000"/>
                <w:spacing w:val="0"/>
                <w:w w:val="100"/>
                <w:position w:val="0"/>
              </w:rPr>
              <w:t>6</w:t>
            </w:r>
            <w:r>
              <w:rPr>
                <w:color w:val="000000"/>
                <w:spacing w:val="0"/>
                <w:w w:val="100"/>
                <w:position w:val="0"/>
              </w:rPr>
              <w:t>个月内申报离 职的，自申报离职之日起</w:t>
            </w:r>
            <w:r>
              <w:rPr>
                <w:rFonts w:ascii="Times New Roman" w:eastAsia="Times New Roman" w:hAnsi="Times New Roman" w:cs="Times New Roman"/>
                <w:color w:val="000000"/>
                <w:spacing w:val="0"/>
                <w:w w:val="100"/>
                <w:position w:val="0"/>
              </w:rPr>
              <w:t>18</w:t>
            </w:r>
            <w:r>
              <w:rPr>
                <w:color w:val="000000"/>
                <w:spacing w:val="0"/>
                <w:w w:val="100"/>
                <w:position w:val="0"/>
              </w:rPr>
              <w:t>个月内不得转让其持有的公司股份；在公司股票上市之日起第</w:t>
            </w:r>
            <w:r>
              <w:rPr>
                <w:rFonts w:ascii="Times New Roman" w:eastAsia="Times New Roman" w:hAnsi="Times New Roman" w:cs="Times New Roman"/>
                <w:color w:val="000000"/>
                <w:spacing w:val="0"/>
                <w:w w:val="100"/>
                <w:position w:val="0"/>
              </w:rPr>
              <w:t xml:space="preserve">7 </w:t>
            </w:r>
            <w:r>
              <w:rPr>
                <w:color w:val="000000"/>
                <w:spacing w:val="0"/>
                <w:w w:val="100"/>
                <w:position w:val="0"/>
              </w:rPr>
              <w:t>个月至第</w:t>
            </w:r>
            <w:r>
              <w:rPr>
                <w:rFonts w:ascii="Times New Roman" w:eastAsia="Times New Roman" w:hAnsi="Times New Roman" w:cs="Times New Roman"/>
                <w:color w:val="000000"/>
                <w:spacing w:val="0"/>
                <w:w w:val="100"/>
                <w:position w:val="0"/>
              </w:rPr>
              <w:t>12</w:t>
            </w:r>
            <w:r>
              <w:rPr>
                <w:color w:val="000000"/>
                <w:spacing w:val="0"/>
                <w:w w:val="100"/>
                <w:position w:val="0"/>
              </w:rPr>
              <w:t>个月之间申报离职的，自申报离职之日起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个月内不得转让其持有的公司股份。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6840" w:h="11900" w:orient="landscape"/>
          <w:pgMar w:top="1124" w:right="1359" w:bottom="1297" w:left="1431" w:header="0" w:footer="3" w:gutter="0"/>
          <w:cols w:space="720"/>
          <w:noEndnote/>
          <w:rtlGutter w:val="0"/>
          <w:docGrid w:linePitch="360"/>
        </w:sectPr>
      </w:pPr>
    </w:p>
    <w:p>
      <w:pPr>
        <w:pStyle w:val="Style30"/>
        <w:keepNext/>
        <w:keepLines/>
        <w:widowControl w:val="0"/>
        <w:shd w:val="clear" w:color="auto" w:fill="auto"/>
        <w:bidi w:val="0"/>
        <w:spacing w:before="0" w:after="34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sz w:val="24"/>
          <w:szCs w:val="24"/>
        </w:rPr>
        <w:t>三</w:t>
      </w:r>
      <w:bookmarkEnd w:id="176"/>
      <w:r>
        <w:rPr>
          <w:color w:val="000000"/>
          <w:spacing w:val="0"/>
          <w:w w:val="100"/>
          <w:position w:val="0"/>
          <w:sz w:val="24"/>
          <w:szCs w:val="24"/>
        </w:rPr>
        <w:t>、聘任、解聘会计师事务所情况</w:t>
      </w:r>
      <w:bookmarkEnd w:id="174"/>
      <w:bookmarkEnd w:id="175"/>
      <w:bookmarkEnd w:id="177"/>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北京永拓会计师事务所（特殊普通合伙）</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李宏、吕润波</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after="340" w:line="331" w:lineRule="exact"/>
        <w:ind w:left="0" w:right="0" w:firstLine="0"/>
        <w:jc w:val="left"/>
      </w:pPr>
      <w:bookmarkStart w:id="178" w:name="bookmark178"/>
      <w:bookmarkStart w:id="179" w:name="bookmark179"/>
      <w:bookmarkStart w:id="180" w:name="bookmark180"/>
      <w:bookmarkStart w:id="181" w:name="bookmark181"/>
      <w:r>
        <w:rPr>
          <w:color w:val="000000"/>
          <w:spacing w:val="0"/>
          <w:w w:val="100"/>
          <w:position w:val="0"/>
          <w:sz w:val="24"/>
          <w:szCs w:val="24"/>
        </w:rPr>
        <w:t>四</w:t>
      </w:r>
      <w:bookmarkEnd w:id="180"/>
      <w:r>
        <w:rPr>
          <w:color w:val="000000"/>
          <w:spacing w:val="0"/>
          <w:w w:val="100"/>
          <w:position w:val="0"/>
          <w:sz w:val="24"/>
          <w:szCs w:val="24"/>
        </w:rPr>
        <w:t>、上市公司及其董事、监事、高级管理人员、公司股东、实际控制人和收购人处罚及整改 情况</w:t>
      </w:r>
      <w:bookmarkEnd w:id="178"/>
      <w:bookmarkEnd w:id="179"/>
      <w:bookmarkEnd w:id="181"/>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上市公司及其子公司是否被列入环保部门公布的污染严重企业名单</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上市公司及其子公司是否存在其他重大社会安全问题</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报告期内是否被行政处罚</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color w:val="000000"/>
          <w:spacing w:val="0"/>
          <w:w w:val="100"/>
          <w:position w:val="0"/>
        </w:rPr>
        <w:t>口</w:t>
      </w:r>
      <w:r>
        <w:rPr>
          <w:color w:val="000000"/>
          <w:spacing w:val="0"/>
          <w:w w:val="100"/>
          <w:position w:val="0"/>
        </w:rPr>
        <w:t>不适用</w:t>
      </w:r>
      <w:r>
        <w:br w:type="page"/>
      </w:r>
    </w:p>
    <w:p>
      <w:pPr>
        <w:pStyle w:val="Style19"/>
        <w:keepNext/>
        <w:keepLines/>
        <w:widowControl w:val="0"/>
        <w:shd w:val="clear" w:color="auto" w:fill="auto"/>
        <w:bidi w:val="0"/>
        <w:spacing w:before="0" w:after="540" w:line="240" w:lineRule="auto"/>
        <w:ind w:left="0" w:right="0" w:firstLine="0"/>
        <w:jc w:val="center"/>
      </w:pPr>
      <w:bookmarkStart w:id="182" w:name="bookmark182"/>
      <w:bookmarkStart w:id="183" w:name="bookmark183"/>
      <w:bookmarkStart w:id="184" w:name="bookmark184"/>
      <w:r>
        <w:rPr>
          <w:color w:val="000000"/>
          <w:spacing w:val="0"/>
          <w:w w:val="100"/>
          <w:position w:val="0"/>
        </w:rPr>
        <w:t>第六节股份变动及股东情况</w:t>
      </w:r>
      <w:bookmarkEnd w:id="182"/>
      <w:bookmarkEnd w:id="183"/>
      <w:bookmarkEnd w:id="184"/>
    </w:p>
    <w:p>
      <w:pPr>
        <w:pStyle w:val="Style30"/>
        <w:keepNext/>
        <w:keepLines/>
        <w:widowControl w:val="0"/>
        <w:shd w:val="clear" w:color="auto" w:fill="auto"/>
        <w:bidi w:val="0"/>
        <w:spacing w:before="0" w:line="240" w:lineRule="auto"/>
        <w:ind w:left="0" w:right="0" w:firstLine="0"/>
        <w:jc w:val="both"/>
      </w:pPr>
      <w:bookmarkStart w:id="185" w:name="bookmark185"/>
      <w:bookmarkStart w:id="186" w:name="bookmark186"/>
      <w:bookmarkStart w:id="187" w:name="bookmark187"/>
      <w:bookmarkStart w:id="188" w:name="bookmark188"/>
      <w:bookmarkStart w:id="189" w:name="bookmark189"/>
      <w:r>
        <w:rPr>
          <w:color w:val="000000"/>
          <w:spacing w:val="0"/>
          <w:w w:val="100"/>
          <w:position w:val="0"/>
          <w:sz w:val="24"/>
          <w:szCs w:val="24"/>
        </w:rPr>
        <w:t>一</w:t>
      </w:r>
      <w:bookmarkEnd w:id="188"/>
      <w:r>
        <w:rPr>
          <w:color w:val="000000"/>
          <w:spacing w:val="0"/>
          <w:w w:val="100"/>
          <w:position w:val="0"/>
          <w:sz w:val="24"/>
          <w:szCs w:val="24"/>
        </w:rPr>
        <w:t>、股份变动情况</w:t>
      </w:r>
      <w:bookmarkEnd w:id="186"/>
      <w:bookmarkEnd w:id="187"/>
      <w:bookmarkEnd w:id="189"/>
      <w:bookmarkEnd w:id="185"/>
    </w:p>
    <w:p>
      <w:pPr>
        <w:pStyle w:val="Style35"/>
        <w:keepNext/>
        <w:keepLines/>
        <w:widowControl w:val="0"/>
        <w:shd w:val="clear" w:color="auto" w:fill="auto"/>
        <w:bidi w:val="0"/>
        <w:spacing w:before="0" w:after="360" w:line="240" w:lineRule="auto"/>
        <w:ind w:left="0" w:right="0" w:firstLine="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1</w:t>
      </w:r>
      <w:bookmarkEnd w:id="192"/>
      <w:r>
        <w:rPr>
          <w:color w:val="000000"/>
          <w:spacing w:val="0"/>
          <w:w w:val="100"/>
          <w:position w:val="0"/>
        </w:rPr>
        <w:t>、股份变动情况</w:t>
      </w:r>
      <w:bookmarkEnd w:id="190"/>
      <w:bookmarkEnd w:id="191"/>
      <w:bookmarkEnd w:id="193"/>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0"/>
        <w:gridCol w:w="845"/>
        <w:gridCol w:w="850"/>
        <w:gridCol w:w="677"/>
        <w:gridCol w:w="1003"/>
        <w:gridCol w:w="845"/>
        <w:gridCol w:w="845"/>
        <w:gridCol w:w="811"/>
        <w:gridCol w:w="826"/>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53,000,00</w:t>
            </w:r>
          </w:p>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53,000,00</w:t>
            </w:r>
          </w:p>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70.72%</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13,050,00</w:t>
            </w:r>
          </w:p>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10,050,00</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39,950,00</w:t>
            </w:r>
          </w:p>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39,950,00</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17,700,00</w:t>
            </w:r>
          </w:p>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20,700,00</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17,700,00</w:t>
            </w:r>
          </w:p>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20,700,00</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70,700,00</w:t>
            </w:r>
          </w:p>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70,700,00</w:t>
            </w:r>
          </w:p>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股份变动的原因</w:t>
      </w:r>
    </w:p>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9"/>
        <w:keepNext w:val="0"/>
        <w:keepLines w:val="0"/>
        <w:widowControl w:val="0"/>
        <w:shd w:val="clear" w:color="auto" w:fill="auto"/>
        <w:bidi w:val="0"/>
        <w:spacing w:before="0" w:after="200" w:line="309" w:lineRule="exact"/>
        <w:ind w:left="0" w:right="0" w:firstLine="440"/>
        <w:jc w:val="left"/>
      </w:pPr>
      <w:r>
        <w:rPr>
          <w:color w:val="000000"/>
          <w:spacing w:val="0"/>
          <w:w w:val="100"/>
          <w:position w:val="0"/>
        </w:rPr>
        <w:t>根据公司股东天津东方富海在《任子行网络技术股份有限公司首次公开发行股票并在创业板上市上市公告书》以及公 司招股说明书中的承诺，其持有的公司股份总额的</w:t>
      </w:r>
      <w:r>
        <w:rPr>
          <w:rFonts w:ascii="Times New Roman" w:eastAsia="Times New Roman" w:hAnsi="Times New Roman" w:cs="Times New Roman"/>
          <w:color w:val="000000"/>
          <w:spacing w:val="0"/>
          <w:w w:val="100"/>
          <w:position w:val="0"/>
        </w:rPr>
        <w:t>50%</w:t>
      </w:r>
      <w:r>
        <w:rPr>
          <w:color w:val="000000"/>
          <w:spacing w:val="0"/>
          <w:w w:val="100"/>
          <w:position w:val="0"/>
        </w:rPr>
        <w:t>，即</w:t>
      </w:r>
      <w:r>
        <w:rPr>
          <w:rFonts w:ascii="Times New Roman" w:eastAsia="Times New Roman" w:hAnsi="Times New Roman" w:cs="Times New Roman"/>
          <w:color w:val="000000"/>
          <w:spacing w:val="0"/>
          <w:w w:val="100"/>
          <w:position w:val="0"/>
        </w:rPr>
        <w:t>300</w:t>
      </w:r>
      <w:r>
        <w:rPr>
          <w:color w:val="000000"/>
          <w:spacing w:val="0"/>
          <w:w w:val="100"/>
          <w:position w:val="0"/>
        </w:rPr>
        <w:t>万股，于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日达到承诺锁定期限；</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 公司发布相关提示性公告，该次解除限售股份可上市流通时间为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日。截至报告期末，天津东方富海持有公司股 份数为</w:t>
      </w:r>
      <w:r>
        <w:rPr>
          <w:rFonts w:ascii="Times New Roman" w:eastAsia="Times New Roman" w:hAnsi="Times New Roman" w:cs="Times New Roman"/>
          <w:color w:val="000000"/>
          <w:spacing w:val="0"/>
          <w:w w:val="100"/>
          <w:position w:val="0"/>
        </w:rPr>
        <w:t>300</w:t>
      </w:r>
      <w:r>
        <w:rPr>
          <w:color w:val="000000"/>
          <w:spacing w:val="0"/>
          <w:w w:val="100"/>
          <w:position w:val="0"/>
        </w:rPr>
        <w:t>万股，占公司股份总数的</w:t>
      </w:r>
      <w:r>
        <w:rPr>
          <w:rFonts w:ascii="Times New Roman" w:eastAsia="Times New Roman" w:hAnsi="Times New Roman" w:cs="Times New Roman"/>
          <w:color w:val="000000"/>
          <w:spacing w:val="0"/>
          <w:w w:val="100"/>
          <w:position w:val="0"/>
        </w:rPr>
        <w:t>4.24%</w:t>
      </w:r>
      <w:r>
        <w:rPr>
          <w:color w:val="000000"/>
          <w:spacing w:val="0"/>
          <w:w w:val="100"/>
          <w:position w:val="0"/>
        </w:rPr>
        <w:t>。</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2</w:t>
      </w:r>
      <w:bookmarkEnd w:id="196"/>
      <w:r>
        <w:rPr>
          <w:color w:val="000000"/>
          <w:spacing w:val="0"/>
          <w:w w:val="100"/>
          <w:position w:val="0"/>
        </w:rPr>
        <w:t>、限售股份变动情况</w:t>
      </w:r>
      <w:bookmarkEnd w:id="194"/>
      <w:bookmarkEnd w:id="195"/>
      <w:bookmarkEnd w:id="19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37,788,000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37,788,000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深圳市华信远景 投资咨询有限公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天津东方富海股 权投资基金合伙 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吴宁莉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唐海林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235,000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师召辉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188,000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188,000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pStyle w:val="Style30"/>
        <w:keepNext/>
        <w:keepLines/>
        <w:widowControl w:val="0"/>
        <w:shd w:val="clear" w:color="auto" w:fill="auto"/>
        <w:tabs>
          <w:tab w:pos="522" w:val="left"/>
        </w:tabs>
        <w:bidi w:val="0"/>
        <w:spacing w:before="0" w:after="34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sz w:val="24"/>
          <w:szCs w:val="24"/>
        </w:rPr>
        <w:t>二</w:t>
      </w:r>
      <w:bookmarkEnd w:id="200"/>
      <w:r>
        <w:rPr>
          <w:color w:val="000000"/>
          <w:spacing w:val="0"/>
          <w:w w:val="100"/>
          <w:position w:val="0"/>
          <w:sz w:val="24"/>
          <w:szCs w:val="24"/>
        </w:rPr>
        <w:t>、</w:t>
        <w:tab/>
        <w:t>证券发行与上市情况</w:t>
      </w:r>
      <w:bookmarkEnd w:id="198"/>
      <w:bookmarkEnd w:id="199"/>
      <w:bookmarkEnd w:id="201"/>
    </w:p>
    <w:p>
      <w:pPr>
        <w:pStyle w:val="Style35"/>
        <w:keepNext/>
        <w:keepLines/>
        <w:widowControl w:val="0"/>
        <w:shd w:val="clear" w:color="auto" w:fill="auto"/>
        <w:bidi w:val="0"/>
        <w:spacing w:before="0" w:after="26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、公司股份总数及股东结构的变动、公司资产和负债结构的变动情况说明</w:t>
      </w:r>
      <w:bookmarkEnd w:id="202"/>
      <w:bookmarkEnd w:id="203"/>
      <w:bookmarkEnd w:id="205"/>
    </w:p>
    <w:p>
      <w:pPr>
        <w:pStyle w:val="Style9"/>
        <w:keepNext w:val="0"/>
        <w:keepLines w:val="0"/>
        <w:widowControl w:val="0"/>
        <w:shd w:val="clear" w:color="auto" w:fill="auto"/>
        <w:bidi w:val="0"/>
        <w:spacing w:before="0" w:after="340" w:line="319"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日公司股东天津东方富海股权投资基金合伙企业所（有限合伙）持有的公司股份总额的</w:t>
      </w:r>
      <w:r>
        <w:rPr>
          <w:rFonts w:ascii="Times New Roman" w:eastAsia="Times New Roman" w:hAnsi="Times New Roman" w:cs="Times New Roman"/>
          <w:color w:val="000000"/>
          <w:spacing w:val="0"/>
          <w:w w:val="100"/>
          <w:position w:val="0"/>
        </w:rPr>
        <w:t>50%</w:t>
      </w:r>
      <w:r>
        <w:rPr>
          <w:color w:val="000000"/>
          <w:spacing w:val="0"/>
          <w:w w:val="100"/>
          <w:position w:val="0"/>
        </w:rPr>
        <w:t>，即</w:t>
      </w:r>
      <w:r>
        <w:rPr>
          <w:rFonts w:ascii="Times New Roman" w:eastAsia="Times New Roman" w:hAnsi="Times New Roman" w:cs="Times New Roman"/>
          <w:color w:val="000000"/>
          <w:spacing w:val="0"/>
          <w:w w:val="100"/>
          <w:position w:val="0"/>
        </w:rPr>
        <w:t>300</w:t>
      </w:r>
      <w:r>
        <w:rPr>
          <w:color w:val="000000"/>
          <w:spacing w:val="0"/>
          <w:w w:val="100"/>
          <w:position w:val="0"/>
        </w:rPr>
        <w:t>万股， 解除限售上市流通。此次变动后，会使公司无限售条件股份增加</w:t>
      </w:r>
      <w:r>
        <w:rPr>
          <w:rFonts w:ascii="Times New Roman" w:eastAsia="Times New Roman" w:hAnsi="Times New Roman" w:cs="Times New Roman"/>
          <w:color w:val="000000"/>
          <w:spacing w:val="0"/>
          <w:w w:val="100"/>
          <w:position w:val="0"/>
        </w:rPr>
        <w:t>300</w:t>
      </w:r>
      <w:r>
        <w:rPr>
          <w:color w:val="000000"/>
          <w:spacing w:val="0"/>
          <w:w w:val="100"/>
          <w:position w:val="0"/>
        </w:rPr>
        <w:t>万股，截至报告期末，公司无限售条件流通股总数为</w:t>
      </w:r>
      <w:r>
        <w:rPr>
          <w:rFonts w:ascii="Times New Roman" w:eastAsia="Times New Roman" w:hAnsi="Times New Roman" w:cs="Times New Roman"/>
          <w:color w:val="000000"/>
          <w:spacing w:val="0"/>
          <w:w w:val="100"/>
          <w:position w:val="0"/>
        </w:rPr>
        <w:t xml:space="preserve">2070 </w:t>
      </w:r>
      <w:r>
        <w:rPr>
          <w:color w:val="000000"/>
          <w:spacing w:val="0"/>
          <w:w w:val="100"/>
          <w:position w:val="0"/>
        </w:rPr>
        <w:t>万股。</w:t>
      </w:r>
    </w:p>
    <w:p>
      <w:pPr>
        <w:pStyle w:val="Style30"/>
        <w:keepNext/>
        <w:keepLines/>
        <w:widowControl w:val="0"/>
        <w:shd w:val="clear" w:color="auto" w:fill="auto"/>
        <w:tabs>
          <w:tab w:pos="526" w:val="left"/>
        </w:tabs>
        <w:bidi w:val="0"/>
        <w:spacing w:before="0" w:after="34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sz w:val="24"/>
          <w:szCs w:val="24"/>
        </w:rPr>
        <w:t>三</w:t>
      </w:r>
      <w:bookmarkEnd w:id="208"/>
      <w:r>
        <w:rPr>
          <w:color w:val="000000"/>
          <w:spacing w:val="0"/>
          <w:w w:val="100"/>
          <w:position w:val="0"/>
          <w:sz w:val="24"/>
          <w:szCs w:val="24"/>
        </w:rPr>
        <w:t>、</w:t>
        <w:tab/>
        <w:t>股东和实际控制人情况</w:t>
      </w:r>
      <w:bookmarkEnd w:id="206"/>
      <w:bookmarkEnd w:id="207"/>
      <w:bookmarkEnd w:id="209"/>
    </w:p>
    <w:p>
      <w:pPr>
        <w:pStyle w:val="Style35"/>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、公司股东数量及持股情况</w:t>
      </w:r>
      <w:bookmarkEnd w:id="210"/>
      <w:bookmarkEnd w:id="211"/>
      <w:bookmarkEnd w:id="21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3"/>
        <w:gridCol w:w="864"/>
        <w:gridCol w:w="797"/>
        <w:gridCol w:w="802"/>
        <w:gridCol w:w="797"/>
        <w:gridCol w:w="850"/>
        <w:gridCol w:w="1368"/>
        <w:gridCol w:w="1378"/>
      </w:tblGrid>
      <w:tr>
        <w:trPr>
          <w:trHeight w:val="403" w:hRule="exact"/>
        </w:trPr>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10,489</w:t>
            </w:r>
          </w:p>
        </w:tc>
        <w:tc>
          <w:tcPr>
            <w:gridSpan w:val="5"/>
            <w:tcBorders>
              <w:top w:val="single" w:sz="4"/>
              <w:left w:val="single" w:sz="4"/>
              <w:right w:val="single" w:sz="4"/>
            </w:tcBorders>
            <w:shd w:val="clear" w:color="auto" w:fill="D4D4D4"/>
            <w:vAlign w:val="center"/>
          </w:tcPr>
          <w:p>
            <w:pPr>
              <w:pStyle w:val="Style6"/>
              <w:keepNext w:val="0"/>
              <w:keepLines w:val="0"/>
              <w:widowControl w:val="0"/>
              <w:shd w:val="clear" w:color="auto" w:fill="auto"/>
              <w:tabs>
                <w:tab w:pos="4685" w:val="left"/>
              </w:tabs>
              <w:bidi w:val="0"/>
              <w:spacing w:before="0" w:after="0" w:line="240" w:lineRule="auto"/>
              <w:ind w:left="0" w:right="0" w:firstLine="0"/>
              <w:jc w:val="righ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tab/>
            </w:r>
            <w:r>
              <w:rPr>
                <w:rFonts w:ascii="Times New Roman" w:eastAsia="Times New Roman" w:hAnsi="Times New Roman" w:cs="Times New Roman"/>
                <w:color w:val="000000"/>
                <w:spacing w:val="0"/>
                <w:w w:val="100"/>
                <w:position w:val="0"/>
              </w:rPr>
              <w:t>9,448</w:t>
            </w:r>
          </w:p>
        </w:tc>
      </w:tr>
      <w:tr>
        <w:trPr>
          <w:trHeight w:val="403" w:hRule="exact"/>
        </w:trPr>
        <w:tc>
          <w:tcPr>
            <w:gridSpan w:val="9"/>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19"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37,788,00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37,788,00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深圳市华信远景 投资咨询有限公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天津东方富海股 权投资基金合伙 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705,000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705,000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吴宁莉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376,000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376,000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376,000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376,000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唐海林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282,000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282,000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235,000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235,000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西部信托有限公 司一西部信 托</w:t>
            </w:r>
            <w:r>
              <w:rPr>
                <w:rFonts w:ascii="Times New Roman" w:eastAsia="Times New Roman" w:hAnsi="Times New Roman" w:cs="Times New Roman"/>
                <w:color w:val="000000"/>
                <w:spacing w:val="0"/>
                <w:w w:val="100"/>
                <w:position w:val="0"/>
              </w:rPr>
              <w:t>•</w:t>
            </w:r>
            <w:r>
              <w:rPr>
                <w:color w:val="000000"/>
                <w:spacing w:val="0"/>
                <w:w w:val="100"/>
                <w:position w:val="0"/>
              </w:rPr>
              <w:t>稳健人生系 列伞型结构化</w:t>
            </w:r>
            <w:r>
              <w:rPr>
                <w:rFonts w:ascii="Times New Roman" w:eastAsia="Times New Roman" w:hAnsi="Times New Roman" w:cs="Times New Roman"/>
                <w:color w:val="000000"/>
                <w:spacing w:val="0"/>
                <w:w w:val="100"/>
                <w:position w:val="0"/>
              </w:rPr>
              <w:t xml:space="preserve">3 </w:t>
            </w:r>
            <w:r>
              <w:rPr>
                <w:color w:val="000000"/>
                <w:spacing w:val="0"/>
                <w:w w:val="100"/>
                <w:position w:val="0"/>
              </w:rPr>
              <w:t>期证券投资集合 资金信托计划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196,331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+196,331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师召辉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上述股东中，景晓军与景晓东为兄弟关系，且景晓军为深圳市华信远景投资咨询有限公 司控股股东、实际控制人；除此之外，其余股东不存在或未知是否存在关联关系或属于</w:t>
            </w:r>
          </w:p>
        </w:tc>
      </w:tr>
    </w:tbl>
    <w:p>
      <w:pPr>
        <w:spacing w:lineRule="exact" w:line="1"/>
        <w:rPr>
          <w:sz w:val="2"/>
          <w:szCs w:val="2"/>
        </w:rPr>
      </w:pPr>
      <w:r>
        <w:br w:type="page"/>
      </w:r>
    </w:p>
    <w:tbl>
      <w:tblPr>
        <w:tblOverlap w:val="never"/>
        <w:jc w:val="center"/>
        <w:tblLayout w:type="fixed"/>
      </w:tblPr>
      <w:tblGrid>
        <w:gridCol w:w="2731"/>
        <w:gridCol w:w="4109"/>
        <w:gridCol w:w="1368"/>
        <w:gridCol w:w="1378"/>
      </w:tblGrid>
      <w:tr>
        <w:trPr>
          <w:trHeight w:val="365" w:hRule="exact"/>
        </w:trPr>
        <w:tc>
          <w:tcPr>
            <w:tcBorders>
              <w:top w:val="single" w:sz="4"/>
              <w:left w:val="single" w:sz="4"/>
            </w:tcBorders>
            <w:shd w:val="clear" w:color="auto" w:fill="D4D4D4"/>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《上市公司股东持股变动信息披露管理办法》规定的一致行动人。</w:t>
            </w:r>
          </w:p>
        </w:tc>
      </w:tr>
      <w:tr>
        <w:trPr>
          <w:trHeight w:val="403" w:hRule="exact"/>
        </w:trPr>
        <w:tc>
          <w:tcPr>
            <w:gridSpan w:val="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西部信托有限公司一西部信托</w:t>
            </w:r>
            <w:r>
              <w:rPr>
                <w:rFonts w:ascii="Times New Roman" w:eastAsia="Times New Roman" w:hAnsi="Times New Roman" w:cs="Times New Roman"/>
                <w:color w:val="000000"/>
                <w:spacing w:val="0"/>
                <w:w w:val="100"/>
                <w:position w:val="0"/>
              </w:rPr>
              <w:t>•</w:t>
            </w:r>
            <w:r>
              <w:rPr>
                <w:color w:val="000000"/>
                <w:spacing w:val="0"/>
                <w:w w:val="100"/>
                <w:position w:val="0"/>
              </w:rPr>
              <w:t>稳 健人生系列伞型结构化</w:t>
            </w:r>
            <w:r>
              <w:rPr>
                <w:rFonts w:ascii="Times New Roman" w:eastAsia="Times New Roman" w:hAnsi="Times New Roman" w:cs="Times New Roman"/>
                <w:color w:val="000000"/>
                <w:spacing w:val="0"/>
                <w:w w:val="100"/>
                <w:position w:val="0"/>
              </w:rPr>
              <w:t>3</w:t>
            </w:r>
            <w:r>
              <w:rPr>
                <w:color w:val="000000"/>
                <w:spacing w:val="0"/>
                <w:w w:val="100"/>
                <w:position w:val="0"/>
              </w:rPr>
              <w:t>期证券投 资集合资金信托计划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李伟忠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许好男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华润深国投信托有限公司一智慧 金</w:t>
            </w:r>
            <w:r>
              <w:rPr>
                <w:rFonts w:ascii="Times New Roman" w:eastAsia="Times New Roman" w:hAnsi="Times New Roman" w:cs="Times New Roman"/>
                <w:color w:val="000000"/>
                <w:spacing w:val="0"/>
                <w:w w:val="100"/>
                <w:position w:val="0"/>
              </w:rPr>
              <w:t>46</w:t>
            </w:r>
            <w:r>
              <w:rPr>
                <w:color w:val="000000"/>
                <w:spacing w:val="0"/>
                <w:w w:val="100"/>
                <w:position w:val="0"/>
              </w:rPr>
              <w:t>号集合资金信托计划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项幼琴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王朝阳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郭洪程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102,250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李晓清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文登市瑞鑫建材有限公司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黄华清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79,800</w:t>
            </w:r>
          </w:p>
        </w:tc>
      </w:tr>
      <w:tr>
        <w:trPr>
          <w:trHeight w:val="196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名无限售流通股股东之间，未知是否存在关联关系或属于《上市公司股东持 股变动信息披露管理办法》规定的一致行动人；除与</w:t>
            </w:r>
            <w:r>
              <w:rPr>
                <w:rFonts w:ascii="Times New Roman" w:eastAsia="Times New Roman" w:hAnsi="Times New Roman" w:cs="Times New Roman"/>
                <w:color w:val="000000"/>
                <w:spacing w:val="0"/>
                <w:w w:val="100"/>
                <w:position w:val="0"/>
              </w:rPr>
              <w:t>“</w:t>
            </w:r>
            <w:r>
              <w:rPr>
                <w:color w:val="000000"/>
                <w:spacing w:val="0"/>
                <w:w w:val="100"/>
                <w:position w:val="0"/>
              </w:rPr>
              <w:t>西部信托有限公司一西部信托</w:t>
            </w:r>
            <w:r>
              <w:rPr>
                <w:rFonts w:ascii="Times New Roman" w:eastAsia="Times New Roman" w:hAnsi="Times New Roman" w:cs="Times New Roman"/>
                <w:color w:val="000000"/>
                <w:spacing w:val="0"/>
                <w:w w:val="100"/>
                <w:position w:val="0"/>
              </w:rPr>
              <w:t>•</w:t>
            </w:r>
            <w:r>
              <w:rPr>
                <w:color w:val="000000"/>
                <w:spacing w:val="0"/>
                <w:w w:val="100"/>
                <w:position w:val="0"/>
              </w:rPr>
              <w:t>稳 健人生系列伞型结构化</w:t>
            </w:r>
            <w:r>
              <w:rPr>
                <w:rFonts w:ascii="Times New Roman" w:eastAsia="Times New Roman" w:hAnsi="Times New Roman" w:cs="Times New Roman"/>
                <w:color w:val="000000"/>
                <w:spacing w:val="0"/>
                <w:w w:val="100"/>
                <w:position w:val="0"/>
              </w:rPr>
              <w:t>3</w:t>
            </w:r>
            <w:r>
              <w:rPr>
                <w:color w:val="000000"/>
                <w:spacing w:val="0"/>
                <w:w w:val="100"/>
                <w:position w:val="0"/>
              </w:rPr>
              <w:t>期证券投资集合资金信托计划</w:t>
            </w:r>
            <w:r>
              <w:rPr>
                <w:rFonts w:ascii="Times New Roman" w:eastAsia="Times New Roman" w:hAnsi="Times New Roman" w:cs="Times New Roman"/>
                <w:color w:val="000000"/>
                <w:spacing w:val="0"/>
                <w:w w:val="100"/>
                <w:position w:val="0"/>
              </w:rPr>
              <w:t>”</w:t>
            </w:r>
            <w:r>
              <w:rPr>
                <w:color w:val="000000"/>
                <w:spacing w:val="0"/>
                <w:w w:val="100"/>
                <w:position w:val="0"/>
              </w:rPr>
              <w:t>之间未知是否存在关联关系或 属于《上市公司股东持股变动信息披露管理办法》规定的一致行动人外，该</w:t>
            </w:r>
            <w:r>
              <w:rPr>
                <w:rFonts w:ascii="Times New Roman" w:eastAsia="Times New Roman" w:hAnsi="Times New Roman" w:cs="Times New Roman"/>
                <w:color w:val="000000"/>
                <w:spacing w:val="0"/>
                <w:w w:val="100"/>
                <w:position w:val="0"/>
              </w:rPr>
              <w:t>10</w:t>
            </w:r>
            <w:r>
              <w:rPr>
                <w:color w:val="000000"/>
                <w:spacing w:val="0"/>
                <w:w w:val="100"/>
                <w:position w:val="0"/>
              </w:rPr>
              <w:t>名无限 售流通股股东与公司前</w:t>
            </w:r>
            <w:r>
              <w:rPr>
                <w:rFonts w:ascii="Times New Roman" w:eastAsia="Times New Roman" w:hAnsi="Times New Roman" w:cs="Times New Roman"/>
                <w:color w:val="000000"/>
                <w:spacing w:val="0"/>
                <w:w w:val="100"/>
                <w:position w:val="0"/>
              </w:rPr>
              <w:t>10</w:t>
            </w:r>
            <w:r>
              <w:rPr>
                <w:color w:val="000000"/>
                <w:spacing w:val="0"/>
                <w:w w:val="100"/>
                <w:position w:val="0"/>
              </w:rPr>
              <w:t>名股东中的其他股东不存在关联关系或属于《上市公司股东 持股变动信息披露管理办法》规定的一致行动人。</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both"/>
            </w:pPr>
            <w:r>
              <w:rPr>
                <w:color w:val="000000"/>
                <w:spacing w:val="0"/>
                <w:w w:val="100"/>
                <w:position w:val="0"/>
              </w:rPr>
              <w:t>参与融资融券业务股东情况说明</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公司股东郭洪程先生通过中国银河证券股份有限公司客户信用交易担保证券账户持有 公司</w:t>
            </w:r>
            <w:r>
              <w:rPr>
                <w:rFonts w:ascii="Times New Roman" w:eastAsia="Times New Roman" w:hAnsi="Times New Roman" w:cs="Times New Roman"/>
                <w:color w:val="000000"/>
                <w:spacing w:val="0"/>
                <w:w w:val="100"/>
                <w:position w:val="0"/>
              </w:rPr>
              <w:t>102,250</w:t>
            </w:r>
            <w:r>
              <w:rPr>
                <w:color w:val="000000"/>
                <w:spacing w:val="0"/>
                <w:w w:val="100"/>
                <w:position w:val="0"/>
              </w:rPr>
              <w:t>股，未通过普通证券账户持有公司股票。</w:t>
            </w:r>
          </w:p>
        </w:tc>
      </w:tr>
    </w:tbl>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公司股东在报告期内是否进行约定购回交易</w:t>
      </w:r>
    </w:p>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开源证券有限责任公司约定购回专用账户约定购回</w:t>
      </w:r>
      <w:r>
        <w:rPr>
          <w:rFonts w:ascii="Times New Roman" w:eastAsia="Times New Roman" w:hAnsi="Times New Roman" w:cs="Times New Roman"/>
          <w:color w:val="000000"/>
          <w:spacing w:val="0"/>
          <w:w w:val="100"/>
          <w:position w:val="0"/>
        </w:rPr>
        <w:t>4000</w:t>
      </w:r>
      <w:r>
        <w:rPr>
          <w:color w:val="000000"/>
          <w:spacing w:val="0"/>
          <w:w w:val="100"/>
          <w:position w:val="0"/>
        </w:rPr>
        <w:t>股。</w:t>
      </w:r>
    </w:p>
    <w:p>
      <w:pPr>
        <w:pStyle w:val="Style35"/>
        <w:keepNext/>
        <w:keepLines/>
        <w:widowControl w:val="0"/>
        <w:shd w:val="clear" w:color="auto" w:fill="auto"/>
        <w:bidi w:val="0"/>
        <w:spacing w:before="0" w:after="360" w:line="240" w:lineRule="auto"/>
        <w:ind w:left="0" w:right="0" w:firstLine="0"/>
        <w:jc w:val="both"/>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2</w:t>
      </w:r>
      <w:bookmarkEnd w:id="216"/>
      <w:r>
        <w:rPr>
          <w:color w:val="000000"/>
          <w:spacing w:val="0"/>
          <w:w w:val="100"/>
          <w:position w:val="0"/>
        </w:rPr>
        <w:t>、公司控股股东情况</w:t>
      </w:r>
      <w:bookmarkEnd w:id="214"/>
      <w:bookmarkEnd w:id="215"/>
      <w:bookmarkEnd w:id="217"/>
    </w:p>
    <w:p>
      <w:pPr>
        <w:pStyle w:val="Style22"/>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341"/>
        <w:gridCol w:w="2059"/>
        <w:gridCol w:w="4186"/>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景晓军先生于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月至今在任子行有限及公司任董事长兼总经理。</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控股股东报告期内变更</w:t>
      </w:r>
    </w:p>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5"/>
        <w:keepNext/>
        <w:keepLines/>
        <w:widowControl w:val="0"/>
        <w:shd w:val="clear" w:color="auto" w:fill="auto"/>
        <w:bidi w:val="0"/>
        <w:spacing w:before="0" w:after="36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3</w:t>
      </w:r>
      <w:bookmarkEnd w:id="220"/>
      <w:r>
        <w:rPr>
          <w:color w:val="000000"/>
          <w:spacing w:val="0"/>
          <w:w w:val="100"/>
          <w:position w:val="0"/>
        </w:rPr>
        <w:t>、公司实际控制人情况</w:t>
      </w:r>
      <w:bookmarkEnd w:id="218"/>
      <w:bookmarkEnd w:id="219"/>
      <w:bookmarkEnd w:id="221"/>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230"/>
        <w:gridCol w:w="2237"/>
        <w:gridCol w:w="411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景晓军先生于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月至今在任子行有限及公司任董事长兼总经理。</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352800" cy="2109470"/>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3"/>
                    <a:stretch/>
                  </pic:blipFill>
                  <pic:spPr>
                    <a:xfrm>
                      <a:ext cx="3352800" cy="2109470"/>
                    </a:xfrm>
                    <a:prstGeom prst="rect"/>
                  </pic:spPr>
                </pic:pic>
              </a:graphicData>
            </a:graphic>
          </wp:inline>
        </w:drawing>
      </w:r>
    </w:p>
    <w:p>
      <w:pPr>
        <w:widowControl w:val="0"/>
        <w:spacing w:after="259" w:line="1" w:lineRule="exact"/>
      </w:pPr>
    </w:p>
    <w:p>
      <w:pPr>
        <w:pStyle w:val="Style43"/>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2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4</w:t>
      </w:r>
      <w:bookmarkEnd w:id="224"/>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222"/>
      <w:bookmarkEnd w:id="223"/>
      <w:bookmarkEnd w:id="225"/>
    </w:p>
    <w:tbl>
      <w:tblPr>
        <w:tblOverlap w:val="never"/>
        <w:jc w:val="center"/>
        <w:tblLayout w:type="fixed"/>
      </w:tblPr>
      <w:tblGrid>
        <w:gridCol w:w="3974"/>
        <w:gridCol w:w="1421"/>
        <w:gridCol w:w="1699"/>
        <w:gridCol w:w="1416"/>
        <w:gridCol w:w="1075"/>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限售条件股东名称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持有的限售条件 股份数量（股）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可上市交易时间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新增可上市交易 股份数量（股）</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限售条件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37,788,000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承诺</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深圳市华信远景投资咨询有限公司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承诺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天津东方富海股权投资基金合伙企业（有限合伙）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承诺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705,000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承诺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吴宁莉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376,000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承诺</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376,000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承诺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唐海林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282,000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承诺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235,000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承诺</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师召辉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188,000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承诺</w:t>
            </w:r>
          </w:p>
        </w:tc>
      </w:tr>
    </w:tbl>
    <w:p>
      <w:pPr>
        <w:spacing w:lineRule="exact" w:line="1"/>
        <w:rPr>
          <w:sz w:val="2"/>
          <w:szCs w:val="2"/>
        </w:rPr>
      </w:pPr>
      <w:r>
        <w:br w:type="page"/>
      </w:r>
    </w:p>
    <w:p>
      <w:pPr>
        <w:pStyle w:val="Style19"/>
        <w:keepNext/>
        <w:keepLines/>
        <w:widowControl w:val="0"/>
        <w:shd w:val="clear" w:color="auto" w:fill="auto"/>
        <w:bidi w:val="0"/>
        <w:spacing w:before="0" w:after="520" w:line="240" w:lineRule="auto"/>
        <w:ind w:left="0" w:right="0" w:firstLine="0"/>
        <w:jc w:val="center"/>
      </w:pPr>
      <w:bookmarkStart w:id="226" w:name="bookmark226"/>
      <w:bookmarkStart w:id="227" w:name="bookmark227"/>
      <w:bookmarkStart w:id="228" w:name="bookmark228"/>
      <w:r>
        <w:rPr>
          <w:color w:val="000000"/>
          <w:spacing w:val="0"/>
          <w:w w:val="100"/>
          <w:position w:val="0"/>
        </w:rPr>
        <w:t>第七节董事、监事、高级管理人员和员工情况</w:t>
      </w:r>
      <w:bookmarkEnd w:id="226"/>
      <w:bookmarkEnd w:id="227"/>
      <w:bookmarkEnd w:id="228"/>
    </w:p>
    <w:p>
      <w:pPr>
        <w:pStyle w:val="Style30"/>
        <w:keepNext/>
        <w:keepLines/>
        <w:widowControl w:val="0"/>
        <w:shd w:val="clear" w:color="auto" w:fill="auto"/>
        <w:bidi w:val="0"/>
        <w:spacing w:before="0" w:line="240" w:lineRule="auto"/>
        <w:ind w:left="0" w:right="0" w:firstLine="0"/>
        <w:jc w:val="left"/>
      </w:pPr>
      <w:bookmarkStart w:id="229" w:name="bookmark229"/>
      <w:bookmarkStart w:id="230" w:name="bookmark230"/>
      <w:bookmarkStart w:id="231" w:name="bookmark231"/>
      <w:bookmarkStart w:id="232" w:name="bookmark232"/>
      <w:bookmarkStart w:id="233" w:name="bookmark233"/>
      <w:r>
        <w:rPr>
          <w:color w:val="000000"/>
          <w:spacing w:val="0"/>
          <w:w w:val="100"/>
          <w:position w:val="0"/>
          <w:sz w:val="24"/>
          <w:szCs w:val="24"/>
        </w:rPr>
        <w:t>一</w:t>
      </w:r>
      <w:bookmarkEnd w:id="232"/>
      <w:r>
        <w:rPr>
          <w:color w:val="000000"/>
          <w:spacing w:val="0"/>
          <w:w w:val="100"/>
          <w:position w:val="0"/>
          <w:sz w:val="24"/>
          <w:szCs w:val="24"/>
        </w:rPr>
        <w:t>、董事、监事和高级管理人员持股变动</w:t>
      </w:r>
      <w:bookmarkEnd w:id="230"/>
      <w:bookmarkEnd w:id="231"/>
      <w:bookmarkEnd w:id="233"/>
      <w:bookmarkEnd w:id="229"/>
    </w:p>
    <w:p>
      <w:pPr>
        <w:pStyle w:val="Style35"/>
        <w:keepNext/>
        <w:keepLines/>
        <w:widowControl w:val="0"/>
        <w:shd w:val="clear" w:color="auto" w:fill="auto"/>
        <w:bidi w:val="0"/>
        <w:spacing w:before="0" w:after="32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1</w:t>
      </w:r>
      <w:bookmarkEnd w:id="236"/>
      <w:r>
        <w:rPr>
          <w:color w:val="000000"/>
          <w:spacing w:val="0"/>
          <w:w w:val="100"/>
          <w:position w:val="0"/>
        </w:rPr>
        <w:t>、持股情况</w:t>
      </w:r>
      <w:bookmarkEnd w:id="234"/>
      <w:bookmarkEnd w:id="235"/>
      <w:bookmarkEnd w:id="237"/>
    </w:p>
    <w:tbl>
      <w:tblPr>
        <w:tblOverlap w:val="never"/>
        <w:jc w:val="center"/>
        <w:tblLayout w:type="fixed"/>
      </w:tblPr>
      <w:tblGrid>
        <w:gridCol w:w="686"/>
        <w:gridCol w:w="1589"/>
        <w:gridCol w:w="283"/>
        <w:gridCol w:w="422"/>
        <w:gridCol w:w="427"/>
        <w:gridCol w:w="994"/>
        <w:gridCol w:w="566"/>
        <w:gridCol w:w="499"/>
        <w:gridCol w:w="922"/>
        <w:gridCol w:w="706"/>
        <w:gridCol w:w="710"/>
        <w:gridCol w:w="706"/>
        <w:gridCol w:w="706"/>
        <w:gridCol w:w="365"/>
      </w:tblGrid>
      <w:tr>
        <w:trPr>
          <w:trHeight w:val="228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性 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任职</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状态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期初持股数</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增持 股份 数量 （股）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 减持 股份 数量</w:t>
            </w:r>
          </w:p>
          <w:p>
            <w:pPr>
              <w:pStyle w:val="Style6"/>
              <w:keepNext w:val="0"/>
              <w:keepLines w:val="0"/>
              <w:widowControl w:val="0"/>
              <w:shd w:val="clear" w:color="auto" w:fill="auto"/>
              <w:bidi w:val="0"/>
              <w:spacing w:before="0" w:after="120" w:line="310" w:lineRule="exact"/>
              <w:ind w:left="0" w:right="140" w:firstLine="0"/>
              <w:jc w:val="right"/>
            </w:pPr>
            <w:r>
              <w:rPr>
                <w:color w:val="000000"/>
                <w:spacing w:val="0"/>
                <w:w w:val="100"/>
                <w:position w:val="0"/>
              </w:rPr>
              <w:t>（股</w:t>
            </w:r>
          </w:p>
          <w:p>
            <w:pPr>
              <w:pStyle w:val="Style6"/>
              <w:keepNext w:val="0"/>
              <w:keepLines w:val="0"/>
              <w:widowControl w:val="0"/>
              <w:shd w:val="clear" w:color="auto" w:fill="auto"/>
              <w:bidi w:val="0"/>
              <w:spacing w:before="0" w:after="0" w:line="310" w:lineRule="exact"/>
              <w:ind w:left="0" w:right="140" w:firstLine="0"/>
              <w:jc w:val="right"/>
            </w:pP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期初持</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有的股 权激励 获授予 限制性 股票数 量（股）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本期获 授予的 股权激 励限制 性股票 数量 （股）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本期被 注销的 股权激 励限制 性股票 数量 （股）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有的股 权激励 获授予 限制性 股票数 量（股）</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 减 变 动 原 因</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37,788,000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37,788,000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牛京国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付昭阳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闵锐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肖建军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师召辉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潘绿英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周益斌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程厚博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吴宁莉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副总经理、董事会秘 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唐海林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0"/>
        <w:keepNext/>
        <w:keepLines/>
        <w:widowControl w:val="0"/>
        <w:shd w:val="clear" w:color="auto" w:fill="auto"/>
        <w:bidi w:val="0"/>
        <w:spacing w:before="0" w:after="24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二</w:t>
      </w:r>
      <w:bookmarkEnd w:id="240"/>
      <w:r>
        <w:rPr>
          <w:color w:val="000000"/>
          <w:spacing w:val="0"/>
          <w:w w:val="100"/>
          <w:position w:val="0"/>
          <w:sz w:val="24"/>
          <w:szCs w:val="24"/>
        </w:rPr>
        <w:t>、任职情况</w:t>
      </w:r>
      <w:bookmarkEnd w:id="238"/>
      <w:bookmarkEnd w:id="239"/>
      <w:bookmarkEnd w:id="241"/>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9"/>
        <w:keepNext w:val="0"/>
        <w:keepLines w:val="0"/>
        <w:widowControl w:val="0"/>
        <w:shd w:val="clear" w:color="auto" w:fill="auto"/>
        <w:tabs>
          <w:tab w:pos="531" w:val="left"/>
        </w:tabs>
        <w:bidi w:val="0"/>
        <w:spacing w:before="0" w:after="0" w:line="322" w:lineRule="exact"/>
        <w:ind w:left="0" w:right="0" w:firstLine="0"/>
        <w:jc w:val="left"/>
      </w:pPr>
      <w:bookmarkStart w:id="242" w:name="bookmark242"/>
      <w:r>
        <w:rPr>
          <w:color w:val="000000"/>
          <w:spacing w:val="0"/>
          <w:w w:val="100"/>
          <w:position w:val="0"/>
        </w:rPr>
        <w:t>（</w:t>
      </w:r>
      <w:bookmarkEnd w:id="242"/>
      <w:r>
        <w:rPr>
          <w:color w:val="000000"/>
          <w:spacing w:val="0"/>
          <w:w w:val="100"/>
          <w:position w:val="0"/>
        </w:rPr>
        <w:t>一）</w:t>
        <w:tab/>
        <w:t>、董事：</w:t>
      </w:r>
    </w:p>
    <w:p>
      <w:pPr>
        <w:pStyle w:val="Style9"/>
        <w:keepNext w:val="0"/>
        <w:keepLines w:val="0"/>
        <w:widowControl w:val="0"/>
        <w:shd w:val="clear" w:color="auto" w:fill="auto"/>
        <w:tabs>
          <w:tab w:pos="334" w:val="left"/>
        </w:tabs>
        <w:bidi w:val="0"/>
        <w:spacing w:before="0" w:after="0" w:line="322" w:lineRule="exact"/>
        <w:ind w:left="0" w:right="0" w:firstLine="0"/>
        <w:jc w:val="left"/>
      </w:pPr>
      <w:bookmarkStart w:id="243" w:name="bookmark243"/>
      <w:r>
        <w:rPr>
          <w:rFonts w:ascii="Times New Roman" w:eastAsia="Times New Roman" w:hAnsi="Times New Roman" w:cs="Times New Roman"/>
          <w:color w:val="000000"/>
          <w:spacing w:val="0"/>
          <w:w w:val="100"/>
          <w:position w:val="0"/>
        </w:rPr>
        <w:t>1</w:t>
      </w:r>
      <w:bookmarkEnd w:id="243"/>
      <w:r>
        <w:rPr>
          <w:color w:val="000000"/>
          <w:spacing w:val="0"/>
          <w:w w:val="100"/>
          <w:position w:val="0"/>
        </w:rPr>
        <w:t>、</w:t>
        <w:tab/>
        <w:t>景晓军先生：</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月至今任职于任子行，现任公司董事长、总裁。</w:t>
      </w:r>
    </w:p>
    <w:p>
      <w:pPr>
        <w:pStyle w:val="Style9"/>
        <w:keepNext w:val="0"/>
        <w:keepLines w:val="0"/>
        <w:widowControl w:val="0"/>
        <w:shd w:val="clear" w:color="auto" w:fill="auto"/>
        <w:tabs>
          <w:tab w:pos="354" w:val="left"/>
        </w:tabs>
        <w:bidi w:val="0"/>
        <w:spacing w:before="0" w:after="0" w:line="322" w:lineRule="exact"/>
        <w:ind w:left="0" w:right="0" w:firstLine="0"/>
        <w:jc w:val="left"/>
      </w:pPr>
      <w:bookmarkStart w:id="244" w:name="bookmark244"/>
      <w:r>
        <w:rPr>
          <w:rFonts w:ascii="Times New Roman" w:eastAsia="Times New Roman" w:hAnsi="Times New Roman" w:cs="Times New Roman"/>
          <w:color w:val="000000"/>
          <w:spacing w:val="0"/>
          <w:w w:val="100"/>
          <w:position w:val="0"/>
        </w:rPr>
        <w:t>2</w:t>
      </w:r>
      <w:bookmarkEnd w:id="244"/>
      <w:r>
        <w:rPr>
          <w:color w:val="000000"/>
          <w:spacing w:val="0"/>
          <w:w w:val="100"/>
          <w:position w:val="0"/>
        </w:rPr>
        <w:t>、</w:t>
        <w:tab/>
        <w:t>景晓东先生：</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月至今任任网游执行董事兼总经理，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月至今任公司董事。</w:t>
      </w:r>
    </w:p>
    <w:p>
      <w:pPr>
        <w:pStyle w:val="Style9"/>
        <w:keepNext w:val="0"/>
        <w:keepLines w:val="0"/>
        <w:widowControl w:val="0"/>
        <w:shd w:val="clear" w:color="auto" w:fill="auto"/>
        <w:tabs>
          <w:tab w:pos="354" w:val="left"/>
        </w:tabs>
        <w:bidi w:val="0"/>
        <w:spacing w:before="0" w:after="0" w:line="322" w:lineRule="exact"/>
        <w:ind w:left="0" w:right="0" w:firstLine="0"/>
        <w:jc w:val="left"/>
      </w:pPr>
      <w:bookmarkStart w:id="245" w:name="bookmark245"/>
      <w:r>
        <w:rPr>
          <w:rFonts w:ascii="Times New Roman" w:eastAsia="Times New Roman" w:hAnsi="Times New Roman" w:cs="Times New Roman"/>
          <w:color w:val="000000"/>
          <w:spacing w:val="0"/>
          <w:w w:val="100"/>
          <w:position w:val="0"/>
        </w:rPr>
        <w:t>3</w:t>
      </w:r>
      <w:bookmarkEnd w:id="245"/>
      <w:r>
        <w:rPr>
          <w:color w:val="000000"/>
          <w:spacing w:val="0"/>
          <w:w w:val="100"/>
          <w:position w:val="0"/>
        </w:rPr>
        <w:t>、</w:t>
        <w:tab/>
        <w:t>古元先生：</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月始就职于深圳市任子行网络技术有限公司，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月至今任公司董事。</w:t>
      </w:r>
    </w:p>
    <w:p>
      <w:pPr>
        <w:pStyle w:val="Style9"/>
        <w:keepNext w:val="0"/>
        <w:keepLines w:val="0"/>
        <w:widowControl w:val="0"/>
        <w:shd w:val="clear" w:color="auto" w:fill="auto"/>
        <w:tabs>
          <w:tab w:pos="354" w:val="left"/>
        </w:tabs>
        <w:bidi w:val="0"/>
        <w:spacing w:before="0" w:after="0" w:line="322" w:lineRule="exact"/>
        <w:ind w:left="0" w:right="0" w:firstLine="0"/>
        <w:jc w:val="left"/>
      </w:pPr>
      <w:bookmarkStart w:id="246" w:name="bookmark246"/>
      <w:r>
        <w:rPr>
          <w:rFonts w:ascii="Times New Roman" w:eastAsia="Times New Roman" w:hAnsi="Times New Roman" w:cs="Times New Roman"/>
          <w:color w:val="000000"/>
          <w:spacing w:val="0"/>
          <w:w w:val="100"/>
          <w:position w:val="0"/>
        </w:rPr>
        <w:t>4</w:t>
      </w:r>
      <w:bookmarkEnd w:id="246"/>
      <w:r>
        <w:rPr>
          <w:color w:val="000000"/>
          <w:spacing w:val="0"/>
          <w:w w:val="100"/>
          <w:position w:val="0"/>
        </w:rPr>
        <w:t>、</w:t>
        <w:tab/>
        <w:t>牛京国先生：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月至今任职于深圳市东方富海投资管理有限公司，现担任投委会秘书及投资副总监；</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 今任公司董事。</w:t>
      </w:r>
    </w:p>
    <w:p>
      <w:pPr>
        <w:pStyle w:val="Style9"/>
        <w:keepNext w:val="0"/>
        <w:keepLines w:val="0"/>
        <w:widowControl w:val="0"/>
        <w:shd w:val="clear" w:color="auto" w:fill="auto"/>
        <w:tabs>
          <w:tab w:pos="354" w:val="left"/>
        </w:tabs>
        <w:bidi w:val="0"/>
        <w:spacing w:before="0" w:after="0" w:line="326" w:lineRule="exact"/>
        <w:ind w:left="0" w:right="0" w:firstLine="0"/>
        <w:jc w:val="left"/>
      </w:pPr>
      <w:bookmarkStart w:id="247" w:name="bookmark247"/>
      <w:r>
        <w:rPr>
          <w:rFonts w:ascii="Times New Roman" w:eastAsia="Times New Roman" w:hAnsi="Times New Roman" w:cs="Times New Roman"/>
          <w:color w:val="000000"/>
          <w:spacing w:val="0"/>
          <w:w w:val="100"/>
          <w:position w:val="0"/>
        </w:rPr>
        <w:t>5</w:t>
      </w:r>
      <w:bookmarkEnd w:id="247"/>
      <w:r>
        <w:rPr>
          <w:color w:val="000000"/>
          <w:spacing w:val="0"/>
          <w:w w:val="100"/>
          <w:position w:val="0"/>
        </w:rPr>
        <w:t>、</w:t>
        <w:tab/>
        <w:t>付昭阳先生：</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月至今先后在深圳市通信与互联网协会任副会长、计算机用户协会任会长、副理事长；</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 至今任公司独立董事。</w:t>
      </w:r>
    </w:p>
    <w:p>
      <w:pPr>
        <w:pStyle w:val="Style9"/>
        <w:keepNext w:val="0"/>
        <w:keepLines w:val="0"/>
        <w:widowControl w:val="0"/>
        <w:shd w:val="clear" w:color="auto" w:fill="auto"/>
        <w:tabs>
          <w:tab w:pos="354" w:val="left"/>
        </w:tabs>
        <w:bidi w:val="0"/>
        <w:spacing w:before="0" w:after="0" w:line="318" w:lineRule="exact"/>
        <w:ind w:left="0" w:right="0" w:firstLine="0"/>
        <w:jc w:val="left"/>
      </w:pPr>
      <w:bookmarkStart w:id="248" w:name="bookmark248"/>
      <w:r>
        <w:rPr>
          <w:rFonts w:ascii="Times New Roman" w:eastAsia="Times New Roman" w:hAnsi="Times New Roman" w:cs="Times New Roman"/>
          <w:color w:val="000000"/>
          <w:spacing w:val="0"/>
          <w:w w:val="100"/>
          <w:position w:val="0"/>
        </w:rPr>
        <w:t>6</w:t>
      </w:r>
      <w:bookmarkEnd w:id="248"/>
      <w:r>
        <w:rPr>
          <w:color w:val="000000"/>
          <w:spacing w:val="0"/>
          <w:w w:val="100"/>
          <w:position w:val="0"/>
        </w:rPr>
        <w:t>、</w:t>
        <w:tab/>
        <w:t xml:space="preserve">闵锐女士： </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月为深圳日正会计师事务所合伙人，现为深圳众环会计师事务所合伙人、副所长，</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月至今任公司独立董事。</w:t>
      </w:r>
    </w:p>
    <w:p>
      <w:pPr>
        <w:pStyle w:val="Style9"/>
        <w:keepNext w:val="0"/>
        <w:keepLines w:val="0"/>
        <w:widowControl w:val="0"/>
        <w:shd w:val="clear" w:color="auto" w:fill="auto"/>
        <w:tabs>
          <w:tab w:pos="354" w:val="left"/>
        </w:tabs>
        <w:bidi w:val="0"/>
        <w:spacing w:before="0" w:after="0" w:line="318" w:lineRule="exact"/>
        <w:ind w:left="0" w:right="0" w:firstLine="0"/>
        <w:jc w:val="left"/>
      </w:pPr>
      <w:bookmarkStart w:id="249" w:name="bookmark249"/>
      <w:r>
        <w:rPr>
          <w:rFonts w:ascii="Times New Roman" w:eastAsia="Times New Roman" w:hAnsi="Times New Roman" w:cs="Times New Roman"/>
          <w:color w:val="000000"/>
          <w:spacing w:val="0"/>
          <w:w w:val="100"/>
          <w:position w:val="0"/>
        </w:rPr>
        <w:t>7</w:t>
      </w:r>
      <w:bookmarkEnd w:id="249"/>
      <w:r>
        <w:rPr>
          <w:color w:val="000000"/>
          <w:spacing w:val="0"/>
          <w:w w:val="100"/>
          <w:position w:val="0"/>
        </w:rPr>
        <w:t>、</w:t>
        <w:tab/>
        <w:t>肖建军先生: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月至今任深圳市美银投资管理有限公司执行董事；</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月任五矿证券有限公司投资 咨询部总经理；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月日至今任公司独立董事。</w:t>
      </w:r>
    </w:p>
    <w:p>
      <w:pPr>
        <w:pStyle w:val="Style9"/>
        <w:keepNext w:val="0"/>
        <w:keepLines w:val="0"/>
        <w:widowControl w:val="0"/>
        <w:shd w:val="clear" w:color="auto" w:fill="auto"/>
        <w:tabs>
          <w:tab w:pos="531" w:val="left"/>
        </w:tabs>
        <w:bidi w:val="0"/>
        <w:spacing w:before="0" w:after="0" w:line="318" w:lineRule="exact"/>
        <w:ind w:left="0" w:right="0" w:firstLine="0"/>
        <w:jc w:val="left"/>
      </w:pPr>
      <w:bookmarkStart w:id="250" w:name="bookmark250"/>
      <w:r>
        <w:rPr>
          <w:color w:val="000000"/>
          <w:spacing w:val="0"/>
          <w:w w:val="100"/>
          <w:position w:val="0"/>
        </w:rPr>
        <w:t>（</w:t>
      </w:r>
      <w:bookmarkEnd w:id="250"/>
      <w:r>
        <w:rPr>
          <w:color w:val="000000"/>
          <w:spacing w:val="0"/>
          <w:w w:val="100"/>
          <w:position w:val="0"/>
        </w:rPr>
        <w:t>二）</w:t>
        <w:tab/>
        <w:t>、监事：</w:t>
      </w:r>
    </w:p>
    <w:p>
      <w:pPr>
        <w:pStyle w:val="Style9"/>
        <w:keepNext w:val="0"/>
        <w:keepLines w:val="0"/>
        <w:widowControl w:val="0"/>
        <w:shd w:val="clear" w:color="auto" w:fill="auto"/>
        <w:tabs>
          <w:tab w:pos="344" w:val="left"/>
        </w:tabs>
        <w:bidi w:val="0"/>
        <w:spacing w:before="0" w:after="0" w:line="318" w:lineRule="exact"/>
        <w:ind w:left="0" w:right="0" w:firstLine="0"/>
        <w:jc w:val="left"/>
      </w:pPr>
      <w:bookmarkStart w:id="251" w:name="bookmark251"/>
      <w:r>
        <w:rPr>
          <w:rFonts w:ascii="Times New Roman" w:eastAsia="Times New Roman" w:hAnsi="Times New Roman" w:cs="Times New Roman"/>
          <w:color w:val="000000"/>
          <w:spacing w:val="0"/>
          <w:w w:val="100"/>
          <w:position w:val="0"/>
        </w:rPr>
        <w:t>1</w:t>
      </w:r>
      <w:bookmarkEnd w:id="251"/>
      <w:r>
        <w:rPr>
          <w:color w:val="000000"/>
          <w:spacing w:val="0"/>
          <w:w w:val="100"/>
          <w:position w:val="0"/>
        </w:rPr>
        <w:t>、</w:t>
        <w:tab/>
        <w:t>师召辉先生：</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月，先后担任任子行有限专用产品事业部总经理、副总经理；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月至今任公司监 事。</w:t>
      </w:r>
    </w:p>
    <w:p>
      <w:pPr>
        <w:pStyle w:val="Style9"/>
        <w:keepNext w:val="0"/>
        <w:keepLines w:val="0"/>
        <w:widowControl w:val="0"/>
        <w:shd w:val="clear" w:color="auto" w:fill="auto"/>
        <w:tabs>
          <w:tab w:pos="354" w:val="left"/>
        </w:tabs>
        <w:bidi w:val="0"/>
        <w:spacing w:before="0" w:after="0" w:line="315" w:lineRule="exact"/>
        <w:ind w:left="0" w:right="0" w:firstLine="0"/>
        <w:jc w:val="left"/>
      </w:pPr>
      <w:bookmarkStart w:id="252" w:name="bookmark252"/>
      <w:r>
        <w:rPr>
          <w:rFonts w:ascii="Times New Roman" w:eastAsia="Times New Roman" w:hAnsi="Times New Roman" w:cs="Times New Roman"/>
          <w:color w:val="000000"/>
          <w:spacing w:val="0"/>
          <w:w w:val="100"/>
          <w:position w:val="0"/>
        </w:rPr>
        <w:t>2</w:t>
      </w:r>
      <w:bookmarkEnd w:id="252"/>
      <w:r>
        <w:rPr>
          <w:color w:val="000000"/>
          <w:spacing w:val="0"/>
          <w:w w:val="100"/>
          <w:position w:val="0"/>
        </w:rPr>
        <w:t>、</w:t>
        <w:tab/>
        <w:t>何小荣先生：</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月，任深圳金蝶软件</w:t>
      </w:r>
      <w:r>
        <w:rPr>
          <w:rFonts w:ascii="Times New Roman" w:eastAsia="Times New Roman" w:hAnsi="Times New Roman" w:cs="Times New Roman"/>
          <w:color w:val="000000"/>
          <w:spacing w:val="0"/>
          <w:w w:val="100"/>
          <w:position w:val="0"/>
        </w:rPr>
        <w:t>SQA</w:t>
      </w:r>
      <w:r>
        <w:rPr>
          <w:color w:val="000000"/>
          <w:spacing w:val="0"/>
          <w:w w:val="100"/>
          <w:position w:val="0"/>
        </w:rPr>
        <w:t>、</w:t>
      </w:r>
      <w:r>
        <w:rPr>
          <w:color w:val="000000"/>
          <w:spacing w:val="0"/>
          <w:w w:val="100"/>
          <w:position w:val="0"/>
        </w:rPr>
        <w:t>项目经理；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月至今任公司研发管理部经理；</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月至今任公司监事。</w:t>
      </w:r>
    </w:p>
    <w:p>
      <w:pPr>
        <w:pStyle w:val="Style9"/>
        <w:keepNext w:val="0"/>
        <w:keepLines w:val="0"/>
        <w:widowControl w:val="0"/>
        <w:shd w:val="clear" w:color="auto" w:fill="auto"/>
        <w:tabs>
          <w:tab w:pos="358" w:val="left"/>
        </w:tabs>
        <w:bidi w:val="0"/>
        <w:spacing w:before="0" w:after="0" w:line="315" w:lineRule="exact"/>
        <w:ind w:left="0" w:right="0" w:firstLine="0"/>
        <w:jc w:val="left"/>
      </w:pPr>
      <w:bookmarkStart w:id="253" w:name="bookmark253"/>
      <w:r>
        <w:rPr>
          <w:rFonts w:ascii="Times New Roman" w:eastAsia="Times New Roman" w:hAnsi="Times New Roman" w:cs="Times New Roman"/>
          <w:color w:val="000000"/>
          <w:spacing w:val="0"/>
          <w:w w:val="100"/>
          <w:position w:val="0"/>
        </w:rPr>
        <w:t>3</w:t>
      </w:r>
      <w:bookmarkEnd w:id="253"/>
      <w:r>
        <w:rPr>
          <w:color w:val="000000"/>
          <w:spacing w:val="0"/>
          <w:w w:val="100"/>
          <w:position w:val="0"/>
        </w:rPr>
        <w:t>、</w:t>
        <w:tab/>
        <w:t xml:space="preserve">潘绿英女士： </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月至今，就职于任子行网络技术股份有限公司，现任公司产品测试中心工程师；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 任公司监事。</w:t>
      </w:r>
    </w:p>
    <w:p>
      <w:pPr>
        <w:pStyle w:val="Style9"/>
        <w:keepNext w:val="0"/>
        <w:keepLines w:val="0"/>
        <w:widowControl w:val="0"/>
        <w:shd w:val="clear" w:color="auto" w:fill="auto"/>
        <w:tabs>
          <w:tab w:pos="531" w:val="left"/>
        </w:tabs>
        <w:bidi w:val="0"/>
        <w:spacing w:before="0" w:after="0" w:line="315" w:lineRule="exact"/>
        <w:ind w:left="0" w:right="0" w:firstLine="0"/>
        <w:jc w:val="left"/>
      </w:pPr>
      <w:bookmarkStart w:id="254" w:name="bookmark254"/>
      <w:r>
        <w:rPr>
          <w:color w:val="000000"/>
          <w:spacing w:val="0"/>
          <w:w w:val="100"/>
          <w:position w:val="0"/>
        </w:rPr>
        <w:t>（</w:t>
      </w:r>
      <w:bookmarkEnd w:id="254"/>
      <w:r>
        <w:rPr>
          <w:color w:val="000000"/>
          <w:spacing w:val="0"/>
          <w:w w:val="100"/>
          <w:position w:val="0"/>
        </w:rPr>
        <w:t>三）</w:t>
        <w:tab/>
        <w:t>、高级管理人员：</w:t>
      </w:r>
    </w:p>
    <w:p>
      <w:pPr>
        <w:pStyle w:val="Style9"/>
        <w:keepNext w:val="0"/>
        <w:keepLines w:val="0"/>
        <w:widowControl w:val="0"/>
        <w:shd w:val="clear" w:color="auto" w:fill="auto"/>
        <w:tabs>
          <w:tab w:pos="334" w:val="left"/>
        </w:tabs>
        <w:bidi w:val="0"/>
        <w:spacing w:before="0" w:after="0" w:line="315" w:lineRule="exact"/>
        <w:ind w:left="0" w:right="0" w:firstLine="0"/>
        <w:jc w:val="left"/>
      </w:pPr>
      <w:bookmarkStart w:id="255" w:name="bookmark255"/>
      <w:r>
        <w:rPr>
          <w:rFonts w:ascii="Times New Roman" w:eastAsia="Times New Roman" w:hAnsi="Times New Roman" w:cs="Times New Roman"/>
          <w:color w:val="000000"/>
          <w:spacing w:val="0"/>
          <w:w w:val="100"/>
          <w:position w:val="0"/>
        </w:rPr>
        <w:t>1</w:t>
      </w:r>
      <w:bookmarkEnd w:id="255"/>
      <w:r>
        <w:rPr>
          <w:color w:val="000000"/>
          <w:spacing w:val="0"/>
          <w:w w:val="100"/>
          <w:position w:val="0"/>
        </w:rPr>
        <w:t>、</w:t>
        <w:tab/>
        <w:t>景晓军先生，公司总裁，其工作经历见上述</w:t>
      </w:r>
      <w:r>
        <w:rPr>
          <w:rFonts w:ascii="Times New Roman" w:eastAsia="Times New Roman" w:hAnsi="Times New Roman" w:cs="Times New Roman"/>
          <w:color w:val="000000"/>
          <w:spacing w:val="0"/>
          <w:w w:val="100"/>
          <w:position w:val="0"/>
        </w:rPr>
        <w:t>“</w:t>
      </w:r>
      <w:r>
        <w:rPr>
          <w:color w:val="000000"/>
          <w:spacing w:val="0"/>
          <w:w w:val="100"/>
          <w:position w:val="0"/>
        </w:rPr>
        <w:t>（一）、董事</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9"/>
        <w:keepNext w:val="0"/>
        <w:keepLines w:val="0"/>
        <w:widowControl w:val="0"/>
        <w:shd w:val="clear" w:color="auto" w:fill="auto"/>
        <w:tabs>
          <w:tab w:pos="354" w:val="left"/>
        </w:tabs>
        <w:bidi w:val="0"/>
        <w:spacing w:before="0" w:after="0" w:line="315" w:lineRule="exact"/>
        <w:ind w:left="0" w:right="0" w:firstLine="0"/>
        <w:jc w:val="left"/>
      </w:pPr>
      <w:bookmarkStart w:id="256" w:name="bookmark256"/>
      <w:r>
        <w:rPr>
          <w:rFonts w:ascii="Times New Roman" w:eastAsia="Times New Roman" w:hAnsi="Times New Roman" w:cs="Times New Roman"/>
          <w:color w:val="000000"/>
          <w:spacing w:val="0"/>
          <w:w w:val="100"/>
          <w:position w:val="0"/>
        </w:rPr>
        <w:t>2</w:t>
      </w:r>
      <w:bookmarkEnd w:id="256"/>
      <w:r>
        <w:rPr>
          <w:color w:val="000000"/>
          <w:spacing w:val="0"/>
          <w:w w:val="100"/>
          <w:position w:val="0"/>
        </w:rPr>
        <w:t>、</w:t>
        <w:tab/>
        <w:t>沈智杰先生：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月在微软中国研发集团任软件工程师；</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月在深圳市任子行网络技 术有限任技术总监；</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月至今任公司副总裁兼研发中心总经理。</w:t>
      </w:r>
    </w:p>
    <w:p>
      <w:pPr>
        <w:pStyle w:val="Style9"/>
        <w:keepNext w:val="0"/>
        <w:keepLines w:val="0"/>
        <w:widowControl w:val="0"/>
        <w:shd w:val="clear" w:color="auto" w:fill="auto"/>
        <w:tabs>
          <w:tab w:pos="354" w:val="left"/>
        </w:tabs>
        <w:bidi w:val="0"/>
        <w:spacing w:before="0" w:after="0" w:line="315" w:lineRule="exact"/>
        <w:ind w:left="0" w:right="0" w:firstLine="0"/>
        <w:jc w:val="left"/>
      </w:pPr>
      <w:bookmarkStart w:id="257" w:name="bookmark257"/>
      <w:r>
        <w:rPr>
          <w:rFonts w:ascii="Times New Roman" w:eastAsia="Times New Roman" w:hAnsi="Times New Roman" w:cs="Times New Roman"/>
          <w:color w:val="000000"/>
          <w:spacing w:val="0"/>
          <w:w w:val="100"/>
          <w:position w:val="0"/>
        </w:rPr>
        <w:t>3</w:t>
      </w:r>
      <w:bookmarkEnd w:id="257"/>
      <w:r>
        <w:rPr>
          <w:color w:val="000000"/>
          <w:spacing w:val="0"/>
          <w:w w:val="100"/>
          <w:position w:val="0"/>
        </w:rPr>
        <w:t>、</w:t>
        <w:tab/>
        <w:t>李工先生：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月，任哈尔滨凯纳科技有限公司副总经理；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月，任黑龙江斯达浩普 系统工程有限公司总经理；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月加入公司，现任公司副总裁。</w:t>
      </w:r>
    </w:p>
    <w:p>
      <w:pPr>
        <w:pStyle w:val="Style9"/>
        <w:keepNext w:val="0"/>
        <w:keepLines w:val="0"/>
        <w:widowControl w:val="0"/>
        <w:shd w:val="clear" w:color="auto" w:fill="auto"/>
        <w:tabs>
          <w:tab w:pos="354" w:val="left"/>
        </w:tabs>
        <w:bidi w:val="0"/>
        <w:spacing w:before="0" w:after="0" w:line="315" w:lineRule="exact"/>
        <w:ind w:left="0" w:right="0" w:firstLine="0"/>
        <w:jc w:val="left"/>
      </w:pPr>
      <w:bookmarkStart w:id="258" w:name="bookmark258"/>
      <w:r>
        <w:rPr>
          <w:rFonts w:ascii="Times New Roman" w:eastAsia="Times New Roman" w:hAnsi="Times New Roman" w:cs="Times New Roman"/>
          <w:color w:val="000000"/>
          <w:spacing w:val="0"/>
          <w:w w:val="100"/>
          <w:position w:val="0"/>
        </w:rPr>
        <w:t>4</w:t>
      </w:r>
      <w:bookmarkEnd w:id="258"/>
      <w:r>
        <w:rPr>
          <w:color w:val="000000"/>
          <w:spacing w:val="0"/>
          <w:w w:val="100"/>
          <w:position w:val="0"/>
        </w:rPr>
        <w:t>、</w:t>
        <w:tab/>
        <w:t xml:space="preserve">张洁女士：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月，先后任南京银都奥美广告有限公司（原南京银都广告有限公司）媒介经理、品牌经 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月加入公司，现任公司副总裁兼综合管理中心总监。</w:t>
      </w:r>
    </w:p>
    <w:p>
      <w:pPr>
        <w:pStyle w:val="Style9"/>
        <w:keepNext w:val="0"/>
        <w:keepLines w:val="0"/>
        <w:widowControl w:val="0"/>
        <w:shd w:val="clear" w:color="auto" w:fill="auto"/>
        <w:tabs>
          <w:tab w:pos="354" w:val="left"/>
        </w:tabs>
        <w:bidi w:val="0"/>
        <w:spacing w:before="0" w:after="0" w:line="315" w:lineRule="exact"/>
        <w:ind w:left="0" w:right="0" w:firstLine="0"/>
        <w:jc w:val="left"/>
      </w:pPr>
      <w:bookmarkStart w:id="259" w:name="bookmark259"/>
      <w:r>
        <w:rPr>
          <w:rFonts w:ascii="Times New Roman" w:eastAsia="Times New Roman" w:hAnsi="Times New Roman" w:cs="Times New Roman"/>
          <w:color w:val="000000"/>
          <w:spacing w:val="0"/>
          <w:w w:val="100"/>
          <w:position w:val="0"/>
        </w:rPr>
        <w:t>5</w:t>
      </w:r>
      <w:bookmarkEnd w:id="259"/>
      <w:r>
        <w:rPr>
          <w:color w:val="000000"/>
          <w:spacing w:val="0"/>
          <w:w w:val="100"/>
          <w:position w:val="0"/>
        </w:rPr>
        <w:t>、</w:t>
        <w:tab/>
        <w:t>周益斌先生：</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月，在深圳市华鹏会计师事务所有限责任公司担任项目经理；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月在北京永拓会计师事务所有限责任公司深圳分所担任部门经理；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月加入公司，现任公司财务总监。</w:t>
      </w:r>
    </w:p>
    <w:p>
      <w:pPr>
        <w:pStyle w:val="Style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公司现任及历任董事、监事和高级管人员均不存在受证券监管机构处罚的情况。</w:t>
      </w:r>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在股东单位任职情况</w:t>
      </w:r>
    </w:p>
    <w:p>
      <w:pPr>
        <w:pStyle w:val="Style9"/>
        <w:keepNext w:val="0"/>
        <w:keepLines w:val="0"/>
        <w:widowControl w:val="0"/>
        <w:shd w:val="clear" w:color="auto" w:fill="auto"/>
        <w:bidi w:val="0"/>
        <w:spacing w:before="0" w:after="80" w:line="31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2770"/>
        <w:gridCol w:w="2126"/>
        <w:gridCol w:w="1138"/>
        <w:gridCol w:w="989"/>
        <w:gridCol w:w="1358"/>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深圳市华信远景投资咨询有限公司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牛京国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深圳市东方富海投资管理有限公司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投委会秘书、投资副总监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除此之外，公司其他董事、监事及高级管理人员不存在在股东单位任职情况。并且，以上董事兼职情况不 影响其作为公司董事的时间投入以及对公司真实情况的了解。如上表所示，景晓军先生所在兼职单位与公 司不存在任何利益冲突。</w:t>
            </w:r>
          </w:p>
        </w:tc>
      </w:tr>
    </w:tbl>
    <w:p>
      <w:pPr>
        <w:spacing w:lineRule="exact" w:line="1"/>
        <w:rPr>
          <w:sz w:val="2"/>
          <w:szCs w:val="2"/>
        </w:rPr>
      </w:pPr>
      <w:r>
        <w:br w:type="page"/>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6"/>
        <w:gridCol w:w="1195"/>
        <w:gridCol w:w="1325"/>
        <w:gridCol w:w="1603"/>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中国计算机学会计算机安全专业委员会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任网游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牛京国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浙江中科德润科技有限公司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付昭阳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深圳市共进电子股份有限公司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付昭阳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深圳市计算机用户协会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会长</w:t>
            </w:r>
            <w:r>
              <w:rPr>
                <w:rFonts w:ascii="Times New Roman" w:eastAsia="Times New Roman" w:hAnsi="Times New Roman" w:cs="Times New Roman"/>
                <w:color w:val="000000"/>
                <w:spacing w:val="0"/>
                <w:w w:val="100"/>
                <w:position w:val="0"/>
              </w:rPr>
              <w:t>/</w:t>
            </w:r>
            <w:r>
              <w:rPr>
                <w:color w:val="000000"/>
                <w:spacing w:val="0"/>
                <w:w w:val="100"/>
                <w:position w:val="0"/>
              </w:rPr>
              <w:t>副理事 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付昭阳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深圳键桥通讯技术股份有限公司</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SZ.002316</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闵锐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深圳众环会计师事务所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合伙人、副所 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肖建军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广东柏宝龙服饰股份有限公司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肖建军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深圳市美银投资管理有限公司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肖建军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深圳市道尊力阳投资管理有限公司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除此之外，公司其他董事、监事及高级管理人员不存在在其他单位任职情况。并且，以上董事及高管兼职 情况不影响其作为公司董事的时间投入以及对公司真实情况的了解。如上表所示，以上董事及高管所在兼 职单位与公司不存在任何关联关系，或有关联关系的，该关系与公司不存在任何利益冲突。</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三</w:t>
      </w:r>
      <w:bookmarkEnd w:id="262"/>
      <w:r>
        <w:rPr>
          <w:color w:val="000000"/>
          <w:spacing w:val="0"/>
          <w:w w:val="100"/>
          <w:position w:val="0"/>
          <w:sz w:val="24"/>
          <w:szCs w:val="24"/>
        </w:rPr>
        <w:t>、董事、监事、高级管理人员报酬情况</w:t>
      </w:r>
      <w:bookmarkEnd w:id="260"/>
      <w:bookmarkEnd w:id="261"/>
      <w:bookmarkEnd w:id="263"/>
    </w:p>
    <w:tbl>
      <w:tblPr>
        <w:tblOverlap w:val="never"/>
        <w:jc w:val="center"/>
        <w:tblLayout w:type="fixed"/>
      </w:tblPr>
      <w:tblGrid>
        <w:gridCol w:w="3590"/>
        <w:gridCol w:w="5995"/>
      </w:tblGrid>
      <w:tr>
        <w:trPr>
          <w:trHeight w:val="103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公司董事(包括独立董事)、监事报酬由股东大会决定，高级管理人员报酬 由董事会决定；在公司承担职务的董事、监事、高级管理人员报酬由公司支 付，其担任的董事、监事职务不另外享有津贴。</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董事、监事和高级管理人员的报酬按照公司董事会《薪酬与考核委员会工作 制度》等规定，结合其经营绩效、工作能力、岗位职责等考核确定并发放。</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公司严格按照相关决策程序以及确定依据发放，报告期内，公司现任及离任 董监高人员共计</w:t>
            </w:r>
            <w:r>
              <w:rPr>
                <w:rFonts w:ascii="Times New Roman" w:eastAsia="Times New Roman" w:hAnsi="Times New Roman" w:cs="Times New Roman"/>
                <w:color w:val="000000"/>
                <w:spacing w:val="0"/>
                <w:w w:val="100"/>
                <w:position w:val="0"/>
              </w:rPr>
              <w:t>18</w:t>
            </w:r>
            <w:r>
              <w:rPr>
                <w:color w:val="000000"/>
                <w:spacing w:val="0"/>
                <w:w w:val="100"/>
                <w:position w:val="0"/>
              </w:rPr>
              <w:t>人，实际支付报酬共计约</w:t>
            </w:r>
            <w:r>
              <w:rPr>
                <w:rFonts w:ascii="Times New Roman" w:eastAsia="Times New Roman" w:hAnsi="Times New Roman" w:cs="Times New Roman"/>
                <w:color w:val="000000"/>
                <w:spacing w:val="0"/>
                <w:w w:val="100"/>
                <w:position w:val="0"/>
              </w:rPr>
              <w:t>268.97</w:t>
            </w:r>
            <w:r>
              <w:rPr>
                <w:color w:val="000000"/>
                <w:spacing w:val="0"/>
                <w:w w:val="100"/>
                <w:position w:val="0"/>
              </w:rPr>
              <w:t>万元。</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r>
        <w:br w:type="page"/>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195"/>
        <w:gridCol w:w="1195"/>
        <w:gridCol w:w="1195"/>
        <w:gridCol w:w="1210"/>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从股东单位获</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报告期末实际 所得报酬</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33.09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牛京国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付昭阳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闵锐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肖建军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师召辉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潘绿英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周益斌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程厚博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吴宁莉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副总经理、董</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唐海林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282.34</w:t>
            </w:r>
          </w:p>
        </w:tc>
      </w:tr>
    </w:tbl>
    <w:p>
      <w:pPr>
        <w:widowControl w:val="0"/>
        <w:spacing w:after="7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公司董事、监事、高级管理人员报告期内被授予的股权激励情况</w:t>
      </w:r>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四</w:t>
      </w:r>
      <w:bookmarkEnd w:id="266"/>
      <w:r>
        <w:rPr>
          <w:color w:val="000000"/>
          <w:spacing w:val="0"/>
          <w:w w:val="100"/>
          <w:position w:val="0"/>
          <w:sz w:val="24"/>
          <w:szCs w:val="24"/>
        </w:rPr>
        <w:t>、公司董事、监事、高级管理人员变动情况</w:t>
      </w:r>
      <w:bookmarkEnd w:id="264"/>
      <w:bookmarkEnd w:id="265"/>
      <w:bookmarkEnd w:id="267"/>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程厚博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吴宁莉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副总经理、董事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唐海林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牛京国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周益斌</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after="26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五</w:t>
      </w:r>
      <w:bookmarkEnd w:id="270"/>
      <w:r>
        <w:rPr>
          <w:color w:val="000000"/>
          <w:spacing w:val="0"/>
          <w:w w:val="100"/>
          <w:position w:val="0"/>
          <w:sz w:val="24"/>
          <w:szCs w:val="24"/>
        </w:rPr>
        <w:t>、公司员工情况</w:t>
      </w:r>
      <w:bookmarkEnd w:id="268"/>
      <w:bookmarkEnd w:id="269"/>
      <w:bookmarkEnd w:id="271"/>
    </w:p>
    <w:p>
      <w:pPr>
        <w:pStyle w:val="Style9"/>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日，公司员工人数为</w:t>
      </w:r>
      <w:r>
        <w:rPr>
          <w:rFonts w:ascii="Times New Roman" w:eastAsia="Times New Roman" w:hAnsi="Times New Roman" w:cs="Times New Roman"/>
          <w:color w:val="000000"/>
          <w:spacing w:val="0"/>
          <w:w w:val="100"/>
          <w:position w:val="0"/>
        </w:rPr>
        <w:t>648</w:t>
      </w:r>
      <w:r>
        <w:rPr>
          <w:color w:val="000000"/>
          <w:spacing w:val="0"/>
          <w:w w:val="100"/>
          <w:position w:val="0"/>
        </w:rPr>
        <w:t>人（不含子公司博海通讯员工人数），没有需要承担费用的离退休职工，具体 情况如下：</w:t>
      </w:r>
    </w:p>
    <w:p>
      <w:pPr>
        <w:pStyle w:val="Style9"/>
        <w:keepNext w:val="0"/>
        <w:keepLines w:val="0"/>
        <w:widowControl w:val="0"/>
        <w:shd w:val="clear" w:color="auto" w:fill="auto"/>
        <w:bidi w:val="0"/>
        <w:spacing w:before="0" w:after="6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）按员工专业结构分类：</w:t>
      </w:r>
    </w:p>
    <w:tbl>
      <w:tblPr>
        <w:tblOverlap w:val="never"/>
        <w:jc w:val="left"/>
        <w:tblLayout w:type="fixed"/>
      </w:tblPr>
      <w:tblGrid>
        <w:gridCol w:w="2990"/>
        <w:gridCol w:w="2549"/>
        <w:gridCol w:w="2419"/>
      </w:tblGrid>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岗位类别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人数（单位：人）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占总人数的比例</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43.36%</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11.42%</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技术支持人员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21.14%</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管理及行政人员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22.22%</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）按员工受教育程度分类:</w:t>
      </w:r>
    </w:p>
    <w:tbl>
      <w:tblPr>
        <w:tblOverlap w:val="never"/>
        <w:jc w:val="left"/>
        <w:tblLayout w:type="fixed"/>
      </w:tblPr>
      <w:tblGrid>
        <w:gridCol w:w="2990"/>
        <w:gridCol w:w="2549"/>
        <w:gridCol w:w="2419"/>
      </w:tblGrid>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人数（单位：人）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占总人数的比例</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硕士、博士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5.86%</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55.09%</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34.72%</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中专、高中及以下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）按员工年龄分类:</w:t>
      </w:r>
    </w:p>
    <w:tbl>
      <w:tblPr>
        <w:tblOverlap w:val="never"/>
        <w:jc w:val="center"/>
        <w:tblLayout w:type="fixed"/>
      </w:tblPr>
      <w:tblGrid>
        <w:gridCol w:w="2990"/>
        <w:gridCol w:w="2549"/>
        <w:gridCol w:w="2419"/>
      </w:tblGrid>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年龄区间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人数（单位：人）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占总人数的比例</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70.99%</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31-4 </w:t>
            </w:r>
            <w:r>
              <w:rPr>
                <w:rFonts w:ascii="Times New Roman" w:eastAsia="Times New Roman" w:hAnsi="Times New Roman" w:cs="Times New Roman"/>
                <w:color w:val="000000"/>
                <w:spacing w:val="0"/>
                <w:w w:val="100"/>
                <w:position w:val="0"/>
              </w:rPr>
              <w:t xml:space="preserve">0 </w:t>
            </w:r>
            <w:r>
              <w:rPr>
                <w:color w:val="000000"/>
                <w:spacing w:val="0"/>
                <w:w w:val="100"/>
                <w:position w:val="0"/>
              </w:rPr>
              <w:t>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26.85%</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41-50 </w:t>
            </w:r>
            <w:r>
              <w:rPr>
                <w:color w:val="000000"/>
                <w:spacing w:val="0"/>
                <w:w w:val="100"/>
                <w:position w:val="0"/>
              </w:rPr>
              <w:t>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r>
              <w:rPr>
                <w:color w:val="000000"/>
                <w:spacing w:val="0"/>
                <w:w w:val="100"/>
                <w:position w:val="0"/>
              </w:rPr>
              <w:t>岁以上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0.15%</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pStyle w:val="Style19"/>
        <w:keepNext/>
        <w:keepLines/>
        <w:widowControl w:val="0"/>
        <w:shd w:val="clear" w:color="auto" w:fill="auto"/>
        <w:bidi w:val="0"/>
        <w:spacing w:before="0" w:after="540" w:line="240" w:lineRule="auto"/>
        <w:ind w:left="0" w:right="0" w:firstLine="0"/>
        <w:jc w:val="center"/>
      </w:pPr>
      <w:bookmarkStart w:id="272" w:name="bookmark272"/>
      <w:bookmarkStart w:id="273" w:name="bookmark273"/>
      <w:bookmarkStart w:id="274" w:name="bookmark274"/>
      <w:r>
        <w:rPr>
          <w:color w:val="000000"/>
          <w:spacing w:val="0"/>
          <w:w w:val="100"/>
          <w:position w:val="0"/>
        </w:rPr>
        <w:t>第八节公司治理</w:t>
      </w:r>
      <w:bookmarkEnd w:id="272"/>
      <w:bookmarkEnd w:id="273"/>
      <w:bookmarkEnd w:id="274"/>
    </w:p>
    <w:p>
      <w:pPr>
        <w:pStyle w:val="Style30"/>
        <w:keepNext/>
        <w:keepLines/>
        <w:widowControl w:val="0"/>
        <w:shd w:val="clear" w:color="auto" w:fill="auto"/>
        <w:tabs>
          <w:tab w:pos="522" w:val="left"/>
        </w:tabs>
        <w:bidi w:val="0"/>
        <w:spacing w:before="0" w:after="260" w:line="240" w:lineRule="auto"/>
        <w:ind w:left="0" w:right="0" w:firstLine="0"/>
        <w:jc w:val="left"/>
      </w:pPr>
      <w:bookmarkStart w:id="275" w:name="bookmark275"/>
      <w:bookmarkStart w:id="276" w:name="bookmark276"/>
      <w:bookmarkStart w:id="277" w:name="bookmark277"/>
      <w:bookmarkStart w:id="278" w:name="bookmark278"/>
      <w:bookmarkStart w:id="279" w:name="bookmark279"/>
      <w:r>
        <w:rPr>
          <w:color w:val="000000"/>
          <w:spacing w:val="0"/>
          <w:w w:val="100"/>
          <w:position w:val="0"/>
          <w:sz w:val="24"/>
          <w:szCs w:val="24"/>
        </w:rPr>
        <w:t>一</w:t>
      </w:r>
      <w:bookmarkEnd w:id="278"/>
      <w:r>
        <w:rPr>
          <w:color w:val="000000"/>
          <w:spacing w:val="0"/>
          <w:w w:val="100"/>
          <w:position w:val="0"/>
          <w:sz w:val="24"/>
          <w:szCs w:val="24"/>
        </w:rPr>
        <w:t>、</w:t>
        <w:tab/>
        <w:t>公司治理的基本状况</w:t>
      </w:r>
      <w:bookmarkEnd w:id="276"/>
      <w:bookmarkEnd w:id="277"/>
      <w:bookmarkEnd w:id="279"/>
      <w:bookmarkEnd w:id="275"/>
    </w:p>
    <w:p>
      <w:pPr>
        <w:pStyle w:val="Style9"/>
        <w:keepNext w:val="0"/>
        <w:keepLines w:val="0"/>
        <w:widowControl w:val="0"/>
        <w:shd w:val="clear" w:color="auto" w:fill="auto"/>
        <w:bidi w:val="0"/>
        <w:spacing w:before="0" w:after="40" w:line="311" w:lineRule="exact"/>
        <w:ind w:left="0" w:right="0" w:firstLine="520"/>
        <w:jc w:val="both"/>
      </w:pPr>
      <w:r>
        <w:rPr>
          <w:color w:val="000000"/>
          <w:spacing w:val="0"/>
          <w:w w:val="100"/>
          <w:position w:val="0"/>
        </w:rPr>
        <w:t>报告期内，公司建立了规范的公司治理结构，股东大会、董事会及专门委员会、监事会、独立董事、董事会秘书和管 理层均严格按照《公司法》、《上市公司治理准则》、《深圳证券交易所创业板股票上市规则》、《深圳证券交易所创业板 上市公司规范运作指引》等相关法律、法规和规范性文件的要求，履行各自的权利和义务，公司重大生产经营决策、投资决 策及财务决策均按照《公司章程》及相关内控制度规定的程序和规则运行。截至本报告期末，上述机构和人员规范运作，未 出现违法、违规现象，能够切实履行应尽的职责和义务，公司治理的实际状况符合《上市公司治理准则》和《深圳证券交易 所创业板上市公司规范运作指引》等相关法律法规的要求。</w:t>
      </w:r>
    </w:p>
    <w:p>
      <w:pPr>
        <w:pStyle w:val="Style9"/>
        <w:keepNext w:val="0"/>
        <w:keepLines w:val="0"/>
        <w:widowControl w:val="0"/>
        <w:shd w:val="clear" w:color="auto" w:fill="auto"/>
        <w:bidi w:val="0"/>
        <w:spacing w:before="0" w:after="120" w:line="311" w:lineRule="exact"/>
        <w:ind w:left="0" w:right="0" w:firstLine="0"/>
        <w:jc w:val="left"/>
      </w:pPr>
      <w:r>
        <w:rPr>
          <w:color w:val="000000"/>
          <w:spacing w:val="0"/>
          <w:w w:val="100"/>
          <w:position w:val="0"/>
        </w:rPr>
        <w:t>公司治理与《公司法》和中国证监会相关规定的要求是否存在差异</w:t>
      </w:r>
    </w:p>
    <w:p>
      <w:pPr>
        <w:pStyle w:val="Style9"/>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tabs>
          <w:tab w:pos="522" w:val="left"/>
        </w:tabs>
        <w:bidi w:val="0"/>
        <w:spacing w:before="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二</w:t>
      </w:r>
      <w:bookmarkEnd w:id="282"/>
      <w:r>
        <w:rPr>
          <w:color w:val="000000"/>
          <w:spacing w:val="0"/>
          <w:w w:val="100"/>
          <w:position w:val="0"/>
          <w:sz w:val="24"/>
          <w:szCs w:val="24"/>
        </w:rPr>
        <w:t>、</w:t>
        <w:tab/>
        <w:t>报告期内召开的年度股东大会和临时股东大会的有关情况</w:t>
      </w:r>
      <w:bookmarkEnd w:id="280"/>
      <w:bookmarkEnd w:id="281"/>
      <w:bookmarkEnd w:id="283"/>
    </w:p>
    <w:p>
      <w:pPr>
        <w:pStyle w:val="Style35"/>
        <w:keepNext/>
        <w:keepLines/>
        <w:widowControl w:val="0"/>
        <w:shd w:val="clear" w:color="auto" w:fill="auto"/>
        <w:bidi w:val="0"/>
        <w:spacing w:before="0" w:after="32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、本报告期年度股东大会情况</w:t>
      </w:r>
      <w:bookmarkEnd w:id="284"/>
      <w:bookmarkEnd w:id="285"/>
      <w:bookmarkEnd w:id="287"/>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召开日期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2</w:t>
      </w:r>
      <w:bookmarkEnd w:id="290"/>
      <w:r>
        <w:rPr>
          <w:color w:val="000000"/>
          <w:spacing w:val="0"/>
          <w:w w:val="100"/>
          <w:position w:val="0"/>
        </w:rPr>
        <w:t>、本报告期临时股东大会情况</w:t>
      </w:r>
      <w:bookmarkEnd w:id="288"/>
      <w:bookmarkEnd w:id="289"/>
      <w:bookmarkEnd w:id="291"/>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召开日期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三</w:t>
      </w:r>
      <w:bookmarkEnd w:id="294"/>
      <w:r>
        <w:rPr>
          <w:color w:val="000000"/>
          <w:spacing w:val="0"/>
          <w:w w:val="100"/>
          <w:position w:val="0"/>
          <w:sz w:val="24"/>
          <w:szCs w:val="24"/>
        </w:rPr>
        <w:t>、报告期董事会召开情况</w:t>
      </w:r>
      <w:bookmarkEnd w:id="292"/>
      <w:bookmarkEnd w:id="293"/>
      <w:bookmarkEnd w:id="295"/>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召开日期</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第一届董事会第二十一次会 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第一届董事会第二十二次会 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400"/>
        <w:gridCol w:w="2390"/>
        <w:gridCol w:w="2390"/>
        <w:gridCol w:w="2405"/>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第二届董事会第一次会议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第二届董事会第四次会议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第二届董事会第五次会议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bl>
    <w:p>
      <w:pPr>
        <w:widowControl w:val="0"/>
        <w:spacing w:after="319" w:line="1" w:lineRule="exact"/>
      </w:pPr>
    </w:p>
    <w:p>
      <w:pPr>
        <w:pStyle w:val="Style30"/>
        <w:keepNext/>
        <w:keepLines/>
        <w:widowControl w:val="0"/>
        <w:shd w:val="clear" w:color="auto" w:fill="auto"/>
        <w:bidi w:val="0"/>
        <w:spacing w:before="0" w:after="22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四</w:t>
      </w:r>
      <w:bookmarkEnd w:id="298"/>
      <w:r>
        <w:rPr>
          <w:color w:val="000000"/>
          <w:spacing w:val="0"/>
          <w:w w:val="100"/>
          <w:position w:val="0"/>
          <w:sz w:val="24"/>
          <w:szCs w:val="24"/>
        </w:rPr>
        <w:t>、年度报告重大差错责任追究制度的建立与执行情况</w:t>
      </w:r>
      <w:bookmarkEnd w:id="296"/>
      <w:bookmarkEnd w:id="297"/>
      <w:bookmarkEnd w:id="299"/>
    </w:p>
    <w:p>
      <w:pPr>
        <w:pStyle w:val="Style9"/>
        <w:keepNext w:val="0"/>
        <w:keepLines w:val="0"/>
        <w:widowControl w:val="0"/>
        <w:shd w:val="clear" w:color="auto" w:fill="auto"/>
        <w:bidi w:val="0"/>
        <w:spacing w:before="0" w:after="360" w:line="317" w:lineRule="exact"/>
        <w:ind w:left="0" w:right="0" w:firstLine="6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日，公司第一届董事会第十六次会议审议通过《年报信息披露重大差错责任追究制度（</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建立健全了年度报告重大差错相关责任追究机制。报告期内，公司严格有效地执行了该制度，未发生重大会计差错更正、重 大遗漏信息补充以及业绩预告修正等情况。</w:t>
      </w:r>
    </w:p>
    <w:p>
      <w:pPr>
        <w:pStyle w:val="Style30"/>
        <w:keepNext/>
        <w:keepLines/>
        <w:widowControl w:val="0"/>
        <w:shd w:val="clear" w:color="auto" w:fill="auto"/>
        <w:bidi w:val="0"/>
        <w:spacing w:before="0" w:after="22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五</w:t>
      </w:r>
      <w:bookmarkEnd w:id="302"/>
      <w:r>
        <w:rPr>
          <w:color w:val="000000"/>
          <w:spacing w:val="0"/>
          <w:w w:val="100"/>
          <w:position w:val="0"/>
          <w:sz w:val="24"/>
          <w:szCs w:val="24"/>
        </w:rPr>
        <w:t>、监事会工作情况</w:t>
      </w:r>
      <w:bookmarkEnd w:id="300"/>
      <w:bookmarkEnd w:id="301"/>
      <w:bookmarkEnd w:id="303"/>
    </w:p>
    <w:p>
      <w:pPr>
        <w:pStyle w:val="Style9"/>
        <w:keepNext w:val="0"/>
        <w:keepLines w:val="0"/>
        <w:widowControl w:val="0"/>
        <w:shd w:val="clear" w:color="auto" w:fill="auto"/>
        <w:bidi w:val="0"/>
        <w:spacing w:before="0" w:after="0" w:line="360" w:lineRule="exact"/>
        <w:ind w:left="0" w:right="0" w:firstLine="0"/>
        <w:jc w:val="left"/>
      </w:pPr>
      <w:r>
        <w:rPr>
          <w:color w:val="000000"/>
          <w:spacing w:val="0"/>
          <w:w w:val="100"/>
          <w:position w:val="0"/>
        </w:rPr>
        <w:t>监事会在报告期内的监督活动是否发现公司存在风险</w:t>
      </w:r>
    </w:p>
    <w:p>
      <w:pPr>
        <w:pStyle w:val="Style9"/>
        <w:keepNext w:val="0"/>
        <w:keepLines w:val="0"/>
        <w:widowControl w:val="0"/>
        <w:shd w:val="clear" w:color="auto" w:fill="auto"/>
        <w:bidi w:val="0"/>
        <w:spacing w:before="0" w:after="280" w:line="360" w:lineRule="exact"/>
        <w:ind w:left="0" w:right="0" w:firstLine="0"/>
        <w:jc w:val="left"/>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441" w:right="1072" w:bottom="1441" w:left="106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 公司监事会对报告期内的监督事项无异议。</w:t>
      </w:r>
    </w:p>
    <w:p>
      <w:pPr>
        <w:pStyle w:val="Style19"/>
        <w:keepNext/>
        <w:keepLines/>
        <w:widowControl w:val="0"/>
        <w:shd w:val="clear" w:color="auto" w:fill="auto"/>
        <w:bidi w:val="0"/>
        <w:spacing w:before="480" w:after="540" w:line="240" w:lineRule="auto"/>
        <w:ind w:left="0" w:right="0" w:firstLine="0"/>
        <w:jc w:val="center"/>
      </w:pPr>
      <w:bookmarkStart w:id="304" w:name="bookmark304"/>
      <w:bookmarkStart w:id="305" w:name="bookmark305"/>
      <w:bookmarkStart w:id="306" w:name="bookmark306"/>
      <w:r>
        <w:rPr>
          <w:color w:val="000000"/>
          <w:spacing w:val="0"/>
          <w:w w:val="100"/>
          <w:position w:val="0"/>
        </w:rPr>
        <w:t>第九节财务报告</w:t>
      </w:r>
      <w:bookmarkEnd w:id="304"/>
      <w:bookmarkEnd w:id="305"/>
      <w:bookmarkEnd w:id="306"/>
    </w:p>
    <w:p>
      <w:pPr>
        <w:pStyle w:val="Style30"/>
        <w:keepNext/>
        <w:keepLines/>
        <w:widowControl w:val="0"/>
        <w:shd w:val="clear" w:color="auto" w:fill="auto"/>
        <w:bidi w:val="0"/>
        <w:spacing w:before="0" w:after="300" w:line="240" w:lineRule="auto"/>
        <w:ind w:left="0" w:right="0" w:firstLine="260"/>
        <w:jc w:val="left"/>
      </w:pPr>
      <w:bookmarkStart w:id="307" w:name="bookmark307"/>
      <w:bookmarkStart w:id="308" w:name="bookmark308"/>
      <w:bookmarkStart w:id="309" w:name="bookmark309"/>
      <w:bookmarkStart w:id="310" w:name="bookmark310"/>
      <w:r>
        <w:rPr>
          <w:color w:val="000000"/>
          <w:spacing w:val="0"/>
          <w:w w:val="100"/>
          <w:position w:val="0"/>
          <w:sz w:val="24"/>
          <w:szCs w:val="24"/>
        </w:rPr>
        <w:t>、审计报告</w:t>
      </w:r>
      <w:bookmarkEnd w:id="308"/>
      <w:bookmarkEnd w:id="309"/>
      <w:bookmarkEnd w:id="310"/>
      <w:bookmarkEnd w:id="30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北京永拓会计师事务所（特殊普通合伙）</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京永审字（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11010</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李宏、吕润波</w:t>
            </w:r>
          </w:p>
        </w:tc>
      </w:tr>
    </w:tbl>
    <w:p>
      <w:pPr>
        <w:pStyle w:val="Style22"/>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9"/>
        <w:keepNext w:val="0"/>
        <w:keepLines w:val="0"/>
        <w:widowControl w:val="0"/>
        <w:shd w:val="clear" w:color="auto" w:fill="auto"/>
        <w:bidi w:val="0"/>
        <w:spacing w:before="0" w:after="0" w:line="308" w:lineRule="exact"/>
        <w:ind w:left="0" w:right="0" w:firstLine="0"/>
        <w:jc w:val="left"/>
      </w:pPr>
      <w:r>
        <w:rPr>
          <w:color w:val="000000"/>
          <w:spacing w:val="0"/>
          <w:w w:val="100"/>
          <w:position w:val="0"/>
        </w:rPr>
        <w:t>任子行网络技术股份有限公司全体股东：</w:t>
      </w:r>
    </w:p>
    <w:p>
      <w:pPr>
        <w:pStyle w:val="Style9"/>
        <w:keepNext w:val="0"/>
        <w:keepLines w:val="0"/>
        <w:widowControl w:val="0"/>
        <w:shd w:val="clear" w:color="auto" w:fill="auto"/>
        <w:bidi w:val="0"/>
        <w:spacing w:before="0" w:after="0" w:line="308" w:lineRule="exact"/>
        <w:ind w:left="0" w:right="0" w:firstLine="0"/>
        <w:jc w:val="left"/>
      </w:pPr>
      <w:r>
        <w:rPr>
          <w:color w:val="000000"/>
          <w:spacing w:val="0"/>
          <w:w w:val="100"/>
          <w:position w:val="0"/>
        </w:rPr>
        <w:t>我们审计了后附的任子行网络技术股份有限公司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任子行公司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日合并及母公司资产 负债表，</w:t>
      </w:r>
      <w:r>
        <w:rPr>
          <w:rFonts w:ascii="Times New Roman" w:eastAsia="Times New Roman" w:hAnsi="Times New Roman" w:cs="Times New Roman"/>
          <w:color w:val="000000"/>
          <w:spacing w:val="0"/>
          <w:w w:val="100"/>
          <w:position w:val="0"/>
        </w:rPr>
        <w:t>2013</w:t>
      </w:r>
      <w:r>
        <w:rPr>
          <w:color w:val="000000"/>
          <w:spacing w:val="0"/>
          <w:w w:val="100"/>
          <w:position w:val="0"/>
        </w:rPr>
        <w:t>年度合并及母公司利润表、合并及母公司所有者权益变动表、合并及母公司现金流量表，以及财务报表附注。</w:t>
      </w:r>
    </w:p>
    <w:p>
      <w:pPr>
        <w:pStyle w:val="Style9"/>
        <w:keepNext w:val="0"/>
        <w:keepLines w:val="0"/>
        <w:widowControl w:val="0"/>
        <w:shd w:val="clear" w:color="auto" w:fill="auto"/>
        <w:tabs>
          <w:tab w:pos="430" w:val="left"/>
        </w:tabs>
        <w:bidi w:val="0"/>
        <w:spacing w:before="0" w:after="0" w:line="308" w:lineRule="exact"/>
        <w:ind w:left="0" w:right="0" w:firstLine="0"/>
        <w:jc w:val="left"/>
      </w:pPr>
      <w:bookmarkStart w:id="311" w:name="bookmark311"/>
      <w:r>
        <w:rPr>
          <w:color w:val="000000"/>
          <w:spacing w:val="0"/>
          <w:w w:val="100"/>
          <w:position w:val="0"/>
        </w:rPr>
        <w:t>一</w:t>
      </w:r>
      <w:bookmarkEnd w:id="311"/>
      <w:r>
        <w:rPr>
          <w:color w:val="000000"/>
          <w:spacing w:val="0"/>
          <w:w w:val="100"/>
          <w:position w:val="0"/>
        </w:rPr>
        <w:t>、</w:t>
        <w:tab/>
        <w:t>管理层对财务报表的责任</w:t>
      </w:r>
    </w:p>
    <w:p>
      <w:pPr>
        <w:pStyle w:val="Style9"/>
        <w:keepNext w:val="0"/>
        <w:keepLines w:val="0"/>
        <w:widowControl w:val="0"/>
        <w:shd w:val="clear" w:color="auto" w:fill="auto"/>
        <w:bidi w:val="0"/>
        <w:spacing w:before="0" w:after="0" w:line="308" w:lineRule="exact"/>
        <w:ind w:left="0" w:right="0" w:firstLine="0"/>
        <w:jc w:val="left"/>
      </w:pPr>
      <w:r>
        <w:rPr>
          <w:color w:val="000000"/>
          <w:spacing w:val="0"/>
          <w:w w:val="100"/>
          <w:position w:val="0"/>
        </w:rPr>
        <w:t>编制和公允列报财务报表是任子行公司管理层的责任，这种责任包括：（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）按照企业会计准则的规定编制财务报表，并使 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9"/>
        <w:keepNext w:val="0"/>
        <w:keepLines w:val="0"/>
        <w:widowControl w:val="0"/>
        <w:shd w:val="clear" w:color="auto" w:fill="auto"/>
        <w:tabs>
          <w:tab w:pos="430" w:val="left"/>
        </w:tabs>
        <w:bidi w:val="0"/>
        <w:spacing w:before="0" w:after="0" w:line="308" w:lineRule="exact"/>
        <w:ind w:left="0" w:right="0" w:firstLine="0"/>
        <w:jc w:val="left"/>
      </w:pPr>
      <w:bookmarkStart w:id="312" w:name="bookmark312"/>
      <w:r>
        <w:rPr>
          <w:color w:val="000000"/>
          <w:spacing w:val="0"/>
          <w:w w:val="100"/>
          <w:position w:val="0"/>
        </w:rPr>
        <w:t>二</w:t>
      </w:r>
      <w:bookmarkEnd w:id="312"/>
      <w:r>
        <w:rPr>
          <w:color w:val="000000"/>
          <w:spacing w:val="0"/>
          <w:w w:val="100"/>
          <w:position w:val="0"/>
        </w:rPr>
        <w:t>、</w:t>
        <w:tab/>
        <w:t>注册会计师的责任</w:t>
      </w:r>
    </w:p>
    <w:p>
      <w:pPr>
        <w:pStyle w:val="Style9"/>
        <w:keepNext w:val="0"/>
        <w:keepLines w:val="0"/>
        <w:widowControl w:val="0"/>
        <w:shd w:val="clear" w:color="auto" w:fill="auto"/>
        <w:bidi w:val="0"/>
        <w:spacing w:before="0" w:after="0" w:line="308" w:lineRule="exact"/>
        <w:ind w:left="0" w:right="0" w:firstLine="0"/>
        <w:jc w:val="left"/>
      </w:pPr>
      <w:r>
        <w:rPr>
          <w:color w:val="000000"/>
          <w:spacing w:val="0"/>
          <w:w w:val="100"/>
          <w:position w:val="0"/>
        </w:rPr>
        <w:t>我们的责任是在执行审计工作的基础上对财务报表发表审计意见。我们按照中国注册会计师审计准则的规定执行了审计工 作。中国注册会计师审计准则要求我们遵守中国注册会计师职业道德守则，计划和执行审计工作以对财务报表是否不存在重 大错报获取合理保证。</w:t>
      </w:r>
    </w:p>
    <w:p>
      <w:pPr>
        <w:pStyle w:val="Style9"/>
        <w:keepNext w:val="0"/>
        <w:keepLines w:val="0"/>
        <w:widowControl w:val="0"/>
        <w:shd w:val="clear" w:color="auto" w:fill="auto"/>
        <w:bidi w:val="0"/>
        <w:spacing w:before="0" w:after="0" w:line="308" w:lineRule="exact"/>
        <w:ind w:left="0" w:right="0" w:firstLine="0"/>
        <w:jc w:val="left"/>
      </w:pPr>
      <w:r>
        <w:rPr>
          <w:color w:val="000000"/>
          <w:spacing w:val="0"/>
          <w:w w:val="100"/>
          <w:position w:val="0"/>
        </w:rPr>
        <w:t>审计工作涉及实施审计程序，以获取有关财务报表金额和披露的审计证据。选择的审计程序取决于注册会计师的判断，包括 对由于舞弊或错误导致的财务报表重大错报风险的评估。在进行风险评估时，注册会计师考虑与财务报表编制和公允列报相 关的内部控制，以设计恰当的审计程序，但目的并非对内部控制的有效性发表意见。审计工作还包括评价管理层选用会计政 策的恰当性和作出会计估计的合理性，以及评价财务报表的总体列报。</w:t>
      </w:r>
    </w:p>
    <w:p>
      <w:pPr>
        <w:pStyle w:val="Style9"/>
        <w:keepNext w:val="0"/>
        <w:keepLines w:val="0"/>
        <w:widowControl w:val="0"/>
        <w:shd w:val="clear" w:color="auto" w:fill="auto"/>
        <w:bidi w:val="0"/>
        <w:spacing w:before="0" w:after="0" w:line="308" w:lineRule="exact"/>
        <w:ind w:left="0" w:right="0" w:firstLine="0"/>
        <w:jc w:val="left"/>
      </w:pPr>
      <w:r>
        <w:rPr>
          <w:color w:val="000000"/>
          <w:spacing w:val="0"/>
          <w:w w:val="100"/>
          <w:position w:val="0"/>
        </w:rPr>
        <w:t>我们相信，我们获取的审计证据是充分、适当的，为发表审计意见提供了基础。</w:t>
      </w:r>
    </w:p>
    <w:p>
      <w:pPr>
        <w:pStyle w:val="Style9"/>
        <w:keepNext w:val="0"/>
        <w:keepLines w:val="0"/>
        <w:widowControl w:val="0"/>
        <w:shd w:val="clear" w:color="auto" w:fill="auto"/>
        <w:tabs>
          <w:tab w:pos="430" w:val="left"/>
        </w:tabs>
        <w:bidi w:val="0"/>
        <w:spacing w:before="0" w:after="0" w:line="308" w:lineRule="exact"/>
        <w:ind w:left="0" w:right="0" w:firstLine="0"/>
        <w:jc w:val="left"/>
      </w:pPr>
      <w:bookmarkStart w:id="313" w:name="bookmark313"/>
      <w:r>
        <w:rPr>
          <w:color w:val="000000"/>
          <w:spacing w:val="0"/>
          <w:w w:val="100"/>
          <w:position w:val="0"/>
        </w:rPr>
        <w:t>三</w:t>
      </w:r>
      <w:bookmarkEnd w:id="313"/>
      <w:r>
        <w:rPr>
          <w:color w:val="000000"/>
          <w:spacing w:val="0"/>
          <w:w w:val="100"/>
          <w:position w:val="0"/>
        </w:rPr>
        <w:t>、</w:t>
        <w:tab/>
        <w:t>审计意见</w:t>
      </w:r>
    </w:p>
    <w:p>
      <w:pPr>
        <w:pStyle w:val="Style9"/>
        <w:keepNext w:val="0"/>
        <w:keepLines w:val="0"/>
        <w:widowControl w:val="0"/>
        <w:shd w:val="clear" w:color="auto" w:fill="auto"/>
        <w:bidi w:val="0"/>
        <w:spacing w:before="0" w:after="380" w:line="308" w:lineRule="exact"/>
        <w:ind w:left="0" w:right="0" w:firstLine="0"/>
        <w:jc w:val="left"/>
      </w:pPr>
      <w:r>
        <w:rPr>
          <w:color w:val="000000"/>
          <w:spacing w:val="0"/>
          <w:w w:val="100"/>
          <w:position w:val="0"/>
        </w:rPr>
        <w:t>我们认为，任子行公司财务报表在所有重大方面按照企业会计准则的规定编制，公允反映了任子行公司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rPr>
        <w:t>2 013</w:t>
      </w:r>
      <w:r>
        <w:rPr>
          <w:color w:val="000000"/>
          <w:spacing w:val="0"/>
          <w:w w:val="100"/>
          <w:position w:val="0"/>
        </w:rPr>
        <w:t>年度的合并及母公司经营成果和现金流量。</w:t>
      </w:r>
    </w:p>
    <w:p>
      <w:pPr>
        <w:pStyle w:val="Style30"/>
        <w:keepNext/>
        <w:keepLines/>
        <w:widowControl w:val="0"/>
        <w:shd w:val="clear" w:color="auto" w:fill="auto"/>
        <w:bidi w:val="0"/>
        <w:spacing w:before="0" w:after="26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二、财务报表</w:t>
      </w:r>
      <w:bookmarkEnd w:id="314"/>
      <w:bookmarkEnd w:id="315"/>
      <w:bookmarkEnd w:id="316"/>
    </w:p>
    <w:p>
      <w:pPr>
        <w:pStyle w:val="Style9"/>
        <w:keepNext w:val="0"/>
        <w:keepLines w:val="0"/>
        <w:widowControl w:val="0"/>
        <w:shd w:val="clear" w:color="auto" w:fill="auto"/>
        <w:bidi w:val="0"/>
        <w:spacing w:before="0" w:after="380" w:line="308" w:lineRule="exact"/>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26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1</w:t>
      </w:r>
      <w:bookmarkEnd w:id="319"/>
      <w:r>
        <w:rPr>
          <w:color w:val="000000"/>
          <w:spacing w:val="0"/>
          <w:w w:val="100"/>
          <w:position w:val="0"/>
        </w:rPr>
        <w:t>、合并资产负债表</w:t>
      </w:r>
      <w:bookmarkEnd w:id="317"/>
      <w:bookmarkEnd w:id="318"/>
      <w:bookmarkEnd w:id="320"/>
    </w:p>
    <w:p>
      <w:pPr>
        <w:pStyle w:val="Style9"/>
        <w:keepNext w:val="0"/>
        <w:keepLines w:val="0"/>
        <w:widowControl w:val="0"/>
        <w:shd w:val="clear" w:color="auto" w:fill="auto"/>
        <w:bidi w:val="0"/>
        <w:spacing w:before="0" w:after="120" w:line="308" w:lineRule="exact"/>
        <w:ind w:left="0" w:right="0" w:firstLine="0"/>
        <w:jc w:val="left"/>
      </w:pPr>
      <w:r>
        <w:rPr>
          <w:color w:val="000000"/>
          <w:spacing w:val="0"/>
          <w:w w:val="100"/>
          <w:position w:val="0"/>
        </w:rPr>
        <w:t>编制单位：任子行网络技术股份有限公司</w:t>
      </w:r>
    </w:p>
    <w:p>
      <w:pPr>
        <w:pStyle w:val="Style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329,279,776.56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325,614,507.98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490,890.11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6,608,069.56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30,137,745.01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40,883,734.28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11,731,009.37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2,973,125.35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3,555,722.85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3,913,150.08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40,407,539.99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32,166,662.20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5,034,020.57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420,636,704.46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412,159,249.45</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3,721,710.42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4,557,748.49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539,862.82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551,440.06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113,659,140.66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108,724,281.55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1,930,424.55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1,498,649.38</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2,759,611.73</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77,225.17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6,371,142.56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5,416,406.16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126,222,281.01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123,585,362.54</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546,858,985.47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535,744,611.99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218,148.35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2,662,833.33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760,721.02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6,710,958.58</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19,610,997.57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22,187,461.95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52,496,784.93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44,758,867.67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10,509,380.74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7,440,432.30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3,955,168.93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7,508,205.51</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9,244,575.10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8,863,786.00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96,795,776.64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100,132,545.34</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33,135,000.00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28,880,000.00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33,135,000.00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28,880,000.00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129,930,776.64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129,012,545.34</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70,700,000.00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70,700,000.00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228,052,665.20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232,446,964.92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13,371,398.16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10,727,840.82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106,375,415.48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91,654,998.25</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418,499,478.84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405,529,803.99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-1,571,270.01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1,202,262.66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416,928,208.83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406,732,066.65</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546,858,985.47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535,744,611.99</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850" simplePos="0" relativeHeight="125829380" behindDoc="0" locked="0" layoutInCell="1" allowOverlap="1">
                <wp:simplePos x="0" y="0"/>
                <wp:positionH relativeFrom="page">
                  <wp:posOffset>699135</wp:posOffset>
                </wp:positionH>
                <wp:positionV relativeFrom="margin">
                  <wp:posOffset>4761230</wp:posOffset>
                </wp:positionV>
                <wp:extent cx="1051560" cy="149225"/>
                <wp:wrapTopAndBottom/>
                <wp:docPr id="61" name="Shape 6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wps:txbx>
                      <wps:bodyPr wrap="none" lIns="0" tIns="0" rIns="0" bIns="0">
                        <a:noAutoFit/>
                      </wps:bodyPr>
                    </wps:wsp>
                  </a:graphicData>
                </a:graphic>
              </wp:anchor>
            </w:drawing>
          </mc:Choice>
          <mc:Fallback>
            <w:pict>
              <v:shape id="_x0000_s1087" type="#_x0000_t202" style="position:absolute;margin-left:55.050000000000004pt;margin-top:374.90000000000003pt;width:82.799999999999997pt;height:11.75pt;z-index:-125829373;mso-wrap-distance-left:9.pt;mso-wrap-distance-top:12.pt;mso-wrap-distance-right:405.5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v:textbox>
                <w10:wrap type="topAndBottom" anchorx="page" anchory="margin"/>
              </v:shape>
            </w:pict>
          </mc:Fallback>
        </mc:AlternateContent>
      </w:r>
      <w:r>
        <mc:AlternateContent>
          <mc:Choice Requires="wps">
            <w:drawing>
              <wp:anchor distT="152400" distB="0" distL="2293620" distR="2516505" simplePos="0" relativeHeight="125829382" behindDoc="0" locked="0" layoutInCell="1" allowOverlap="1">
                <wp:simplePos x="0" y="0"/>
                <wp:positionH relativeFrom="page">
                  <wp:posOffset>2878455</wp:posOffset>
                </wp:positionH>
                <wp:positionV relativeFrom="margin">
                  <wp:posOffset>4761230</wp:posOffset>
                </wp:positionV>
                <wp:extent cx="1505585" cy="149225"/>
                <wp:wrapTopAndBottom/>
                <wp:docPr id="63" name="Shape 63"/>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主管会计工作负责人：周益斌</w:t>
                            </w:r>
                          </w:p>
                        </w:txbxContent>
                      </wps:txbx>
                      <wps:bodyPr wrap="none" lIns="0" tIns="0" rIns="0" bIns="0">
                        <a:noAutoFit/>
                      </wps:bodyPr>
                    </wps:wsp>
                  </a:graphicData>
                </a:graphic>
              </wp:anchor>
            </w:drawing>
          </mc:Choice>
          <mc:Fallback>
            <w:pict>
              <v:shape id="_x0000_s1089" type="#_x0000_t202" style="position:absolute;margin-left:226.65000000000001pt;margin-top:374.90000000000003pt;width:118.55pt;height:11.75pt;z-index:-125829371;mso-wrap-distance-left:180.59999999999999pt;mso-wrap-distance-top:12.pt;mso-wrap-distance-right:198.15000000000001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主管会计工作负责人：周益斌</w:t>
                      </w:r>
                    </w:p>
                  </w:txbxContent>
                </v:textbox>
                <w10:wrap type="topAndBottom" anchorx="page" anchory="margin"/>
              </v:shape>
            </w:pict>
          </mc:Fallback>
        </mc:AlternateContent>
      </w:r>
      <w:r>
        <mc:AlternateContent>
          <mc:Choice Requires="wps">
            <w:drawing>
              <wp:anchor distT="152400" distB="0" distL="4918075" distR="114300" simplePos="0" relativeHeight="125829384" behindDoc="0" locked="0" layoutInCell="1" allowOverlap="1">
                <wp:simplePos x="0" y="0"/>
                <wp:positionH relativeFrom="page">
                  <wp:posOffset>5502910</wp:posOffset>
                </wp:positionH>
                <wp:positionV relativeFrom="margin">
                  <wp:posOffset>4761230</wp:posOffset>
                </wp:positionV>
                <wp:extent cx="1283335" cy="149225"/>
                <wp:wrapTopAndBottom/>
                <wp:docPr id="65" name="Shape 65"/>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会计机构负责人：钟海川</w:t>
                            </w:r>
                          </w:p>
                        </w:txbxContent>
                      </wps:txbx>
                      <wps:bodyPr wrap="none" lIns="0" tIns="0" rIns="0" bIns="0">
                        <a:noAutoFit/>
                      </wps:bodyPr>
                    </wps:wsp>
                  </a:graphicData>
                </a:graphic>
              </wp:anchor>
            </w:drawing>
          </mc:Choice>
          <mc:Fallback>
            <w:pict>
              <v:shape id="_x0000_s1091" type="#_x0000_t202" style="position:absolute;margin-left:433.30000000000001pt;margin-top:374.90000000000003pt;width:101.05pt;height:11.75pt;z-index:-125829369;mso-wrap-distance-left:387.25pt;mso-wrap-distance-top:12.pt;mso-wrap-distance-right: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会计机构负责人：钟海川</w:t>
                      </w:r>
                    </w:p>
                  </w:txbxContent>
                </v:textbox>
                <w10:wrap type="topAndBottom" anchorx="page" anchory="margin"/>
              </v:shape>
            </w:pict>
          </mc:Fallback>
        </mc:AlternateContent>
      </w: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2</w:t>
      </w:r>
      <w:bookmarkEnd w:id="323"/>
      <w:r>
        <w:rPr>
          <w:color w:val="000000"/>
          <w:spacing w:val="0"/>
          <w:w w:val="100"/>
          <w:position w:val="0"/>
        </w:rPr>
        <w:t>、母公司资产负债表</w:t>
      </w:r>
      <w:bookmarkEnd w:id="321"/>
      <w:bookmarkEnd w:id="322"/>
      <w:bookmarkEnd w:id="324"/>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编制单位：任子行网络技术股份有限公司</w:t>
      </w:r>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287,572,837.32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299,778,895.38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1,003,175.00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23,687,000.44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30,055,487.68</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11,467,681.47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1,813,046.35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16,503,262.90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5,159,244.70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26,384,281.28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12,209,684.96</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12,222,333.32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365,655,063.41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362,241,867.39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65,641,710.42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42,157,748.49</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539,862.82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551,440.06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111,478,264.45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106,255,314.50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1,881,880.83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1,417,743.22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6,070,729.98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5,253,458.95</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185,612,448.50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155,635,705.22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551,267,511.91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517,877,572.61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39,480.00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13,763,187.70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14,533,133.76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49,157,839.93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43,391,176.67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8,832,231.37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6,081,857.24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2,252,226.31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6,609,580.28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20,084,370.62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12,958,262.04</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94,089,855.93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83,613,489.99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33,135,000.00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28,880,000.00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33,135,000.00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28,880,000.00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127,224,855.93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112,493,489.99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70,700,000.00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70,700,000.00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232,633,600.72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232,633,600.72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13,371,398.16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10,727,840.82</w:t>
            </w: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107,337,657.10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91,322,641.08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424,042,655.98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405,384,082.62</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551,267,511.91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517,877,572.61</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850" simplePos="0" relativeHeight="125829386" behindDoc="0" locked="0" layoutInCell="1" allowOverlap="1">
                <wp:simplePos x="0" y="0"/>
                <wp:positionH relativeFrom="page">
                  <wp:posOffset>699135</wp:posOffset>
                </wp:positionH>
                <wp:positionV relativeFrom="margin">
                  <wp:posOffset>6546850</wp:posOffset>
                </wp:positionV>
                <wp:extent cx="1051560" cy="149225"/>
                <wp:wrapTopAndBottom/>
                <wp:docPr id="67" name="Shape 6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wps:txbx>
                      <wps:bodyPr wrap="none" lIns="0" tIns="0" rIns="0" bIns="0">
                        <a:noAutoFit/>
                      </wps:bodyPr>
                    </wps:wsp>
                  </a:graphicData>
                </a:graphic>
              </wp:anchor>
            </w:drawing>
          </mc:Choice>
          <mc:Fallback>
            <w:pict>
              <v:shape id="_x0000_s1093" type="#_x0000_t202" style="position:absolute;margin-left:55.050000000000004pt;margin-top:515.5pt;width:82.799999999999997pt;height:11.75pt;z-index:-125829367;mso-wrap-distance-left:9.pt;mso-wrap-distance-top:12.pt;mso-wrap-distance-right:405.5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v:textbox>
                <w10:wrap type="topAndBottom" anchorx="page" anchory="margin"/>
              </v:shape>
            </w:pict>
          </mc:Fallback>
        </mc:AlternateContent>
      </w:r>
      <w:r>
        <mc:AlternateContent>
          <mc:Choice Requires="wps">
            <w:drawing>
              <wp:anchor distT="152400" distB="0" distL="2293620" distR="2516505" simplePos="0" relativeHeight="125829388" behindDoc="0" locked="0" layoutInCell="1" allowOverlap="1">
                <wp:simplePos x="0" y="0"/>
                <wp:positionH relativeFrom="page">
                  <wp:posOffset>2878455</wp:posOffset>
                </wp:positionH>
                <wp:positionV relativeFrom="margin">
                  <wp:posOffset>6546850</wp:posOffset>
                </wp:positionV>
                <wp:extent cx="1505585" cy="149225"/>
                <wp:wrapTopAndBottom/>
                <wp:docPr id="69" name="Shape 6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主管会计工作负责人：周益斌</w:t>
                            </w:r>
                          </w:p>
                        </w:txbxContent>
                      </wps:txbx>
                      <wps:bodyPr wrap="none" lIns="0" tIns="0" rIns="0" bIns="0">
                        <a:noAutoFit/>
                      </wps:bodyPr>
                    </wps:wsp>
                  </a:graphicData>
                </a:graphic>
              </wp:anchor>
            </w:drawing>
          </mc:Choice>
          <mc:Fallback>
            <w:pict>
              <v:shape id="_x0000_s1095" type="#_x0000_t202" style="position:absolute;margin-left:226.65000000000001pt;margin-top:515.5pt;width:118.55pt;height:11.75pt;z-index:-125829365;mso-wrap-distance-left:180.59999999999999pt;mso-wrap-distance-top:12.pt;mso-wrap-distance-right:198.15000000000001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主管会计工作负责人：周益斌</w:t>
                      </w:r>
                    </w:p>
                  </w:txbxContent>
                </v:textbox>
                <w10:wrap type="topAndBottom" anchorx="page" anchory="margin"/>
              </v:shape>
            </w:pict>
          </mc:Fallback>
        </mc:AlternateContent>
      </w:r>
      <w:r>
        <mc:AlternateContent>
          <mc:Choice Requires="wps">
            <w:drawing>
              <wp:anchor distT="152400" distB="0" distL="4918075" distR="114300" simplePos="0" relativeHeight="125829390" behindDoc="0" locked="0" layoutInCell="1" allowOverlap="1">
                <wp:simplePos x="0" y="0"/>
                <wp:positionH relativeFrom="page">
                  <wp:posOffset>5502910</wp:posOffset>
                </wp:positionH>
                <wp:positionV relativeFrom="margin">
                  <wp:posOffset>6546850</wp:posOffset>
                </wp:positionV>
                <wp:extent cx="1283335" cy="149225"/>
                <wp:wrapTopAndBottom/>
                <wp:docPr id="71" name="Shape 71"/>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会计机构负责人：钟海川</w:t>
                            </w:r>
                          </w:p>
                        </w:txbxContent>
                      </wps:txbx>
                      <wps:bodyPr wrap="none" lIns="0" tIns="0" rIns="0" bIns="0">
                        <a:noAutoFit/>
                      </wps:bodyPr>
                    </wps:wsp>
                  </a:graphicData>
                </a:graphic>
              </wp:anchor>
            </w:drawing>
          </mc:Choice>
          <mc:Fallback>
            <w:pict>
              <v:shape id="_x0000_s1097" type="#_x0000_t202" style="position:absolute;margin-left:433.30000000000001pt;margin-top:515.5pt;width:101.05pt;height:11.75pt;z-index:-125829363;mso-wrap-distance-left:387.25pt;mso-wrap-distance-top:12.pt;mso-wrap-distance-right: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会计机构负责人：钟海川</w:t>
                      </w:r>
                    </w:p>
                  </w:txbxContent>
                </v:textbox>
                <w10:wrap type="topAndBottom" anchorx="page" anchory="margin"/>
              </v:shape>
            </w:pict>
          </mc:Fallback>
        </mc:AlternateContent>
      </w: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3</w:t>
      </w:r>
      <w:bookmarkEnd w:id="327"/>
      <w:r>
        <w:rPr>
          <w:color w:val="000000"/>
          <w:spacing w:val="0"/>
          <w:w w:val="100"/>
          <w:position w:val="0"/>
        </w:rPr>
        <w:t>、合并利润表</w:t>
      </w:r>
      <w:bookmarkEnd w:id="325"/>
      <w:bookmarkEnd w:id="326"/>
      <w:bookmarkEnd w:id="328"/>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编制单位：任子行网络技术股份有限公司</w:t>
      </w:r>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245,386,180.86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192,974,175.08</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245,386,180.86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192,974,175.08</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232,323,978.50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168,743,250.09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119,905,374.33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83,974,440.74</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989,613.40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2,325,428.00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23,708,858.06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20,163,367.28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86,372,923.10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58,676,134.15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-3,512,419.48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-472,374.22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4,859,629.09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4,076,254.14</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92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-836,038.07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-442,251.51</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其中：对联营企业和合营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12,226,164.29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23,788,673.48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14,723,892.06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16,759,079.58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1,232,732.00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87,566.84</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920"/>
              <w:jc w:val="both"/>
            </w:pPr>
            <w:r>
              <w:rPr>
                <w:color w:val="000000"/>
                <w:spacing w:val="0"/>
                <w:w w:val="100"/>
                <w:position w:val="0"/>
              </w:rPr>
              <w:t>其中：非流动资产处置损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25,717,324.35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40,460,186.22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3,424,182.17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3,252,918.59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22,293,142.18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37,207,267.63</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25,140,974.57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39,007,060.36</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-2,847,832.39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-1,799,792.73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22,293,142.18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37,207,267.63</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25,140,974.57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39,007,060.36</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-2,847,832.39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-1,799,792.73</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850" simplePos="0" relativeHeight="125829392" behindDoc="0" locked="0" layoutInCell="1" allowOverlap="1">
                <wp:simplePos x="0" y="0"/>
                <wp:positionH relativeFrom="page">
                  <wp:posOffset>699135</wp:posOffset>
                </wp:positionH>
                <wp:positionV relativeFrom="margin">
                  <wp:posOffset>2462530</wp:posOffset>
                </wp:positionV>
                <wp:extent cx="1051560" cy="149225"/>
                <wp:wrapTopAndBottom/>
                <wp:docPr id="73" name="Shape 73"/>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wps:txbx>
                      <wps:bodyPr wrap="none" lIns="0" tIns="0" rIns="0" bIns="0">
                        <a:noAutoFit/>
                      </wps:bodyPr>
                    </wps:wsp>
                  </a:graphicData>
                </a:graphic>
              </wp:anchor>
            </w:drawing>
          </mc:Choice>
          <mc:Fallback>
            <w:pict>
              <v:shape id="_x0000_s1099" type="#_x0000_t202" style="position:absolute;margin-left:55.050000000000004pt;margin-top:193.90000000000001pt;width:82.799999999999997pt;height:11.75pt;z-index:-125829361;mso-wrap-distance-left:9.pt;mso-wrap-distance-top:12.pt;mso-wrap-distance-right:405.5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v:textbox>
                <w10:wrap type="topAndBottom" anchorx="page" anchory="margin"/>
              </v:shape>
            </w:pict>
          </mc:Fallback>
        </mc:AlternateContent>
      </w:r>
      <w:r>
        <mc:AlternateContent>
          <mc:Choice Requires="wps">
            <w:drawing>
              <wp:anchor distT="152400" distB="0" distL="2293620" distR="2516505" simplePos="0" relativeHeight="125829394" behindDoc="0" locked="0" layoutInCell="1" allowOverlap="1">
                <wp:simplePos x="0" y="0"/>
                <wp:positionH relativeFrom="page">
                  <wp:posOffset>2878455</wp:posOffset>
                </wp:positionH>
                <wp:positionV relativeFrom="margin">
                  <wp:posOffset>2462530</wp:posOffset>
                </wp:positionV>
                <wp:extent cx="1505585" cy="149225"/>
                <wp:wrapTopAndBottom/>
                <wp:docPr id="75" name="Shape 7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主管会计工作负责人：周益斌</w:t>
                            </w:r>
                          </w:p>
                        </w:txbxContent>
                      </wps:txbx>
                      <wps:bodyPr wrap="none" lIns="0" tIns="0" rIns="0" bIns="0">
                        <a:noAutoFit/>
                      </wps:bodyPr>
                    </wps:wsp>
                  </a:graphicData>
                </a:graphic>
              </wp:anchor>
            </w:drawing>
          </mc:Choice>
          <mc:Fallback>
            <w:pict>
              <v:shape id="_x0000_s1101" type="#_x0000_t202" style="position:absolute;margin-left:226.65000000000001pt;margin-top:193.90000000000001pt;width:118.55pt;height:11.75pt;z-index:-125829359;mso-wrap-distance-left:180.59999999999999pt;mso-wrap-distance-top:12.pt;mso-wrap-distance-right:198.15000000000001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主管会计工作负责人：周益斌</w:t>
                      </w:r>
                    </w:p>
                  </w:txbxContent>
                </v:textbox>
                <w10:wrap type="topAndBottom" anchorx="page" anchory="margin"/>
              </v:shape>
            </w:pict>
          </mc:Fallback>
        </mc:AlternateContent>
      </w:r>
      <w:r>
        <mc:AlternateContent>
          <mc:Choice Requires="wps">
            <w:drawing>
              <wp:anchor distT="152400" distB="0" distL="4918075" distR="114300" simplePos="0" relativeHeight="125829396" behindDoc="0" locked="0" layoutInCell="1" allowOverlap="1">
                <wp:simplePos x="0" y="0"/>
                <wp:positionH relativeFrom="page">
                  <wp:posOffset>5502910</wp:posOffset>
                </wp:positionH>
                <wp:positionV relativeFrom="margin">
                  <wp:posOffset>2462530</wp:posOffset>
                </wp:positionV>
                <wp:extent cx="1283335" cy="149225"/>
                <wp:wrapTopAndBottom/>
                <wp:docPr id="77" name="Shape 77"/>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会计机构负责人：钟海川</w:t>
                            </w:r>
                          </w:p>
                        </w:txbxContent>
                      </wps:txbx>
                      <wps:bodyPr wrap="none" lIns="0" tIns="0" rIns="0" bIns="0">
                        <a:noAutoFit/>
                      </wps:bodyPr>
                    </wps:wsp>
                  </a:graphicData>
                </a:graphic>
              </wp:anchor>
            </w:drawing>
          </mc:Choice>
          <mc:Fallback>
            <w:pict>
              <v:shape id="_x0000_s1103" type="#_x0000_t202" style="position:absolute;margin-left:433.30000000000001pt;margin-top:193.90000000000001pt;width:101.05pt;height:11.75pt;z-index:-125829357;mso-wrap-distance-left:387.25pt;mso-wrap-distance-top:12.pt;mso-wrap-distance-right: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会计机构负责人：钟海川</w:t>
                      </w:r>
                    </w:p>
                  </w:txbxContent>
                </v:textbox>
                <w10:wrap type="topAndBottom" anchorx="page" anchory="margin"/>
              </v:shape>
            </w:pict>
          </mc:Fallback>
        </mc:AlternateContent>
      </w: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4</w:t>
      </w:r>
      <w:bookmarkEnd w:id="331"/>
      <w:r>
        <w:rPr>
          <w:color w:val="000000"/>
          <w:spacing w:val="0"/>
          <w:w w:val="100"/>
          <w:position w:val="0"/>
        </w:rPr>
        <w:t>、母公司利润表</w:t>
      </w:r>
      <w:bookmarkEnd w:id="329"/>
      <w:bookmarkEnd w:id="330"/>
      <w:bookmarkEnd w:id="332"/>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编制单位：任子行网络技术股份有限公司</w:t>
      </w:r>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212,165,879.65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172,521,213.05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107,097,842.12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74,770,300.53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878,447.69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2,203,691.39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22,261,284.64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19,443,637.59</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70,488,119.03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50,088,115.78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-5,593,579.94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-1,487,208.84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1,193,474.97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2,409,239.22</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-346,514.51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-219,918.19</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15,493,776.63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24,873,519.19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14,010,892.06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16,747,379.58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1,120,250.00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27,330.80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28,384,418.69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41,593,567.97</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1,948,845.33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2,866,120.60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26,435,573.36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38,727,447.37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26,435,573.36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38,727,447.37</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850" simplePos="0" relativeHeight="125829398" behindDoc="0" locked="0" layoutInCell="1" allowOverlap="1">
                <wp:simplePos x="0" y="0"/>
                <wp:positionH relativeFrom="page">
                  <wp:posOffset>699135</wp:posOffset>
                </wp:positionH>
                <wp:positionV relativeFrom="margin">
                  <wp:posOffset>1755775</wp:posOffset>
                </wp:positionV>
                <wp:extent cx="1051560" cy="149225"/>
                <wp:wrapTopAndBottom/>
                <wp:docPr id="79" name="Shape 79"/>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wps:txbx>
                      <wps:bodyPr wrap="none" lIns="0" tIns="0" rIns="0" bIns="0">
                        <a:noAutoFit/>
                      </wps:bodyPr>
                    </wps:wsp>
                  </a:graphicData>
                </a:graphic>
              </wp:anchor>
            </w:drawing>
          </mc:Choice>
          <mc:Fallback>
            <w:pict>
              <v:shape id="_x0000_s1105" type="#_x0000_t202" style="position:absolute;margin-left:55.050000000000004pt;margin-top:138.25pt;width:82.799999999999997pt;height:11.75pt;z-index:-125829355;mso-wrap-distance-left:9.pt;mso-wrap-distance-top:12.pt;mso-wrap-distance-right:405.5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v:textbox>
                <w10:wrap type="topAndBottom" anchorx="page" anchory="margin"/>
              </v:shape>
            </w:pict>
          </mc:Fallback>
        </mc:AlternateContent>
      </w:r>
      <w:r>
        <mc:AlternateContent>
          <mc:Choice Requires="wps">
            <w:drawing>
              <wp:anchor distT="152400" distB="0" distL="2293620" distR="2516505" simplePos="0" relativeHeight="125829400" behindDoc="0" locked="0" layoutInCell="1" allowOverlap="1">
                <wp:simplePos x="0" y="0"/>
                <wp:positionH relativeFrom="page">
                  <wp:posOffset>2878455</wp:posOffset>
                </wp:positionH>
                <wp:positionV relativeFrom="margin">
                  <wp:posOffset>1755775</wp:posOffset>
                </wp:positionV>
                <wp:extent cx="1505585" cy="149225"/>
                <wp:wrapTopAndBottom/>
                <wp:docPr id="81" name="Shape 8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主管会计工作负责人：周益斌</w:t>
                            </w:r>
                          </w:p>
                        </w:txbxContent>
                      </wps:txbx>
                      <wps:bodyPr wrap="none" lIns="0" tIns="0" rIns="0" bIns="0">
                        <a:noAutoFit/>
                      </wps:bodyPr>
                    </wps:wsp>
                  </a:graphicData>
                </a:graphic>
              </wp:anchor>
            </w:drawing>
          </mc:Choice>
          <mc:Fallback>
            <w:pict>
              <v:shape id="_x0000_s1107" type="#_x0000_t202" style="position:absolute;margin-left:226.65000000000001pt;margin-top:138.25pt;width:118.55pt;height:11.75pt;z-index:-125829353;mso-wrap-distance-left:180.59999999999999pt;mso-wrap-distance-top:12.pt;mso-wrap-distance-right:198.15000000000001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主管会计工作负责人：周益斌</w:t>
                      </w:r>
                    </w:p>
                  </w:txbxContent>
                </v:textbox>
                <w10:wrap type="topAndBottom" anchorx="page" anchory="margin"/>
              </v:shape>
            </w:pict>
          </mc:Fallback>
        </mc:AlternateContent>
      </w:r>
      <w:r>
        <mc:AlternateContent>
          <mc:Choice Requires="wps">
            <w:drawing>
              <wp:anchor distT="152400" distB="0" distL="4918075" distR="114300" simplePos="0" relativeHeight="125829402" behindDoc="0" locked="0" layoutInCell="1" allowOverlap="1">
                <wp:simplePos x="0" y="0"/>
                <wp:positionH relativeFrom="page">
                  <wp:posOffset>5502910</wp:posOffset>
                </wp:positionH>
                <wp:positionV relativeFrom="margin">
                  <wp:posOffset>1755775</wp:posOffset>
                </wp:positionV>
                <wp:extent cx="1283335" cy="149225"/>
                <wp:wrapTopAndBottom/>
                <wp:docPr id="83" name="Shape 83"/>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会计机构负责人：钟海川</w:t>
                            </w:r>
                          </w:p>
                        </w:txbxContent>
                      </wps:txbx>
                      <wps:bodyPr wrap="none" lIns="0" tIns="0" rIns="0" bIns="0">
                        <a:noAutoFit/>
                      </wps:bodyPr>
                    </wps:wsp>
                  </a:graphicData>
                </a:graphic>
              </wp:anchor>
            </w:drawing>
          </mc:Choice>
          <mc:Fallback>
            <w:pict>
              <v:shape id="_x0000_s1109" type="#_x0000_t202" style="position:absolute;margin-left:433.30000000000001pt;margin-top:138.25pt;width:101.05pt;height:11.75pt;z-index:-125829351;mso-wrap-distance-left:387.25pt;mso-wrap-distance-top:12.pt;mso-wrap-distance-right: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会计机构负责人：钟海川</w:t>
                      </w:r>
                    </w:p>
                  </w:txbxContent>
                </v:textbox>
                <w10:wrap type="topAndBottom" anchorx="page" anchory="margin"/>
              </v:shape>
            </w:pict>
          </mc:Fallback>
        </mc:AlternateContent>
      </w: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5</w:t>
      </w:r>
      <w:bookmarkEnd w:id="335"/>
      <w:r>
        <w:rPr>
          <w:color w:val="000000"/>
          <w:spacing w:val="0"/>
          <w:w w:val="100"/>
          <w:position w:val="0"/>
        </w:rPr>
        <w:t>、合并现金流量表</w:t>
      </w:r>
      <w:bookmarkEnd w:id="333"/>
      <w:bookmarkEnd w:id="334"/>
      <w:bookmarkEnd w:id="336"/>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编制单位：任子行网络技术股份有限公司</w:t>
      </w:r>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272,137,260.07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235,188,529.53</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12,353,897.82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7,081,427.68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31,430,468.90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23,747,044.72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315,921,626.79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266,017,001.93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154,961,205.88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86,912,794.08</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65,579,609.51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48,825,746.70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19,408,566.99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16,561,163.55</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40,150,814.69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38,522,277.32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280,100,197.07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190,821,981.65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35,821,429.72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75,195,020.28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17,284,441.39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25,969,636.71</w:t>
            </w: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6,120,559.28</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17,284,441.39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37,090,195.99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-17,249,441.39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-37,090,195.99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238,500,000.00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2,692,000.00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241,192,000.00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2,153,230.76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29,166.67</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分配股利、利润或偿付利息支付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7,955,435.89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7,816,446.70</w:t>
            </w:r>
          </w:p>
        </w:tc>
      </w:tr>
    </w:tbl>
    <w:p>
      <w:pPr>
        <w:widowControl w:val="0"/>
        <w:spacing w:line="1" w:lineRule="exact"/>
      </w:pPr>
      <w:r>
        <w:br w:type="page"/>
      </w:r>
    </w:p>
    <w:tbl>
      <w:tblPr>
        <w:tblOverlap w:val="never"/>
        <w:jc w:val="center"/>
        <w:tblLayout w:type="fixed"/>
      </w:tblPr>
      <w:tblGrid>
        <w:gridCol w:w="2966"/>
        <w:gridCol w:w="3307"/>
        <w:gridCol w:w="3312"/>
      </w:tblGrid>
      <w:tr>
        <w:trPr>
          <w:trHeight w:val="36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4,320,000.00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6,448,893.14</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14,428,666.65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14,294,506.51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-14,428,666.65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226,897,493.49</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4,143,321.68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265,002,317.78</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323,891,627.84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58,889,310.06</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328,034,949.52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323,891,627.84</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850" simplePos="0" relativeHeight="125829404" behindDoc="0" locked="0" layoutInCell="1" allowOverlap="1">
                <wp:simplePos x="0" y="0"/>
                <wp:positionH relativeFrom="page">
                  <wp:posOffset>699135</wp:posOffset>
                </wp:positionH>
                <wp:positionV relativeFrom="margin">
                  <wp:posOffset>2889250</wp:posOffset>
                </wp:positionV>
                <wp:extent cx="1051560" cy="149225"/>
                <wp:wrapTopAndBottom/>
                <wp:docPr id="85" name="Shape 8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wps:txbx>
                      <wps:bodyPr wrap="none" lIns="0" tIns="0" rIns="0" bIns="0">
                        <a:noAutoFit/>
                      </wps:bodyPr>
                    </wps:wsp>
                  </a:graphicData>
                </a:graphic>
              </wp:anchor>
            </w:drawing>
          </mc:Choice>
          <mc:Fallback>
            <w:pict>
              <v:shape id="_x0000_s1111" type="#_x0000_t202" style="position:absolute;margin-left:55.050000000000004pt;margin-top:227.5pt;width:82.799999999999997pt;height:11.75pt;z-index:-125829349;mso-wrap-distance-left:9.pt;mso-wrap-distance-top:11.pt;mso-wrap-distance-right:405.5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v:textbox>
                <w10:wrap type="topAndBottom" anchorx="page" anchory="margin"/>
              </v:shape>
            </w:pict>
          </mc:Fallback>
        </mc:AlternateContent>
      </w:r>
      <w:r>
        <mc:AlternateContent>
          <mc:Choice Requires="wps">
            <w:drawing>
              <wp:anchor distT="139700" distB="0" distL="2293620" distR="2516505" simplePos="0" relativeHeight="125829406" behindDoc="0" locked="0" layoutInCell="1" allowOverlap="1">
                <wp:simplePos x="0" y="0"/>
                <wp:positionH relativeFrom="page">
                  <wp:posOffset>2878455</wp:posOffset>
                </wp:positionH>
                <wp:positionV relativeFrom="margin">
                  <wp:posOffset>2889250</wp:posOffset>
                </wp:positionV>
                <wp:extent cx="1505585" cy="149225"/>
                <wp:wrapTopAndBottom/>
                <wp:docPr id="87" name="Shape 8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主管会计工作负责人：周益斌</w:t>
                            </w:r>
                          </w:p>
                        </w:txbxContent>
                      </wps:txbx>
                      <wps:bodyPr wrap="none" lIns="0" tIns="0" rIns="0" bIns="0">
                        <a:noAutoFit/>
                      </wps:bodyPr>
                    </wps:wsp>
                  </a:graphicData>
                </a:graphic>
              </wp:anchor>
            </w:drawing>
          </mc:Choice>
          <mc:Fallback>
            <w:pict>
              <v:shape id="_x0000_s1113" type="#_x0000_t202" style="position:absolute;margin-left:226.65000000000001pt;margin-top:227.5pt;width:118.55pt;height:11.75pt;z-index:-125829347;mso-wrap-distance-left:180.59999999999999pt;mso-wrap-distance-top:11.pt;mso-wrap-distance-right:198.15000000000001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主管会计工作负责人：周益斌</w:t>
                      </w:r>
                    </w:p>
                  </w:txbxContent>
                </v:textbox>
                <w10:wrap type="topAndBottom" anchorx="page" anchory="margin"/>
              </v:shape>
            </w:pict>
          </mc:Fallback>
        </mc:AlternateContent>
      </w:r>
      <w:r>
        <mc:AlternateContent>
          <mc:Choice Requires="wps">
            <w:drawing>
              <wp:anchor distT="139700" distB="0" distL="4918075" distR="114300" simplePos="0" relativeHeight="125829408" behindDoc="0" locked="0" layoutInCell="1" allowOverlap="1">
                <wp:simplePos x="0" y="0"/>
                <wp:positionH relativeFrom="page">
                  <wp:posOffset>5502910</wp:posOffset>
                </wp:positionH>
                <wp:positionV relativeFrom="margin">
                  <wp:posOffset>2889250</wp:posOffset>
                </wp:positionV>
                <wp:extent cx="1283335" cy="149225"/>
                <wp:wrapTopAndBottom/>
                <wp:docPr id="89" name="Shape 8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会计机构负责人：钟海川</w:t>
                            </w:r>
                          </w:p>
                        </w:txbxContent>
                      </wps:txbx>
                      <wps:bodyPr wrap="none" lIns="0" tIns="0" rIns="0" bIns="0">
                        <a:noAutoFit/>
                      </wps:bodyPr>
                    </wps:wsp>
                  </a:graphicData>
                </a:graphic>
              </wp:anchor>
            </w:drawing>
          </mc:Choice>
          <mc:Fallback>
            <w:pict>
              <v:shape id="_x0000_s1115" type="#_x0000_t202" style="position:absolute;margin-left:433.30000000000001pt;margin-top:227.5pt;width:101.05pt;height:11.75pt;z-index:-125829345;mso-wrap-distance-left:387.25pt;mso-wrap-distance-top:11.pt;mso-wrap-distance-right: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会计机构负责人：钟海川</w:t>
                      </w:r>
                    </w:p>
                  </w:txbxContent>
                </v:textbox>
                <w10:wrap type="topAndBottom" anchorx="page" anchory="margin"/>
              </v:shape>
            </w:pict>
          </mc:Fallback>
        </mc:AlternateContent>
      </w: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6</w:t>
      </w:r>
      <w:bookmarkEnd w:id="339"/>
      <w:r>
        <w:rPr>
          <w:color w:val="000000"/>
          <w:spacing w:val="0"/>
          <w:w w:val="100"/>
          <w:position w:val="0"/>
        </w:rPr>
        <w:t>、母公司现金流量表</w:t>
      </w:r>
      <w:bookmarkEnd w:id="337"/>
      <w:bookmarkEnd w:id="338"/>
      <w:bookmarkEnd w:id="340"/>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编制单位：任子行网络技术股份有限公司</w:t>
      </w:r>
    </w:p>
    <w:p>
      <w:pPr>
        <w:pStyle w:val="Style9"/>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248,074,245.80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207,411,263.65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5,864,386.56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6,863,789.62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27,536,093.83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23,245,981.45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281,474,726.19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237,521,034.72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142,013,567.32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71,242,826.52</w:t>
            </w:r>
          </w:p>
        </w:tc>
      </w:tr>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52,549,800.08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40,203,715.92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16,799,341.43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16,030,245.26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34,061,330.40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27,233,718.93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245,424,039.23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154,710,506.63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36,050,686.96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82,810,528.09</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12,711,856.88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处置子公司及其他营业单位收到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7"/>
        <w:gridCol w:w="3312"/>
      </w:tblGrid>
      <w:tr>
        <w:trPr>
          <w:trHeight w:val="36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12,746,856.88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16,793,583.57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25,739,518.00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21,600,000.00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24,320,000.00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12,113,018.33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12,000,000.00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53,226,601.90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59,339,518.00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-40,479,745.02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-59,339,518.00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238,500,000.00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238,500,000.00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7,777,000.00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7,070,000.00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9,630,013.00</w:t>
            </w: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7,777,000.00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16,700,013.00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-7,777,000.00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221,799,987.00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-12,206,058.06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245,270,997.09</w:t>
            </w: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299,778,895.38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54,507,898.29</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287,572,837.32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299,778,895.38</w:t>
            </w:r>
          </w:p>
        </w:tc>
      </w:tr>
    </w:tbl>
    <w:p>
      <w:pPr>
        <w:widowControl w:val="0"/>
        <w:spacing w:line="1" w:lineRule="exact"/>
        <w:sectPr>
          <w:footnotePr>
            <w:pos w:val="pageBottom"/>
            <w:numFmt w:val="decimal"/>
            <w:numRestart w:val="continuous"/>
          </w:footnotePr>
          <w:pgSz w:w="11900" w:h="16840"/>
          <w:pgMar w:top="1441" w:right="1077" w:bottom="1455" w:left="1056" w:header="0" w:footer="3" w:gutter="0"/>
          <w:cols w:space="720"/>
          <w:noEndnote/>
          <w:rtlGutter w:val="0"/>
          <w:docGrid w:linePitch="360"/>
        </w:sectPr>
      </w:pPr>
      <w:r>
        <mc:AlternateContent>
          <mc:Choice Requires="wps">
            <w:drawing>
              <wp:anchor distT="152400" distB="0" distL="114300" distR="5149850" simplePos="0" relativeHeight="125829410" behindDoc="0" locked="0" layoutInCell="1" allowOverlap="1">
                <wp:simplePos x="0" y="0"/>
                <wp:positionH relativeFrom="page">
                  <wp:posOffset>697865</wp:posOffset>
                </wp:positionH>
                <wp:positionV relativeFrom="margin">
                  <wp:posOffset>7117080</wp:posOffset>
                </wp:positionV>
                <wp:extent cx="1051560" cy="149225"/>
                <wp:wrapTopAndBottom/>
                <wp:docPr id="91" name="Shape 9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wps:txbx>
                      <wps:bodyPr wrap="none" lIns="0" tIns="0" rIns="0" bIns="0">
                        <a:noAutoFit/>
                      </wps:bodyPr>
                    </wps:wsp>
                  </a:graphicData>
                </a:graphic>
              </wp:anchor>
            </w:drawing>
          </mc:Choice>
          <mc:Fallback>
            <w:pict>
              <v:shape id="_x0000_s1117" type="#_x0000_t202" style="position:absolute;margin-left:54.950000000000003pt;margin-top:560.39999999999998pt;width:82.799999999999997pt;height:11.75pt;z-index:-125829343;mso-wrap-distance-left:9.pt;mso-wrap-distance-top:12.pt;mso-wrap-distance-right:405.5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v:textbox>
                <w10:wrap type="topAndBottom" anchorx="page" anchory="margin"/>
              </v:shape>
            </w:pict>
          </mc:Fallback>
        </mc:AlternateContent>
      </w:r>
      <w:r>
        <mc:AlternateContent>
          <mc:Choice Requires="wps">
            <w:drawing>
              <wp:anchor distT="152400" distB="0" distL="2293620" distR="2516505" simplePos="0" relativeHeight="125829412" behindDoc="0" locked="0" layoutInCell="1" allowOverlap="1">
                <wp:simplePos x="0" y="0"/>
                <wp:positionH relativeFrom="page">
                  <wp:posOffset>2877185</wp:posOffset>
                </wp:positionH>
                <wp:positionV relativeFrom="margin">
                  <wp:posOffset>7117080</wp:posOffset>
                </wp:positionV>
                <wp:extent cx="1505585" cy="149225"/>
                <wp:wrapTopAndBottom/>
                <wp:docPr id="93" name="Shape 93"/>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主管会计工作负责人：周益斌</w:t>
                            </w:r>
                          </w:p>
                        </w:txbxContent>
                      </wps:txbx>
                      <wps:bodyPr wrap="none" lIns="0" tIns="0" rIns="0" bIns="0">
                        <a:noAutoFit/>
                      </wps:bodyPr>
                    </wps:wsp>
                  </a:graphicData>
                </a:graphic>
              </wp:anchor>
            </w:drawing>
          </mc:Choice>
          <mc:Fallback>
            <w:pict>
              <v:shape id="_x0000_s1119" type="#_x0000_t202" style="position:absolute;margin-left:226.55000000000001pt;margin-top:560.39999999999998pt;width:118.55pt;height:11.75pt;z-index:-125829341;mso-wrap-distance-left:180.59999999999999pt;mso-wrap-distance-top:12.pt;mso-wrap-distance-right:198.15000000000001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主管会计工作负责人：周益斌</w:t>
                      </w:r>
                    </w:p>
                  </w:txbxContent>
                </v:textbox>
                <w10:wrap type="topAndBottom" anchorx="page" anchory="margin"/>
              </v:shape>
            </w:pict>
          </mc:Fallback>
        </mc:AlternateContent>
      </w:r>
      <w:r>
        <mc:AlternateContent>
          <mc:Choice Requires="wps">
            <w:drawing>
              <wp:anchor distT="152400" distB="0" distL="4918075" distR="114300" simplePos="0" relativeHeight="125829414" behindDoc="0" locked="0" layoutInCell="1" allowOverlap="1">
                <wp:simplePos x="0" y="0"/>
                <wp:positionH relativeFrom="page">
                  <wp:posOffset>5501640</wp:posOffset>
                </wp:positionH>
                <wp:positionV relativeFrom="margin">
                  <wp:posOffset>7117080</wp:posOffset>
                </wp:positionV>
                <wp:extent cx="1283335" cy="149225"/>
                <wp:wrapTopAndBottom/>
                <wp:docPr id="95" name="Shape 95"/>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会计机构负责人：钟海川</w:t>
                            </w:r>
                          </w:p>
                        </w:txbxContent>
                      </wps:txbx>
                      <wps:bodyPr wrap="none" lIns="0" tIns="0" rIns="0" bIns="0">
                        <a:noAutoFit/>
                      </wps:bodyPr>
                    </wps:wsp>
                  </a:graphicData>
                </a:graphic>
              </wp:anchor>
            </w:drawing>
          </mc:Choice>
          <mc:Fallback>
            <w:pict>
              <v:shape id="_x0000_s1121" type="#_x0000_t202" style="position:absolute;margin-left:433.19999999999999pt;margin-top:560.39999999999998pt;width:101.05pt;height:11.75pt;z-index:-125829339;mso-wrap-distance-left:387.25pt;mso-wrap-distance-top:12.pt;mso-wrap-distance-right: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会计机构负责人：钟海川</w:t>
                      </w:r>
                    </w:p>
                  </w:txbxContent>
                </v:textbox>
                <w10:wrap type="topAndBottom" anchorx="page" anchory="margin"/>
              </v:shape>
            </w:pict>
          </mc:Fallback>
        </mc:AlternateContent>
      </w:r>
    </w:p>
    <w:p>
      <w:pPr>
        <w:widowControl w:val="0"/>
        <w:spacing w:before="25" w:after="2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83" w:right="0" w:bottom="1493" w:left="0" w:header="0" w:footer="3" w:gutter="0"/>
          <w:cols w:space="720"/>
          <w:noEndnote/>
          <w:rtlGutter w:val="0"/>
          <w:docGrid w:linePitch="360"/>
        </w:sectPr>
      </w:pPr>
    </w:p>
    <w:p>
      <w:pPr>
        <w:pStyle w:val="Style35"/>
        <w:keepNext/>
        <w:keepLines/>
        <w:widowControl w:val="0"/>
        <w:shd w:val="clear" w:color="auto" w:fill="auto"/>
        <w:bidi w:val="0"/>
        <w:spacing w:before="0" w:after="36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7</w:t>
      </w:r>
      <w:bookmarkEnd w:id="343"/>
      <w:r>
        <w:rPr>
          <w:color w:val="000000"/>
          <w:spacing w:val="0"/>
          <w:w w:val="100"/>
          <w:position w:val="0"/>
        </w:rPr>
        <w:t>、合并所有者权益变动表</w:t>
      </w:r>
      <w:bookmarkEnd w:id="341"/>
      <w:bookmarkEnd w:id="342"/>
      <w:bookmarkEnd w:id="344"/>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编制单位：任子行网络技术股份有限公司 </w:t>
      </w:r>
      <w:r>
        <w:rPr>
          <w:color w:val="000000"/>
          <w:spacing w:val="0"/>
          <w:w w:val="100"/>
          <w:position w:val="0"/>
        </w:rPr>
        <w:t>本期金额</w:t>
      </w:r>
    </w:p>
    <w:p>
      <w:pPr>
        <w:pStyle w:val="Style9"/>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p>
    <w:p>
      <w:pPr>
        <w:pStyle w:val="Style9"/>
        <w:keepNext w:val="0"/>
        <w:keepLines w:val="0"/>
        <w:widowControl w:val="0"/>
        <w:pBdr>
          <w:top w:val="single" w:sz="4" w:space="0" w:color="D4D4D4"/>
          <w:left w:val="single" w:sz="4" w:space="0" w:color="D4D4D4"/>
          <w:bottom w:val="single" w:sz="4" w:space="0" w:color="D4D4D4"/>
          <w:right w:val="single" w:sz="4" w:space="0" w:color="D4D4D4"/>
        </w:pBdr>
        <w:shd w:val="clear" w:color="auto" w:fill="D4D4D4"/>
        <w:bidi w:val="0"/>
        <w:spacing w:before="0" w:after="160" w:line="240" w:lineRule="auto"/>
        <w:ind w:left="0" w:right="0" w:firstLine="0"/>
        <w:jc w:val="center"/>
      </w:pPr>
      <w:r>
        <mc:AlternateContent>
          <mc:Choice Requires="wps">
            <w:drawing>
              <wp:anchor distT="0" distB="0" distL="114300" distR="114300" simplePos="0" relativeHeight="125829416" behindDoc="0" locked="0" layoutInCell="1" allowOverlap="1">
                <wp:simplePos x="0" y="0"/>
                <wp:positionH relativeFrom="page">
                  <wp:posOffset>1334770</wp:posOffset>
                </wp:positionH>
                <wp:positionV relativeFrom="paragraph">
                  <wp:posOffset>12700</wp:posOffset>
                </wp:positionV>
                <wp:extent cx="252730" cy="146050"/>
                <wp:wrapSquare wrapText="right"/>
                <wp:docPr id="97" name="Shape 97"/>
                <a:graphic xmlns:a="http://schemas.openxmlformats.org/drawingml/2006/main">
                  <a:graphicData uri="http://schemas.microsoft.com/office/word/2010/wordprocessingShape">
                    <wps:wsp>
                      <wps:cNvSpPr txBox="1"/>
                      <wps:spPr>
                        <a:xfrm>
                          <a:ext cx="252730" cy="146050"/>
                        </a:xfrm>
                        <a:prstGeom prst="rect"/>
                        <a:solidFill>
                          <a:srgbClr val="D4D4D4"/>
                        </a:solidFill>
                      </wps:spPr>
                      <wps:txbx>
                        <w:txbxContent>
                          <w:p>
                            <w:pPr>
                              <w:pStyle w:val="Style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23" type="#_x0000_t202" style="position:absolute;margin-left:105.10000000000001pt;margin-top:1.pt;width:19.900000000000002pt;height:11.5pt;z-index:-125829337;mso-wrap-distance-left:9.pt;mso-wrap-distance-right:9.pt;mso-position-horizontal-relative:page" fillcolor="#D4D4D4" stroked="f">
                <v:textbox inset="0,0,0,0">
                  <w:txbxContent>
                    <w:p>
                      <w:pPr>
                        <w:pStyle w:val="Style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项目</w:t>
                      </w:r>
                    </w:p>
                  </w:txbxContent>
                </v:textbox>
                <w10:wrap type="square" side="right" anchorx="page"/>
              </v:shape>
            </w:pict>
          </mc:Fallback>
        </mc:AlternateContent>
      </w:r>
      <w:r>
        <w:rPr>
          <w:color w:val="000000"/>
          <w:spacing w:val="0"/>
          <w:w w:val="100"/>
          <w:position w:val="0"/>
        </w:rPr>
        <w:t>本期金额</w:t>
      </w:r>
      <w:r>
        <w:br w:type="page"/>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8"/>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实收资 本（或 股本）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70,700,</w:t>
            </w:r>
          </w:p>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232,446,</w:t>
            </w:r>
          </w:p>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964.92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10,727,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91,654,9</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1,202,262</w:t>
            </w:r>
          </w:p>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406,732,06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70,700,</w:t>
            </w:r>
          </w:p>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232,446,</w:t>
            </w:r>
          </w:p>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964.92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10,727,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91,654,9</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1,202,262</w:t>
            </w:r>
          </w:p>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406,732,06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5"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-4,394,2</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2,643,5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14,720,4</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-2,773,53</w:t>
            </w:r>
          </w:p>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10,196,142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25,140,9</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-2,847,83</w:t>
            </w:r>
          </w:p>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22,293,142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-4,394,2</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74,299.72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-4,320,000.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-4,394,2</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74,299.72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-4,320,000.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2,643,5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-10,420,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-7,777,000.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2,643,5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-2,643,5</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-7,777,0</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-7,777,000.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70,700,</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228,052,</w:t>
            </w:r>
          </w:p>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665.20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13,371,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106,375,</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-1,571,27</w:t>
            </w:r>
          </w:p>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416,928,20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实收资 本（或 股本）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一般风 险准备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53,000,</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19,066,9</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6,855,0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63,590,6</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142,512,75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53,000,</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19,066,9</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6,855,0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63,590,6</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142,512,75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17,700,</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213,379,</w:t>
            </w:r>
          </w:p>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3,872,7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28,064,3</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1,202,262</w:t>
            </w:r>
          </w:p>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264,219,31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39,007,0</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-1,799,79</w:t>
            </w:r>
          </w:p>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37,207,267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39,007,0</w:t>
            </w:r>
          </w:p>
          <w:p>
            <w:pPr>
              <w:pStyle w:val="Style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-1,799,79</w:t>
            </w:r>
          </w:p>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37,207,267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17,700,</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213,379,</w:t>
            </w:r>
          </w:p>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3,002,055</w:t>
            </w:r>
          </w:p>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234,082,04</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17,700,</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213,379,</w:t>
            </w:r>
          </w:p>
          <w:p>
            <w:pPr>
              <w:pStyle w:val="Style6"/>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231,079,98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6"/>
        <w:gridCol w:w="682"/>
        <w:gridCol w:w="686"/>
        <w:gridCol w:w="686"/>
        <w:gridCol w:w="821"/>
        <w:gridCol w:w="902"/>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3,002,055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3,002,055.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3,872,7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-10,942,</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-7,070,000.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3,872,7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-3,872,7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-7,070,0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-7,070,000.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70,700,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232,446,</w:t>
            </w:r>
          </w:p>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964.92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10,727,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91,654,9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1,202,262</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406,732,06</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850" simplePos="0" relativeHeight="125829418" behindDoc="0" locked="0" layoutInCell="1" allowOverlap="1">
                <wp:simplePos x="0" y="0"/>
                <wp:positionH relativeFrom="page">
                  <wp:posOffset>711835</wp:posOffset>
                </wp:positionH>
                <wp:positionV relativeFrom="margin">
                  <wp:posOffset>5730240</wp:posOffset>
                </wp:positionV>
                <wp:extent cx="1051560" cy="149225"/>
                <wp:wrapTopAndBottom/>
                <wp:docPr id="99" name="Shape 99"/>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wps:txbx>
                      <wps:bodyPr wrap="none" lIns="0" tIns="0" rIns="0" bIns="0">
                        <a:noAutoFit/>
                      </wps:bodyPr>
                    </wps:wsp>
                  </a:graphicData>
                </a:graphic>
              </wp:anchor>
            </w:drawing>
          </mc:Choice>
          <mc:Fallback>
            <w:pict>
              <v:shape id="_x0000_s1125" type="#_x0000_t202" style="position:absolute;margin-left:56.050000000000004pt;margin-top:451.19999999999999pt;width:82.799999999999997pt;height:11.75pt;z-index:-125829335;mso-wrap-distance-left:9.pt;mso-wrap-distance-top:12.pt;mso-wrap-distance-right:405.5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法定代表人：景晓军</w:t>
                      </w:r>
                    </w:p>
                  </w:txbxContent>
                </v:textbox>
                <w10:wrap type="topAndBottom" anchorx="page" anchory="margin"/>
              </v:shape>
            </w:pict>
          </mc:Fallback>
        </mc:AlternateContent>
      </w:r>
      <w:r>
        <mc:AlternateContent>
          <mc:Choice Requires="wps">
            <w:drawing>
              <wp:anchor distT="152400" distB="0" distL="2293620" distR="2516505" simplePos="0" relativeHeight="125829420" behindDoc="0" locked="0" layoutInCell="1" allowOverlap="1">
                <wp:simplePos x="0" y="0"/>
                <wp:positionH relativeFrom="page">
                  <wp:posOffset>2891155</wp:posOffset>
                </wp:positionH>
                <wp:positionV relativeFrom="margin">
                  <wp:posOffset>5730240</wp:posOffset>
                </wp:positionV>
                <wp:extent cx="1505585" cy="149225"/>
                <wp:wrapTopAndBottom/>
                <wp:docPr id="101" name="Shape 10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主管会计工作负责人：周益斌</w:t>
                            </w:r>
                          </w:p>
                        </w:txbxContent>
                      </wps:txbx>
                      <wps:bodyPr wrap="none" lIns="0" tIns="0" rIns="0" bIns="0">
                        <a:noAutoFit/>
                      </wps:bodyPr>
                    </wps:wsp>
                  </a:graphicData>
                </a:graphic>
              </wp:anchor>
            </w:drawing>
          </mc:Choice>
          <mc:Fallback>
            <w:pict>
              <v:shape id="_x0000_s1127" type="#_x0000_t202" style="position:absolute;margin-left:227.65000000000001pt;margin-top:451.19999999999999pt;width:118.55pt;height:11.75pt;z-index:-125829333;mso-wrap-distance-left:180.59999999999999pt;mso-wrap-distance-top:12.pt;mso-wrap-distance-right:198.15000000000001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主管会计工作负责人：周益斌</w:t>
                      </w:r>
                    </w:p>
                  </w:txbxContent>
                </v:textbox>
                <w10:wrap type="topAndBottom" anchorx="page" anchory="margin"/>
              </v:shape>
            </w:pict>
          </mc:Fallback>
        </mc:AlternateContent>
      </w:r>
      <w:r>
        <mc:AlternateContent>
          <mc:Choice Requires="wps">
            <w:drawing>
              <wp:anchor distT="152400" distB="0" distL="4918075" distR="114300" simplePos="0" relativeHeight="125829422" behindDoc="0" locked="0" layoutInCell="1" allowOverlap="1">
                <wp:simplePos x="0" y="0"/>
                <wp:positionH relativeFrom="page">
                  <wp:posOffset>5515610</wp:posOffset>
                </wp:positionH>
                <wp:positionV relativeFrom="margin">
                  <wp:posOffset>5730240</wp:posOffset>
                </wp:positionV>
                <wp:extent cx="1283335" cy="149225"/>
                <wp:wrapTopAndBottom/>
                <wp:docPr id="103" name="Shape 103"/>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会计机构负责人：钟海川</w:t>
                            </w:r>
                          </w:p>
                        </w:txbxContent>
                      </wps:txbx>
                      <wps:bodyPr wrap="none" lIns="0" tIns="0" rIns="0" bIns="0">
                        <a:noAutoFit/>
                      </wps:bodyPr>
                    </wps:wsp>
                  </a:graphicData>
                </a:graphic>
              </wp:anchor>
            </w:drawing>
          </mc:Choice>
          <mc:Fallback>
            <w:pict>
              <v:shape id="_x0000_s1129" type="#_x0000_t202" style="position:absolute;margin-left:434.30000000000001pt;margin-top:451.19999999999999pt;width:101.05pt;height:11.75pt;z-index:-125829331;mso-wrap-distance-left:387.25pt;mso-wrap-distance-top:12.pt;mso-wrap-distance-right: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会计机构负责人：钟海川</w:t>
                      </w:r>
                    </w:p>
                  </w:txbxContent>
                </v:textbox>
                <w10:wrap type="topAndBottom" anchorx="page" anchory="margin"/>
              </v:shape>
            </w:pict>
          </mc:Fallback>
        </mc:AlternateContent>
      </w: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8</w:t>
      </w:r>
      <w:bookmarkEnd w:id="347"/>
      <w:r>
        <w:rPr>
          <w:color w:val="000000"/>
          <w:spacing w:val="0"/>
          <w:w w:val="100"/>
          <w:position w:val="0"/>
        </w:rPr>
        <w:t>、母公司所有者权益变动表</w:t>
      </w:r>
      <w:bookmarkEnd w:id="345"/>
      <w:bookmarkEnd w:id="346"/>
      <w:bookmarkEnd w:id="348"/>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编制单位：任子行网络技术股份有限公司</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2"/>
        <w:gridCol w:w="883"/>
        <w:gridCol w:w="888"/>
        <w:gridCol w:w="883"/>
        <w:gridCol w:w="888"/>
        <w:gridCol w:w="883"/>
        <w:gridCol w:w="888"/>
        <w:gridCol w:w="888"/>
        <w:gridCol w:w="898"/>
      </w:tblGrid>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实收资本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70,700,000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232,633,60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10,727,840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91,322,641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405,384,08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2"/>
        <w:gridCol w:w="883"/>
        <w:gridCol w:w="888"/>
        <w:gridCol w:w="883"/>
        <w:gridCol w:w="888"/>
        <w:gridCol w:w="883"/>
        <w:gridCol w:w="888"/>
        <w:gridCol w:w="888"/>
        <w:gridCol w:w="898"/>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70,700,000</w:t>
            </w:r>
          </w:p>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232,633,60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10,727,840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91,322,641</w:t>
            </w:r>
          </w:p>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405,384,08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2,643,557.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16,015,016</w:t>
            </w:r>
          </w:p>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18,658,573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26,435,573</w:t>
            </w:r>
          </w:p>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26,435,573</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2,643,557.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-10,420,55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-7,777,000.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2,643,557.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-2,643,557.</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-7,777,000.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-7,777,000.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70,700,000</w:t>
            </w:r>
          </w:p>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232,633,60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13,371,398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107,337,65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424,042,65</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7085"/>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bl>
    <w:p>
      <w:pPr>
        <w:widowControl w:val="0"/>
        <w:spacing w:line="1" w:lineRule="exact"/>
      </w:pPr>
      <w:r>
        <w:br w:type="page"/>
      </w:r>
    </w:p>
    <w:tbl>
      <w:tblPr>
        <w:tblOverlap w:val="never"/>
        <w:jc w:val="center"/>
        <w:tblLayout w:type="fixed"/>
      </w:tblPr>
      <w:tblGrid>
        <w:gridCol w:w="2501"/>
        <w:gridCol w:w="883"/>
        <w:gridCol w:w="888"/>
        <w:gridCol w:w="888"/>
        <w:gridCol w:w="878"/>
        <w:gridCol w:w="888"/>
        <w:gridCol w:w="883"/>
        <w:gridCol w:w="883"/>
        <w:gridCol w:w="893"/>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46"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19,253,613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6,855,096.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63,537,938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142,646,64</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19,253,613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6,855,096.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63,537,938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142,646,64</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w:t>
            </w:r>
          </w:p>
        </w:tc>
      </w:tr>
      <w:tr>
        <w:trPr>
          <w:trHeight w:val="370"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213,379,98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3,872,744.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27,784,702</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262,737,43</w:t>
            </w:r>
          </w:p>
        </w:tc>
      </w:tr>
      <w:tr>
        <w:trPr>
          <w:trHeight w:val="346" w:hRule="exact"/>
        </w:trPr>
        <w:tc>
          <w:tcPr>
            <w:tcBorders>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w:t>
            </w:r>
          </w:p>
        </w:tc>
      </w:tr>
      <w:tr>
        <w:trPr>
          <w:trHeight w:val="44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38,727,447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38,727,447</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38,727,447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38,727,447</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r>
        <w:trPr>
          <w:trHeight w:val="446"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213,379,98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231,079,98</w:t>
            </w:r>
          </w:p>
        </w:tc>
      </w:tr>
      <w:tr>
        <w:trPr>
          <w:trHeight w:val="26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r>
        <w:trPr>
          <w:trHeight w:val="446"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213,379,98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231,079,98</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3,872,744.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-10,942,74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-7,070,000.</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42"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3,872,744.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-3,872,744.</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4D4D4"/>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-7,070,000.</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1"/>
        <w:gridCol w:w="883"/>
        <w:gridCol w:w="888"/>
        <w:gridCol w:w="888"/>
        <w:gridCol w:w="878"/>
        <w:gridCol w:w="888"/>
        <w:gridCol w:w="883"/>
        <w:gridCol w:w="883"/>
        <w:gridCol w:w="893"/>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70,700,000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232,633,60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10,727,840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91,322,641</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405,384,08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w:t>
            </w:r>
          </w:p>
        </w:tc>
      </w:tr>
    </w:tbl>
    <w:p>
      <w:pPr>
        <w:widowControl w:val="0"/>
        <w:spacing w:after="359" w:line="1" w:lineRule="exact"/>
      </w:pPr>
    </w:p>
    <w:p>
      <w:pPr>
        <w:pStyle w:val="Style9"/>
        <w:keepNext w:val="0"/>
        <w:keepLines w:val="0"/>
        <w:widowControl w:val="0"/>
        <w:shd w:val="clear" w:color="auto" w:fill="auto"/>
        <w:tabs>
          <w:tab w:pos="3379" w:val="left"/>
          <w:tab w:pos="7560" w:val="left"/>
        </w:tabs>
        <w:bidi w:val="0"/>
        <w:spacing w:before="0" w:after="360" w:line="240" w:lineRule="auto"/>
        <w:ind w:left="0" w:right="0" w:firstLine="0"/>
        <w:jc w:val="left"/>
      </w:pPr>
      <w:r>
        <w:rPr>
          <w:color w:val="000000"/>
          <w:spacing w:val="0"/>
          <w:w w:val="100"/>
          <w:position w:val="0"/>
        </w:rPr>
        <w:t>法定代表人：景晓军</w:t>
        <w:tab/>
        <w:t>主管会计工作负责人：周益斌</w:t>
        <w:tab/>
        <w:t>会计机构负责人：钟海川</w:t>
      </w:r>
    </w:p>
    <w:p>
      <w:pPr>
        <w:pStyle w:val="Style30"/>
        <w:keepNext/>
        <w:keepLines/>
        <w:widowControl w:val="0"/>
        <w:shd w:val="clear" w:color="auto" w:fill="auto"/>
        <w:bidi w:val="0"/>
        <w:spacing w:before="0" w:after="260" w:line="240" w:lineRule="auto"/>
        <w:ind w:left="0" w:right="0" w:firstLine="0"/>
        <w:jc w:val="left"/>
      </w:pPr>
      <w:bookmarkStart w:id="349" w:name="bookmark349"/>
      <w:bookmarkStart w:id="350" w:name="bookmark350"/>
      <w:bookmarkStart w:id="351" w:name="bookmark351"/>
      <w:r>
        <w:rPr>
          <w:color w:val="000000"/>
          <w:spacing w:val="0"/>
          <w:w w:val="100"/>
          <w:position w:val="0"/>
          <w:sz w:val="24"/>
          <w:szCs w:val="24"/>
        </w:rPr>
        <w:t>三、公司基本情况</w:t>
      </w:r>
      <w:bookmarkEnd w:id="349"/>
      <w:bookmarkEnd w:id="350"/>
      <w:bookmarkEnd w:id="351"/>
    </w:p>
    <w:p>
      <w:pPr>
        <w:pStyle w:val="Style9"/>
        <w:keepNext w:val="0"/>
        <w:keepLines w:val="0"/>
        <w:widowControl w:val="0"/>
        <w:shd w:val="clear" w:color="auto" w:fill="auto"/>
        <w:tabs>
          <w:tab w:pos="531" w:val="left"/>
        </w:tabs>
        <w:bidi w:val="0"/>
        <w:spacing w:before="0" w:after="0" w:line="316" w:lineRule="exact"/>
        <w:ind w:left="0" w:right="0" w:firstLine="0"/>
        <w:jc w:val="left"/>
      </w:pPr>
      <w:bookmarkStart w:id="352" w:name="bookmark352"/>
      <w:r>
        <w:rPr>
          <w:color w:val="000000"/>
          <w:spacing w:val="0"/>
          <w:w w:val="100"/>
          <w:position w:val="0"/>
        </w:rPr>
        <w:t>（</w:t>
      </w:r>
      <w:bookmarkEnd w:id="352"/>
      <w:r>
        <w:rPr>
          <w:color w:val="000000"/>
          <w:spacing w:val="0"/>
          <w:w w:val="100"/>
          <w:position w:val="0"/>
        </w:rPr>
        <w:t>一）</w:t>
        <w:tab/>
        <w:t>公司概况</w:t>
      </w:r>
    </w:p>
    <w:p>
      <w:pPr>
        <w:pStyle w:val="Style9"/>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公司名称：任子行网络技术股份有限公司（以下简称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p>
    <w:p>
      <w:pPr>
        <w:pStyle w:val="Style9"/>
        <w:keepNext w:val="0"/>
        <w:keepLines w:val="0"/>
        <w:widowControl w:val="0"/>
        <w:shd w:val="clear" w:color="auto" w:fill="auto"/>
        <w:bidi w:val="0"/>
        <w:spacing w:before="0" w:after="0" w:line="316" w:lineRule="exact"/>
        <w:ind w:left="0" w:right="0" w:firstLine="0"/>
        <w:jc w:val="left"/>
      </w:pPr>
      <w:r>
        <w:rPr>
          <w:color w:val="000000"/>
          <w:spacing w:val="0"/>
          <w:w w:val="100"/>
          <w:position w:val="0"/>
        </w:rPr>
        <w:t>注册地址：深圳市南山区高新区科技中</w:t>
      </w:r>
      <w:r>
        <w:rPr>
          <w:rFonts w:ascii="Times New Roman" w:eastAsia="Times New Roman" w:hAnsi="Times New Roman" w:cs="Times New Roman"/>
          <w:color w:val="000000"/>
          <w:spacing w:val="0"/>
          <w:w w:val="100"/>
          <w:position w:val="0"/>
        </w:rPr>
        <w:t>2</w:t>
      </w:r>
      <w:r>
        <w:rPr>
          <w:color w:val="000000"/>
          <w:spacing w:val="0"/>
          <w:w w:val="100"/>
          <w:position w:val="0"/>
        </w:rPr>
        <w:t>路软件园</w:t>
      </w:r>
      <w:r>
        <w:rPr>
          <w:rFonts w:ascii="Times New Roman" w:eastAsia="Times New Roman" w:hAnsi="Times New Roman" w:cs="Times New Roman"/>
          <w:color w:val="000000"/>
          <w:spacing w:val="0"/>
          <w:w w:val="100"/>
          <w:position w:val="0"/>
        </w:rPr>
        <w:t>2</w:t>
      </w:r>
      <w:r>
        <w:rPr>
          <w:color w:val="000000"/>
          <w:spacing w:val="0"/>
          <w:w w:val="100"/>
          <w:position w:val="0"/>
        </w:rPr>
        <w:t>栋</w:t>
      </w:r>
      <w:r>
        <w:rPr>
          <w:rFonts w:ascii="Times New Roman" w:eastAsia="Times New Roman" w:hAnsi="Times New Roman" w:cs="Times New Roman"/>
          <w:color w:val="000000"/>
          <w:spacing w:val="0"/>
          <w:w w:val="100"/>
          <w:position w:val="0"/>
        </w:rPr>
        <w:t>6</w:t>
      </w:r>
      <w:r>
        <w:rPr>
          <w:color w:val="000000"/>
          <w:spacing w:val="0"/>
          <w:w w:val="100"/>
          <w:position w:val="0"/>
        </w:rPr>
        <w:t>楼</w:t>
      </w:r>
    </w:p>
    <w:p>
      <w:pPr>
        <w:pStyle w:val="Style9"/>
        <w:keepNext w:val="0"/>
        <w:keepLines w:val="0"/>
        <w:widowControl w:val="0"/>
        <w:shd w:val="clear" w:color="auto" w:fill="auto"/>
        <w:bidi w:val="0"/>
        <w:spacing w:before="0" w:after="0" w:line="316" w:lineRule="exact"/>
        <w:ind w:left="0" w:right="0" w:firstLine="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7070</w:t>
      </w:r>
      <w:r>
        <w:rPr>
          <w:color w:val="000000"/>
          <w:spacing w:val="0"/>
          <w:w w:val="100"/>
          <w:position w:val="0"/>
        </w:rPr>
        <w:t>万元</w:t>
      </w:r>
    </w:p>
    <w:p>
      <w:pPr>
        <w:pStyle w:val="Style53"/>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rPr>
        <w:t>企业法人营业注册号：</w:t>
      </w:r>
      <w:r>
        <w:rPr>
          <w:color w:val="000000"/>
          <w:spacing w:val="0"/>
          <w:w w:val="100"/>
          <w:position w:val="0"/>
        </w:rPr>
        <w:t>440301103406723</w:t>
      </w:r>
    </w:p>
    <w:p>
      <w:pPr>
        <w:pStyle w:val="Style9"/>
        <w:keepNext w:val="0"/>
        <w:keepLines w:val="0"/>
        <w:widowControl w:val="0"/>
        <w:shd w:val="clear" w:color="auto" w:fill="auto"/>
        <w:bidi w:val="0"/>
        <w:spacing w:before="0" w:after="0" w:line="316" w:lineRule="exact"/>
        <w:ind w:left="0" w:right="0" w:firstLine="0"/>
        <w:jc w:val="left"/>
      </w:pPr>
      <w:r>
        <w:rPr>
          <w:color w:val="000000"/>
          <w:spacing w:val="0"/>
          <w:w w:val="100"/>
          <w:position w:val="0"/>
        </w:rPr>
        <w:t>法定代表人：景晓军</w:t>
      </w:r>
    </w:p>
    <w:p>
      <w:pPr>
        <w:pStyle w:val="Style9"/>
        <w:keepNext w:val="0"/>
        <w:keepLines w:val="0"/>
        <w:widowControl w:val="0"/>
        <w:shd w:val="clear" w:color="auto" w:fill="auto"/>
        <w:bidi w:val="0"/>
        <w:spacing w:before="0" w:after="0" w:line="316" w:lineRule="exact"/>
        <w:ind w:left="0" w:right="0" w:firstLine="0"/>
        <w:jc w:val="left"/>
      </w:pPr>
      <w:r>
        <w:rPr>
          <w:color w:val="000000"/>
          <w:spacing w:val="0"/>
          <w:w w:val="100"/>
          <w:position w:val="0"/>
        </w:rPr>
        <w:t>经营期限：永续经营</w:t>
      </w:r>
    </w:p>
    <w:p>
      <w:pPr>
        <w:pStyle w:val="Style9"/>
        <w:keepNext w:val="0"/>
        <w:keepLines w:val="0"/>
        <w:widowControl w:val="0"/>
        <w:shd w:val="clear" w:color="auto" w:fill="auto"/>
        <w:tabs>
          <w:tab w:pos="531" w:val="left"/>
        </w:tabs>
        <w:bidi w:val="0"/>
        <w:spacing w:before="0" w:after="0" w:line="316" w:lineRule="exact"/>
        <w:ind w:left="0" w:right="0" w:firstLine="0"/>
        <w:jc w:val="left"/>
      </w:pPr>
      <w:bookmarkStart w:id="353" w:name="bookmark353"/>
      <w:r>
        <w:rPr>
          <w:color w:val="000000"/>
          <w:spacing w:val="0"/>
          <w:w w:val="100"/>
          <w:position w:val="0"/>
        </w:rPr>
        <w:t>（</w:t>
      </w:r>
      <w:bookmarkEnd w:id="353"/>
      <w:r>
        <w:rPr>
          <w:color w:val="000000"/>
          <w:spacing w:val="0"/>
          <w:w w:val="100"/>
          <w:position w:val="0"/>
        </w:rPr>
        <w:t>二）</w:t>
        <w:tab/>
        <w:t>经营范围及主营业务</w:t>
      </w:r>
    </w:p>
    <w:p>
      <w:pPr>
        <w:pStyle w:val="Style9"/>
        <w:keepNext w:val="0"/>
        <w:keepLines w:val="0"/>
        <w:widowControl w:val="0"/>
        <w:shd w:val="clear" w:color="auto" w:fill="auto"/>
        <w:bidi w:val="0"/>
        <w:spacing w:before="0" w:after="0" w:line="316" w:lineRule="exact"/>
        <w:ind w:left="0" w:right="0" w:firstLine="0"/>
        <w:jc w:val="both"/>
      </w:pPr>
      <w:r>
        <w:rPr>
          <w:color w:val="000000"/>
          <w:spacing w:val="0"/>
          <w:w w:val="100"/>
          <w:position w:val="0"/>
        </w:rPr>
        <w:t>经营范围：计算机软硬件技术开发、销售及相关技术服务；计算机信息系统集成；电子商务。（以上各项不含国家法律、行 政法规、国务院决定规定需报经审批的项目），经营进出口业务（法律、行政法规、国务院决定禁止的项目除外，限制的项 目须取得许可后方可经营）。</w:t>
      </w:r>
    </w:p>
    <w:p>
      <w:pPr>
        <w:pStyle w:val="Style9"/>
        <w:keepNext w:val="0"/>
        <w:keepLines w:val="0"/>
        <w:widowControl w:val="0"/>
        <w:shd w:val="clear" w:color="auto" w:fill="auto"/>
        <w:bidi w:val="0"/>
        <w:spacing w:before="0" w:after="0" w:line="316" w:lineRule="exact"/>
        <w:ind w:left="0" w:right="0" w:firstLine="0"/>
        <w:jc w:val="left"/>
      </w:pPr>
      <w:r>
        <w:rPr>
          <w:color w:val="000000"/>
          <w:spacing w:val="0"/>
          <w:w w:val="100"/>
          <w:position w:val="0"/>
        </w:rPr>
        <w:t>主营业务：网络内容与行为审计和监管产品的研发、生产、销售和提供安全集成及安全审计相关服务。</w:t>
      </w:r>
    </w:p>
    <w:p>
      <w:pPr>
        <w:pStyle w:val="Style9"/>
        <w:keepNext w:val="0"/>
        <w:keepLines w:val="0"/>
        <w:widowControl w:val="0"/>
        <w:shd w:val="clear" w:color="auto" w:fill="auto"/>
        <w:tabs>
          <w:tab w:pos="531" w:val="left"/>
        </w:tabs>
        <w:bidi w:val="0"/>
        <w:spacing w:before="0" w:after="0" w:line="316" w:lineRule="exact"/>
        <w:ind w:left="0" w:right="0" w:firstLine="0"/>
        <w:jc w:val="left"/>
      </w:pPr>
      <w:bookmarkStart w:id="354" w:name="bookmark354"/>
      <w:r>
        <w:rPr>
          <w:color w:val="000000"/>
          <w:spacing w:val="0"/>
          <w:w w:val="100"/>
          <w:position w:val="0"/>
        </w:rPr>
        <w:t>（</w:t>
      </w:r>
      <w:bookmarkEnd w:id="354"/>
      <w:r>
        <w:rPr>
          <w:color w:val="000000"/>
          <w:spacing w:val="0"/>
          <w:w w:val="100"/>
          <w:position w:val="0"/>
        </w:rPr>
        <w:t>三）</w:t>
        <w:tab/>
        <w:t>公司历史沿革</w:t>
      </w:r>
    </w:p>
    <w:p>
      <w:pPr>
        <w:pStyle w:val="Style9"/>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本公司系由景晓军、车宏原、周琨皓和深圳市和而泰电子科技有限公司于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日共同出资组建的有限责任公司。初 始设立注册资本为</w:t>
      </w:r>
      <w:r>
        <w:rPr>
          <w:rFonts w:ascii="Times New Roman" w:eastAsia="Times New Roman" w:hAnsi="Times New Roman" w:cs="Times New Roman"/>
          <w:color w:val="000000"/>
          <w:spacing w:val="0"/>
          <w:w w:val="100"/>
          <w:position w:val="0"/>
        </w:rPr>
        <w:t>50</w:t>
      </w:r>
      <w:r>
        <w:rPr>
          <w:color w:val="000000"/>
          <w:spacing w:val="0"/>
          <w:w w:val="100"/>
          <w:position w:val="0"/>
        </w:rPr>
        <w:t>万元人民币。其中景晓军出资</w:t>
      </w:r>
      <w:r>
        <w:rPr>
          <w:rFonts w:ascii="Times New Roman" w:eastAsia="Times New Roman" w:hAnsi="Times New Roman" w:cs="Times New Roman"/>
          <w:color w:val="000000"/>
          <w:spacing w:val="0"/>
          <w:w w:val="100"/>
          <w:position w:val="0"/>
        </w:rPr>
        <w:t>18</w:t>
      </w:r>
      <w:r>
        <w:rPr>
          <w:color w:val="000000"/>
          <w:spacing w:val="0"/>
          <w:w w:val="100"/>
          <w:position w:val="0"/>
        </w:rPr>
        <w:t>万元，占股</w:t>
      </w:r>
      <w:r>
        <w:rPr>
          <w:rFonts w:ascii="Times New Roman" w:eastAsia="Times New Roman" w:hAnsi="Times New Roman" w:cs="Times New Roman"/>
          <w:color w:val="000000"/>
          <w:spacing w:val="0"/>
          <w:w w:val="100"/>
          <w:position w:val="0"/>
        </w:rPr>
        <w:t>36%</w:t>
      </w:r>
      <w:r>
        <w:rPr>
          <w:color w:val="000000"/>
          <w:spacing w:val="0"/>
          <w:w w:val="100"/>
          <w:position w:val="0"/>
        </w:rPr>
        <w:t>；车宏原出资</w:t>
      </w:r>
      <w:r>
        <w:rPr>
          <w:rFonts w:ascii="Times New Roman" w:eastAsia="Times New Roman" w:hAnsi="Times New Roman" w:cs="Times New Roman"/>
          <w:color w:val="000000"/>
          <w:spacing w:val="0"/>
          <w:w w:val="100"/>
          <w:position w:val="0"/>
        </w:rPr>
        <w:t>14</w:t>
      </w:r>
      <w:r>
        <w:rPr>
          <w:color w:val="000000"/>
          <w:spacing w:val="0"/>
          <w:w w:val="100"/>
          <w:position w:val="0"/>
        </w:rPr>
        <w:t>万元，占股</w:t>
      </w:r>
      <w:r>
        <w:rPr>
          <w:rFonts w:ascii="Times New Roman" w:eastAsia="Times New Roman" w:hAnsi="Times New Roman" w:cs="Times New Roman"/>
          <w:color w:val="000000"/>
          <w:spacing w:val="0"/>
          <w:w w:val="100"/>
          <w:position w:val="0"/>
        </w:rPr>
        <w:t>28%</w:t>
      </w:r>
      <w:r>
        <w:rPr>
          <w:color w:val="000000"/>
          <w:spacing w:val="0"/>
          <w:w w:val="100"/>
          <w:position w:val="0"/>
        </w:rPr>
        <w:t>；深圳市和而泰电子科 技有限公司出资</w:t>
      </w:r>
      <w:r>
        <w:rPr>
          <w:rFonts w:ascii="Times New Roman" w:eastAsia="Times New Roman" w:hAnsi="Times New Roman" w:cs="Times New Roman"/>
          <w:color w:val="000000"/>
          <w:spacing w:val="0"/>
          <w:w w:val="100"/>
          <w:position w:val="0"/>
        </w:rPr>
        <w:t>10</w:t>
      </w:r>
      <w:r>
        <w:rPr>
          <w:color w:val="000000"/>
          <w:spacing w:val="0"/>
          <w:w w:val="100"/>
          <w:position w:val="0"/>
        </w:rPr>
        <w:t>万元，占股</w:t>
      </w:r>
      <w:r>
        <w:rPr>
          <w:rFonts w:ascii="Times New Roman" w:eastAsia="Times New Roman" w:hAnsi="Times New Roman" w:cs="Times New Roman"/>
          <w:color w:val="000000"/>
          <w:spacing w:val="0"/>
          <w:w w:val="100"/>
          <w:position w:val="0"/>
        </w:rPr>
        <w:t>20%</w:t>
      </w:r>
      <w:r>
        <w:rPr>
          <w:color w:val="000000"/>
          <w:spacing w:val="0"/>
          <w:w w:val="100"/>
          <w:position w:val="0"/>
        </w:rPr>
        <w:t>；周琨皓出资</w:t>
      </w:r>
      <w:r>
        <w:rPr>
          <w:rFonts w:ascii="Times New Roman" w:eastAsia="Times New Roman" w:hAnsi="Times New Roman" w:cs="Times New Roman"/>
          <w:color w:val="000000"/>
          <w:spacing w:val="0"/>
          <w:w w:val="100"/>
          <w:position w:val="0"/>
        </w:rPr>
        <w:t>8</w:t>
      </w:r>
      <w:r>
        <w:rPr>
          <w:color w:val="000000"/>
          <w:spacing w:val="0"/>
          <w:w w:val="100"/>
          <w:position w:val="0"/>
        </w:rPr>
        <w:t>万元，占股</w:t>
      </w:r>
      <w:r>
        <w:rPr>
          <w:rFonts w:ascii="Times New Roman" w:eastAsia="Times New Roman" w:hAnsi="Times New Roman" w:cs="Times New Roman"/>
          <w:color w:val="000000"/>
          <w:spacing w:val="0"/>
          <w:w w:val="100"/>
          <w:position w:val="0"/>
        </w:rPr>
        <w:t>16%</w:t>
      </w:r>
      <w:r>
        <w:rPr>
          <w:color w:val="000000"/>
          <w:spacing w:val="0"/>
          <w:w w:val="100"/>
          <w:position w:val="0"/>
        </w:rPr>
        <w:t>。初始实收资本由深圳财安会计师事务所以深财安（</w:t>
      </w:r>
      <w:r>
        <w:rPr>
          <w:rFonts w:ascii="Times New Roman" w:eastAsia="Times New Roman" w:hAnsi="Times New Roman" w:cs="Times New Roman"/>
          <w:color w:val="000000"/>
          <w:spacing w:val="0"/>
          <w:w w:val="100"/>
          <w:position w:val="0"/>
        </w:rPr>
        <w:t>2000</w:t>
      </w:r>
      <w:r>
        <w:rPr>
          <w:color w:val="000000"/>
          <w:spacing w:val="0"/>
          <w:w w:val="100"/>
          <w:position w:val="0"/>
        </w:rPr>
        <w:t>） 验内字</w:t>
      </w:r>
      <w:r>
        <w:rPr>
          <w:rFonts w:ascii="Times New Roman" w:eastAsia="Times New Roman" w:hAnsi="Times New Roman" w:cs="Times New Roman"/>
          <w:color w:val="000000"/>
          <w:spacing w:val="0"/>
          <w:w w:val="100"/>
          <w:position w:val="0"/>
        </w:rPr>
        <w:t>041</w:t>
      </w:r>
      <w:r>
        <w:rPr>
          <w:color w:val="000000"/>
          <w:spacing w:val="0"/>
          <w:w w:val="100"/>
          <w:position w:val="0"/>
        </w:rPr>
        <w:t>号《验资报告》验证。</w:t>
      </w:r>
    </w:p>
    <w:p>
      <w:pPr>
        <w:pStyle w:val="Style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color w:val="000000"/>
          <w:spacing w:val="0"/>
          <w:w w:val="100"/>
          <w:position w:val="0"/>
        </w:rPr>
        <w:t>，</w:t>
      </w:r>
      <w:r>
        <w:rPr>
          <w:color w:val="000000"/>
          <w:spacing w:val="0"/>
          <w:w w:val="100"/>
          <w:position w:val="0"/>
        </w:rPr>
        <w:t>根据股东会决议和修改后章程的规定，原股东深圳市和而泰电子科技有限公司将其持有本公司</w:t>
      </w:r>
      <w:r>
        <w:rPr>
          <w:rFonts w:ascii="Times New Roman" w:eastAsia="Times New Roman" w:hAnsi="Times New Roman" w:cs="Times New Roman"/>
          <w:color w:val="000000"/>
          <w:spacing w:val="0"/>
          <w:w w:val="100"/>
          <w:position w:val="0"/>
        </w:rPr>
        <w:t>20%</w:t>
      </w:r>
      <w:r>
        <w:rPr>
          <w:color w:val="000000"/>
          <w:spacing w:val="0"/>
          <w:w w:val="100"/>
          <w:position w:val="0"/>
        </w:rPr>
        <w:t>的股权转 让给深圳国创恒科技发展有限公司，原股东周琨皓将其持有本公司</w:t>
      </w:r>
      <w:r>
        <w:rPr>
          <w:rFonts w:ascii="Times New Roman" w:eastAsia="Times New Roman" w:hAnsi="Times New Roman" w:cs="Times New Roman"/>
          <w:color w:val="000000"/>
          <w:spacing w:val="0"/>
          <w:w w:val="100"/>
          <w:position w:val="0"/>
        </w:rPr>
        <w:t>16%</w:t>
      </w:r>
      <w:r>
        <w:rPr>
          <w:color w:val="000000"/>
          <w:spacing w:val="0"/>
          <w:w w:val="100"/>
          <w:position w:val="0"/>
        </w:rPr>
        <w:t>的股权转让给深圳国创恒科技发展有限公司，原股东 车宏原将其持有的本公司</w:t>
      </w:r>
      <w:r>
        <w:rPr>
          <w:rFonts w:ascii="Times New Roman" w:eastAsia="Times New Roman" w:hAnsi="Times New Roman" w:cs="Times New Roman"/>
          <w:color w:val="000000"/>
          <w:spacing w:val="0"/>
          <w:w w:val="100"/>
          <w:position w:val="0"/>
        </w:rPr>
        <w:t>28%</w:t>
      </w:r>
      <w:r>
        <w:rPr>
          <w:color w:val="000000"/>
          <w:spacing w:val="0"/>
          <w:w w:val="100"/>
          <w:position w:val="0"/>
        </w:rPr>
        <w:t>的股权转让给景晓军。</w:t>
      </w:r>
    </w:p>
    <w:p>
      <w:pPr>
        <w:pStyle w:val="Style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日，经股东会决议，本公司用利润转增资本，增加注册资本至</w:t>
      </w:r>
      <w:r>
        <w:rPr>
          <w:rFonts w:ascii="Times New Roman" w:eastAsia="Times New Roman" w:hAnsi="Times New Roman" w:cs="Times New Roman"/>
          <w:color w:val="000000"/>
          <w:spacing w:val="0"/>
          <w:w w:val="100"/>
          <w:position w:val="0"/>
        </w:rPr>
        <w:t>500</w:t>
      </w:r>
      <w:r>
        <w:rPr>
          <w:color w:val="000000"/>
          <w:spacing w:val="0"/>
          <w:w w:val="100"/>
          <w:position w:val="0"/>
        </w:rPr>
        <w:t>万元人民币，股东出资比例保持不变。此次增 资经深圳市义达会计师事务所有限责任公司以深义验字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2002］</w:t>
      </w:r>
      <w:r>
        <w:rPr>
          <w:color w:val="000000"/>
          <w:spacing w:val="0"/>
          <w:w w:val="100"/>
          <w:position w:val="0"/>
        </w:rPr>
        <w:t>第</w:t>
      </w:r>
      <w:r>
        <w:rPr>
          <w:rFonts w:ascii="Times New Roman" w:eastAsia="Times New Roman" w:hAnsi="Times New Roman" w:cs="Times New Roman"/>
          <w:color w:val="000000"/>
          <w:spacing w:val="0"/>
          <w:w w:val="100"/>
          <w:position w:val="0"/>
        </w:rPr>
        <w:t>052</w:t>
      </w:r>
      <w:r>
        <w:rPr>
          <w:color w:val="000000"/>
          <w:spacing w:val="0"/>
          <w:w w:val="100"/>
          <w:position w:val="0"/>
        </w:rPr>
        <w:t>号《验资报告》验证。</w:t>
      </w:r>
    </w:p>
    <w:p>
      <w:pPr>
        <w:pStyle w:val="Style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日，根据股东会决议和修改后章程的规定，股东景晓军将其持有的本公司</w:t>
      </w:r>
      <w:r>
        <w:rPr>
          <w:rFonts w:ascii="Times New Roman" w:eastAsia="Times New Roman" w:hAnsi="Times New Roman" w:cs="Times New Roman"/>
          <w:color w:val="000000"/>
          <w:spacing w:val="0"/>
          <w:w w:val="100"/>
          <w:position w:val="0"/>
        </w:rPr>
        <w:t>4%</w:t>
      </w:r>
      <w:r>
        <w:rPr>
          <w:color w:val="000000"/>
          <w:spacing w:val="0"/>
          <w:w w:val="100"/>
          <w:position w:val="0"/>
        </w:rPr>
        <w:t>和</w:t>
      </w:r>
      <w:r>
        <w:rPr>
          <w:rFonts w:ascii="Times New Roman" w:eastAsia="Times New Roman" w:hAnsi="Times New Roman" w:cs="Times New Roman"/>
          <w:color w:val="000000"/>
          <w:spacing w:val="0"/>
          <w:w w:val="100"/>
          <w:position w:val="0"/>
        </w:rPr>
        <w:t>15%</w:t>
      </w:r>
      <w:r>
        <w:rPr>
          <w:color w:val="000000"/>
          <w:spacing w:val="0"/>
          <w:w w:val="100"/>
          <w:position w:val="0"/>
        </w:rPr>
        <w:t>的股权分别转让给深圳国创 恒科技发展有限公司和胡铭曾。</w:t>
      </w:r>
    </w:p>
    <w:p>
      <w:pPr>
        <w:pStyle w:val="Style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日，根据股东会决议和修改后章程的规定，股东深圳国创恒科技发展有限公司将其持有的本公司</w:t>
      </w:r>
      <w:r>
        <w:rPr>
          <w:rFonts w:ascii="Times New Roman" w:eastAsia="Times New Roman" w:hAnsi="Times New Roman" w:cs="Times New Roman"/>
          <w:color w:val="000000"/>
          <w:spacing w:val="0"/>
          <w:w w:val="100"/>
          <w:position w:val="0"/>
        </w:rPr>
        <w:t>20%</w:t>
      </w:r>
      <w:r>
        <w:rPr>
          <w:color w:val="000000"/>
          <w:spacing w:val="0"/>
          <w:w w:val="100"/>
          <w:position w:val="0"/>
        </w:rPr>
        <w:t>的股权转 让给景晓军。股权转让后景晓军和胡铭曾分别用现金增资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206,456.00</w:t>
      </w:r>
      <w:r>
        <w:rPr>
          <w:color w:val="000000"/>
          <w:spacing w:val="0"/>
          <w:w w:val="100"/>
          <w:position w:val="0"/>
        </w:rPr>
        <w:t>元和</w:t>
      </w:r>
      <w:r>
        <w:rPr>
          <w:rFonts w:ascii="Times New Roman" w:eastAsia="Times New Roman" w:hAnsi="Times New Roman" w:cs="Times New Roman"/>
          <w:color w:val="000000"/>
          <w:spacing w:val="0"/>
          <w:w w:val="100"/>
          <w:position w:val="0"/>
        </w:rPr>
        <w:t>212,904.00</w:t>
      </w:r>
      <w:r>
        <w:rPr>
          <w:color w:val="000000"/>
          <w:spacing w:val="0"/>
          <w:w w:val="100"/>
          <w:position w:val="0"/>
        </w:rPr>
        <w:t>元，同时用本公司利润和资本公积转增 资本</w:t>
      </w:r>
      <w:r>
        <w:rPr>
          <w:rFonts w:ascii="Times New Roman" w:eastAsia="Times New Roman" w:hAnsi="Times New Roman" w:cs="Times New Roman"/>
          <w:color w:val="000000"/>
          <w:spacing w:val="0"/>
          <w:w w:val="100"/>
          <w:position w:val="0"/>
        </w:rPr>
        <w:t>3,580,640.00</w:t>
      </w:r>
      <w:r>
        <w:rPr>
          <w:color w:val="000000"/>
          <w:spacing w:val="0"/>
          <w:w w:val="100"/>
          <w:position w:val="0"/>
        </w:rPr>
        <w:t>元，增加注册资本至</w:t>
      </w:r>
      <w:r>
        <w:rPr>
          <w:rFonts w:ascii="Times New Roman" w:eastAsia="Times New Roman" w:hAnsi="Times New Roman" w:cs="Times New Roman"/>
          <w:color w:val="000000"/>
          <w:spacing w:val="0"/>
          <w:w w:val="100"/>
          <w:position w:val="0"/>
        </w:rPr>
        <w:t>1000</w:t>
      </w:r>
      <w:r>
        <w:rPr>
          <w:color w:val="000000"/>
          <w:spacing w:val="0"/>
          <w:w w:val="100"/>
          <w:position w:val="0"/>
        </w:rPr>
        <w:t>万元人民币。此次增资经深圳文安会计师事务所以深文安验字</w:t>
      </w:r>
      <w:r>
        <w:rPr>
          <w:rFonts w:ascii="Times New Roman" w:eastAsia="Times New Roman" w:hAnsi="Times New Roman" w:cs="Times New Roman"/>
          <w:color w:val="000000"/>
          <w:spacing w:val="0"/>
          <w:w w:val="100"/>
          <w:position w:val="0"/>
        </w:rPr>
        <w:t>（2005）138</w:t>
      </w:r>
      <w:r>
        <w:rPr>
          <w:color w:val="000000"/>
          <w:spacing w:val="0"/>
          <w:w w:val="100"/>
          <w:position w:val="0"/>
        </w:rPr>
        <w:t>号《验资 报告》验证。</w:t>
      </w:r>
    </w:p>
    <w:p>
      <w:pPr>
        <w:pStyle w:val="Style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color w:val="000000"/>
          <w:spacing w:val="0"/>
          <w:w w:val="100"/>
          <w:position w:val="0"/>
        </w:rPr>
        <w:t>，</w:t>
      </w:r>
      <w:r>
        <w:rPr>
          <w:color w:val="000000"/>
          <w:spacing w:val="0"/>
          <w:w w:val="100"/>
          <w:position w:val="0"/>
        </w:rPr>
        <w:t>根据股东会决议和修改后章程的规定，股东胡铭曾将其持有的本公司</w:t>
      </w:r>
      <w:r>
        <w:rPr>
          <w:rFonts w:ascii="Times New Roman" w:eastAsia="Times New Roman" w:hAnsi="Times New Roman" w:cs="Times New Roman"/>
          <w:color w:val="000000"/>
          <w:spacing w:val="0"/>
          <w:w w:val="100"/>
          <w:position w:val="0"/>
        </w:rPr>
        <w:t>15%</w:t>
      </w:r>
      <w:r>
        <w:rPr>
          <w:color w:val="000000"/>
          <w:spacing w:val="0"/>
          <w:w w:val="100"/>
          <w:position w:val="0"/>
        </w:rPr>
        <w:t>的股权转让给景晓军。</w:t>
      </w:r>
    </w:p>
    <w:p>
      <w:pPr>
        <w:pStyle w:val="Style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color w:val="000000"/>
          <w:spacing w:val="0"/>
          <w:w w:val="100"/>
          <w:position w:val="0"/>
        </w:rPr>
        <w:t>，</w:t>
      </w:r>
      <w:r>
        <w:rPr>
          <w:color w:val="000000"/>
          <w:spacing w:val="0"/>
          <w:w w:val="100"/>
          <w:position w:val="0"/>
        </w:rPr>
        <w:t>根据股东会决议和修改后章程的规定，股东深圳国创恒科技发展有限公司将其持有的本公司</w:t>
      </w:r>
      <w:r>
        <w:rPr>
          <w:rFonts w:ascii="Times New Roman" w:eastAsia="Times New Roman" w:hAnsi="Times New Roman" w:cs="Times New Roman"/>
          <w:color w:val="000000"/>
          <w:spacing w:val="0"/>
          <w:w w:val="100"/>
          <w:position w:val="0"/>
        </w:rPr>
        <w:t>17.16128%</w:t>
      </w:r>
      <w:r>
        <w:rPr>
          <w:color w:val="000000"/>
          <w:spacing w:val="0"/>
          <w:w w:val="100"/>
          <w:position w:val="0"/>
        </w:rPr>
        <w:t>的股 权转让给程志英。</w:t>
      </w:r>
    </w:p>
    <w:p>
      <w:pPr>
        <w:pStyle w:val="Style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日，根据股东会决议和修改后章程的规定，股东程志英将其持有的本公司</w:t>
      </w:r>
      <w:r>
        <w:rPr>
          <w:rFonts w:ascii="Times New Roman" w:eastAsia="Times New Roman" w:hAnsi="Times New Roman" w:cs="Times New Roman"/>
          <w:color w:val="000000"/>
          <w:spacing w:val="0"/>
          <w:w w:val="100"/>
          <w:position w:val="0"/>
        </w:rPr>
        <w:t>17.16128%</w:t>
      </w:r>
      <w:r>
        <w:rPr>
          <w:color w:val="000000"/>
          <w:spacing w:val="0"/>
          <w:w w:val="100"/>
          <w:position w:val="0"/>
        </w:rPr>
        <w:t>的股权转让给蔡红红。</w:t>
      </w:r>
    </w:p>
    <w:p>
      <w:pPr>
        <w:pStyle w:val="Style9"/>
        <w:keepNext w:val="0"/>
        <w:keepLines w:val="0"/>
        <w:widowControl w:val="0"/>
        <w:shd w:val="clear" w:color="auto" w:fill="auto"/>
        <w:bidi w:val="0"/>
        <w:spacing w:before="0" w:after="120" w:line="316" w:lineRule="exact"/>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日，根据股东会决议和修改后章程的规定，股东蔡红红将其持有的本公司</w:t>
      </w:r>
      <w:r>
        <w:rPr>
          <w:rFonts w:ascii="Times New Roman" w:eastAsia="Times New Roman" w:hAnsi="Times New Roman" w:cs="Times New Roman"/>
          <w:color w:val="000000"/>
          <w:spacing w:val="0"/>
          <w:w w:val="100"/>
          <w:position w:val="0"/>
        </w:rPr>
        <w:t>0.10%</w:t>
      </w:r>
      <w:r>
        <w:rPr>
          <w:color w:val="000000"/>
          <w:spacing w:val="0"/>
          <w:w w:val="100"/>
          <w:position w:val="0"/>
        </w:rPr>
        <w:t>的股权转让给景晓东。</w:t>
      </w:r>
    </w:p>
    <w:p>
      <w:pPr>
        <w:pStyle w:val="Style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日，根据股东会决议和修改后章程的规定，股东蔡红红将其持有的本公司</w:t>
      </w:r>
      <w:r>
        <w:rPr>
          <w:rFonts w:ascii="Times New Roman" w:eastAsia="Times New Roman" w:hAnsi="Times New Roman" w:cs="Times New Roman"/>
          <w:color w:val="000000"/>
          <w:spacing w:val="0"/>
          <w:w w:val="100"/>
          <w:position w:val="0"/>
        </w:rPr>
        <w:t>14.06128%</w:t>
      </w:r>
      <w:r>
        <w:rPr>
          <w:color w:val="000000"/>
          <w:spacing w:val="0"/>
          <w:w w:val="100"/>
          <w:position w:val="0"/>
        </w:rPr>
        <w:t>的股权转让给深圳市华信 远景投资咨询有限公司；将其持有的本公司</w:t>
      </w:r>
      <w:r>
        <w:rPr>
          <w:rFonts w:ascii="Times New Roman" w:eastAsia="Times New Roman" w:hAnsi="Times New Roman" w:cs="Times New Roman"/>
          <w:color w:val="000000"/>
          <w:spacing w:val="0"/>
          <w:w w:val="100"/>
          <w:position w:val="0"/>
        </w:rPr>
        <w:t>1.4%</w:t>
      </w:r>
      <w:r>
        <w:rPr>
          <w:color w:val="000000"/>
          <w:spacing w:val="0"/>
          <w:w w:val="100"/>
          <w:position w:val="0"/>
        </w:rPr>
        <w:t>的股权转让给景晓东；将其持有的本公司</w:t>
      </w:r>
      <w:r>
        <w:rPr>
          <w:rFonts w:ascii="Times New Roman" w:eastAsia="Times New Roman" w:hAnsi="Times New Roman" w:cs="Times New Roman"/>
          <w:color w:val="000000"/>
          <w:spacing w:val="0"/>
          <w:w w:val="100"/>
          <w:position w:val="0"/>
        </w:rPr>
        <w:t>0.8%</w:t>
      </w:r>
      <w:r>
        <w:rPr>
          <w:color w:val="000000"/>
          <w:spacing w:val="0"/>
          <w:w w:val="100"/>
          <w:position w:val="0"/>
        </w:rPr>
        <w:t>的股权转让给沈智杰；将其 持有的本公司</w:t>
      </w:r>
      <w:r>
        <w:rPr>
          <w:rFonts w:ascii="Times New Roman" w:eastAsia="Times New Roman" w:hAnsi="Times New Roman" w:cs="Times New Roman"/>
          <w:color w:val="000000"/>
          <w:spacing w:val="0"/>
          <w:w w:val="100"/>
          <w:position w:val="0"/>
        </w:rPr>
        <w:t>0.8%</w:t>
      </w:r>
      <w:r>
        <w:rPr>
          <w:color w:val="000000"/>
          <w:spacing w:val="0"/>
          <w:w w:val="100"/>
          <w:position w:val="0"/>
        </w:rPr>
        <w:t>的股权转让给吴宁莉。股东景晓军将其持有的本公司</w:t>
      </w:r>
      <w:r>
        <w:rPr>
          <w:rFonts w:ascii="Times New Roman" w:eastAsia="Times New Roman" w:hAnsi="Times New Roman" w:cs="Times New Roman"/>
          <w:color w:val="000000"/>
          <w:spacing w:val="0"/>
          <w:w w:val="100"/>
          <w:position w:val="0"/>
        </w:rPr>
        <w:t>0.93872%</w:t>
      </w:r>
      <w:r>
        <w:rPr>
          <w:color w:val="000000"/>
          <w:spacing w:val="0"/>
          <w:w w:val="100"/>
          <w:position w:val="0"/>
        </w:rPr>
        <w:t>的股权转让给深圳市华信远景投资咨询有 限公司；将其持有的本公司</w:t>
      </w:r>
      <w:r>
        <w:rPr>
          <w:rFonts w:ascii="Times New Roman" w:eastAsia="Times New Roman" w:hAnsi="Times New Roman" w:cs="Times New Roman"/>
          <w:color w:val="000000"/>
          <w:spacing w:val="0"/>
          <w:w w:val="100"/>
          <w:position w:val="0"/>
        </w:rPr>
        <w:t>0.6%</w:t>
      </w:r>
      <w:r>
        <w:rPr>
          <w:color w:val="000000"/>
          <w:spacing w:val="0"/>
          <w:w w:val="100"/>
          <w:position w:val="0"/>
        </w:rPr>
        <w:t>的股权转让给唐海林；将其持有的本公司</w:t>
      </w:r>
      <w:r>
        <w:rPr>
          <w:rFonts w:ascii="Times New Roman" w:eastAsia="Times New Roman" w:hAnsi="Times New Roman" w:cs="Times New Roman"/>
          <w:color w:val="000000"/>
          <w:spacing w:val="0"/>
          <w:w w:val="100"/>
          <w:position w:val="0"/>
        </w:rPr>
        <w:t>0.5%</w:t>
      </w:r>
      <w:r>
        <w:rPr>
          <w:color w:val="000000"/>
          <w:spacing w:val="0"/>
          <w:w w:val="100"/>
          <w:position w:val="0"/>
        </w:rPr>
        <w:t>的股权转让给古元；将其持有的本公司</w:t>
      </w:r>
      <w:r>
        <w:rPr>
          <w:rFonts w:ascii="Times New Roman" w:eastAsia="Times New Roman" w:hAnsi="Times New Roman" w:cs="Times New Roman"/>
          <w:color w:val="000000"/>
          <w:spacing w:val="0"/>
          <w:w w:val="100"/>
          <w:position w:val="0"/>
        </w:rPr>
        <w:t xml:space="preserve">0.4% </w:t>
      </w:r>
      <w:r>
        <w:rPr>
          <w:color w:val="000000"/>
          <w:spacing w:val="0"/>
          <w:w w:val="100"/>
          <w:position w:val="0"/>
        </w:rPr>
        <w:t>的股权转让给师召辉。</w:t>
      </w:r>
    </w:p>
    <w:p>
      <w:pPr>
        <w:pStyle w:val="Style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日，根据股东会决议和发起人协议书，公司原股东作为发起人，以发起方式将有限公司整体变更为股份有限公司。 各股东以有限公司截至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日止的净资产</w:t>
      </w:r>
      <w:r>
        <w:rPr>
          <w:rFonts w:ascii="Times New Roman" w:eastAsia="Times New Roman" w:hAnsi="Times New Roman" w:cs="Times New Roman"/>
          <w:color w:val="000000"/>
          <w:spacing w:val="0"/>
          <w:w w:val="100"/>
          <w:position w:val="0"/>
        </w:rPr>
        <w:t>48,253,613.7</w:t>
      </w:r>
      <w:r>
        <w:rPr>
          <w:rFonts w:ascii="Times New Roman" w:eastAsia="Times New Roman" w:hAnsi="Times New Roman" w:cs="Times New Roman"/>
          <w:color w:val="000000"/>
          <w:spacing w:val="0"/>
          <w:w w:val="100"/>
          <w:position w:val="0"/>
        </w:rPr>
        <w:t>2</w:t>
      </w:r>
      <w:r>
        <w:rPr>
          <w:color w:val="000000"/>
          <w:spacing w:val="0"/>
          <w:w w:val="100"/>
          <w:position w:val="0"/>
        </w:rPr>
        <w:t>元按照</w:t>
      </w:r>
      <w:r>
        <w:rPr>
          <w:rFonts w:ascii="Times New Roman" w:eastAsia="Times New Roman" w:hAnsi="Times New Roman" w:cs="Times New Roman"/>
          <w:color w:val="000000"/>
          <w:spacing w:val="0"/>
          <w:w w:val="100"/>
          <w:position w:val="0"/>
        </w:rPr>
        <w:t>1.0266726323</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比例折算，折合股份公司的股份</w:t>
      </w:r>
      <w:r>
        <w:rPr>
          <w:rFonts w:ascii="Times New Roman" w:eastAsia="Times New Roman" w:hAnsi="Times New Roman" w:cs="Times New Roman"/>
          <w:color w:val="000000"/>
          <w:spacing w:val="0"/>
          <w:w w:val="100"/>
          <w:position w:val="0"/>
        </w:rPr>
        <w:t xml:space="preserve">4700 </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元，折股后股份公司的股本人民币</w:t>
      </w:r>
      <w:r>
        <w:rPr>
          <w:rFonts w:ascii="Times New Roman" w:eastAsia="Times New Roman" w:hAnsi="Times New Roman" w:cs="Times New Roman"/>
          <w:color w:val="000000"/>
          <w:spacing w:val="0"/>
          <w:w w:val="100"/>
          <w:position w:val="0"/>
        </w:rPr>
        <w:t>47,000,000.00</w:t>
      </w:r>
      <w:r>
        <w:rPr>
          <w:color w:val="000000"/>
          <w:spacing w:val="0"/>
          <w:w w:val="100"/>
          <w:position w:val="0"/>
        </w:rPr>
        <w:t>元。此次增资经北京永拓会计师事务所有限责任公 司以京永验字（</w:t>
      </w:r>
      <w:r>
        <w:rPr>
          <w:rFonts w:ascii="Times New Roman" w:eastAsia="Times New Roman" w:hAnsi="Times New Roman" w:cs="Times New Roman"/>
          <w:color w:val="000000"/>
          <w:spacing w:val="0"/>
          <w:w w:val="100"/>
          <w:position w:val="0"/>
        </w:rPr>
        <w:t>2010</w:t>
      </w:r>
      <w:r>
        <w:rPr>
          <w:color w:val="000000"/>
          <w:spacing w:val="0"/>
          <w:w w:val="100"/>
          <w:position w:val="0"/>
        </w:rPr>
        <w:t>）第</w:t>
      </w:r>
      <w:r>
        <w:rPr>
          <w:rFonts w:ascii="Times New Roman" w:eastAsia="Times New Roman" w:hAnsi="Times New Roman" w:cs="Times New Roman"/>
          <w:color w:val="000000"/>
          <w:spacing w:val="0"/>
          <w:w w:val="100"/>
          <w:position w:val="0"/>
        </w:rPr>
        <w:t>21005</w:t>
      </w:r>
      <w:r>
        <w:rPr>
          <w:color w:val="000000"/>
          <w:spacing w:val="0"/>
          <w:w w:val="100"/>
          <w:position w:val="0"/>
        </w:rPr>
        <w:t>号《验资报告》验证。</w:t>
      </w:r>
    </w:p>
    <w:p>
      <w:pPr>
        <w:pStyle w:val="Style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日，根据公司股东会决议、新增股份及认购协议和修改后章程的规定，天津东方富海股权投资基金合伙企业（有 限合伙）向本公司认购</w:t>
      </w:r>
      <w:r>
        <w:rPr>
          <w:rFonts w:ascii="Times New Roman" w:eastAsia="Times New Roman" w:hAnsi="Times New Roman" w:cs="Times New Roman"/>
          <w:color w:val="000000"/>
          <w:spacing w:val="0"/>
          <w:w w:val="100"/>
          <w:position w:val="0"/>
        </w:rPr>
        <w:t>600</w:t>
      </w:r>
      <w:r>
        <w:rPr>
          <w:color w:val="000000"/>
          <w:spacing w:val="0"/>
          <w:w w:val="100"/>
          <w:position w:val="0"/>
        </w:rPr>
        <w:t>万股，认购后本公司股本增至</w:t>
      </w:r>
      <w:r>
        <w:rPr>
          <w:rFonts w:ascii="Times New Roman" w:eastAsia="Times New Roman" w:hAnsi="Times New Roman" w:cs="Times New Roman"/>
          <w:color w:val="000000"/>
          <w:spacing w:val="0"/>
          <w:w w:val="100"/>
          <w:position w:val="0"/>
        </w:rPr>
        <w:t>5300</w:t>
      </w:r>
      <w:r>
        <w:rPr>
          <w:color w:val="000000"/>
          <w:spacing w:val="0"/>
          <w:w w:val="100"/>
          <w:position w:val="0"/>
        </w:rPr>
        <w:t>万元。此次增资由北京永拓会计师事务所有限责任公司深圳分 所以京永深所验字（</w:t>
      </w:r>
      <w:r>
        <w:rPr>
          <w:rFonts w:ascii="Times New Roman" w:eastAsia="Times New Roman" w:hAnsi="Times New Roman" w:cs="Times New Roman"/>
          <w:color w:val="000000"/>
          <w:spacing w:val="0"/>
          <w:w w:val="100"/>
          <w:position w:val="0"/>
        </w:rPr>
        <w:t>2010</w:t>
      </w:r>
      <w:r>
        <w:rPr>
          <w:color w:val="000000"/>
          <w:spacing w:val="0"/>
          <w:w w:val="100"/>
          <w:position w:val="0"/>
        </w:rPr>
        <w:t>）第</w:t>
      </w:r>
      <w:r>
        <w:rPr>
          <w:rFonts w:ascii="Times New Roman" w:eastAsia="Times New Roman" w:hAnsi="Times New Roman" w:cs="Times New Roman"/>
          <w:color w:val="000000"/>
          <w:spacing w:val="0"/>
          <w:w w:val="100"/>
          <w:position w:val="0"/>
        </w:rPr>
        <w:t>009</w:t>
      </w:r>
      <w:r>
        <w:rPr>
          <w:color w:val="000000"/>
          <w:spacing w:val="0"/>
          <w:w w:val="100"/>
          <w:position w:val="0"/>
        </w:rPr>
        <w:t>号《验资报告》验证。</w:t>
      </w:r>
    </w:p>
    <w:p>
      <w:pPr>
        <w:pStyle w:val="Style9"/>
        <w:keepNext w:val="0"/>
        <w:keepLines w:val="0"/>
        <w:widowControl w:val="0"/>
        <w:shd w:val="clear" w:color="auto" w:fill="auto"/>
        <w:bidi w:val="0"/>
        <w:spacing w:before="0" w:after="60" w:line="313" w:lineRule="exact"/>
        <w:ind w:left="0" w:right="0" w:firstLine="0"/>
        <w:jc w:val="left"/>
      </w:pPr>
      <w:r>
        <w:rPr>
          <w:color w:val="000000"/>
          <w:spacing w:val="0"/>
          <w:w w:val="100"/>
          <w:position w:val="0"/>
        </w:rPr>
        <w:t>根据中国证券监督管理委员会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2012]411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文《关于核准任子行网络技术股份有限公司首次公开发行股票并在创 业板上市的批复》，本公司于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日向社会公开发行人民币普通股</w:t>
      </w:r>
      <w:r>
        <w:rPr>
          <w:rFonts w:ascii="Times New Roman" w:eastAsia="Times New Roman" w:hAnsi="Times New Roman" w:cs="Times New Roman"/>
          <w:color w:val="000000"/>
          <w:spacing w:val="0"/>
          <w:w w:val="100"/>
          <w:position w:val="0"/>
        </w:rPr>
        <w:t>1,770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元），增加股本人民币</w:t>
      </w:r>
      <w:r>
        <w:rPr>
          <w:rFonts w:ascii="Times New Roman" w:eastAsia="Times New Roman" w:hAnsi="Times New Roman" w:cs="Times New Roman"/>
          <w:color w:val="000000"/>
          <w:spacing w:val="0"/>
          <w:w w:val="100"/>
          <w:position w:val="0"/>
        </w:rPr>
        <w:t xml:space="preserve">1,770 </w:t>
      </w:r>
      <w:r>
        <w:rPr>
          <w:color w:val="000000"/>
          <w:spacing w:val="0"/>
          <w:w w:val="100"/>
          <w:position w:val="0"/>
        </w:rPr>
        <w:t>万元，变更后的股本为人民币</w:t>
      </w:r>
      <w:r>
        <w:rPr>
          <w:rFonts w:ascii="Times New Roman" w:eastAsia="Times New Roman" w:hAnsi="Times New Roman" w:cs="Times New Roman"/>
          <w:color w:val="000000"/>
          <w:spacing w:val="0"/>
          <w:w w:val="100"/>
          <w:position w:val="0"/>
        </w:rPr>
        <w:t>70,700,000.00</w:t>
      </w:r>
      <w:r>
        <w:rPr>
          <w:color w:val="000000"/>
          <w:spacing w:val="0"/>
          <w:w w:val="100"/>
          <w:position w:val="0"/>
        </w:rPr>
        <w:t>元。实际募集资金总额</w:t>
      </w:r>
      <w:r>
        <w:rPr>
          <w:rFonts w:ascii="Times New Roman" w:eastAsia="Times New Roman" w:hAnsi="Times New Roman" w:cs="Times New Roman"/>
          <w:color w:val="000000"/>
          <w:spacing w:val="0"/>
          <w:w w:val="100"/>
          <w:position w:val="0"/>
        </w:rPr>
        <w:t>265,500,000.00</w:t>
      </w:r>
      <w:r>
        <w:rPr>
          <w:color w:val="000000"/>
          <w:spacing w:val="0"/>
          <w:w w:val="100"/>
          <w:position w:val="0"/>
        </w:rPr>
        <w:t>元，扣除各项发行费用</w:t>
      </w:r>
      <w:r>
        <w:rPr>
          <w:rFonts w:ascii="Times New Roman" w:eastAsia="Times New Roman" w:hAnsi="Times New Roman" w:cs="Times New Roman"/>
          <w:color w:val="000000"/>
          <w:spacing w:val="0"/>
          <w:w w:val="100"/>
          <w:position w:val="0"/>
        </w:rPr>
        <w:t>34,420,013.00</w:t>
      </w:r>
      <w:r>
        <w:rPr>
          <w:color w:val="000000"/>
          <w:spacing w:val="0"/>
          <w:w w:val="100"/>
          <w:position w:val="0"/>
        </w:rPr>
        <w:t>元，实 际募集资金净额</w:t>
      </w:r>
      <w:r>
        <w:rPr>
          <w:rFonts w:ascii="Times New Roman" w:eastAsia="Times New Roman" w:hAnsi="Times New Roman" w:cs="Times New Roman"/>
          <w:color w:val="000000"/>
          <w:spacing w:val="0"/>
          <w:w w:val="100"/>
          <w:position w:val="0"/>
        </w:rPr>
        <w:t>231,079,987.00</w:t>
      </w:r>
      <w:r>
        <w:rPr>
          <w:color w:val="000000"/>
          <w:spacing w:val="0"/>
          <w:w w:val="100"/>
          <w:position w:val="0"/>
        </w:rPr>
        <w:t>元，其中新增股本</w:t>
      </w:r>
      <w:r>
        <w:rPr>
          <w:rFonts w:ascii="Times New Roman" w:eastAsia="Times New Roman" w:hAnsi="Times New Roman" w:cs="Times New Roman"/>
          <w:color w:val="000000"/>
          <w:spacing w:val="0"/>
          <w:w w:val="100"/>
          <w:position w:val="0"/>
        </w:rPr>
        <w:t>17,700,000.00</w:t>
      </w:r>
      <w:r>
        <w:rPr>
          <w:color w:val="000000"/>
          <w:spacing w:val="0"/>
          <w:w w:val="100"/>
          <w:position w:val="0"/>
        </w:rPr>
        <w:t>元，增加资本公积</w:t>
      </w:r>
      <w:r>
        <w:rPr>
          <w:rFonts w:ascii="Times New Roman" w:eastAsia="Times New Roman" w:hAnsi="Times New Roman" w:cs="Times New Roman"/>
          <w:color w:val="000000"/>
          <w:spacing w:val="0"/>
          <w:w w:val="100"/>
          <w:position w:val="0"/>
        </w:rPr>
        <w:t>213,379,987.00</w:t>
      </w:r>
      <w:r>
        <w:rPr>
          <w:color w:val="000000"/>
          <w:spacing w:val="0"/>
          <w:w w:val="100"/>
          <w:position w:val="0"/>
        </w:rPr>
        <w:t>元。上述出资经北京永拓会 计师事务所有限责任公司以京永验字（</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21002</w:t>
      </w:r>
      <w:r>
        <w:rPr>
          <w:color w:val="000000"/>
          <w:spacing w:val="0"/>
          <w:w w:val="100"/>
          <w:position w:val="0"/>
        </w:rPr>
        <w:t>号验资报告验证。变更后股权结构如下：</w:t>
      </w:r>
    </w:p>
    <w:tbl>
      <w:tblPr>
        <w:tblOverlap w:val="never"/>
        <w:jc w:val="left"/>
        <w:tblLayout w:type="fixed"/>
      </w:tblPr>
      <w:tblGrid>
        <w:gridCol w:w="5376"/>
        <w:gridCol w:w="2102"/>
        <w:gridCol w:w="1613"/>
      </w:tblGrid>
      <w:tr>
        <w:trPr>
          <w:trHeight w:val="374"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股东名称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left"/>
              <w:rPr>
                <w:sz w:val="24"/>
                <w:szCs w:val="24"/>
              </w:rPr>
            </w:pPr>
            <w:r>
              <w:rPr>
                <w:color w:val="000000"/>
                <w:spacing w:val="0"/>
                <w:w w:val="100"/>
                <w:position w:val="0"/>
                <w:sz w:val="24"/>
                <w:szCs w:val="24"/>
              </w:rPr>
              <w:t>出资额</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占股比例</w:t>
            </w:r>
          </w:p>
        </w:tc>
      </w:tr>
      <w:tr>
        <w:trPr>
          <w:trHeight w:val="36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景晓军</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both"/>
              <w:rPr>
                <w:sz w:val="24"/>
                <w:szCs w:val="24"/>
              </w:rPr>
            </w:pPr>
            <w:r>
              <w:rPr>
                <w:rFonts w:ascii="Times New Roman" w:eastAsia="Times New Roman" w:hAnsi="Times New Roman" w:cs="Times New Roman"/>
                <w:color w:val="000000"/>
                <w:spacing w:val="0"/>
                <w:w w:val="100"/>
                <w:position w:val="0"/>
                <w:sz w:val="24"/>
                <w:szCs w:val="24"/>
              </w:rPr>
              <w:t>37,788,000.00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53.45%</w:t>
            </w:r>
          </w:p>
        </w:tc>
      </w:tr>
      <w:tr>
        <w:trPr>
          <w:trHeight w:val="36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景晓东</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705,000.00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1.00%</w:t>
            </w:r>
          </w:p>
        </w:tc>
      </w:tr>
      <w:tr>
        <w:trPr>
          <w:trHeight w:val="36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深圳市华信远景投资咨询有限公司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7,050,000.00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9.97%</w:t>
            </w:r>
          </w:p>
        </w:tc>
      </w:tr>
      <w:tr>
        <w:trPr>
          <w:trHeight w:val="36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沈智杰</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376,000.00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0.53%</w:t>
            </w:r>
          </w:p>
        </w:tc>
      </w:tr>
      <w:tr>
        <w:trPr>
          <w:trHeight w:val="36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吴宁莉</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376,000.00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0.53%</w:t>
            </w:r>
          </w:p>
        </w:tc>
      </w:tr>
      <w:tr>
        <w:trPr>
          <w:trHeight w:val="36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唐海林</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282,000.00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0.40%</w:t>
            </w:r>
          </w:p>
        </w:tc>
      </w:tr>
      <w:tr>
        <w:trPr>
          <w:trHeight w:val="36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古元</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235,000.00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0.33%</w:t>
            </w:r>
          </w:p>
        </w:tc>
      </w:tr>
      <w:tr>
        <w:trPr>
          <w:trHeight w:val="36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师召辉</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188,000.00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0.27%</w:t>
            </w:r>
          </w:p>
        </w:tc>
      </w:tr>
      <w:tr>
        <w:trPr>
          <w:trHeight w:val="365"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天津东方富海股权投资基金合伙企业（有限合伙）</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6,000,000.00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8.49%</w:t>
            </w:r>
          </w:p>
        </w:tc>
      </w:tr>
      <w:tr>
        <w:trPr>
          <w:trHeight w:val="36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社会公众股股东</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both"/>
              <w:rPr>
                <w:sz w:val="24"/>
                <w:szCs w:val="24"/>
              </w:rPr>
            </w:pPr>
            <w:r>
              <w:rPr>
                <w:rFonts w:ascii="Times New Roman" w:eastAsia="Times New Roman" w:hAnsi="Times New Roman" w:cs="Times New Roman"/>
                <w:color w:val="000000"/>
                <w:spacing w:val="0"/>
                <w:w w:val="100"/>
                <w:position w:val="0"/>
                <w:sz w:val="24"/>
                <w:szCs w:val="24"/>
              </w:rPr>
              <w:t>17,700,000.00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25.04%</w:t>
            </w:r>
          </w:p>
        </w:tc>
      </w:tr>
      <w:tr>
        <w:trPr>
          <w:trHeight w:val="379" w:hRule="exact"/>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680"/>
              <w:jc w:val="both"/>
              <w:rPr>
                <w:sz w:val="24"/>
                <w:szCs w:val="24"/>
              </w:rPr>
            </w:pPr>
            <w:r>
              <w:rPr>
                <w:rFonts w:ascii="Times New Roman" w:eastAsia="Times New Roman" w:hAnsi="Times New Roman" w:cs="Times New Roman"/>
                <w:color w:val="000000"/>
                <w:spacing w:val="0"/>
                <w:w w:val="100"/>
                <w:position w:val="0"/>
                <w:sz w:val="24"/>
                <w:szCs w:val="24"/>
              </w:rPr>
              <w:t>70,700,000.00</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100.00%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本公司非限售股于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日在深圳交易所上市交易，股票代码为</w:t>
      </w:r>
      <w:r>
        <w:rPr>
          <w:rFonts w:ascii="Times New Roman" w:eastAsia="Times New Roman" w:hAnsi="Times New Roman" w:cs="Times New Roman"/>
          <w:color w:val="000000"/>
          <w:spacing w:val="0"/>
          <w:w w:val="100"/>
          <w:position w:val="0"/>
        </w:rPr>
        <w:t>300311</w:t>
      </w:r>
      <w:r>
        <w:rPr>
          <w:color w:val="000000"/>
          <w:spacing w:val="0"/>
          <w:w w:val="100"/>
          <w:position w:val="0"/>
        </w:rPr>
        <w:t>。</w:t>
      </w:r>
    </w:p>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根据本公司股东天津东方富海在《任子行网络技术股份有限公司首次公开发行股票并在创业板上市上市公告书》以及本公司 招股说明书中的承诺，其持有的本公司股份总额的</w:t>
      </w:r>
      <w:r>
        <w:rPr>
          <w:rFonts w:ascii="Times New Roman" w:eastAsia="Times New Roman" w:hAnsi="Times New Roman" w:cs="Times New Roman"/>
          <w:color w:val="000000"/>
          <w:spacing w:val="0"/>
          <w:w w:val="100"/>
          <w:position w:val="0"/>
        </w:rPr>
        <w:t>50%</w:t>
      </w:r>
      <w:r>
        <w:rPr>
          <w:color w:val="000000"/>
          <w:spacing w:val="0"/>
          <w:w w:val="100"/>
          <w:position w:val="0"/>
        </w:rPr>
        <w:t>，即</w:t>
      </w:r>
      <w:r>
        <w:rPr>
          <w:rFonts w:ascii="Times New Roman" w:eastAsia="Times New Roman" w:hAnsi="Times New Roman" w:cs="Times New Roman"/>
          <w:color w:val="000000"/>
          <w:spacing w:val="0"/>
          <w:w w:val="100"/>
          <w:position w:val="0"/>
        </w:rPr>
        <w:t>300</w:t>
      </w:r>
      <w:r>
        <w:rPr>
          <w:color w:val="000000"/>
          <w:spacing w:val="0"/>
          <w:w w:val="100"/>
          <w:position w:val="0"/>
        </w:rPr>
        <w:t>万股，于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日达到承诺锁定期限；</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 本公司发布相关提示性公告，该次解除限售股份可上市流通时间为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日。截至报告期末，天津东方富海持有本公 司股份数为</w:t>
      </w:r>
      <w:r>
        <w:rPr>
          <w:rFonts w:ascii="Times New Roman" w:eastAsia="Times New Roman" w:hAnsi="Times New Roman" w:cs="Times New Roman"/>
          <w:color w:val="000000"/>
          <w:spacing w:val="0"/>
          <w:w w:val="100"/>
          <w:position w:val="0"/>
        </w:rPr>
        <w:t>300</w:t>
      </w:r>
      <w:r>
        <w:rPr>
          <w:color w:val="000000"/>
          <w:spacing w:val="0"/>
          <w:w w:val="100"/>
          <w:position w:val="0"/>
        </w:rPr>
        <w:t>万股，占本公司股份总数的</w:t>
      </w:r>
      <w:r>
        <w:rPr>
          <w:rFonts w:ascii="Times New Roman" w:eastAsia="Times New Roman" w:hAnsi="Times New Roman" w:cs="Times New Roman"/>
          <w:color w:val="000000"/>
          <w:spacing w:val="0"/>
          <w:w w:val="100"/>
          <w:position w:val="0"/>
        </w:rPr>
        <w:t>4.24%</w:t>
      </w:r>
      <w:r>
        <w:rPr>
          <w:color w:val="000000"/>
          <w:spacing w:val="0"/>
          <w:w w:val="100"/>
          <w:position w:val="0"/>
        </w:rPr>
        <w:t>。</w:t>
      </w:r>
    </w:p>
    <w:p>
      <w:pPr>
        <w:pStyle w:val="Style9"/>
        <w:keepNext w:val="0"/>
        <w:keepLines w:val="0"/>
        <w:widowControl w:val="0"/>
        <w:shd w:val="clear" w:color="auto" w:fill="auto"/>
        <w:bidi w:val="0"/>
        <w:spacing w:before="0" w:after="40" w:line="307" w:lineRule="exact"/>
        <w:ind w:left="0" w:right="0" w:firstLine="0"/>
        <w:jc w:val="left"/>
      </w:pPr>
      <w:bookmarkStart w:id="355" w:name="bookmark355"/>
      <w:r>
        <w:rPr>
          <w:color w:val="000000"/>
          <w:spacing w:val="0"/>
          <w:w w:val="100"/>
          <w:position w:val="0"/>
        </w:rPr>
        <w:t>（</w:t>
      </w:r>
      <w:bookmarkEnd w:id="355"/>
      <w:r>
        <w:rPr>
          <w:color w:val="000000"/>
          <w:spacing w:val="0"/>
          <w:w w:val="100"/>
          <w:position w:val="0"/>
        </w:rPr>
        <w:t>四）公司的基本组织架构</w:t>
      </w:r>
      <w:r>
        <w:br w:type="page"/>
      </w:r>
    </w:p>
    <w:p>
      <w:pPr>
        <w:widowControl w:val="0"/>
        <w:spacing w:line="1" w:lineRule="exact"/>
      </w:pPr>
      <w:r>
        <w:drawing>
          <wp:anchor distT="0" distB="419100" distL="0" distR="0" simplePos="0" relativeHeight="125829424" behindDoc="0" locked="0" layoutInCell="1" allowOverlap="1">
            <wp:simplePos x="0" y="0"/>
            <wp:positionH relativeFrom="page">
              <wp:posOffset>828040</wp:posOffset>
            </wp:positionH>
            <wp:positionV relativeFrom="paragraph">
              <wp:posOffset>0</wp:posOffset>
            </wp:positionV>
            <wp:extent cx="5870575" cy="2541905"/>
            <wp:wrapTopAndBottom/>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29"/>
                    <a:stretch/>
                  </pic:blipFill>
                  <pic:spPr>
                    <a:xfrm>
                      <a:ext cx="5870575" cy="25419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6219825</wp:posOffset>
                </wp:positionH>
                <wp:positionV relativeFrom="paragraph">
                  <wp:posOffset>2368550</wp:posOffset>
                </wp:positionV>
                <wp:extent cx="146050" cy="152400"/>
                <wp:wrapNone/>
                <wp:docPr id="107" name="Shape 107"/>
                <a:graphic xmlns:a="http://schemas.openxmlformats.org/drawingml/2006/main">
                  <a:graphicData uri="http://schemas.microsoft.com/office/word/2010/wordprocessingShape">
                    <wps:wsp>
                      <wps:cNvSpPr txBox="1"/>
                      <wps:spPr>
                        <a:xfrm>
                          <a:ext cx="146050" cy="15240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right"/>
                            </w:pPr>
                            <w:r>
                              <w:rPr>
                                <w:spacing w:val="0"/>
                                <w:w w:val="100"/>
                                <w:position w:val="0"/>
                              </w:rPr>
                              <w:t>司</w:t>
                            </w:r>
                          </w:p>
                        </w:txbxContent>
                      </wps:txbx>
                      <wps:bodyPr lIns="0" tIns="0" rIns="0" bIns="0">
                        <a:noAutoFit/>
                      </wps:bodyPr>
                    </wps:wsp>
                  </a:graphicData>
                </a:graphic>
              </wp:anchor>
            </w:drawing>
          </mc:Choice>
          <mc:Fallback>
            <w:pict>
              <v:shape id="_x0000_s1133" type="#_x0000_t202" style="position:absolute;margin-left:489.75pt;margin-top:186.5pt;width:11.5pt;height:12.pt;z-index:251657729;mso-wrap-distance-left:0;mso-wrap-distance-right:0;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right"/>
                      </w:pPr>
                      <w:r>
                        <w:rPr>
                          <w:spacing w:val="0"/>
                          <w:w w:val="100"/>
                          <w:position w:val="0"/>
                        </w:rPr>
                        <w:t>司</w:t>
                      </w:r>
                    </w:p>
                  </w:txbxContent>
                </v:textbox>
                <w10:wrap anchorx="page"/>
              </v:shape>
            </w:pict>
          </mc:Fallback>
        </mc:AlternateContent>
      </w:r>
      <w:r>
        <mc:AlternateContent>
          <mc:Choice Requires="wps">
            <w:drawing>
              <wp:anchor distT="259080" distB="2146935" distL="0" distR="0" simplePos="0" relativeHeight="125829425" behindDoc="0" locked="0" layoutInCell="1" allowOverlap="1">
                <wp:simplePos x="0" y="0"/>
                <wp:positionH relativeFrom="page">
                  <wp:posOffset>2571750</wp:posOffset>
                </wp:positionH>
                <wp:positionV relativeFrom="paragraph">
                  <wp:posOffset>259080</wp:posOffset>
                </wp:positionV>
                <wp:extent cx="819785" cy="554990"/>
                <wp:wrapTopAndBottom/>
                <wp:docPr id="109" name="Shape 109"/>
                <a:graphic xmlns:a="http://schemas.openxmlformats.org/drawingml/2006/main">
                  <a:graphicData uri="http://schemas.microsoft.com/office/word/2010/wordprocessingShape">
                    <wps:wsp>
                      <wps:cNvSpPr txBox="1"/>
                      <wps:spPr>
                        <a:xfrm>
                          <a:ext cx="819785" cy="554990"/>
                        </a:xfrm>
                        <a:prstGeom prst="rect"/>
                        <a:noFill/>
                      </wps:spPr>
                      <wps:txbx>
                        <w:txbxContent>
                          <w:tbl>
                            <w:tblPr>
                              <w:tblOverlap w:val="never"/>
                              <w:jc w:val="left"/>
                              <w:tblLayout w:type="fixed"/>
                            </w:tblPr>
                            <w:tblGrid>
                              <w:gridCol w:w="893"/>
                              <w:gridCol w:w="398"/>
                            </w:tblGrid>
                            <w:tr>
                              <w:trPr>
                                <w:tblHeader/>
                                <w:trHeight w:val="57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6F6F6F"/>
                                      <w:spacing w:val="0"/>
                                      <w:w w:val="100"/>
                                      <w:position w:val="0"/>
                                      <w:sz w:val="14"/>
                                      <w:szCs w:val="14"/>
                                    </w:rPr>
                                    <w:t>5F#</w:t>
                                  </w:r>
                                  <w:r>
                                    <w:rPr>
                                      <w:rFonts w:ascii="SimHei" w:eastAsia="SimHei" w:hAnsi="SimHei" w:cs="SimHei"/>
                                      <w:color w:val="6F6F6F"/>
                                      <w:spacing w:val="0"/>
                                      <w:w w:val="100"/>
                                      <w:position w:val="0"/>
                                      <w:sz w:val="13"/>
                                      <w:szCs w:val="13"/>
                                    </w:rPr>
                                    <w:t>与号株</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both"/>
                                    <w:rPr>
                                      <w:sz w:val="20"/>
                                      <w:szCs w:val="20"/>
                                    </w:rPr>
                                  </w:pPr>
                                  <w:r>
                                    <w:rPr>
                                      <w:rFonts w:ascii="Arial" w:eastAsia="Arial" w:hAnsi="Arial" w:cs="Arial"/>
                                      <w:color w:val="6F6F6F"/>
                                      <w:spacing w:val="0"/>
                                      <w:w w:val="100"/>
                                      <w:position w:val="0"/>
                                      <w:sz w:val="20"/>
                                      <w:szCs w:val="20"/>
                                    </w:rPr>
                                    <w:t>—</w:t>
                                  </w:r>
                                </w:p>
                              </w:tc>
                            </w:tr>
                            <w:tr>
                              <w:trPr>
                                <w:trHeight w:val="30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6F6F6F"/>
                                      <w:spacing w:val="0"/>
                                      <w:w w:val="100"/>
                                      <w:position w:val="0"/>
                                      <w:sz w:val="13"/>
                                      <w:szCs w:val="13"/>
                                    </w:rPr>
                                    <w:t>审计查品会</w:t>
                                  </w:r>
                                </w:p>
                              </w:tc>
                              <w:tc>
                                <w:tcPr>
                                  <w:vMerge/>
                                  <w:tcBorders>
                                    <w:left w:val="single" w:sz="4"/>
                                    <w:bottom w:val="single" w:sz="4"/>
                                    <w:right w:val="single" w:sz="4"/>
                                  </w:tcBorders>
                                  <w:shd w:val="clear" w:color="auto" w:fill="FFFFFF"/>
                                  <w:vAlign w:val="top"/>
                                </w:tcPr>
                                <w:p>
                                  <w:pPr/>
                                </w:p>
                              </w:tc>
                            </w:tr>
                          </w:tbl>
                          <w:p>
                            <w:pPr>
                              <w:widowControl w:val="0"/>
                              <w:spacing w:line="1" w:lineRule="exact"/>
                            </w:pPr>
                          </w:p>
                        </w:txbxContent>
                      </wps:txbx>
                      <wps:bodyPr lIns="0" tIns="0" rIns="0" bIns="0">
                        <a:noAutoFit/>
                      </wps:bodyPr>
                    </wps:wsp>
                  </a:graphicData>
                </a:graphic>
              </wp:anchor>
            </w:drawing>
          </mc:Choice>
          <mc:Fallback>
            <w:pict>
              <v:shape id="_x0000_s1135" type="#_x0000_t202" style="position:absolute;margin-left:202.5pt;margin-top:20.400000000000002pt;width:64.549999999999997pt;height:43.700000000000003pt;z-index:-125829328;mso-wrap-distance-left:0;mso-wrap-distance-top:20.400000000000002pt;mso-wrap-distance-right:0;mso-wrap-distance-bottom:169.05000000000001pt;mso-position-horizontal-relative:page" filled="f" stroked="f">
                <v:textbox inset="0,0,0,0">
                  <w:txbxContent>
                    <w:tbl>
                      <w:tblPr>
                        <w:tblOverlap w:val="never"/>
                        <w:jc w:val="left"/>
                        <w:tblLayout w:type="fixed"/>
                      </w:tblPr>
                      <w:tblGrid>
                        <w:gridCol w:w="893"/>
                        <w:gridCol w:w="398"/>
                      </w:tblGrid>
                      <w:tr>
                        <w:trPr>
                          <w:tblHeader/>
                          <w:trHeight w:val="57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6F6F6F"/>
                                <w:spacing w:val="0"/>
                                <w:w w:val="100"/>
                                <w:position w:val="0"/>
                                <w:sz w:val="14"/>
                                <w:szCs w:val="14"/>
                              </w:rPr>
                              <w:t>5F#</w:t>
                            </w:r>
                            <w:r>
                              <w:rPr>
                                <w:rFonts w:ascii="SimHei" w:eastAsia="SimHei" w:hAnsi="SimHei" w:cs="SimHei"/>
                                <w:color w:val="6F6F6F"/>
                                <w:spacing w:val="0"/>
                                <w:w w:val="100"/>
                                <w:position w:val="0"/>
                                <w:sz w:val="13"/>
                                <w:szCs w:val="13"/>
                              </w:rPr>
                              <w:t>与号株</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60" w:after="0" w:line="240" w:lineRule="auto"/>
                              <w:ind w:left="0" w:right="0" w:firstLine="0"/>
                              <w:jc w:val="both"/>
                              <w:rPr>
                                <w:sz w:val="20"/>
                                <w:szCs w:val="20"/>
                              </w:rPr>
                            </w:pPr>
                            <w:r>
                              <w:rPr>
                                <w:rFonts w:ascii="Arial" w:eastAsia="Arial" w:hAnsi="Arial" w:cs="Arial"/>
                                <w:color w:val="6F6F6F"/>
                                <w:spacing w:val="0"/>
                                <w:w w:val="100"/>
                                <w:position w:val="0"/>
                                <w:sz w:val="20"/>
                                <w:szCs w:val="20"/>
                              </w:rPr>
                              <w:t>—</w:t>
                            </w:r>
                          </w:p>
                        </w:tc>
                      </w:tr>
                      <w:tr>
                        <w:trPr>
                          <w:trHeight w:val="30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6F6F6F"/>
                                <w:spacing w:val="0"/>
                                <w:w w:val="100"/>
                                <w:position w:val="0"/>
                                <w:sz w:val="13"/>
                                <w:szCs w:val="13"/>
                              </w:rPr>
                              <w:t>审计查品会</w:t>
                            </w:r>
                          </w:p>
                        </w:tc>
                        <w:tc>
                          <w:tcPr>
                            <w:vMerge/>
                            <w:tcBorders>
                              <w:left w:val="single" w:sz="4"/>
                              <w:bottom w:val="single" w:sz="4"/>
                              <w:right w:val="single" w:sz="4"/>
                            </w:tcBorders>
                            <w:shd w:val="clear" w:color="auto" w:fill="FFFFFF"/>
                            <w:vAlign w:val="top"/>
                          </w:tcPr>
                          <w:p>
                            <w:pPr/>
                          </w:p>
                        </w:tc>
                      </w:tr>
                    </w:tbl>
                    <w:p>
                      <w:pPr>
                        <w:widowControl w:val="0"/>
                        <w:spacing w:line="1" w:lineRule="exact"/>
                      </w:pPr>
                    </w:p>
                  </w:txbxContent>
                </v:textbox>
                <w10:wrap type="topAndBottom" anchorx="page"/>
              </v:shape>
            </w:pict>
          </mc:Fallback>
        </mc:AlternateContent>
      </w:r>
      <w:r>
        <mc:AlternateContent>
          <mc:Choice Requires="wps">
            <w:drawing>
              <wp:anchor distT="1740535" distB="431165" distL="0" distR="0" simplePos="0" relativeHeight="125829427" behindDoc="0" locked="0" layoutInCell="1" allowOverlap="1">
                <wp:simplePos x="0" y="0"/>
                <wp:positionH relativeFrom="page">
                  <wp:posOffset>2428240</wp:posOffset>
                </wp:positionH>
                <wp:positionV relativeFrom="paragraph">
                  <wp:posOffset>1740535</wp:posOffset>
                </wp:positionV>
                <wp:extent cx="734695" cy="789305"/>
                <wp:wrapTopAndBottom/>
                <wp:docPr id="111" name="Shape 111"/>
                <a:graphic xmlns:a="http://schemas.openxmlformats.org/drawingml/2006/main">
                  <a:graphicData uri="http://schemas.microsoft.com/office/word/2010/wordprocessingShape">
                    <wps:wsp>
                      <wps:cNvSpPr txBox="1"/>
                      <wps:spPr>
                        <a:xfrm>
                          <a:ext cx="734695" cy="789305"/>
                        </a:xfrm>
                        <a:prstGeom prst="rect"/>
                        <a:noFill/>
                      </wps:spPr>
                      <wps:txbx>
                        <w:txbxContent>
                          <w:tbl>
                            <w:tblPr>
                              <w:tblOverlap w:val="never"/>
                              <w:jc w:val="left"/>
                              <w:tblLayout w:type="fixed"/>
                            </w:tblPr>
                            <w:tblGrid>
                              <w:gridCol w:w="283"/>
                              <w:gridCol w:w="293"/>
                              <w:gridCol w:w="293"/>
                              <w:gridCol w:w="288"/>
                            </w:tblGrid>
                            <w:tr>
                              <w:trPr>
                                <w:tblHeader/>
                                <w:trHeight w:val="21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凭</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北</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武</w:t>
                                  </w:r>
                                </w:p>
                              </w:tc>
                            </w:tr>
                            <w:tr>
                              <w:trPr>
                                <w:trHeight w:val="16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户</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F6F6F"/>
                                      <w:spacing w:val="0"/>
                                      <w:w w:val="100"/>
                                      <w:position w:val="0"/>
                                      <w:sz w:val="12"/>
                                      <w:szCs w:val="12"/>
                                    </w:rPr>
                                    <w:t>S3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京</w:t>
                                  </w: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垸</w:t>
                                  </w: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控</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6F6F6F"/>
                                      <w:spacing w:val="0"/>
                                      <w:w w:val="100"/>
                                      <w:position w:val="0"/>
                                      <w:sz w:val="11"/>
                                      <w:szCs w:val="11"/>
                                    </w:rPr>
                                    <w:t>目</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6F6F6F"/>
                                      <w:spacing w:val="0"/>
                                      <w:w w:val="100"/>
                                      <w:position w:val="0"/>
                                      <w:sz w:val="11"/>
                                      <w:szCs w:val="11"/>
                                    </w:rPr>
                                    <w:t>音</w:t>
                                  </w:r>
                                </w:p>
                              </w:tc>
                            </w:tr>
                            <w:tr>
                              <w:trPr>
                                <w:trHeight w:val="163"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6F6F6F"/>
                                      <w:spacing w:val="0"/>
                                      <w:w w:val="100"/>
                                      <w:position w:val="0"/>
                                      <w:sz w:val="11"/>
                                      <w:szCs w:val="11"/>
                                    </w:rPr>
                                    <w:t>普</w:t>
                                  </w: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7"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6F6F6F"/>
                                      <w:spacing w:val="0"/>
                                      <w:w w:val="100"/>
                                      <w:position w:val="0"/>
                                      <w:sz w:val="11"/>
                                      <w:szCs w:val="11"/>
                                    </w:rPr>
                                    <w:t>蒙.</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睹</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37" type="#_x0000_t202" style="position:absolute;margin-left:191.20000000000002pt;margin-top:137.05000000000001pt;width:57.850000000000001pt;height:62.149999999999999pt;z-index:-125829326;mso-wrap-distance-left:0;mso-wrap-distance-top:137.05000000000001pt;mso-wrap-distance-right:0;mso-wrap-distance-bottom:33.950000000000003pt;mso-position-horizontal-relative:page" filled="f" stroked="f">
                <v:textbox inset="0,0,0,0">
                  <w:txbxContent>
                    <w:tbl>
                      <w:tblPr>
                        <w:tblOverlap w:val="never"/>
                        <w:jc w:val="left"/>
                        <w:tblLayout w:type="fixed"/>
                      </w:tblPr>
                      <w:tblGrid>
                        <w:gridCol w:w="283"/>
                        <w:gridCol w:w="293"/>
                        <w:gridCol w:w="293"/>
                        <w:gridCol w:w="288"/>
                      </w:tblGrid>
                      <w:tr>
                        <w:trPr>
                          <w:tblHeader/>
                          <w:trHeight w:val="216"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生</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凭</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北</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武</w:t>
                            </w:r>
                          </w:p>
                        </w:tc>
                      </w:tr>
                      <w:tr>
                        <w:trPr>
                          <w:trHeight w:val="168"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户</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6F6F6F"/>
                                <w:spacing w:val="0"/>
                                <w:w w:val="100"/>
                                <w:position w:val="0"/>
                                <w:sz w:val="12"/>
                                <w:szCs w:val="12"/>
                              </w:rPr>
                              <w:t>S3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京</w:t>
                            </w: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垸</w:t>
                            </w: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控</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6F6F6F"/>
                                <w:spacing w:val="0"/>
                                <w:w w:val="100"/>
                                <w:position w:val="0"/>
                                <w:sz w:val="11"/>
                                <w:szCs w:val="11"/>
                              </w:rPr>
                              <w:t>目</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6F6F6F"/>
                                <w:spacing w:val="0"/>
                                <w:w w:val="100"/>
                                <w:position w:val="0"/>
                                <w:sz w:val="11"/>
                                <w:szCs w:val="11"/>
                              </w:rPr>
                              <w:t>音</w:t>
                            </w:r>
                          </w:p>
                        </w:tc>
                      </w:tr>
                      <w:tr>
                        <w:trPr>
                          <w:trHeight w:val="163"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6F6F6F"/>
                                <w:spacing w:val="0"/>
                                <w:w w:val="100"/>
                                <w:position w:val="0"/>
                                <w:sz w:val="11"/>
                                <w:szCs w:val="11"/>
                              </w:rPr>
                              <w:t>普</w:t>
                            </w: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97"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6F6F6F"/>
                                <w:spacing w:val="0"/>
                                <w:w w:val="100"/>
                                <w:position w:val="0"/>
                                <w:sz w:val="11"/>
                                <w:szCs w:val="11"/>
                              </w:rPr>
                              <w:t>蒙.</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6F6F6F"/>
                                <w:spacing w:val="0"/>
                                <w:w w:val="100"/>
                                <w:position w:val="0"/>
                                <w:sz w:val="13"/>
                                <w:szCs w:val="13"/>
                              </w:rPr>
                              <w:t>睹</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p>
    <w:p>
      <w:pPr>
        <w:pStyle w:val="Style30"/>
        <w:keepNext/>
        <w:keepLines/>
        <w:widowControl w:val="0"/>
        <w:shd w:val="clear" w:color="auto" w:fill="auto"/>
        <w:bidi w:val="0"/>
        <w:spacing w:before="0" w:after="360" w:line="240" w:lineRule="auto"/>
        <w:ind w:left="0" w:right="0" w:firstLine="0"/>
        <w:jc w:val="both"/>
      </w:pPr>
      <w:bookmarkStart w:id="356" w:name="bookmark356"/>
      <w:bookmarkStart w:id="357" w:name="bookmark357"/>
      <w:bookmarkStart w:id="358" w:name="bookmark358"/>
      <w:bookmarkStart w:id="359" w:name="bookmark359"/>
      <w:r>
        <w:rPr>
          <w:color w:val="000000"/>
          <w:spacing w:val="0"/>
          <w:w w:val="100"/>
          <w:position w:val="0"/>
          <w:sz w:val="24"/>
          <w:szCs w:val="24"/>
        </w:rPr>
        <w:t>四</w:t>
      </w:r>
      <w:bookmarkEnd w:id="358"/>
      <w:r>
        <w:rPr>
          <w:color w:val="000000"/>
          <w:spacing w:val="0"/>
          <w:w w:val="100"/>
          <w:position w:val="0"/>
          <w:sz w:val="24"/>
          <w:szCs w:val="24"/>
        </w:rPr>
        <w:t>、公司主要会计政策、会计估计和前期差错</w:t>
      </w:r>
      <w:bookmarkEnd w:id="356"/>
      <w:bookmarkEnd w:id="357"/>
      <w:bookmarkEnd w:id="359"/>
    </w:p>
    <w:p>
      <w:pPr>
        <w:pStyle w:val="Style35"/>
        <w:keepNext/>
        <w:keepLines/>
        <w:widowControl w:val="0"/>
        <w:shd w:val="clear" w:color="auto" w:fill="auto"/>
        <w:tabs>
          <w:tab w:pos="368" w:val="left"/>
        </w:tabs>
        <w:bidi w:val="0"/>
        <w:spacing w:before="0" w:after="280" w:line="240"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1</w:t>
      </w:r>
      <w:bookmarkEnd w:id="362"/>
      <w:r>
        <w:rPr>
          <w:color w:val="000000"/>
          <w:spacing w:val="0"/>
          <w:w w:val="100"/>
          <w:position w:val="0"/>
        </w:rPr>
        <w:t>、</w:t>
        <w:tab/>
        <w:t>财务报表的编制基础</w:t>
      </w:r>
      <w:bookmarkEnd w:id="360"/>
      <w:bookmarkEnd w:id="361"/>
      <w:bookmarkEnd w:id="363"/>
    </w:p>
    <w:p>
      <w:pPr>
        <w:pStyle w:val="Style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本公司以持续经营为基础，根据实际发生的交易和事项，按照财政部于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日颁布的《企业会计准则——基本准 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项具体会计准则、其后颁布的企业会计准则应用指南、企业会计准则解释及其他相关规定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color w:val="000000"/>
          <w:spacing w:val="0"/>
          <w:w w:val="100"/>
          <w:position w:val="0"/>
        </w:rPr>
        <w:t>一</w:t>
      </w:r>
      <w:r>
        <w:rPr>
          <w:color w:val="000000"/>
          <w:spacing w:val="0"/>
          <w:w w:val="100"/>
          <w:position w:val="0"/>
        </w:rPr>
        <w:t>企业会计准 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（2010</w:t>
      </w:r>
      <w:r>
        <w:rPr>
          <w:color w:val="000000"/>
          <w:spacing w:val="0"/>
          <w:w w:val="100"/>
          <w:position w:val="0"/>
        </w:rPr>
        <w:t>年修 订</w:t>
      </w:r>
      <w:r>
        <w:rPr>
          <w:rFonts w:ascii="Times New Roman" w:eastAsia="Times New Roman" w:hAnsi="Times New Roman" w:cs="Times New Roman"/>
          <w:color w:val="000000"/>
          <w:spacing w:val="0"/>
          <w:w w:val="100"/>
          <w:position w:val="0"/>
        </w:rPr>
        <w:t>）</w:t>
      </w:r>
      <w:r>
        <w:rPr>
          <w:color w:val="000000"/>
          <w:spacing w:val="0"/>
          <w:w w:val="100"/>
          <w:position w:val="0"/>
        </w:rPr>
        <w:t>的披露规定编制财务报表。</w:t>
      </w:r>
    </w:p>
    <w:p>
      <w:pPr>
        <w:pStyle w:val="Style35"/>
        <w:keepNext/>
        <w:keepLines/>
        <w:widowControl w:val="0"/>
        <w:shd w:val="clear" w:color="auto" w:fill="auto"/>
        <w:tabs>
          <w:tab w:pos="378" w:val="left"/>
        </w:tabs>
        <w:bidi w:val="0"/>
        <w:spacing w:before="0" w:after="280" w:line="240" w:lineRule="auto"/>
        <w:ind w:left="0" w:right="0" w:firstLine="0"/>
        <w:jc w:val="both"/>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2</w:t>
      </w:r>
      <w:bookmarkEnd w:id="366"/>
      <w:r>
        <w:rPr>
          <w:color w:val="000000"/>
          <w:spacing w:val="0"/>
          <w:w w:val="100"/>
          <w:position w:val="0"/>
        </w:rPr>
        <w:t>、</w:t>
        <w:tab/>
        <w:t>遵循企业会计准则的声明</w:t>
      </w:r>
      <w:bookmarkEnd w:id="364"/>
      <w:bookmarkEnd w:id="365"/>
      <w:bookmarkEnd w:id="367"/>
    </w:p>
    <w:p>
      <w:pPr>
        <w:pStyle w:val="Style9"/>
        <w:keepNext w:val="0"/>
        <w:keepLines w:val="0"/>
        <w:widowControl w:val="0"/>
        <w:shd w:val="clear" w:color="auto" w:fill="auto"/>
        <w:bidi w:val="0"/>
        <w:spacing w:before="0" w:after="360" w:line="307" w:lineRule="exact"/>
        <w:ind w:left="0" w:right="0" w:firstLine="0"/>
        <w:jc w:val="both"/>
      </w:pPr>
      <w:r>
        <w:rPr>
          <w:color w:val="000000"/>
          <w:spacing w:val="0"/>
          <w:w w:val="100"/>
          <w:position w:val="0"/>
        </w:rPr>
        <w:t>本公司基于上述编制基础编制的财务报表符合企业会计准则的要求，真实、完整地反映了公司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 及</w:t>
      </w:r>
      <w:r>
        <w:rPr>
          <w:rFonts w:ascii="Times New Roman" w:eastAsia="Times New Roman" w:hAnsi="Times New Roman" w:cs="Times New Roman"/>
          <w:color w:val="000000"/>
          <w:spacing w:val="0"/>
          <w:w w:val="100"/>
          <w:position w:val="0"/>
        </w:rPr>
        <w:t>2013</w:t>
      </w:r>
      <w:r>
        <w:rPr>
          <w:color w:val="000000"/>
          <w:spacing w:val="0"/>
          <w:w w:val="100"/>
          <w:position w:val="0"/>
        </w:rPr>
        <w:t>年度经营成果和现金流量等有关信息。</w:t>
      </w:r>
    </w:p>
    <w:p>
      <w:pPr>
        <w:pStyle w:val="Style35"/>
        <w:keepNext/>
        <w:keepLines/>
        <w:widowControl w:val="0"/>
        <w:shd w:val="clear" w:color="auto" w:fill="auto"/>
        <w:tabs>
          <w:tab w:pos="378" w:val="left"/>
        </w:tabs>
        <w:bidi w:val="0"/>
        <w:spacing w:before="0" w:after="280" w:line="240" w:lineRule="auto"/>
        <w:ind w:left="0" w:right="0" w:firstLine="0"/>
        <w:jc w:val="both"/>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3</w:t>
      </w:r>
      <w:bookmarkEnd w:id="370"/>
      <w:r>
        <w:rPr>
          <w:color w:val="000000"/>
          <w:spacing w:val="0"/>
          <w:w w:val="100"/>
          <w:position w:val="0"/>
        </w:rPr>
        <w:t>、</w:t>
        <w:tab/>
        <w:t>会计期间</w:t>
      </w:r>
      <w:bookmarkEnd w:id="368"/>
      <w:bookmarkEnd w:id="369"/>
      <w:bookmarkEnd w:id="371"/>
    </w:p>
    <w:p>
      <w:pPr>
        <w:pStyle w:val="Style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采用公历年度，即从每年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日为一会计年度。</w:t>
      </w:r>
    </w:p>
    <w:p>
      <w:pPr>
        <w:pStyle w:val="Style35"/>
        <w:keepNext/>
        <w:keepLines/>
        <w:widowControl w:val="0"/>
        <w:shd w:val="clear" w:color="auto" w:fill="auto"/>
        <w:tabs>
          <w:tab w:pos="378" w:val="left"/>
        </w:tabs>
        <w:bidi w:val="0"/>
        <w:spacing w:before="0" w:after="280" w:line="240" w:lineRule="auto"/>
        <w:ind w:left="0" w:right="0" w:firstLine="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4</w:t>
      </w:r>
      <w:bookmarkEnd w:id="374"/>
      <w:r>
        <w:rPr>
          <w:color w:val="000000"/>
          <w:spacing w:val="0"/>
          <w:w w:val="100"/>
          <w:position w:val="0"/>
        </w:rPr>
        <w:t>、</w:t>
        <w:tab/>
        <w:t>记账本位币</w:t>
      </w:r>
      <w:bookmarkEnd w:id="372"/>
      <w:bookmarkEnd w:id="373"/>
      <w:bookmarkEnd w:id="375"/>
    </w:p>
    <w:p>
      <w:pPr>
        <w:pStyle w:val="Style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本公司以人民币为记账本位币。</w:t>
      </w:r>
    </w:p>
    <w:p>
      <w:pPr>
        <w:pStyle w:val="Style35"/>
        <w:keepNext/>
        <w:keepLines/>
        <w:widowControl w:val="0"/>
        <w:shd w:val="clear" w:color="auto" w:fill="auto"/>
        <w:tabs>
          <w:tab w:pos="378" w:val="left"/>
        </w:tabs>
        <w:bidi w:val="0"/>
        <w:spacing w:before="0" w:after="360" w:line="240" w:lineRule="auto"/>
        <w:ind w:left="0" w:right="0" w:firstLine="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5</w:t>
      </w:r>
      <w:bookmarkEnd w:id="378"/>
      <w:r>
        <w:rPr>
          <w:color w:val="000000"/>
          <w:spacing w:val="0"/>
          <w:w w:val="100"/>
          <w:position w:val="0"/>
        </w:rPr>
        <w:t>、</w:t>
        <w:tab/>
        <w:t>同一控制下和非同一控制下企业合并的会计处理方法</w:t>
      </w:r>
      <w:bookmarkEnd w:id="376"/>
      <w:bookmarkEnd w:id="377"/>
      <w:bookmarkEnd w:id="379"/>
    </w:p>
    <w:p>
      <w:pPr>
        <w:pStyle w:val="Style38"/>
        <w:keepNext/>
        <w:keepLines/>
        <w:widowControl w:val="0"/>
        <w:shd w:val="clear" w:color="auto" w:fill="auto"/>
        <w:bidi w:val="0"/>
        <w:spacing w:before="0" w:after="280" w:line="240" w:lineRule="auto"/>
        <w:ind w:left="0" w:right="0" w:firstLine="0"/>
        <w:jc w:val="both"/>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380"/>
      <w:bookmarkEnd w:id="381"/>
      <w:bookmarkEnd w:id="383"/>
    </w:p>
    <w:p>
      <w:pPr>
        <w:pStyle w:val="Style9"/>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 xml:space="preserve">参与合并的企业在合并前后均受同一方或相同的多方最终控制，且该控制并非暂时性的，为同一控制下的企业合并。同 </w:t>
      </w:r>
      <w:r>
        <w:rPr>
          <w:color w:val="000000"/>
          <w:spacing w:val="0"/>
          <w:w w:val="100"/>
          <w:position w:val="0"/>
        </w:rPr>
        <w:t>一控制下的企业合并，在合并日取得对其他参与合并企业控制权的一方为合并方，参与合并的其他企业为被合并方。合并日 指合并方实际取得对被合并方控制权的日期。</w:t>
      </w:r>
    </w:p>
    <w:p>
      <w:pPr>
        <w:pStyle w:val="Style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合并方在企业合并中取得的资产和负债，按合并日在被合并方的账面价值计量。合并方取得的净资产账面价值与支付的 合并对价的账面价值</w:t>
      </w:r>
      <w:r>
        <w:rPr>
          <w:rFonts w:ascii="Times New Roman" w:eastAsia="Times New Roman" w:hAnsi="Times New Roman" w:cs="Times New Roman"/>
          <w:color w:val="000000"/>
          <w:spacing w:val="0"/>
          <w:w w:val="100"/>
          <w:position w:val="0"/>
        </w:rPr>
        <w:t>（</w:t>
      </w:r>
      <w:r>
        <w:rPr>
          <w:color w:val="000000"/>
          <w:spacing w:val="0"/>
          <w:w w:val="100"/>
          <w:position w:val="0"/>
        </w:rPr>
        <w:t>或发行股份面值总额</w:t>
      </w:r>
      <w:r>
        <w:rPr>
          <w:rFonts w:ascii="Times New Roman" w:eastAsia="Times New Roman" w:hAnsi="Times New Roman" w:cs="Times New Roman"/>
          <w:color w:val="000000"/>
          <w:spacing w:val="0"/>
          <w:w w:val="100"/>
          <w:position w:val="0"/>
        </w:rPr>
        <w:t>）</w:t>
      </w:r>
      <w:r>
        <w:rPr>
          <w:color w:val="000000"/>
          <w:spacing w:val="0"/>
          <w:w w:val="100"/>
          <w:position w:val="0"/>
        </w:rPr>
        <w:t>的差额，调整资本公积，资本公积不足冲减的，调整留存收益。</w:t>
      </w:r>
    </w:p>
    <w:p>
      <w:pPr>
        <w:pStyle w:val="Style9"/>
        <w:keepNext w:val="0"/>
        <w:keepLines w:val="0"/>
        <w:widowControl w:val="0"/>
        <w:shd w:val="clear" w:color="auto" w:fill="auto"/>
        <w:bidi w:val="0"/>
        <w:spacing w:before="0" w:after="360" w:line="312" w:lineRule="exact"/>
        <w:ind w:left="0" w:right="0" w:firstLine="300"/>
        <w:jc w:val="left"/>
      </w:pPr>
      <w:r>
        <w:rPr>
          <w:color w:val="000000"/>
          <w:spacing w:val="0"/>
          <w:w w:val="100"/>
          <w:position w:val="0"/>
        </w:rPr>
        <w:t>合并方为进行企业合并发生的各项直接费用，于发生时计入当期损益。</w:t>
      </w:r>
    </w:p>
    <w:p>
      <w:pPr>
        <w:pStyle w:val="Style38"/>
        <w:keepNext/>
        <w:keepLines/>
        <w:widowControl w:val="0"/>
        <w:shd w:val="clear" w:color="auto" w:fill="auto"/>
        <w:bidi w:val="0"/>
        <w:spacing w:before="0" w:after="280" w:line="240" w:lineRule="auto"/>
        <w:ind w:left="0" w:right="0" w:firstLine="0"/>
        <w:jc w:val="both"/>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384"/>
      <w:bookmarkEnd w:id="385"/>
      <w:bookmarkEnd w:id="387"/>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参与合并的企业在合并前后不受同一方或相同的多方最终控制的，为非同一控制下的企业合并。非同一控制下的企业合并， 在购买日取得对其他参与合并企业控制权的一方为购买方，参与合并的其他企业为被购买方。购买日为购买方实际取得对被 购买方控制权的日期。</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对于非同一控制下的企业合并，合并成本为购买日购买方为取得对被购买方的控制权而付出的资产、发生或承担的负债以及 发行的权益性证券的公允价值。通过多次交换交易分步实现的企业合并，合并成本为每一单项交易成本之和。在合并合同中 对可能影响合并成本的未来事项作出约定的，购买日如果估计未来事项很可能发生并且对合并成本的影响金额能够可靠计量 的，也计入合并成本。</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非同一控制下企业合并中所取得的被购买方可辨认资产、负债及或有负债在收购日以公允价值计量。</w:t>
      </w:r>
    </w:p>
    <w:p>
      <w:pPr>
        <w:pStyle w:val="Style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合并成本大于合并中取得的被购买方可辨认净资产公允价值份额的差额，确认为商誉。合并成本小于合并中取得的被购买方 可辨认净资产公允价值份额的，首先对取得的被购买方各项可辨认资产、负债及或有负债的公允价值以及合并成本的计量进 行复核，复核后合并成本仍小于合并中取得的被购买方可辨认净资产公允价值份额的，其差额计入当期损益。</w:t>
      </w:r>
    </w:p>
    <w:p>
      <w:pPr>
        <w:pStyle w:val="Style35"/>
        <w:keepNext/>
        <w:keepLines/>
        <w:widowControl w:val="0"/>
        <w:shd w:val="clear" w:color="auto" w:fill="auto"/>
        <w:tabs>
          <w:tab w:pos="378" w:val="left"/>
        </w:tabs>
        <w:bidi w:val="0"/>
        <w:spacing w:before="0" w:after="360" w:line="240" w:lineRule="auto"/>
        <w:ind w:left="0" w:right="0" w:firstLine="0"/>
        <w:jc w:val="both"/>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6</w:t>
      </w:r>
      <w:bookmarkEnd w:id="390"/>
      <w:r>
        <w:rPr>
          <w:color w:val="000000"/>
          <w:spacing w:val="0"/>
          <w:w w:val="100"/>
          <w:position w:val="0"/>
        </w:rPr>
        <w:t>、</w:t>
        <w:tab/>
        <w:t>合并财务报表的编制方法</w:t>
      </w:r>
      <w:bookmarkEnd w:id="388"/>
      <w:bookmarkEnd w:id="389"/>
      <w:bookmarkEnd w:id="391"/>
    </w:p>
    <w:p>
      <w:pPr>
        <w:pStyle w:val="Style38"/>
        <w:keepNext/>
        <w:keepLines/>
        <w:widowControl w:val="0"/>
        <w:shd w:val="clear" w:color="auto" w:fill="auto"/>
        <w:tabs>
          <w:tab w:pos="488" w:val="left"/>
        </w:tabs>
        <w:bidi w:val="0"/>
        <w:spacing w:before="0" w:after="280" w:line="240" w:lineRule="auto"/>
        <w:ind w:left="0" w:right="0" w:firstLine="0"/>
        <w:jc w:val="both"/>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合并财务报表的编制方法</w:t>
      </w:r>
      <w:bookmarkEnd w:id="392"/>
      <w:bookmarkEnd w:id="393"/>
      <w:bookmarkEnd w:id="395"/>
    </w:p>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合并财务报表的合并范围以控制为基础确定，包括本公司及全部子公司截至本报告期末的财务报表。子公司指被本公司控制 的被投资单位。</w:t>
      </w:r>
    </w:p>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编制合并财务报表时，子公司采用与本公司一致的会计年度和会计政策。</w:t>
      </w:r>
    </w:p>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本公司内部各公司之间的所有重大交易及往来于合并时全额抵消。</w:t>
      </w:r>
    </w:p>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纳入合并范围的子公司的所有者权益中不属于本公司所拥有的部分作为少数股东权益在合并财务报表中单独列示。</w:t>
      </w:r>
    </w:p>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对于通过非同一控制下的企业合并取得的子公司，被购买方的经营成果和现金流量自本公司取得控制权之日起纳入合并财务 报表，直至本公司对其控制权终止。在编制合并财务报表时，以购买日确定的各项可辨认资产、负债及或有负债的公允价值 为基础对子公司的财务报表进行调整。</w:t>
      </w:r>
    </w:p>
    <w:p>
      <w:pPr>
        <w:pStyle w:val="Style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对于通过同一控制下的企业合并取得的子公司，被合并方的经营成果和现金流量自合并当期期初纳入合并财务报表。编制比 较合并财务报表时，对前期财务报表的相关项目进行调整，视同合并后形成的报告主体自最终控制方开始实施控制时一直存 在。</w:t>
      </w:r>
    </w:p>
    <w:p>
      <w:pPr>
        <w:pStyle w:val="Style38"/>
        <w:keepNext/>
        <w:keepLines/>
        <w:widowControl w:val="0"/>
        <w:shd w:val="clear" w:color="auto" w:fill="auto"/>
        <w:tabs>
          <w:tab w:pos="488" w:val="left"/>
        </w:tabs>
        <w:bidi w:val="0"/>
        <w:spacing w:before="0" w:after="280" w:line="240" w:lineRule="auto"/>
        <w:ind w:left="0" w:right="0" w:firstLine="0"/>
        <w:jc w:val="both"/>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2</w:t>
      </w:r>
      <w:r>
        <w:rPr>
          <w:color w:val="000000"/>
          <w:spacing w:val="0"/>
          <w:w w:val="100"/>
          <w:position w:val="0"/>
        </w:rPr>
        <w:t>）</w:t>
        <w:tab/>
        <w:t>对同一子公司的股权在连续两个会计年度买入再卖出，或卖出再买入的应披露相关的会计处理方法</w:t>
      </w:r>
      <w:bookmarkEnd w:id="396"/>
      <w:bookmarkEnd w:id="397"/>
      <w:bookmarkEnd w:id="399"/>
    </w:p>
    <w:p>
      <w:pPr>
        <w:pStyle w:val="Style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无</w:t>
      </w:r>
    </w:p>
    <w:p>
      <w:pPr>
        <w:pStyle w:val="Style35"/>
        <w:keepNext/>
        <w:keepLines/>
        <w:widowControl w:val="0"/>
        <w:shd w:val="clear" w:color="auto" w:fill="auto"/>
        <w:tabs>
          <w:tab w:pos="378" w:val="left"/>
        </w:tabs>
        <w:bidi w:val="0"/>
        <w:spacing w:before="0" w:after="280" w:line="240" w:lineRule="auto"/>
        <w:ind w:left="0" w:right="0" w:firstLine="0"/>
        <w:jc w:val="both"/>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7</w:t>
      </w:r>
      <w:bookmarkEnd w:id="402"/>
      <w:r>
        <w:rPr>
          <w:color w:val="000000"/>
          <w:spacing w:val="0"/>
          <w:w w:val="100"/>
          <w:position w:val="0"/>
        </w:rPr>
        <w:t>、</w:t>
        <w:tab/>
        <w:t>现金及现金等价物的确定标准</w:t>
      </w:r>
      <w:bookmarkEnd w:id="400"/>
      <w:bookmarkEnd w:id="401"/>
      <w:bookmarkEnd w:id="403"/>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现金指本公司的库存现金以及随时用于支付的存款。</w:t>
      </w:r>
    </w:p>
    <w:p>
      <w:pPr>
        <w:pStyle w:val="Style9"/>
        <w:keepNext w:val="0"/>
        <w:keepLines w:val="0"/>
        <w:widowControl w:val="0"/>
        <w:shd w:val="clear" w:color="auto" w:fill="auto"/>
        <w:bidi w:val="0"/>
        <w:spacing w:before="0" w:after="320" w:line="326" w:lineRule="exact"/>
        <w:ind w:left="0" w:right="0" w:firstLine="0"/>
        <w:jc w:val="both"/>
      </w:pPr>
      <w:r>
        <w:rPr>
          <w:color w:val="000000"/>
          <w:spacing w:val="0"/>
          <w:w w:val="100"/>
          <w:position w:val="0"/>
        </w:rPr>
        <w:t>现金等价物是指本公司及其子公司持有的期限短（一般指购买日起</w:t>
      </w:r>
      <w:r>
        <w:rPr>
          <w:rFonts w:ascii="Times New Roman" w:eastAsia="Times New Roman" w:hAnsi="Times New Roman" w:cs="Times New Roman"/>
          <w:color w:val="000000"/>
          <w:spacing w:val="0"/>
          <w:w w:val="100"/>
          <w:position w:val="0"/>
        </w:rPr>
        <w:t>3</w:t>
      </w:r>
      <w:r>
        <w:rPr>
          <w:color w:val="000000"/>
          <w:spacing w:val="0"/>
          <w:w w:val="100"/>
          <w:position w:val="0"/>
        </w:rPr>
        <w:t>个月内到期）、流动性强、易于转换为已知金额现金且 价值变动风险很小的投资。</w:t>
      </w:r>
    </w:p>
    <w:p>
      <w:pPr>
        <w:pStyle w:val="Style35"/>
        <w:keepNext/>
        <w:keepLines/>
        <w:widowControl w:val="0"/>
        <w:shd w:val="clear" w:color="auto" w:fill="auto"/>
        <w:tabs>
          <w:tab w:pos="386" w:val="left"/>
        </w:tabs>
        <w:bidi w:val="0"/>
        <w:spacing w:before="0" w:after="360" w:line="240" w:lineRule="auto"/>
        <w:ind w:left="0" w:right="0" w:firstLine="0"/>
        <w:jc w:val="both"/>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8</w:t>
      </w:r>
      <w:bookmarkEnd w:id="406"/>
      <w:r>
        <w:rPr>
          <w:color w:val="000000"/>
          <w:spacing w:val="0"/>
          <w:w w:val="100"/>
          <w:position w:val="0"/>
        </w:rPr>
        <w:t>、</w:t>
        <w:tab/>
        <w:t>外币业务和外币报表折算</w:t>
      </w:r>
      <w:bookmarkEnd w:id="404"/>
      <w:bookmarkEnd w:id="405"/>
      <w:bookmarkEnd w:id="407"/>
    </w:p>
    <w:p>
      <w:pPr>
        <w:pStyle w:val="Style38"/>
        <w:keepNext/>
        <w:keepLines/>
        <w:widowControl w:val="0"/>
        <w:shd w:val="clear" w:color="auto" w:fill="auto"/>
        <w:tabs>
          <w:tab w:pos="453" w:val="left"/>
        </w:tabs>
        <w:bidi w:val="0"/>
        <w:spacing w:before="0" w:after="260" w:line="240" w:lineRule="auto"/>
        <w:ind w:left="0" w:right="0" w:firstLine="0"/>
        <w:jc w:val="both"/>
      </w:pPr>
      <w:bookmarkStart w:id="408" w:name="bookmark408"/>
      <w:bookmarkStart w:id="409" w:name="bookmark409"/>
      <w:bookmarkStart w:id="410" w:name="bookmark410"/>
      <w:bookmarkStart w:id="411" w:name="bookmark411"/>
      <w:r>
        <w:rPr>
          <w:color w:val="000000"/>
          <w:spacing w:val="0"/>
          <w:w w:val="100"/>
          <w:position w:val="0"/>
        </w:rPr>
        <w:t>（</w:t>
      </w:r>
      <w:bookmarkEnd w:id="410"/>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408"/>
      <w:bookmarkEnd w:id="409"/>
      <w:bookmarkEnd w:id="411"/>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本公司外币交易均按交易发生日的即期近似汇率折算为记账本位币。该即期近似汇率指交易发生日当月月初的汇率。在资产 负债表日，应当按照下列规定对外币货币性项目和外币非货币性项目进行处理：</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 xml:space="preserve">外币货币性项目，采用资产负债表日即 期汇率折算。因资产负债表日即期汇率与初始确认时或前一资产负债表日即期汇率不同而产生的汇兑差额，计入当期损益。 </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以历史成本计量的外币非货币性项目，仍采用交易发生日的即期汇率折算，不改变其记账本位币金额。</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以公允价值计 量的外币非货币性项目，采用公允价值确定日的即期汇率折算，折算后的记账本位币金额与原记账本位币金额的差额，作为 公允价值变动处理，计入当期损益。</w:t>
      </w:r>
    </w:p>
    <w:p>
      <w:pPr>
        <w:pStyle w:val="Style38"/>
        <w:keepNext/>
        <w:keepLines/>
        <w:widowControl w:val="0"/>
        <w:shd w:val="clear" w:color="auto" w:fill="auto"/>
        <w:tabs>
          <w:tab w:pos="453" w:val="left"/>
        </w:tabs>
        <w:bidi w:val="0"/>
        <w:spacing w:before="0" w:after="26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w:t>
      </w:r>
      <w:bookmarkEnd w:id="414"/>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412"/>
      <w:bookmarkEnd w:id="413"/>
      <w:bookmarkEnd w:id="415"/>
    </w:p>
    <w:p>
      <w:pPr>
        <w:pStyle w:val="Style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以外币为本位币的子公司，在编制折合人民币财务报表时，采用现行汇率法，即所有资产、负债及损益类项目按照合并会计 报表决算日的市场汇率折算为母公司记账本位币，所有者权益类项目除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项目外，均按照发生时的市场汇率折算 为母公司本位币。由于折算汇率不同产生的折算差额，在折合人民币资产负债表所有者权益类设外币报表折算差额项目反映。</w:t>
      </w:r>
    </w:p>
    <w:p>
      <w:pPr>
        <w:pStyle w:val="Style35"/>
        <w:keepNext/>
        <w:keepLines/>
        <w:widowControl w:val="0"/>
        <w:shd w:val="clear" w:color="auto" w:fill="auto"/>
        <w:tabs>
          <w:tab w:pos="386" w:val="left"/>
        </w:tabs>
        <w:bidi w:val="0"/>
        <w:spacing w:before="0" w:after="36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9</w:t>
      </w:r>
      <w:bookmarkEnd w:id="418"/>
      <w:r>
        <w:rPr>
          <w:color w:val="000000"/>
          <w:spacing w:val="0"/>
          <w:w w:val="100"/>
          <w:position w:val="0"/>
        </w:rPr>
        <w:t>、</w:t>
        <w:tab/>
        <w:t>金融工具</w:t>
      </w:r>
      <w:bookmarkEnd w:id="416"/>
      <w:bookmarkEnd w:id="417"/>
      <w:bookmarkEnd w:id="419"/>
    </w:p>
    <w:p>
      <w:pPr>
        <w:pStyle w:val="Style38"/>
        <w:keepNext/>
        <w:keepLines/>
        <w:widowControl w:val="0"/>
        <w:shd w:val="clear" w:color="auto" w:fill="auto"/>
        <w:tabs>
          <w:tab w:pos="453" w:val="left"/>
        </w:tabs>
        <w:bidi w:val="0"/>
        <w:spacing w:before="0" w:after="26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420"/>
      <w:bookmarkEnd w:id="421"/>
      <w:bookmarkEnd w:id="423"/>
    </w:p>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金融工具划分为金融资产或金融负债。</w:t>
      </w:r>
    </w:p>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金融资产于初始确认时分类为：以公允价值计量且其变动计入当期损益的金融资产（包括交易性金融资产和指定为以公允价 值计量且其变动计入当期损益的金融资产）、持有至到期投资、贷款和应收款项、可供出售金融资产。除应收款项以外的金 融资产的分类取决于本公司及其子公司对金融资产的持有意图和持有能力等。</w:t>
      </w:r>
    </w:p>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金融负债于初始确认时分类为：以公允价值计量且其变动计入当期损益的金融负债（包括交易性金融负债和指定为以公允价 值计量且其变动计入当期损益的金融负债）以及其他金融负债。</w:t>
      </w:r>
    </w:p>
    <w:p>
      <w:pPr>
        <w:pStyle w:val="Style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本公司成为金融工具合同的一方时，确认为一项金融资产或金融负债。</w:t>
      </w:r>
    </w:p>
    <w:p>
      <w:pPr>
        <w:pStyle w:val="Style38"/>
        <w:keepNext/>
        <w:keepLines/>
        <w:widowControl w:val="0"/>
        <w:shd w:val="clear" w:color="auto" w:fill="auto"/>
        <w:tabs>
          <w:tab w:pos="453" w:val="left"/>
        </w:tabs>
        <w:bidi w:val="0"/>
        <w:spacing w:before="0" w:after="26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w:t>
      </w:r>
      <w:bookmarkEnd w:id="426"/>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424"/>
      <w:bookmarkEnd w:id="425"/>
      <w:bookmarkEnd w:id="427"/>
    </w:p>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本公司金融资产或金融负债初始确认按公允价值计量。后续计量则分类进行处理：以公允价值计量且其变动计入当期损益的 金融资产、可供出售金融资产及以公允价值计量且其变动计入当期损益的金融负债按公允价值计量；财务担保合同及以低于 市场利率贷款的贷款承诺，在初始确认后按照《企业会计准则第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w:t>
      </w:r>
      <w:r>
        <w:rPr>
          <w:color w:val="000000"/>
          <w:spacing w:val="0"/>
          <w:w w:val="100"/>
          <w:position w:val="0"/>
        </w:rPr>
        <w:t>或有事项》确定的金额和初始确认金额扣除按照《企 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收入》的原则确定的累计摊销额后的余额之中的较高者进行后续计量；持有到期投资、贷款和应收款项 以及其他金融负债按摊余成本计量。</w:t>
      </w:r>
    </w:p>
    <w:p>
      <w:pPr>
        <w:pStyle w:val="Style9"/>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本公司金融资产或金融负债后续计量中公允价值变动形成的利得或损失，除与套期保值有关外，按照如下方法处理：①以公 允价值计量且其变动计入当期损益的金融资产或金融负债公允价值变动形成的利得或损失，计入公允价值变动损益；在资产 持有期间所取得的利息或现金股利，确认为投资收益；处置时，将实际收到的金额与初始入账金额之间的差额确认为投资收 益，同时调整公允价值变动损益。②可供出售金融资产的公允价值变动计入资本公积；持有期间按实际利率法计算的利息， 计入投资收益；可供出售权益工具投资的现金股利，于被投资单位宣告发放股利时计入投资收益；处置时，将实际收到的金 额与账面价值扣除原直接计入资本公积的公允价值变动累计额之后的差额确认为投资收益。</w:t>
      </w:r>
    </w:p>
    <w:p>
      <w:pPr>
        <w:pStyle w:val="Style38"/>
        <w:keepNext/>
        <w:keepLines/>
        <w:widowControl w:val="0"/>
        <w:shd w:val="clear" w:color="auto" w:fill="auto"/>
        <w:bidi w:val="0"/>
        <w:spacing w:before="0" w:after="26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w:t>
      </w:r>
      <w:bookmarkEnd w:id="430"/>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428"/>
      <w:bookmarkEnd w:id="429"/>
      <w:bookmarkEnd w:id="431"/>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本公司金融资产转移的确认依据：金融资产所有权上几乎所有的风险和报酬转移时，或既没有转移也没有保留金融资产所有 权上几乎所有的风险和报酬，但放弃了对该金融资产控制的，应当终止确认该项金融资产。</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本公司金融资产转移的计量：金融资产满足终止确认条件，应进行金融资产转移的计量，即将所转移金融资产的账面价值与 因转移而收到的对价和原直接计入资本公积的公允价值变动累计额之和的差额部分，计入当期损益。</w:t>
      </w:r>
    </w:p>
    <w:p>
      <w:pPr>
        <w:pStyle w:val="Style9"/>
        <w:keepNext w:val="0"/>
        <w:keepLines w:val="0"/>
        <w:widowControl w:val="0"/>
        <w:shd w:val="clear" w:color="auto" w:fill="auto"/>
        <w:bidi w:val="0"/>
        <w:spacing w:before="0" w:after="680" w:line="312" w:lineRule="exact"/>
        <w:ind w:left="0" w:right="0" w:firstLine="0"/>
        <w:jc w:val="left"/>
      </w:pPr>
      <w:r>
        <w:rPr>
          <w:color w:val="000000"/>
          <w:spacing w:val="0"/>
          <w:w w:val="100"/>
          <w:position w:val="0"/>
        </w:rPr>
        <w:t>金融资产部分转移满足终止确认条件的，将所转移金融资产整体的账面价值，在终止确认部分和未终止确认部分之间，按照 各自的相对公允价值进行分摊，并将终止确认部分的账面价值与终止确认部分的收到对价和原直接计入资本公积的公允价值 变动累计额之和的差额部分，计入当期损益。</w:t>
      </w:r>
    </w:p>
    <w:p>
      <w:pPr>
        <w:pStyle w:val="Style38"/>
        <w:keepNext/>
        <w:keepLines/>
        <w:widowControl w:val="0"/>
        <w:shd w:val="clear" w:color="auto" w:fill="auto"/>
        <w:bidi w:val="0"/>
        <w:spacing w:before="0" w:after="380" w:line="240" w:lineRule="auto"/>
        <w:ind w:left="0" w:right="0" w:firstLine="140"/>
        <w:jc w:val="both"/>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w:t>
      </w:r>
      <w:bookmarkEnd w:id="434"/>
      <w:r>
        <w:rPr>
          <w:rFonts w:ascii="Times New Roman" w:eastAsia="Times New Roman" w:hAnsi="Times New Roman" w:cs="Times New Roman"/>
          <w:color w:val="000000"/>
          <w:spacing w:val="0"/>
          <w:w w:val="100"/>
          <w:position w:val="0"/>
        </w:rPr>
        <w:t>4</w:t>
      </w:r>
      <w:r>
        <w:rPr>
          <w:color w:val="000000"/>
          <w:spacing w:val="0"/>
          <w:w w:val="100"/>
          <w:position w:val="0"/>
        </w:rPr>
        <w:t>）金融负债终止确认条件</w:t>
      </w:r>
      <w:bookmarkEnd w:id="432"/>
      <w:bookmarkEnd w:id="433"/>
      <w:bookmarkEnd w:id="435"/>
    </w:p>
    <w:p>
      <w:pPr>
        <w:pStyle w:val="Style9"/>
        <w:keepNext w:val="0"/>
        <w:keepLines w:val="0"/>
        <w:widowControl w:val="0"/>
        <w:shd w:val="clear" w:color="auto" w:fill="auto"/>
        <w:bidi w:val="0"/>
        <w:spacing w:before="0" w:after="680" w:line="240" w:lineRule="auto"/>
        <w:ind w:left="0" w:right="0" w:firstLine="500"/>
        <w:jc w:val="left"/>
      </w:pPr>
      <w:r>
        <w:rPr>
          <w:color w:val="000000"/>
          <w:spacing w:val="0"/>
          <w:w w:val="100"/>
          <w:position w:val="0"/>
        </w:rPr>
        <w:t>本公司金融负债终止确认条件：金融负债的现时义务全部或部分已经解除的，则应终止确认该金融负债或其一部分。</w:t>
      </w:r>
    </w:p>
    <w:p>
      <w:pPr>
        <w:pStyle w:val="Style38"/>
        <w:keepNext/>
        <w:keepLines/>
        <w:widowControl w:val="0"/>
        <w:shd w:val="clear" w:color="auto" w:fill="auto"/>
        <w:bidi w:val="0"/>
        <w:spacing w:before="0" w:after="260" w:line="240" w:lineRule="auto"/>
        <w:ind w:left="0" w:right="0" w:firstLine="0"/>
        <w:jc w:val="both"/>
      </w:pPr>
      <w:bookmarkStart w:id="436" w:name="bookmark436"/>
      <w:bookmarkStart w:id="437" w:name="bookmark437"/>
      <w:bookmarkStart w:id="438" w:name="bookmark438"/>
      <w:bookmarkStart w:id="439" w:name="bookmark439"/>
      <w:r>
        <w:rPr>
          <w:color w:val="000000"/>
          <w:spacing w:val="0"/>
          <w:w w:val="100"/>
          <w:position w:val="0"/>
        </w:rPr>
        <w:t>（</w:t>
      </w:r>
      <w:bookmarkEnd w:id="438"/>
      <w:r>
        <w:rPr>
          <w:rFonts w:ascii="Times New Roman" w:eastAsia="Times New Roman" w:hAnsi="Times New Roman" w:cs="Times New Roman"/>
          <w:color w:val="000000"/>
          <w:spacing w:val="0"/>
          <w:w w:val="100"/>
          <w:position w:val="0"/>
        </w:rPr>
        <w:t>5</w:t>
      </w:r>
      <w:r>
        <w:rPr>
          <w:color w:val="000000"/>
          <w:spacing w:val="0"/>
          <w:w w:val="100"/>
          <w:position w:val="0"/>
        </w:rPr>
        <w:t>）金融资产和金融负债公允价值的确定方法</w:t>
      </w:r>
      <w:bookmarkEnd w:id="436"/>
      <w:bookmarkEnd w:id="437"/>
      <w:bookmarkEnd w:id="439"/>
    </w:p>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本公司对金融资产和金融负债的公允价值的确认方法：如存在活跃市场的金融工具，以活跃市场中的报价确定其公允价值; 如不存在活跃市场的金融工具，采用估值技术确定其公允价值。</w:t>
      </w:r>
    </w:p>
    <w:p>
      <w:pPr>
        <w:pStyle w:val="Style9"/>
        <w:keepNext w:val="0"/>
        <w:keepLines w:val="0"/>
        <w:widowControl w:val="0"/>
        <w:shd w:val="clear" w:color="auto" w:fill="auto"/>
        <w:bidi w:val="0"/>
        <w:spacing w:before="0" w:after="680" w:line="310" w:lineRule="exact"/>
        <w:ind w:left="0" w:right="0" w:firstLine="0"/>
        <w:jc w:val="both"/>
      </w:pPr>
      <w:r>
        <w:rPr>
          <w:color w:val="000000"/>
          <w:spacing w:val="0"/>
          <w:w w:val="100"/>
          <w:position w:val="0"/>
        </w:rPr>
        <w:t>估值技术包括参考熟悉情况并自愿交易的各方最近进行的市场交易中使用的价格、参照实质上相同的其他金融资产的当前公 允价值、现金流量折现法等。采用估值技术时，优先最大程度使用市场参数，减少使用与本公司及其子公司特定相关的参数。</w:t>
      </w:r>
    </w:p>
    <w:p>
      <w:pPr>
        <w:pStyle w:val="Style38"/>
        <w:keepNext/>
        <w:keepLines/>
        <w:widowControl w:val="0"/>
        <w:shd w:val="clear" w:color="auto" w:fill="auto"/>
        <w:bidi w:val="0"/>
        <w:spacing w:before="0" w:after="260" w:line="240" w:lineRule="auto"/>
        <w:ind w:left="0" w:right="0" w:firstLine="0"/>
        <w:jc w:val="both"/>
      </w:pPr>
      <w:bookmarkStart w:id="440" w:name="bookmark440"/>
      <w:bookmarkStart w:id="441" w:name="bookmark441"/>
      <w:bookmarkStart w:id="442" w:name="bookmark442"/>
      <w:bookmarkStart w:id="443" w:name="bookmark443"/>
      <w:r>
        <w:rPr>
          <w:color w:val="000000"/>
          <w:spacing w:val="0"/>
          <w:w w:val="100"/>
          <w:position w:val="0"/>
        </w:rPr>
        <w:t>（</w:t>
      </w:r>
      <w:bookmarkEnd w:id="442"/>
      <w:r>
        <w:rPr>
          <w:rFonts w:ascii="Times New Roman" w:eastAsia="Times New Roman" w:hAnsi="Times New Roman" w:cs="Times New Roman"/>
          <w:color w:val="000000"/>
          <w:spacing w:val="0"/>
          <w:w w:val="100"/>
          <w:position w:val="0"/>
        </w:rPr>
        <w:t>6</w:t>
      </w:r>
      <w:r>
        <w:rPr>
          <w:color w:val="000000"/>
          <w:spacing w:val="0"/>
          <w:w w:val="100"/>
          <w:position w:val="0"/>
        </w:rPr>
        <w:t>）金融资产（不含应收款项）减值测试方法、减值准备计提方法</w:t>
      </w:r>
      <w:bookmarkEnd w:id="440"/>
      <w:bookmarkEnd w:id="441"/>
      <w:bookmarkEnd w:id="443"/>
    </w:p>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本公司在资产负债日对除以公允价值计量且变动计入当期损益的金融资产以外的金融资产的账面价值进行减值检查，当客观 证据表明金融资产发生减值，则应当对该金融资产进行减值测试，以根据测试结果计提减值准备。</w:t>
      </w:r>
    </w:p>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本公司对单项金额重大的金融资产单独进行减值测试；对单项金额不重大的金融资产，单独进行减值测试或包括在具有类似 信用风险特征的金融资产组合中进行减值测试。单独测试未发生减值的金融资产</w:t>
      </w:r>
      <w:r>
        <w:rPr>
          <w:rFonts w:ascii="Times New Roman" w:eastAsia="Times New Roman" w:hAnsi="Times New Roman" w:cs="Times New Roman"/>
          <w:color w:val="000000"/>
          <w:spacing w:val="0"/>
          <w:w w:val="100"/>
          <w:position w:val="0"/>
        </w:rPr>
        <w:t>（</w:t>
      </w:r>
      <w:r>
        <w:rPr>
          <w:color w:val="000000"/>
          <w:spacing w:val="0"/>
          <w:w w:val="100"/>
          <w:position w:val="0"/>
        </w:rPr>
        <w:t>包括单项金额重大和不重大的金融资产</w:t>
      </w:r>
      <w:r>
        <w:rPr>
          <w:rFonts w:ascii="Times New Roman" w:eastAsia="Times New Roman" w:hAnsi="Times New Roman" w:cs="Times New Roman"/>
          <w:color w:val="000000"/>
          <w:spacing w:val="0"/>
          <w:w w:val="100"/>
          <w:position w:val="0"/>
        </w:rPr>
        <w:t>）</w:t>
      </w:r>
      <w:r>
        <w:rPr>
          <w:color w:val="000000"/>
          <w:spacing w:val="0"/>
          <w:w w:val="100"/>
          <w:position w:val="0"/>
        </w:rPr>
        <w:t>， 包括在具有类似信用风险特征的金融资产组合中再进行减值测试。已单项确认减值损失的金融资产，不包括在具有类似信用 风险特征的金融资产组合中进行减值测试。</w:t>
      </w:r>
    </w:p>
    <w:p>
      <w:pPr>
        <w:pStyle w:val="Style9"/>
        <w:keepNext w:val="0"/>
        <w:keepLines w:val="0"/>
        <w:widowControl w:val="0"/>
        <w:shd w:val="clear" w:color="auto" w:fill="auto"/>
        <w:bidi w:val="0"/>
        <w:spacing w:before="0" w:after="760" w:line="314" w:lineRule="exact"/>
        <w:ind w:left="0" w:right="0" w:firstLine="0"/>
        <w:jc w:val="both"/>
      </w:pPr>
      <w:r>
        <w:rPr>
          <w:color w:val="000000"/>
          <w:spacing w:val="0"/>
          <w:w w:val="100"/>
          <w:position w:val="0"/>
        </w:rPr>
        <w:t>持有至到期投资、贷款发生减值时，将其账面价值减记至预计未来现金流量现值，减记金额确认为减值损失，计入当期损益。 可供出售金融资产发生减值时，将原直接计入资本公积的因公允价值下降形成的累计损失予以转出并计入当期损益，该转出 的累计损失为该资产初始取得成本扣除已收回本金和已摊销金额、当前公允价值和原已计入损益的减值损失后的余额。</w:t>
      </w:r>
    </w:p>
    <w:p>
      <w:pPr>
        <w:pStyle w:val="Style9"/>
        <w:keepNext w:val="0"/>
        <w:keepLines w:val="0"/>
        <w:widowControl w:val="0"/>
        <w:shd w:val="clear" w:color="auto" w:fill="auto"/>
        <w:bidi w:val="0"/>
        <w:spacing w:before="0" w:after="1020" w:line="240" w:lineRule="auto"/>
        <w:ind w:left="0" w:right="0" w:firstLine="0"/>
        <w:jc w:val="both"/>
      </w:pPr>
      <w:r>
        <w:rPr>
          <w:color w:val="000000"/>
          <w:spacing w:val="0"/>
          <w:w w:val="100"/>
          <w:position w:val="0"/>
        </w:rPr>
        <w:t>各类可供出售金融资产减值的各项认定标准</w:t>
      </w:r>
    </w:p>
    <w:p>
      <w:pPr>
        <w:pStyle w:val="Style38"/>
        <w:keepNext/>
        <w:keepLines/>
        <w:widowControl w:val="0"/>
        <w:shd w:val="clear" w:color="auto" w:fill="auto"/>
        <w:bidi w:val="0"/>
        <w:spacing w:before="0" w:after="380" w:line="240" w:lineRule="auto"/>
        <w:ind w:left="0" w:right="0" w:firstLine="0"/>
        <w:jc w:val="both"/>
      </w:pPr>
      <w:bookmarkStart w:id="444" w:name="bookmark444"/>
      <w:bookmarkStart w:id="445" w:name="bookmark445"/>
      <w:bookmarkStart w:id="446" w:name="bookmark446"/>
      <w:bookmarkStart w:id="447" w:name="bookmark447"/>
      <w:r>
        <w:rPr>
          <w:color w:val="000000"/>
          <w:spacing w:val="0"/>
          <w:w w:val="100"/>
          <w:position w:val="0"/>
        </w:rPr>
        <w:t>（</w:t>
      </w:r>
      <w:bookmarkEnd w:id="446"/>
      <w:r>
        <w:rPr>
          <w:rFonts w:ascii="Times New Roman" w:eastAsia="Times New Roman" w:hAnsi="Times New Roman" w:cs="Times New Roman"/>
          <w:color w:val="000000"/>
          <w:spacing w:val="0"/>
          <w:w w:val="100"/>
          <w:position w:val="0"/>
        </w:rPr>
        <w:t>7</w:t>
      </w:r>
      <w:r>
        <w:rPr>
          <w:color w:val="000000"/>
          <w:spacing w:val="0"/>
          <w:w w:val="100"/>
          <w:position w:val="0"/>
        </w:rPr>
        <w:t>）将尚未到期的持有至到期投资重分类为可供出售金融资产的，说明持有意图或能力发生改变的依据</w:t>
      </w:r>
      <w:bookmarkEnd w:id="444"/>
      <w:bookmarkEnd w:id="445"/>
      <w:bookmarkEnd w:id="447"/>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尚未到期的持有至到期投资重分类为可供出售金融资产主要判断依据：</w:t>
      </w:r>
    </w:p>
    <w:p>
      <w:pPr>
        <w:pStyle w:val="Style9"/>
        <w:keepNext w:val="0"/>
        <w:keepLines w:val="0"/>
        <w:widowControl w:val="0"/>
        <w:numPr>
          <w:ilvl w:val="0"/>
          <w:numId w:val="1"/>
        </w:numPr>
        <w:shd w:val="clear" w:color="auto" w:fill="auto"/>
        <w:tabs>
          <w:tab w:pos="373" w:val="left"/>
        </w:tabs>
        <w:bidi w:val="0"/>
        <w:spacing w:before="0" w:after="100" w:line="240" w:lineRule="auto"/>
        <w:ind w:left="0" w:right="0" w:firstLine="0"/>
        <w:jc w:val="left"/>
      </w:pPr>
      <w:bookmarkStart w:id="448" w:name="bookmark448"/>
      <w:bookmarkEnd w:id="448"/>
      <w:r>
        <w:rPr>
          <w:color w:val="000000"/>
          <w:spacing w:val="0"/>
          <w:w w:val="100"/>
          <w:position w:val="0"/>
        </w:rPr>
        <w:t>没有可利用的财务资源持续地为该金融资产投资提供资金支持，以使该金融资产投资持有至到期;</w:t>
      </w:r>
    </w:p>
    <w:p>
      <w:pPr>
        <w:pStyle w:val="Style9"/>
        <w:keepNext w:val="0"/>
        <w:keepLines w:val="0"/>
        <w:widowControl w:val="0"/>
        <w:numPr>
          <w:ilvl w:val="0"/>
          <w:numId w:val="1"/>
        </w:numPr>
        <w:shd w:val="clear" w:color="auto" w:fill="auto"/>
        <w:tabs>
          <w:tab w:pos="373" w:val="left"/>
        </w:tabs>
        <w:bidi w:val="0"/>
        <w:spacing w:before="0" w:after="100" w:line="240" w:lineRule="auto"/>
        <w:ind w:left="0" w:right="0" w:firstLine="0"/>
        <w:jc w:val="left"/>
      </w:pPr>
      <w:bookmarkStart w:id="449" w:name="bookmark449"/>
      <w:bookmarkEnd w:id="449"/>
      <w:r>
        <w:rPr>
          <w:color w:val="000000"/>
          <w:spacing w:val="0"/>
          <w:w w:val="100"/>
          <w:position w:val="0"/>
        </w:rPr>
        <w:t>管理层没有意图持有至到期；</w:t>
      </w:r>
    </w:p>
    <w:p>
      <w:pPr>
        <w:pStyle w:val="Style9"/>
        <w:keepNext w:val="0"/>
        <w:keepLines w:val="0"/>
        <w:widowControl w:val="0"/>
        <w:numPr>
          <w:ilvl w:val="0"/>
          <w:numId w:val="1"/>
        </w:numPr>
        <w:shd w:val="clear" w:color="auto" w:fill="auto"/>
        <w:tabs>
          <w:tab w:pos="373" w:val="left"/>
        </w:tabs>
        <w:bidi w:val="0"/>
        <w:spacing w:before="0" w:after="100" w:line="240" w:lineRule="auto"/>
        <w:ind w:left="0" w:right="0" w:firstLine="0"/>
        <w:jc w:val="left"/>
      </w:pPr>
      <w:bookmarkStart w:id="450" w:name="bookmark450"/>
      <w:bookmarkEnd w:id="450"/>
      <w:r>
        <w:rPr>
          <w:color w:val="000000"/>
          <w:spacing w:val="0"/>
          <w:w w:val="100"/>
          <w:position w:val="0"/>
        </w:rPr>
        <w:t>受法律、行政法规的限制或其他原因，难以将该金融资产持有至到期；</w:t>
      </w:r>
    </w:p>
    <w:p>
      <w:pPr>
        <w:pStyle w:val="Style9"/>
        <w:keepNext w:val="0"/>
        <w:keepLines w:val="0"/>
        <w:widowControl w:val="0"/>
        <w:numPr>
          <w:ilvl w:val="0"/>
          <w:numId w:val="1"/>
        </w:numPr>
        <w:shd w:val="clear" w:color="auto" w:fill="auto"/>
        <w:tabs>
          <w:tab w:pos="373" w:val="left"/>
        </w:tabs>
        <w:bidi w:val="0"/>
        <w:spacing w:before="0" w:after="100" w:line="240" w:lineRule="auto"/>
        <w:ind w:left="0" w:right="0" w:firstLine="0"/>
        <w:jc w:val="left"/>
      </w:pPr>
      <w:bookmarkStart w:id="451" w:name="bookmark451"/>
      <w:bookmarkEnd w:id="451"/>
      <w:r>
        <w:rPr>
          <w:color w:val="000000"/>
          <w:spacing w:val="0"/>
          <w:w w:val="100"/>
          <w:position w:val="0"/>
        </w:rPr>
        <w:t>其他表明本公司没有能力持有至到期。</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重大的尚未到期的持有至到期投资重分类为可供出售金融资产需经董事会审批后决定。</w:t>
      </w:r>
    </w:p>
    <w:p>
      <w:pPr>
        <w:pStyle w:val="Style35"/>
        <w:keepNext/>
        <w:keepLines/>
        <w:widowControl w:val="0"/>
        <w:shd w:val="clear" w:color="auto" w:fill="auto"/>
        <w:bidi w:val="0"/>
        <w:spacing w:before="0" w:after="32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1</w:t>
      </w:r>
      <w:bookmarkEnd w:id="454"/>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452"/>
      <w:bookmarkEnd w:id="453"/>
      <w:bookmarkEnd w:id="455"/>
    </w:p>
    <w:p>
      <w:pPr>
        <w:pStyle w:val="Style38"/>
        <w:keepNext/>
        <w:keepLines/>
        <w:widowControl w:val="0"/>
        <w:numPr>
          <w:ilvl w:val="0"/>
          <w:numId w:val="3"/>
        </w:numPr>
        <w:shd w:val="clear" w:color="auto" w:fill="auto"/>
        <w:bidi w:val="0"/>
        <w:spacing w:before="0" w:after="320" w:line="240" w:lineRule="auto"/>
        <w:ind w:left="0" w:right="0" w:firstLine="140"/>
        <w:jc w:val="left"/>
      </w:pPr>
      <w:bookmarkStart w:id="456" w:name="bookmark456"/>
      <w:bookmarkStart w:id="457" w:name="bookmark457"/>
      <w:bookmarkStart w:id="458" w:name="bookmark458"/>
      <w:bookmarkStart w:id="459" w:name="bookmark459"/>
      <w:bookmarkEnd w:id="458"/>
      <w:r>
        <w:rPr>
          <w:color w:val="000000"/>
          <w:spacing w:val="0"/>
          <w:w w:val="100"/>
          <w:position w:val="0"/>
        </w:rPr>
        <w:t>单项金额重大的应收款项坏账准备</w:t>
      </w:r>
      <w:bookmarkEnd w:id="456"/>
      <w:bookmarkEnd w:id="457"/>
      <w:bookmarkEnd w:id="459"/>
    </w:p>
    <w:tbl>
      <w:tblPr>
        <w:tblOverlap w:val="never"/>
        <w:jc w:val="center"/>
        <w:tblLayout w:type="fixed"/>
      </w:tblPr>
      <w:tblGrid>
        <w:gridCol w:w="3835"/>
        <w:gridCol w:w="5750"/>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本公司根据公司经营规模、业务性质及客户结算状况等确定单项金额重大 的应收款项为</w:t>
            </w:r>
            <w:r>
              <w:rPr>
                <w:rFonts w:ascii="Times New Roman" w:eastAsia="Times New Roman" w:hAnsi="Times New Roman" w:cs="Times New Roman"/>
                <w:color w:val="000000"/>
                <w:spacing w:val="0"/>
                <w:w w:val="100"/>
                <w:position w:val="0"/>
              </w:rPr>
              <w:t>50</w:t>
            </w:r>
            <w:r>
              <w:rPr>
                <w:color w:val="000000"/>
                <w:spacing w:val="0"/>
                <w:w w:val="100"/>
                <w:position w:val="0"/>
              </w:rPr>
              <w:t>万元以上(含)的款项。</w:t>
            </w:r>
          </w:p>
        </w:tc>
      </w:tr>
      <w:tr>
        <w:trPr>
          <w:trHeight w:val="1032"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单独进行减值测试，根据其未来现金流量现值低于其账面价值的差额计提 坏账准备；经单独测试未发生减值的，以账龄为信用风险特征根据账龄分 析法计提坏账准备。</w:t>
            </w:r>
          </w:p>
        </w:tc>
      </w:tr>
    </w:tbl>
    <w:p>
      <w:pPr>
        <w:widowControl w:val="0"/>
        <w:spacing w:after="319" w:line="1" w:lineRule="exact"/>
      </w:pPr>
    </w:p>
    <w:p>
      <w:pPr>
        <w:pStyle w:val="Style38"/>
        <w:keepNext/>
        <w:keepLines/>
        <w:widowControl w:val="0"/>
        <w:numPr>
          <w:ilvl w:val="0"/>
          <w:numId w:val="3"/>
        </w:numPr>
        <w:shd w:val="clear" w:color="auto" w:fill="auto"/>
        <w:bidi w:val="0"/>
        <w:spacing w:before="0" w:after="320" w:line="240" w:lineRule="auto"/>
        <w:ind w:left="0" w:right="0" w:firstLine="140"/>
        <w:jc w:val="left"/>
      </w:pPr>
      <w:bookmarkStart w:id="460" w:name="bookmark460"/>
      <w:bookmarkStart w:id="461" w:name="bookmark461"/>
      <w:bookmarkStart w:id="462" w:name="bookmark462"/>
      <w:bookmarkStart w:id="463" w:name="bookmark463"/>
      <w:bookmarkEnd w:id="462"/>
      <w:r>
        <w:rPr>
          <w:color w:val="000000"/>
          <w:spacing w:val="0"/>
          <w:w w:val="100"/>
          <w:position w:val="0"/>
        </w:rPr>
        <w:t>按组合计提坏账准备的应收款项</w:t>
      </w:r>
      <w:bookmarkEnd w:id="460"/>
      <w:bookmarkEnd w:id="461"/>
      <w:bookmarkEnd w:id="463"/>
    </w:p>
    <w:tbl>
      <w:tblPr>
        <w:tblOverlap w:val="never"/>
        <w:jc w:val="center"/>
        <w:tblLayout w:type="fixed"/>
      </w:tblPr>
      <w:tblGrid>
        <w:gridCol w:w="2606"/>
        <w:gridCol w:w="1939"/>
        <w:gridCol w:w="5040"/>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按组合计提坏账准备的 计提方法</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单项金额不重大的应收款项但按 信用风险特征组合后该组合的风 险较大的应收款项的确认标准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本公司根据公司经营规模、业务性质及客户结算状况等确定单项 金额不重大的应收款项为</w:t>
            </w:r>
            <w:r>
              <w:rPr>
                <w:rFonts w:ascii="Times New Roman" w:eastAsia="Times New Roman" w:hAnsi="Times New Roman" w:cs="Times New Roman"/>
                <w:color w:val="000000"/>
                <w:spacing w:val="0"/>
                <w:w w:val="100"/>
                <w:position w:val="0"/>
              </w:rPr>
              <w:t>50</w:t>
            </w:r>
            <w:r>
              <w:rPr>
                <w:color w:val="000000"/>
                <w:spacing w:val="0"/>
                <w:w w:val="100"/>
                <w:position w:val="0"/>
              </w:rPr>
              <w:t>万元以下，且账龄在三年以上的款 项。</w:t>
            </w:r>
          </w:p>
        </w:tc>
      </w:tr>
    </w:tbl>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组合中，采用账龄分析法计提坏账准备的</w:t>
      </w:r>
    </w:p>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00" w:line="341" w:lineRule="exact"/>
        <w:ind w:left="0" w:right="0" w:firstLine="0"/>
        <w:jc w:val="left"/>
      </w:pPr>
      <w:r>
        <w:rPr>
          <w:color w:val="000000"/>
          <w:spacing w:val="0"/>
          <w:w w:val="100"/>
          <w:position w:val="0"/>
        </w:rPr>
        <w:t>组合中，采用其他方法计提坏账准备的</w:t>
      </w:r>
    </w:p>
    <w:p>
      <w:pPr>
        <w:pStyle w:val="Style9"/>
        <w:keepNext w:val="0"/>
        <w:keepLines w:val="0"/>
        <w:widowControl w:val="0"/>
        <w:shd w:val="clear" w:color="auto" w:fill="auto"/>
        <w:bidi w:val="0"/>
        <w:spacing w:before="0" w:after="22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numPr>
          <w:ilvl w:val="0"/>
          <w:numId w:val="3"/>
        </w:numPr>
        <w:shd w:val="clear" w:color="auto" w:fill="auto"/>
        <w:bidi w:val="0"/>
        <w:spacing w:before="0" w:after="320" w:line="240" w:lineRule="auto"/>
        <w:ind w:left="0" w:right="0" w:firstLine="140"/>
        <w:jc w:val="left"/>
      </w:pPr>
      <w:bookmarkStart w:id="464" w:name="bookmark464"/>
      <w:bookmarkStart w:id="465" w:name="bookmark465"/>
      <w:bookmarkStart w:id="466" w:name="bookmark466"/>
      <w:bookmarkStart w:id="467" w:name="bookmark467"/>
      <w:bookmarkEnd w:id="466"/>
      <w:r>
        <w:rPr>
          <w:color w:val="000000"/>
          <w:spacing w:val="0"/>
          <w:w w:val="100"/>
          <w:position w:val="0"/>
        </w:rPr>
        <w:t>单项金额虽不重大但单项计提坏账准备的应收账款</w:t>
      </w:r>
      <w:bookmarkEnd w:id="464"/>
      <w:bookmarkEnd w:id="465"/>
      <w:bookmarkEnd w:id="467"/>
    </w:p>
    <w:tbl>
      <w:tblPr>
        <w:tblOverlap w:val="never"/>
        <w:jc w:val="center"/>
        <w:tblLayout w:type="fixed"/>
      </w:tblPr>
      <w:tblGrid>
        <w:gridCol w:w="3360"/>
        <w:gridCol w:w="6226"/>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有证据表明应单独测试计提减值准备的单项金额虽不重大的应收款项。</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单单独进行减值测试，如果客观证据表明其发生了减值的，根据其未来现金流 量低于其账面价值的差额确认资产减值损失。</w:t>
            </w:r>
          </w:p>
        </w:tc>
      </w:tr>
    </w:tbl>
    <w:p>
      <w:pPr>
        <w:pStyle w:val="Style35"/>
        <w:keepNext/>
        <w:keepLines/>
        <w:widowControl w:val="0"/>
        <w:shd w:val="clear" w:color="auto" w:fill="auto"/>
        <w:tabs>
          <w:tab w:pos="469" w:val="left"/>
        </w:tabs>
        <w:bidi w:val="0"/>
        <w:spacing w:before="0" w:after="36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1</w:t>
      </w:r>
      <w:bookmarkEnd w:id="470"/>
      <w:r>
        <w:rPr>
          <w:rFonts w:ascii="Times New Roman" w:eastAsia="Times New Roman" w:hAnsi="Times New Roman" w:cs="Times New Roman"/>
          <w:color w:val="000000"/>
          <w:spacing w:val="0"/>
          <w:w w:val="100"/>
          <w:position w:val="0"/>
        </w:rPr>
        <w:t>1</w:t>
      </w:r>
      <w:r>
        <w:rPr>
          <w:color w:val="000000"/>
          <w:spacing w:val="0"/>
          <w:w w:val="100"/>
          <w:position w:val="0"/>
        </w:rPr>
        <w:t>、</w:t>
        <w:tab/>
        <w:t>存货</w:t>
      </w:r>
      <w:bookmarkEnd w:id="468"/>
      <w:bookmarkEnd w:id="469"/>
      <w:bookmarkEnd w:id="471"/>
    </w:p>
    <w:p>
      <w:pPr>
        <w:pStyle w:val="Style38"/>
        <w:keepNext/>
        <w:keepLines/>
        <w:widowControl w:val="0"/>
        <w:shd w:val="clear" w:color="auto" w:fill="auto"/>
        <w:tabs>
          <w:tab w:pos="488" w:val="left"/>
        </w:tabs>
        <w:bidi w:val="0"/>
        <w:spacing w:before="0" w:after="28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w:t>
      </w:r>
      <w:bookmarkEnd w:id="474"/>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472"/>
      <w:bookmarkEnd w:id="473"/>
      <w:bookmarkEnd w:id="475"/>
    </w:p>
    <w:p>
      <w:pPr>
        <w:pStyle w:val="Style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本公司存货是指企业在日常活动中持有以备出售的产成品或商品、处在生产过程中的在产品、在生产过程中或提供劳务过程 中耗用的材料和物料等，包括库存商品、库存材料、低值易耗品、包装物、发出商品、在产品等。</w:t>
      </w:r>
    </w:p>
    <w:p>
      <w:pPr>
        <w:pStyle w:val="Style38"/>
        <w:keepNext/>
        <w:keepLines/>
        <w:widowControl w:val="0"/>
        <w:shd w:val="clear" w:color="auto" w:fill="auto"/>
        <w:tabs>
          <w:tab w:pos="488" w:val="left"/>
        </w:tabs>
        <w:bidi w:val="0"/>
        <w:spacing w:before="0" w:after="28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w:t>
      </w:r>
      <w:bookmarkEnd w:id="478"/>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476"/>
      <w:bookmarkEnd w:id="477"/>
      <w:bookmarkEnd w:id="479"/>
    </w:p>
    <w:p>
      <w:pPr>
        <w:pStyle w:val="Style9"/>
        <w:keepNext w:val="0"/>
        <w:keepLines w:val="0"/>
        <w:widowControl w:val="0"/>
        <w:shd w:val="clear" w:color="auto" w:fill="auto"/>
        <w:bidi w:val="0"/>
        <w:spacing w:before="0" w:after="40" w:line="312" w:lineRule="exact"/>
        <w:ind w:left="0" w:right="0" w:firstLine="0"/>
        <w:jc w:val="left"/>
      </w:pPr>
      <w:r>
        <w:rPr>
          <w:color w:val="000000"/>
          <w:spacing w:val="0"/>
          <w:w w:val="100"/>
          <w:position w:val="0"/>
        </w:rPr>
        <w:t>计价方法：加权平均法</w:t>
      </w:r>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存货的取得按实际成本核算，库存商品、库存材料发出采用月末一次加权平均法核算。</w:t>
      </w:r>
    </w:p>
    <w:p>
      <w:pPr>
        <w:pStyle w:val="Style38"/>
        <w:keepNext/>
        <w:keepLines/>
        <w:widowControl w:val="0"/>
        <w:shd w:val="clear" w:color="auto" w:fill="auto"/>
        <w:tabs>
          <w:tab w:pos="488" w:val="left"/>
        </w:tabs>
        <w:bidi w:val="0"/>
        <w:spacing w:before="0" w:after="28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w:t>
      </w:r>
      <w:bookmarkEnd w:id="482"/>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480"/>
      <w:bookmarkEnd w:id="481"/>
      <w:bookmarkEnd w:id="483"/>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存货可变现净值系根据本公司在正常经营过程中，以估计售价减去估计完工成本及销售所必须的估计费用后的价值。 存货跌价准备的计提方法：本公司于每年中期期末及年度终了在对存货进行全面盘点的基础上，对遭受损失，全部或部分陈 旧过时或销售价格低于成本的存货，根据存货成本与可变现净值孰低计量，按单个存货项目对同类存货项目的可变现净值低 于存货成本的差额计提存货跌价准备，并计入当期损益。确定可变现净值时，除考虑持有目的和资产负债表日该存货的价格 与成本波动外，还需要考虑未来事项的影响。</w:t>
      </w:r>
    </w:p>
    <w:p>
      <w:pPr>
        <w:pStyle w:val="Style38"/>
        <w:keepNext/>
        <w:keepLines/>
        <w:widowControl w:val="0"/>
        <w:shd w:val="clear" w:color="auto" w:fill="auto"/>
        <w:tabs>
          <w:tab w:pos="488" w:val="left"/>
        </w:tabs>
        <w:bidi w:val="0"/>
        <w:spacing w:before="0" w:after="280" w:line="240" w:lineRule="auto"/>
        <w:ind w:left="0" w:right="0" w:firstLine="0"/>
        <w:jc w:val="both"/>
      </w:pPr>
      <w:bookmarkStart w:id="484" w:name="bookmark484"/>
      <w:bookmarkStart w:id="485" w:name="bookmark485"/>
      <w:bookmarkStart w:id="486" w:name="bookmark486"/>
      <w:bookmarkStart w:id="487" w:name="bookmark487"/>
      <w:r>
        <w:rPr>
          <w:color w:val="000000"/>
          <w:spacing w:val="0"/>
          <w:w w:val="100"/>
          <w:position w:val="0"/>
        </w:rPr>
        <w:t>（</w:t>
      </w:r>
      <w:bookmarkEnd w:id="486"/>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484"/>
      <w:bookmarkEnd w:id="485"/>
      <w:bookmarkEnd w:id="487"/>
    </w:p>
    <w:p>
      <w:pPr>
        <w:pStyle w:val="Style9"/>
        <w:keepNext w:val="0"/>
        <w:keepLines w:val="0"/>
        <w:widowControl w:val="0"/>
        <w:shd w:val="clear" w:color="auto" w:fill="auto"/>
        <w:bidi w:val="0"/>
        <w:spacing w:before="0" w:after="40" w:line="312" w:lineRule="exact"/>
        <w:ind w:left="0" w:right="0" w:firstLine="0"/>
        <w:jc w:val="both"/>
      </w:pPr>
      <w:r>
        <w:rPr>
          <w:color w:val="000000"/>
          <w:spacing w:val="0"/>
          <w:w w:val="100"/>
          <w:position w:val="0"/>
        </w:rPr>
        <w:t>盘存制度：永续盘存制</w:t>
      </w:r>
    </w:p>
    <w:p>
      <w:pPr>
        <w:pStyle w:val="Style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存货的盘存制度采用永续盘存法。</w:t>
      </w:r>
    </w:p>
    <w:p>
      <w:pPr>
        <w:pStyle w:val="Style38"/>
        <w:keepNext/>
        <w:keepLines/>
        <w:widowControl w:val="0"/>
        <w:shd w:val="clear" w:color="auto" w:fill="auto"/>
        <w:tabs>
          <w:tab w:pos="488" w:val="left"/>
        </w:tabs>
        <w:bidi w:val="0"/>
        <w:spacing w:before="0" w:after="280" w:line="240" w:lineRule="auto"/>
        <w:ind w:left="0" w:right="0" w:firstLine="0"/>
        <w:jc w:val="both"/>
      </w:pPr>
      <w:bookmarkStart w:id="488" w:name="bookmark488"/>
      <w:bookmarkStart w:id="489" w:name="bookmark489"/>
      <w:bookmarkStart w:id="490" w:name="bookmark490"/>
      <w:bookmarkStart w:id="491" w:name="bookmark491"/>
      <w:r>
        <w:rPr>
          <w:color w:val="000000"/>
          <w:spacing w:val="0"/>
          <w:w w:val="100"/>
          <w:position w:val="0"/>
        </w:rPr>
        <w:t>（</w:t>
      </w:r>
      <w:bookmarkEnd w:id="490"/>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488"/>
      <w:bookmarkEnd w:id="489"/>
      <w:bookmarkEnd w:id="491"/>
    </w:p>
    <w:p>
      <w:pPr>
        <w:pStyle w:val="Style9"/>
        <w:keepNext w:val="0"/>
        <w:keepLines w:val="0"/>
        <w:widowControl w:val="0"/>
        <w:shd w:val="clear" w:color="auto" w:fill="auto"/>
        <w:bidi w:val="0"/>
        <w:spacing w:before="0" w:after="40" w:line="312" w:lineRule="exact"/>
        <w:ind w:left="0" w:right="0" w:firstLine="0"/>
        <w:jc w:val="both"/>
      </w:pPr>
      <w:r>
        <w:rPr>
          <w:color w:val="000000"/>
          <w:spacing w:val="0"/>
          <w:w w:val="100"/>
          <w:position w:val="0"/>
        </w:rPr>
        <w:t>低值易耗品</w:t>
      </w:r>
    </w:p>
    <w:p>
      <w:pPr>
        <w:pStyle w:val="Style9"/>
        <w:keepNext w:val="0"/>
        <w:keepLines w:val="0"/>
        <w:widowControl w:val="0"/>
        <w:shd w:val="clear" w:color="auto" w:fill="auto"/>
        <w:bidi w:val="0"/>
        <w:spacing w:before="0" w:after="40" w:line="312" w:lineRule="exact"/>
        <w:ind w:left="0" w:right="0" w:firstLine="0"/>
        <w:jc w:val="both"/>
      </w:pPr>
      <w:r>
        <w:rPr>
          <w:color w:val="000000"/>
          <w:spacing w:val="0"/>
          <w:w w:val="100"/>
          <w:position w:val="0"/>
        </w:rPr>
        <w:t>摊销方法：一次摊销法</w:t>
      </w:r>
    </w:p>
    <w:p>
      <w:pPr>
        <w:pStyle w:val="Style9"/>
        <w:keepNext w:val="0"/>
        <w:keepLines w:val="0"/>
        <w:widowControl w:val="0"/>
        <w:shd w:val="clear" w:color="auto" w:fill="auto"/>
        <w:bidi w:val="0"/>
        <w:spacing w:before="0" w:after="40" w:line="312" w:lineRule="exact"/>
        <w:ind w:left="0" w:right="0" w:firstLine="0"/>
        <w:jc w:val="both"/>
      </w:pPr>
      <w:r>
        <w:rPr>
          <w:color w:val="000000"/>
          <w:spacing w:val="0"/>
          <w:w w:val="100"/>
          <w:position w:val="0"/>
        </w:rPr>
        <w:t>低值易耗品于其领用时采用一次性摊销法摊销。</w:t>
      </w:r>
    </w:p>
    <w:p>
      <w:pPr>
        <w:pStyle w:val="Style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包装物</w:t>
      </w:r>
    </w:p>
    <w:p>
      <w:pPr>
        <w:pStyle w:val="Style9"/>
        <w:keepNext w:val="0"/>
        <w:keepLines w:val="0"/>
        <w:widowControl w:val="0"/>
        <w:shd w:val="clear" w:color="auto" w:fill="auto"/>
        <w:bidi w:val="0"/>
        <w:spacing w:before="0" w:after="40" w:line="312" w:lineRule="exact"/>
        <w:ind w:left="0" w:right="0" w:firstLine="0"/>
        <w:jc w:val="both"/>
      </w:pPr>
      <w:r>
        <w:rPr>
          <w:color w:val="000000"/>
          <w:spacing w:val="0"/>
          <w:w w:val="100"/>
          <w:position w:val="0"/>
        </w:rPr>
        <w:t>摊销方法：一次摊销法</w:t>
      </w:r>
    </w:p>
    <w:p>
      <w:pPr>
        <w:pStyle w:val="Style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包装物于其领用时采用一次性摊销法摊销。</w:t>
      </w:r>
    </w:p>
    <w:p>
      <w:pPr>
        <w:pStyle w:val="Style35"/>
        <w:keepNext/>
        <w:keepLines/>
        <w:widowControl w:val="0"/>
        <w:shd w:val="clear" w:color="auto" w:fill="auto"/>
        <w:tabs>
          <w:tab w:pos="469" w:val="left"/>
        </w:tabs>
        <w:bidi w:val="0"/>
        <w:spacing w:before="0" w:after="360" w:line="240" w:lineRule="auto"/>
        <w:ind w:left="0" w:right="0" w:firstLine="0"/>
        <w:jc w:val="both"/>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1</w:t>
      </w:r>
      <w:bookmarkEnd w:id="494"/>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492"/>
      <w:bookmarkEnd w:id="493"/>
      <w:bookmarkEnd w:id="495"/>
    </w:p>
    <w:p>
      <w:pPr>
        <w:pStyle w:val="Style38"/>
        <w:keepNext/>
        <w:keepLines/>
        <w:widowControl w:val="0"/>
        <w:shd w:val="clear" w:color="auto" w:fill="auto"/>
        <w:bidi w:val="0"/>
        <w:spacing w:before="0" w:after="280" w:line="240" w:lineRule="auto"/>
        <w:ind w:left="0" w:right="0" w:firstLine="0"/>
        <w:jc w:val="both"/>
      </w:pPr>
      <w:bookmarkStart w:id="496" w:name="bookmark496"/>
      <w:bookmarkStart w:id="497" w:name="bookmark497"/>
      <w:bookmarkStart w:id="498" w:name="bookmark498"/>
      <w:bookmarkStart w:id="499" w:name="bookmark499"/>
      <w:r>
        <w:rPr>
          <w:color w:val="000000"/>
          <w:spacing w:val="0"/>
          <w:w w:val="100"/>
          <w:position w:val="0"/>
        </w:rPr>
        <w:t>（</w:t>
      </w:r>
      <w:bookmarkEnd w:id="498"/>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496"/>
      <w:bookmarkEnd w:id="497"/>
      <w:bookmarkEnd w:id="499"/>
    </w:p>
    <w:p>
      <w:pPr>
        <w:pStyle w:val="Style9"/>
        <w:keepNext w:val="0"/>
        <w:keepLines w:val="0"/>
        <w:widowControl w:val="0"/>
        <w:shd w:val="clear" w:color="auto" w:fill="auto"/>
        <w:bidi w:val="0"/>
        <w:spacing w:before="0" w:after="360" w:line="311" w:lineRule="exact"/>
        <w:ind w:left="0" w:right="0" w:firstLine="0"/>
        <w:jc w:val="both"/>
      </w:pPr>
      <w:r>
        <w:rPr>
          <w:color w:val="000000"/>
          <w:spacing w:val="0"/>
          <w:w w:val="100"/>
          <w:position w:val="0"/>
        </w:rPr>
        <w:t xml:space="preserve">同一控制下的企业合并形成的，合并方以支付现金、转让非现金资产、承担债务或发行权益性证券作为合并对价的，在合并 日按照取得被合并方所有者权益账面价值的份额作为其初始投资成本。长期股权投资初始投资成本与支付的合并对价的账面 价值或发行股份的面值总额之间的差额调整资本公积；资本公积不足冲减的，调整留存收益。非同一控制下的企业合并形 成的，在购买日按照支付的合并对价的公允价值和各项直接相关费用作为其初始投资成本。除企业合并形成以外的：以支 付现金取得的，按照实际支付的购买价款作为其初始投资成本；以发行权益性证券取得的，按照发行权益性证券的公允价值 作为其初始投资成本；投资者投入的，按照投资合同或协议约定的价值作为其初始投资成本（合同或协议约定价值不公允的 </w:t>
      </w:r>
      <w:r>
        <w:rPr>
          <w:color w:val="000000"/>
          <w:spacing w:val="0"/>
          <w:w w:val="100"/>
          <w:position w:val="0"/>
        </w:rPr>
        <w:t>除外）。</w:t>
      </w:r>
    </w:p>
    <w:p>
      <w:pPr>
        <w:pStyle w:val="Style38"/>
        <w:keepNext/>
        <w:keepLines/>
        <w:widowControl w:val="0"/>
        <w:shd w:val="clear" w:color="auto" w:fill="auto"/>
        <w:tabs>
          <w:tab w:pos="488" w:val="left"/>
        </w:tabs>
        <w:bidi w:val="0"/>
        <w:spacing w:before="0" w:after="28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w:t>
      </w:r>
      <w:bookmarkEnd w:id="502"/>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500"/>
      <w:bookmarkEnd w:id="501"/>
      <w:bookmarkEnd w:id="503"/>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对被投资单位能够实施控制的长期股权投资采用成本法核算，在编制合并财务报表时按照权益法进行调整；对不具有共同控 制或重大影响，并且在活跃市场中没有报价、公允价值不能可靠计量的长期股权投资，采用成本法核算；对具有共同控制或 重大影响的长期股权投资，采用权益法核算。采用成本法核算的，除取得投资时实际支付的价款或对价中包含的已宣告尚 未发放的现金股利或利润外，在被投资单位宣告发放现金股利时确认投资收益；采用权益法核算的，以取得被投资单位股权 后发生的净损益为基础,在各会计期末按应分享或应分担的被投资单位实现的净利润或发生的净亏损的份额，确认投资收益， 并调整长期股权投资的账面价值。处置股权投资时，将投资的账面价值与实际取得价款的差额，作为当期投资收益。</w:t>
      </w:r>
    </w:p>
    <w:p>
      <w:pPr>
        <w:pStyle w:val="Style38"/>
        <w:keepNext/>
        <w:keepLines/>
        <w:widowControl w:val="0"/>
        <w:shd w:val="clear" w:color="auto" w:fill="auto"/>
        <w:tabs>
          <w:tab w:pos="488" w:val="left"/>
        </w:tabs>
        <w:bidi w:val="0"/>
        <w:spacing w:before="0" w:after="28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w:t>
      </w:r>
      <w:bookmarkEnd w:id="506"/>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504"/>
      <w:bookmarkEnd w:id="505"/>
      <w:bookmarkEnd w:id="507"/>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按照合同约定，与被投资单位相关的重要财务和经营决策需要分享控制权的投资方一致同意的，认定为共同控制；对被投资 单位的财务和经营政策有参与决策的权力，但并不能够控制或者与其他方一起共同控制这些政策的制定的，认定为重大影响。</w:t>
      </w:r>
    </w:p>
    <w:p>
      <w:pPr>
        <w:pStyle w:val="Style38"/>
        <w:keepNext/>
        <w:keepLines/>
        <w:widowControl w:val="0"/>
        <w:shd w:val="clear" w:color="auto" w:fill="auto"/>
        <w:tabs>
          <w:tab w:pos="488" w:val="left"/>
        </w:tabs>
        <w:bidi w:val="0"/>
        <w:spacing w:before="0" w:after="28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w:t>
      </w:r>
      <w:bookmarkEnd w:id="510"/>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508"/>
      <w:bookmarkEnd w:id="509"/>
      <w:bookmarkEnd w:id="511"/>
    </w:p>
    <w:p>
      <w:pPr>
        <w:pStyle w:val="Style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资产负债表日对长期股权投资逐项进行检查，判断长期股权投资是否存在可能发生减值的迹象。如果存在被投资单位经营状 况恶化等减值迹象的，则估计其可收回金额。可收回金额的计量结果表明，长期股权投资的可收回金额低于其账面价值的， 将长期股权投资的账面价值减记至可收回金额，减记的金额确认为资产减值损失，计入当期损益，同时计提相应的长期投资 减值准备。长期投资减值损失一经确认，在以后会计期间不再转回。</w:t>
      </w:r>
    </w:p>
    <w:p>
      <w:pPr>
        <w:pStyle w:val="Style35"/>
        <w:keepNext/>
        <w:keepLines/>
        <w:widowControl w:val="0"/>
        <w:shd w:val="clear" w:color="auto" w:fill="auto"/>
        <w:tabs>
          <w:tab w:pos="469" w:val="left"/>
        </w:tabs>
        <w:bidi w:val="0"/>
        <w:spacing w:before="0" w:after="28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1</w:t>
      </w:r>
      <w:bookmarkEnd w:id="514"/>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512"/>
      <w:bookmarkEnd w:id="513"/>
      <w:bookmarkEnd w:id="515"/>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投资性房地产，是指为赚取租金或资本增值，或两者兼有而持有的房地产。</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投资性房地产按照成本进行初始计量：</w:t>
      </w:r>
    </w:p>
    <w:p>
      <w:pPr>
        <w:pStyle w:val="Style9"/>
        <w:keepNext w:val="0"/>
        <w:keepLines w:val="0"/>
        <w:widowControl w:val="0"/>
        <w:shd w:val="clear" w:color="auto" w:fill="auto"/>
        <w:tabs>
          <w:tab w:pos="445" w:val="left"/>
        </w:tabs>
        <w:bidi w:val="0"/>
        <w:spacing w:before="0" w:after="0" w:line="312" w:lineRule="exact"/>
        <w:ind w:left="0" w:right="0" w:firstLine="0"/>
        <w:jc w:val="left"/>
      </w:pPr>
      <w:bookmarkStart w:id="516" w:name="bookmark516"/>
      <w:r>
        <w:rPr>
          <w:color w:val="000000"/>
          <w:spacing w:val="0"/>
          <w:w w:val="100"/>
          <w:position w:val="0"/>
        </w:rPr>
        <w:t>（</w:t>
      </w:r>
      <w:bookmarkEnd w:id="516"/>
      <w:r>
        <w:rPr>
          <w:rFonts w:ascii="Times New Roman" w:eastAsia="Times New Roman" w:hAnsi="Times New Roman" w:cs="Times New Roman"/>
          <w:color w:val="000000"/>
          <w:spacing w:val="0"/>
          <w:w w:val="100"/>
          <w:position w:val="0"/>
        </w:rPr>
        <w:t>1</w:t>
      </w:r>
      <w:r>
        <w:rPr>
          <w:color w:val="000000"/>
          <w:spacing w:val="0"/>
          <w:w w:val="100"/>
          <w:position w:val="0"/>
        </w:rPr>
        <w:t>）</w:t>
        <w:tab/>
        <w:t>外购投资性房地产的成本，包括购买价款、相关税费和可直接归属于该资产的其他支出。</w:t>
      </w:r>
    </w:p>
    <w:p>
      <w:pPr>
        <w:pStyle w:val="Style9"/>
        <w:keepNext w:val="0"/>
        <w:keepLines w:val="0"/>
        <w:widowControl w:val="0"/>
        <w:shd w:val="clear" w:color="auto" w:fill="auto"/>
        <w:tabs>
          <w:tab w:pos="445" w:val="left"/>
        </w:tabs>
        <w:bidi w:val="0"/>
        <w:spacing w:before="0" w:after="0" w:line="312" w:lineRule="exact"/>
        <w:ind w:left="0" w:right="0" w:firstLine="0"/>
        <w:jc w:val="left"/>
      </w:pPr>
      <w:bookmarkStart w:id="517" w:name="bookmark517"/>
      <w:r>
        <w:rPr>
          <w:color w:val="000000"/>
          <w:spacing w:val="0"/>
          <w:w w:val="100"/>
          <w:position w:val="0"/>
        </w:rPr>
        <w:t>（</w:t>
      </w:r>
      <w:bookmarkEnd w:id="517"/>
      <w:r>
        <w:rPr>
          <w:rFonts w:ascii="Times New Roman" w:eastAsia="Times New Roman" w:hAnsi="Times New Roman" w:cs="Times New Roman"/>
          <w:color w:val="000000"/>
          <w:spacing w:val="0"/>
          <w:w w:val="100"/>
          <w:position w:val="0"/>
        </w:rPr>
        <w:t>2</w:t>
      </w:r>
      <w:r>
        <w:rPr>
          <w:color w:val="000000"/>
          <w:spacing w:val="0"/>
          <w:w w:val="100"/>
          <w:position w:val="0"/>
        </w:rPr>
        <w:t>）</w:t>
        <w:tab/>
        <w:t>自行建造投资性房地产的成本，由建造该项资产达到预定可使用状态前所发生的必要支出构成。</w:t>
      </w:r>
    </w:p>
    <w:p>
      <w:pPr>
        <w:pStyle w:val="Style9"/>
        <w:keepNext w:val="0"/>
        <w:keepLines w:val="0"/>
        <w:widowControl w:val="0"/>
        <w:shd w:val="clear" w:color="auto" w:fill="auto"/>
        <w:tabs>
          <w:tab w:pos="445" w:val="left"/>
        </w:tabs>
        <w:bidi w:val="0"/>
        <w:spacing w:before="0" w:after="0" w:line="312" w:lineRule="exact"/>
        <w:ind w:left="0" w:right="0" w:firstLine="0"/>
        <w:jc w:val="left"/>
      </w:pPr>
      <w:bookmarkStart w:id="518" w:name="bookmark518"/>
      <w:r>
        <w:rPr>
          <w:color w:val="000000"/>
          <w:spacing w:val="0"/>
          <w:w w:val="100"/>
          <w:position w:val="0"/>
        </w:rPr>
        <w:t>（</w:t>
      </w:r>
      <w:bookmarkEnd w:id="518"/>
      <w:r>
        <w:rPr>
          <w:rFonts w:ascii="Times New Roman" w:eastAsia="Times New Roman" w:hAnsi="Times New Roman" w:cs="Times New Roman"/>
          <w:color w:val="000000"/>
          <w:spacing w:val="0"/>
          <w:w w:val="100"/>
          <w:position w:val="0"/>
        </w:rPr>
        <w:t>3</w:t>
      </w:r>
      <w:r>
        <w:rPr>
          <w:color w:val="000000"/>
          <w:spacing w:val="0"/>
          <w:w w:val="100"/>
          <w:position w:val="0"/>
        </w:rPr>
        <w:t>）</w:t>
        <w:tab/>
        <w:t>以其他方式取得的投资性房地产成本，按照相关会计准则的规定确定。</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后续计量</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与投资性房地产有关的后续支出，如与该投资性房地产有关的经济利益很可能流入企业且该投资性房地产的成本能够可靠地 计量，则计入投资性房地产成本；否则在发生时计入当期损益。</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公司在资产负债表日采用成本模式对投资性房地产进行后续计量。</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折旧及减值准备</w:t>
      </w:r>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比照固定资产的折旧和减值准备执行。</w:t>
      </w:r>
    </w:p>
    <w:p>
      <w:pPr>
        <w:pStyle w:val="Style35"/>
        <w:keepNext/>
        <w:keepLines/>
        <w:widowControl w:val="0"/>
        <w:shd w:val="clear" w:color="auto" w:fill="auto"/>
        <w:tabs>
          <w:tab w:pos="469" w:val="left"/>
        </w:tabs>
        <w:bidi w:val="0"/>
        <w:spacing w:before="0" w:after="36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1</w:t>
      </w:r>
      <w:bookmarkEnd w:id="521"/>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519"/>
      <w:bookmarkEnd w:id="520"/>
      <w:bookmarkEnd w:id="522"/>
    </w:p>
    <w:p>
      <w:pPr>
        <w:pStyle w:val="Style38"/>
        <w:keepNext/>
        <w:keepLines/>
        <w:widowControl w:val="0"/>
        <w:shd w:val="clear" w:color="auto" w:fill="auto"/>
        <w:bidi w:val="0"/>
        <w:spacing w:before="0" w:after="28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w:t>
      </w:r>
      <w:bookmarkEnd w:id="525"/>
      <w:r>
        <w:rPr>
          <w:rFonts w:ascii="Times New Roman" w:eastAsia="Times New Roman" w:hAnsi="Times New Roman" w:cs="Times New Roman"/>
          <w:color w:val="000000"/>
          <w:spacing w:val="0"/>
          <w:w w:val="100"/>
          <w:position w:val="0"/>
        </w:rPr>
        <w:t>1</w:t>
      </w:r>
      <w:r>
        <w:rPr>
          <w:color w:val="000000"/>
          <w:spacing w:val="0"/>
          <w:w w:val="100"/>
          <w:position w:val="0"/>
        </w:rPr>
        <w:t>）固定资产确认条件</w:t>
      </w:r>
      <w:bookmarkEnd w:id="523"/>
      <w:bookmarkEnd w:id="524"/>
      <w:bookmarkEnd w:id="526"/>
    </w:p>
    <w:p>
      <w:pPr>
        <w:pStyle w:val="Style9"/>
        <w:keepNext w:val="0"/>
        <w:keepLines w:val="0"/>
        <w:widowControl w:val="0"/>
        <w:shd w:val="clear" w:color="auto" w:fill="auto"/>
        <w:bidi w:val="0"/>
        <w:spacing w:before="0" w:after="320" w:line="307" w:lineRule="exact"/>
        <w:ind w:left="0" w:right="0" w:firstLine="0"/>
        <w:jc w:val="left"/>
      </w:pPr>
      <w:r>
        <w:rPr>
          <w:color w:val="000000"/>
          <w:spacing w:val="0"/>
          <w:w w:val="100"/>
          <w:position w:val="0"/>
        </w:rPr>
        <w:t>本公司固定资产系使用寿命超过一个会计年度，为生产商品、提供劳务、出租或经营管理所持有的房屋、建筑物、机器、机 械、运输工具以及其他与生产、经营有关的设备、器具、工具等。</w:t>
      </w:r>
    </w:p>
    <w:p>
      <w:pPr>
        <w:pStyle w:val="Style38"/>
        <w:keepNext/>
        <w:keepLines/>
        <w:widowControl w:val="0"/>
        <w:shd w:val="clear" w:color="auto" w:fill="auto"/>
        <w:tabs>
          <w:tab w:pos="488" w:val="left"/>
        </w:tabs>
        <w:bidi w:val="0"/>
        <w:spacing w:before="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w:t>
      </w:r>
      <w:bookmarkEnd w:id="529"/>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527"/>
      <w:bookmarkEnd w:id="528"/>
      <w:bookmarkEnd w:id="530"/>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88" w:val="left"/>
        </w:tabs>
        <w:bidi w:val="0"/>
        <w:spacing w:before="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w:t>
      </w:r>
      <w:bookmarkEnd w:id="533"/>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531"/>
      <w:bookmarkEnd w:id="532"/>
      <w:bookmarkEnd w:id="534"/>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固定资产折旧采用年限平均法。各类固定资产的折旧年限、估计残值率和年折旧率如下:</w:t>
      </w:r>
    </w:p>
    <w:tbl>
      <w:tblPr>
        <w:tblOverlap w:val="never"/>
        <w:jc w:val="center"/>
        <w:tblLayout w:type="fixed"/>
      </w:tblPr>
      <w:tblGrid>
        <w:gridCol w:w="2530"/>
        <w:gridCol w:w="2098"/>
        <w:gridCol w:w="2222"/>
        <w:gridCol w:w="2736"/>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年折旧率</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r>
    </w:tbl>
    <w:p>
      <w:pPr>
        <w:widowControl w:val="0"/>
        <w:spacing w:after="279" w:line="1" w:lineRule="exact"/>
      </w:pPr>
    </w:p>
    <w:p>
      <w:pPr>
        <w:pStyle w:val="Style38"/>
        <w:keepNext/>
        <w:keepLines/>
        <w:widowControl w:val="0"/>
        <w:shd w:val="clear" w:color="auto" w:fill="auto"/>
        <w:tabs>
          <w:tab w:pos="488" w:val="left"/>
        </w:tabs>
        <w:bidi w:val="0"/>
        <w:spacing w:before="0" w:after="28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w:t>
      </w:r>
      <w:bookmarkEnd w:id="537"/>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535"/>
      <w:bookmarkEnd w:id="536"/>
      <w:bookmarkEnd w:id="538"/>
    </w:p>
    <w:p>
      <w:pPr>
        <w:pStyle w:val="Style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资产负债表日判断固定资产是否存在可能发生减值的迹象。如果存在资产市价持续下跌，或技术陈旧、损坏、长期闲置等减 值迹象的，则估计其可收回金额。可收回金额的计量结果表明，固定资产的可收回金额低于其账面价值的，将固定资产的账 面价值减记至可收回金额，减记的金额确认为资产减值损失，计入当期损益，同时计提相应的固定资产减值准备。固定资产 减值损失一经确认，在以后会计期间不再转回。</w:t>
      </w:r>
    </w:p>
    <w:p>
      <w:pPr>
        <w:pStyle w:val="Style38"/>
        <w:keepNext/>
        <w:keepLines/>
        <w:widowControl w:val="0"/>
        <w:shd w:val="clear" w:color="auto" w:fill="auto"/>
        <w:tabs>
          <w:tab w:pos="488" w:val="left"/>
        </w:tabs>
        <w:bidi w:val="0"/>
        <w:spacing w:before="0" w:after="280" w:line="240" w:lineRule="auto"/>
        <w:ind w:left="0" w:right="0" w:firstLine="0"/>
        <w:jc w:val="both"/>
      </w:pPr>
      <w:bookmarkStart w:id="539" w:name="bookmark539"/>
      <w:bookmarkStart w:id="540" w:name="bookmark540"/>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539"/>
      <w:bookmarkEnd w:id="540"/>
      <w:bookmarkEnd w:id="542"/>
    </w:p>
    <w:p>
      <w:pPr>
        <w:pStyle w:val="Style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0"/>
        <w:jc w:val="both"/>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543"/>
      <w:bookmarkEnd w:id="544"/>
      <w:bookmarkEnd w:id="546"/>
    </w:p>
    <w:p>
      <w:pPr>
        <w:pStyle w:val="Style38"/>
        <w:keepNext/>
        <w:keepLines/>
        <w:widowControl w:val="0"/>
        <w:shd w:val="clear" w:color="auto" w:fill="auto"/>
        <w:tabs>
          <w:tab w:pos="488" w:val="left"/>
        </w:tabs>
        <w:bidi w:val="0"/>
        <w:spacing w:before="0" w:after="280" w:line="240" w:lineRule="auto"/>
        <w:ind w:left="0" w:right="0" w:firstLine="0"/>
        <w:jc w:val="both"/>
      </w:pPr>
      <w:bookmarkStart w:id="547" w:name="bookmark547"/>
      <w:bookmarkStart w:id="548" w:name="bookmark548"/>
      <w:bookmarkStart w:id="549" w:name="bookmark549"/>
      <w:bookmarkStart w:id="550" w:name="bookmark550"/>
      <w:r>
        <w:rPr>
          <w:color w:val="000000"/>
          <w:spacing w:val="0"/>
          <w:w w:val="100"/>
          <w:position w:val="0"/>
        </w:rPr>
        <w:t>（</w:t>
      </w:r>
      <w:bookmarkEnd w:id="549"/>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547"/>
      <w:bookmarkEnd w:id="548"/>
      <w:bookmarkEnd w:id="550"/>
    </w:p>
    <w:p>
      <w:pPr>
        <w:pStyle w:val="Style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在建工程包括施工前期准备、正在施工中的建筑工程、安装工程、技术改造工程和大修理工程等。</w:t>
      </w:r>
    </w:p>
    <w:p>
      <w:pPr>
        <w:pStyle w:val="Style38"/>
        <w:keepNext/>
        <w:keepLines/>
        <w:widowControl w:val="0"/>
        <w:shd w:val="clear" w:color="auto" w:fill="auto"/>
        <w:tabs>
          <w:tab w:pos="488" w:val="left"/>
        </w:tabs>
        <w:bidi w:val="0"/>
        <w:spacing w:before="0" w:after="280" w:line="240" w:lineRule="auto"/>
        <w:ind w:left="0" w:right="0" w:firstLine="0"/>
        <w:jc w:val="both"/>
      </w:pPr>
      <w:bookmarkStart w:id="551" w:name="bookmark551"/>
      <w:bookmarkStart w:id="552" w:name="bookmark552"/>
      <w:bookmarkStart w:id="553" w:name="bookmark553"/>
      <w:bookmarkStart w:id="554" w:name="bookmark554"/>
      <w:r>
        <w:rPr>
          <w:color w:val="000000"/>
          <w:spacing w:val="0"/>
          <w:w w:val="100"/>
          <w:position w:val="0"/>
        </w:rPr>
        <w:t>（</w:t>
      </w:r>
      <w:bookmarkEnd w:id="553"/>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551"/>
      <w:bookmarkEnd w:id="552"/>
      <w:bookmarkEnd w:id="554"/>
    </w:p>
    <w:p>
      <w:pPr>
        <w:pStyle w:val="Style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在建工程按照实际发生的支出分项目核算，并在工程达到预定可使用状态时结转为固定资产。与在建工程有关的借款费用（包 括借款利息、溢折价摊销、汇兑损益等），在相关工程达到预定可使用状态前的计入工程成本，在相关工程达到预定可使用 状态后的计入当期财务费用。</w:t>
      </w:r>
    </w:p>
    <w:p>
      <w:pPr>
        <w:pStyle w:val="Style38"/>
        <w:keepNext/>
        <w:keepLines/>
        <w:widowControl w:val="0"/>
        <w:shd w:val="clear" w:color="auto" w:fill="auto"/>
        <w:tabs>
          <w:tab w:pos="488" w:val="left"/>
        </w:tabs>
        <w:bidi w:val="0"/>
        <w:spacing w:before="0" w:after="280" w:line="240" w:lineRule="auto"/>
        <w:ind w:left="0" w:right="0" w:firstLine="0"/>
        <w:jc w:val="both"/>
      </w:pPr>
      <w:bookmarkStart w:id="555" w:name="bookmark555"/>
      <w:bookmarkStart w:id="556" w:name="bookmark556"/>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555"/>
      <w:bookmarkEnd w:id="556"/>
      <w:bookmarkEnd w:id="558"/>
    </w:p>
    <w:p>
      <w:pPr>
        <w:pStyle w:val="Style9"/>
        <w:keepNext w:val="0"/>
        <w:keepLines w:val="0"/>
        <w:widowControl w:val="0"/>
        <w:shd w:val="clear" w:color="auto" w:fill="auto"/>
        <w:bidi w:val="0"/>
        <w:spacing w:before="0" w:after="360" w:line="310" w:lineRule="exact"/>
        <w:ind w:left="0" w:right="0" w:firstLine="0"/>
        <w:jc w:val="both"/>
      </w:pPr>
      <w:r>
        <w:rPr>
          <w:color w:val="000000"/>
          <w:spacing w:val="0"/>
          <w:w w:val="100"/>
          <w:position w:val="0"/>
        </w:rPr>
        <w:t>资产负债表日对在建工程进行全面检查，判断在建工程是否存在可能发生减值的迹象。如果存在在建工程长期停建并且预计 在未来</w:t>
      </w:r>
      <w:r>
        <w:rPr>
          <w:rFonts w:ascii="Times New Roman" w:eastAsia="Times New Roman" w:hAnsi="Times New Roman" w:cs="Times New Roman"/>
          <w:color w:val="000000"/>
          <w:spacing w:val="0"/>
          <w:w w:val="100"/>
          <w:position w:val="0"/>
        </w:rPr>
        <w:t>3</w:t>
      </w:r>
      <w:r>
        <w:rPr>
          <w:color w:val="000000"/>
          <w:spacing w:val="0"/>
          <w:w w:val="100"/>
          <w:position w:val="0"/>
        </w:rPr>
        <w:t xml:space="preserve">年内不会重新开工或者所建项目在性能上、技术上已经落后并且所带来的经济效益具有很大的不确定性等减值迹象 的，则估计其可收回金额。可收回金额的计量结果表明，在建工程的可收回金额低于其账面价值的，将在建工程的账面价值 减记至可收回金额，减记的金额确认为资产减值损失，计入当期损益，同时计提相应的在建工程减值准备。在建工程减值损 </w:t>
      </w:r>
      <w:r>
        <w:rPr>
          <w:color w:val="000000"/>
          <w:spacing w:val="0"/>
          <w:w w:val="100"/>
          <w:position w:val="0"/>
        </w:rPr>
        <w:t>失一经确认，在以后会计期间不再转回。</w:t>
      </w:r>
    </w:p>
    <w:p>
      <w:pPr>
        <w:pStyle w:val="Style35"/>
        <w:keepNext/>
        <w:keepLines/>
        <w:widowControl w:val="0"/>
        <w:shd w:val="clear" w:color="auto" w:fill="auto"/>
        <w:tabs>
          <w:tab w:pos="469" w:val="left"/>
        </w:tabs>
        <w:bidi w:val="0"/>
        <w:spacing w:before="0" w:after="36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559"/>
      <w:bookmarkEnd w:id="560"/>
      <w:bookmarkEnd w:id="562"/>
    </w:p>
    <w:p>
      <w:pPr>
        <w:pStyle w:val="Style38"/>
        <w:keepNext/>
        <w:keepLines/>
        <w:widowControl w:val="0"/>
        <w:shd w:val="clear" w:color="auto" w:fill="auto"/>
        <w:tabs>
          <w:tab w:pos="488" w:val="left"/>
        </w:tabs>
        <w:bidi w:val="0"/>
        <w:spacing w:before="0" w:after="28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rPr>
        <w:t>（</w:t>
      </w:r>
      <w:bookmarkEnd w:id="565"/>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563"/>
      <w:bookmarkEnd w:id="564"/>
      <w:bookmarkEnd w:id="566"/>
    </w:p>
    <w:p>
      <w:pPr>
        <w:pStyle w:val="Style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公司发生的借款费用，可直接归属于符合资本化条件的资产的购建或者生产的，予以资本化，计入相关资产成本；其他借款 费用，在发生时确认为费用，计入当期损益。</w:t>
      </w:r>
    </w:p>
    <w:p>
      <w:pPr>
        <w:pStyle w:val="Style38"/>
        <w:keepNext/>
        <w:keepLines/>
        <w:widowControl w:val="0"/>
        <w:shd w:val="clear" w:color="auto" w:fill="auto"/>
        <w:tabs>
          <w:tab w:pos="488" w:val="left"/>
        </w:tabs>
        <w:bidi w:val="0"/>
        <w:spacing w:before="0" w:after="28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567"/>
      <w:bookmarkEnd w:id="568"/>
      <w:bookmarkEnd w:id="570"/>
    </w:p>
    <w:p>
      <w:pPr>
        <w:pStyle w:val="Style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 或可销售状态所必要的购建或者生产活动已经开始。</w:t>
      </w:r>
    </w:p>
    <w:p>
      <w:pPr>
        <w:pStyle w:val="Style38"/>
        <w:keepNext/>
        <w:keepLines/>
        <w:widowControl w:val="0"/>
        <w:shd w:val="clear" w:color="auto" w:fill="auto"/>
        <w:tabs>
          <w:tab w:pos="488" w:val="left"/>
        </w:tabs>
        <w:bidi w:val="0"/>
        <w:spacing w:before="0" w:after="28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571"/>
      <w:bookmarkEnd w:id="572"/>
      <w:bookmarkEnd w:id="574"/>
    </w:p>
    <w:p>
      <w:pPr>
        <w:pStyle w:val="Style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个月，暂停借款费用的资本化； 中断期间发生的借款费用确认为当期费用，直至资产的购建或者生产活动重新开始。</w:t>
      </w:r>
    </w:p>
    <w:p>
      <w:pPr>
        <w:pStyle w:val="Style38"/>
        <w:keepNext/>
        <w:keepLines/>
        <w:widowControl w:val="0"/>
        <w:shd w:val="clear" w:color="auto" w:fill="auto"/>
        <w:tabs>
          <w:tab w:pos="488" w:val="left"/>
        </w:tabs>
        <w:bidi w:val="0"/>
        <w:spacing w:before="0" w:after="28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w:t>
      </w:r>
      <w:bookmarkEnd w:id="577"/>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575"/>
      <w:bookmarkEnd w:id="576"/>
      <w:bookmarkEnd w:id="578"/>
    </w:p>
    <w:p>
      <w:pPr>
        <w:pStyle w:val="Style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为购建或者生产符合资本化条件的资产而借入专门借款的，以专门借款当期实际发生的利息费用（包括按照实际利率法确定 的折价或溢价的摊销），减去将尚未动用的借款资金存入银行取得的利息收入或进行暂时性投资取得的投资收益后的金额， 确定应予资本化的利息金额；为购建或者生产符合资本化条件的资产占用了一般借款的，根据累计资产支出超过专门借款的 资产支出加权平均数乘以占用一般借款的资本化率，计算确定一般借款应予资本化的利息金额。</w:t>
      </w:r>
    </w:p>
    <w:p>
      <w:pPr>
        <w:pStyle w:val="Style35"/>
        <w:keepNext/>
        <w:keepLines/>
        <w:widowControl w:val="0"/>
        <w:shd w:val="clear" w:color="auto" w:fill="auto"/>
        <w:tabs>
          <w:tab w:pos="469" w:val="left"/>
        </w:tabs>
        <w:bidi w:val="0"/>
        <w:spacing w:before="0" w:after="36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rFonts w:ascii="Times New Roman" w:eastAsia="Times New Roman" w:hAnsi="Times New Roman" w:cs="Times New Roman"/>
          <w:color w:val="000000"/>
          <w:spacing w:val="0"/>
          <w:w w:val="100"/>
          <w:position w:val="0"/>
        </w:rPr>
        <w:t>7</w:t>
      </w:r>
      <w:r>
        <w:rPr>
          <w:color w:val="000000"/>
          <w:spacing w:val="0"/>
          <w:w w:val="100"/>
          <w:position w:val="0"/>
        </w:rPr>
        <w:t>、</w:t>
        <w:tab/>
        <w:t>无形资产</w:t>
      </w:r>
      <w:bookmarkEnd w:id="579"/>
      <w:bookmarkEnd w:id="580"/>
      <w:bookmarkEnd w:id="582"/>
    </w:p>
    <w:p>
      <w:pPr>
        <w:pStyle w:val="Style38"/>
        <w:keepNext/>
        <w:keepLines/>
        <w:widowControl w:val="0"/>
        <w:shd w:val="clear" w:color="auto" w:fill="auto"/>
        <w:tabs>
          <w:tab w:pos="488" w:val="left"/>
        </w:tabs>
        <w:bidi w:val="0"/>
        <w:spacing w:before="0" w:after="28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w:t>
      </w:r>
      <w:bookmarkEnd w:id="585"/>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583"/>
      <w:bookmarkEnd w:id="584"/>
      <w:bookmarkEnd w:id="586"/>
    </w:p>
    <w:p>
      <w:pPr>
        <w:pStyle w:val="Style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无形资产在取得时按照实际成本计价。</w:t>
      </w:r>
    </w:p>
    <w:p>
      <w:pPr>
        <w:pStyle w:val="Style38"/>
        <w:keepNext/>
        <w:keepLines/>
        <w:widowControl w:val="0"/>
        <w:shd w:val="clear" w:color="auto" w:fill="auto"/>
        <w:tabs>
          <w:tab w:pos="488" w:val="left"/>
        </w:tabs>
        <w:bidi w:val="0"/>
        <w:spacing w:before="0" w:after="40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w:t>
      </w:r>
      <w:bookmarkEnd w:id="589"/>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587"/>
      <w:bookmarkEnd w:id="588"/>
      <w:bookmarkEnd w:id="590"/>
    </w:p>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无形资产在取得时分析判断其使用寿命。使用寿命有限的无形资产，自无形资产可供使用时起在预计使用年限、合同规定的 受益年限和法律规定有效年限三者中最短者分期平均摊销。</w:t>
      </w:r>
    </w:p>
    <w:tbl>
      <w:tblPr>
        <w:tblOverlap w:val="never"/>
        <w:jc w:val="center"/>
        <w:tblLayout w:type="fixed"/>
      </w:tblPr>
      <w:tblGrid>
        <w:gridCol w:w="2285"/>
        <w:gridCol w:w="2218"/>
        <w:gridCol w:w="508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预计受益年限</w:t>
            </w:r>
          </w:p>
        </w:tc>
      </w:tr>
    </w:tbl>
    <w:p>
      <w:pPr>
        <w:widowControl w:val="0"/>
        <w:spacing w:after="279" w:line="1" w:lineRule="exact"/>
      </w:pPr>
    </w:p>
    <w:p>
      <w:pPr>
        <w:pStyle w:val="Style38"/>
        <w:keepNext/>
        <w:keepLines/>
        <w:widowControl w:val="0"/>
        <w:shd w:val="clear" w:color="auto" w:fill="auto"/>
        <w:bidi w:val="0"/>
        <w:spacing w:before="0" w:after="28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w:t>
      </w:r>
      <w:bookmarkEnd w:id="593"/>
      <w:r>
        <w:rPr>
          <w:rFonts w:ascii="Times New Roman" w:eastAsia="Times New Roman" w:hAnsi="Times New Roman" w:cs="Times New Roman"/>
          <w:color w:val="000000"/>
          <w:spacing w:val="0"/>
          <w:w w:val="100"/>
          <w:position w:val="0"/>
        </w:rPr>
        <w:t>3</w:t>
      </w:r>
      <w:r>
        <w:rPr>
          <w:color w:val="000000"/>
          <w:spacing w:val="0"/>
          <w:w w:val="100"/>
          <w:position w:val="0"/>
        </w:rPr>
        <w:t>）使用寿命不确定的无形资产的判断依据</w:t>
      </w:r>
      <w:bookmarkEnd w:id="591"/>
      <w:bookmarkEnd w:id="592"/>
      <w:bookmarkEnd w:id="594"/>
    </w:p>
    <w:p>
      <w:pPr>
        <w:pStyle w:val="Style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无法预见无形资产为本公司带来的经济利益期限的，视为使用寿命不确定的无形资产，但每个会计期间，需对其使用寿命进 行复核，如果有证据表明其使用寿命有限，则转为按使用寿命有限的无形资产处理。</w:t>
      </w:r>
    </w:p>
    <w:p>
      <w:pPr>
        <w:pStyle w:val="Style9"/>
        <w:keepNext w:val="0"/>
        <w:keepLines w:val="0"/>
        <w:widowControl w:val="0"/>
        <w:shd w:val="clear" w:color="auto" w:fill="auto"/>
        <w:bidi w:val="0"/>
        <w:spacing w:before="0" w:after="680" w:line="240" w:lineRule="auto"/>
        <w:ind w:left="0" w:right="0" w:firstLine="0"/>
        <w:jc w:val="both"/>
      </w:pPr>
      <w:r>
        <w:rPr>
          <w:color w:val="000000"/>
          <w:spacing w:val="0"/>
          <w:w w:val="100"/>
          <w:position w:val="0"/>
        </w:rPr>
        <w:t>使用寿命不确定的无形资产不摊销。</w:t>
      </w:r>
    </w:p>
    <w:p>
      <w:pPr>
        <w:pStyle w:val="Style38"/>
        <w:keepNext/>
        <w:keepLines/>
        <w:widowControl w:val="0"/>
        <w:shd w:val="clear" w:color="auto" w:fill="auto"/>
        <w:bidi w:val="0"/>
        <w:spacing w:before="0" w:after="260" w:line="240" w:lineRule="auto"/>
        <w:ind w:left="0" w:right="0" w:firstLine="0"/>
        <w:jc w:val="both"/>
      </w:pPr>
      <w:bookmarkStart w:id="595" w:name="bookmark595"/>
      <w:bookmarkStart w:id="596" w:name="bookmark596"/>
      <w:bookmarkStart w:id="597" w:name="bookmark597"/>
      <w:bookmarkStart w:id="598" w:name="bookmark598"/>
      <w:r>
        <w:rPr>
          <w:color w:val="000000"/>
          <w:spacing w:val="0"/>
          <w:w w:val="100"/>
          <w:position w:val="0"/>
        </w:rPr>
        <w:t>（</w:t>
      </w:r>
      <w:bookmarkEnd w:id="597"/>
      <w:r>
        <w:rPr>
          <w:rFonts w:ascii="Times New Roman" w:eastAsia="Times New Roman" w:hAnsi="Times New Roman" w:cs="Times New Roman"/>
          <w:color w:val="000000"/>
          <w:spacing w:val="0"/>
          <w:w w:val="100"/>
          <w:position w:val="0"/>
        </w:rPr>
        <w:t>4</w:t>
      </w:r>
      <w:r>
        <w:rPr>
          <w:color w:val="000000"/>
          <w:spacing w:val="0"/>
          <w:w w:val="100"/>
          <w:position w:val="0"/>
        </w:rPr>
        <w:t>）无形资产减值准备的计提</w:t>
      </w:r>
      <w:bookmarkEnd w:id="595"/>
      <w:bookmarkEnd w:id="596"/>
      <w:bookmarkEnd w:id="598"/>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期末检查各项无形资产预计给本公司带来未来经济利益的能力，当存在以下情形之一时：</w:t>
      </w:r>
    </w:p>
    <w:p>
      <w:pPr>
        <w:pStyle w:val="Style9"/>
        <w:keepNext w:val="0"/>
        <w:keepLines w:val="0"/>
        <w:widowControl w:val="0"/>
        <w:numPr>
          <w:ilvl w:val="0"/>
          <w:numId w:val="5"/>
        </w:numPr>
        <w:shd w:val="clear" w:color="auto" w:fill="auto"/>
        <w:tabs>
          <w:tab w:pos="373" w:val="left"/>
        </w:tabs>
        <w:bidi w:val="0"/>
        <w:spacing w:before="0" w:after="0" w:line="312" w:lineRule="exact"/>
        <w:ind w:left="0" w:right="0" w:firstLine="0"/>
        <w:jc w:val="both"/>
      </w:pPr>
      <w:bookmarkStart w:id="599" w:name="bookmark599"/>
      <w:bookmarkEnd w:id="599"/>
      <w:r>
        <w:rPr>
          <w:color w:val="000000"/>
          <w:spacing w:val="0"/>
          <w:w w:val="100"/>
          <w:position w:val="0"/>
        </w:rPr>
        <w:t>某项无形资产已被其他新技术等所替代，使其为企业创造经济利益的能力受到重大不利影响；</w:t>
      </w:r>
    </w:p>
    <w:p>
      <w:pPr>
        <w:pStyle w:val="Style9"/>
        <w:keepNext w:val="0"/>
        <w:keepLines w:val="0"/>
        <w:widowControl w:val="0"/>
        <w:numPr>
          <w:ilvl w:val="0"/>
          <w:numId w:val="5"/>
        </w:numPr>
        <w:shd w:val="clear" w:color="auto" w:fill="auto"/>
        <w:tabs>
          <w:tab w:pos="373" w:val="left"/>
        </w:tabs>
        <w:bidi w:val="0"/>
        <w:spacing w:before="0" w:after="0" w:line="312" w:lineRule="exact"/>
        <w:ind w:left="0" w:right="0" w:firstLine="0"/>
        <w:jc w:val="both"/>
      </w:pPr>
      <w:bookmarkStart w:id="600" w:name="bookmark600"/>
      <w:bookmarkEnd w:id="600"/>
      <w:r>
        <w:rPr>
          <w:color w:val="000000"/>
          <w:spacing w:val="0"/>
          <w:w w:val="100"/>
          <w:position w:val="0"/>
        </w:rPr>
        <w:t>某项无形资产的市价在当期大幅下跌，在剩余摊销年限内预期不会恢复；</w:t>
      </w:r>
    </w:p>
    <w:p>
      <w:pPr>
        <w:pStyle w:val="Style9"/>
        <w:keepNext w:val="0"/>
        <w:keepLines w:val="0"/>
        <w:widowControl w:val="0"/>
        <w:numPr>
          <w:ilvl w:val="0"/>
          <w:numId w:val="5"/>
        </w:numPr>
        <w:shd w:val="clear" w:color="auto" w:fill="auto"/>
        <w:tabs>
          <w:tab w:pos="373" w:val="left"/>
        </w:tabs>
        <w:bidi w:val="0"/>
        <w:spacing w:before="0" w:after="0" w:line="312" w:lineRule="exact"/>
        <w:ind w:left="0" w:right="0" w:firstLine="0"/>
        <w:jc w:val="both"/>
      </w:pPr>
      <w:bookmarkStart w:id="601" w:name="bookmark601"/>
      <w:bookmarkEnd w:id="601"/>
      <w:r>
        <w:rPr>
          <w:color w:val="000000"/>
          <w:spacing w:val="0"/>
          <w:w w:val="100"/>
          <w:position w:val="0"/>
        </w:rPr>
        <w:t>某项无形资产已超过法律保护期限，但仍然具有部分使用价值等减值迹象的；</w:t>
      </w:r>
    </w:p>
    <w:p>
      <w:pPr>
        <w:pStyle w:val="Style9"/>
        <w:keepNext w:val="0"/>
        <w:keepLines w:val="0"/>
        <w:widowControl w:val="0"/>
        <w:numPr>
          <w:ilvl w:val="0"/>
          <w:numId w:val="5"/>
        </w:numPr>
        <w:shd w:val="clear" w:color="auto" w:fill="auto"/>
        <w:tabs>
          <w:tab w:pos="373" w:val="left"/>
        </w:tabs>
        <w:bidi w:val="0"/>
        <w:spacing w:before="0" w:after="680" w:line="312" w:lineRule="exact"/>
        <w:ind w:left="0" w:right="0" w:firstLine="0"/>
        <w:jc w:val="both"/>
      </w:pPr>
      <w:bookmarkStart w:id="602" w:name="bookmark602"/>
      <w:bookmarkEnd w:id="602"/>
      <w:r>
        <w:rPr>
          <w:color w:val="000000"/>
          <w:spacing w:val="0"/>
          <w:w w:val="100"/>
          <w:position w:val="0"/>
        </w:rPr>
        <w:t>其他足以证明某项无形资产实质上已发生了减值准备情形的情况，则估计其可收回金额。可收回金额的计量结果表明，无 形资产的可收回金额低于其账面价值的，将无形资产的账面价值减记至可收回金额，减记的金额确认为资产减值损失，计入 当期损益，同时计提相应的无形资产减值准备。无形资产减值损失一经确认，在以后会计期间不再转回。</w:t>
      </w:r>
    </w:p>
    <w:p>
      <w:pPr>
        <w:pStyle w:val="Style38"/>
        <w:keepNext/>
        <w:keepLines/>
        <w:widowControl w:val="0"/>
        <w:shd w:val="clear" w:color="auto" w:fill="auto"/>
        <w:tabs>
          <w:tab w:pos="488" w:val="left"/>
        </w:tabs>
        <w:bidi w:val="0"/>
        <w:spacing w:before="0" w:after="260" w:line="240" w:lineRule="auto"/>
        <w:ind w:left="0" w:right="0" w:firstLine="0"/>
        <w:jc w:val="both"/>
      </w:pPr>
      <w:bookmarkStart w:id="603" w:name="bookmark603"/>
      <w:bookmarkStart w:id="604" w:name="bookmark604"/>
      <w:bookmarkStart w:id="605" w:name="bookmark605"/>
      <w:bookmarkStart w:id="606" w:name="bookmark606"/>
      <w:r>
        <w:rPr>
          <w:color w:val="000000"/>
          <w:spacing w:val="0"/>
          <w:w w:val="100"/>
          <w:position w:val="0"/>
        </w:rPr>
        <w:t>（</w:t>
      </w:r>
      <w:bookmarkEnd w:id="605"/>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603"/>
      <w:bookmarkEnd w:id="604"/>
      <w:bookmarkEnd w:id="606"/>
    </w:p>
    <w:p>
      <w:pPr>
        <w:pStyle w:val="Style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本公司内部研究开发项目的支出，区分研究阶段的支出与开发阶段的支出。研究是指为获取并理解新的科学或技术知识而进 行的独创性的有计划调查。开发是指在进行商业性生产或使用前，将研究成果或其他知识应用于某项计划或设计，以生产出 新的或具有实质性改进的材料、装置、产品等。</w:t>
      </w:r>
    </w:p>
    <w:p>
      <w:pPr>
        <w:pStyle w:val="Style38"/>
        <w:keepNext/>
        <w:keepLines/>
        <w:widowControl w:val="0"/>
        <w:shd w:val="clear" w:color="auto" w:fill="auto"/>
        <w:tabs>
          <w:tab w:pos="488" w:val="left"/>
        </w:tabs>
        <w:bidi w:val="0"/>
        <w:spacing w:before="0" w:after="260" w:line="240" w:lineRule="auto"/>
        <w:ind w:left="0" w:right="0" w:firstLine="0"/>
        <w:jc w:val="both"/>
      </w:pPr>
      <w:bookmarkStart w:id="607" w:name="bookmark607"/>
      <w:bookmarkStart w:id="608" w:name="bookmark608"/>
      <w:bookmarkStart w:id="609" w:name="bookmark609"/>
      <w:bookmarkStart w:id="610" w:name="bookmark610"/>
      <w:r>
        <w:rPr>
          <w:color w:val="000000"/>
          <w:spacing w:val="0"/>
          <w:w w:val="100"/>
          <w:position w:val="0"/>
        </w:rPr>
        <w:t>（</w:t>
      </w:r>
      <w:bookmarkEnd w:id="609"/>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607"/>
      <w:bookmarkEnd w:id="608"/>
      <w:bookmarkEnd w:id="610"/>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本公司内部研究开发项目研究阶段的支出在发生时计入当期损益；开发阶段的支出，仅在同时满足下列条件时，确认为无形 资产：</w:t>
      </w:r>
    </w:p>
    <w:p>
      <w:pPr>
        <w:pStyle w:val="Style9"/>
        <w:keepNext w:val="0"/>
        <w:keepLines w:val="0"/>
        <w:widowControl w:val="0"/>
        <w:numPr>
          <w:ilvl w:val="0"/>
          <w:numId w:val="7"/>
        </w:numPr>
        <w:shd w:val="clear" w:color="auto" w:fill="auto"/>
        <w:tabs>
          <w:tab w:pos="373" w:val="left"/>
        </w:tabs>
        <w:bidi w:val="0"/>
        <w:spacing w:before="0" w:after="0" w:line="312" w:lineRule="exact"/>
        <w:ind w:left="0" w:right="0" w:firstLine="0"/>
        <w:jc w:val="both"/>
      </w:pPr>
      <w:bookmarkStart w:id="611" w:name="bookmark611"/>
      <w:bookmarkEnd w:id="611"/>
      <w:r>
        <w:rPr>
          <w:color w:val="000000"/>
          <w:spacing w:val="0"/>
          <w:w w:val="100"/>
          <w:position w:val="0"/>
        </w:rPr>
        <w:t>完成该无形资产以使其能够使用或出售在技术上具有可行性；</w:t>
      </w:r>
    </w:p>
    <w:p>
      <w:pPr>
        <w:pStyle w:val="Style9"/>
        <w:keepNext w:val="0"/>
        <w:keepLines w:val="0"/>
        <w:widowControl w:val="0"/>
        <w:numPr>
          <w:ilvl w:val="0"/>
          <w:numId w:val="7"/>
        </w:numPr>
        <w:shd w:val="clear" w:color="auto" w:fill="auto"/>
        <w:tabs>
          <w:tab w:pos="373" w:val="left"/>
        </w:tabs>
        <w:bidi w:val="0"/>
        <w:spacing w:before="0" w:after="0" w:line="312" w:lineRule="exact"/>
        <w:ind w:left="0" w:right="0" w:firstLine="0"/>
        <w:jc w:val="both"/>
      </w:pPr>
      <w:bookmarkStart w:id="612" w:name="bookmark612"/>
      <w:bookmarkEnd w:id="612"/>
      <w:r>
        <w:rPr>
          <w:color w:val="000000"/>
          <w:spacing w:val="0"/>
          <w:w w:val="100"/>
          <w:position w:val="0"/>
        </w:rPr>
        <w:t>具有完成该无形资产并使用或出售的意图；</w:t>
      </w:r>
    </w:p>
    <w:p>
      <w:pPr>
        <w:pStyle w:val="Style9"/>
        <w:keepNext w:val="0"/>
        <w:keepLines w:val="0"/>
        <w:widowControl w:val="0"/>
        <w:numPr>
          <w:ilvl w:val="0"/>
          <w:numId w:val="7"/>
        </w:numPr>
        <w:shd w:val="clear" w:color="auto" w:fill="auto"/>
        <w:tabs>
          <w:tab w:pos="373" w:val="left"/>
        </w:tabs>
        <w:bidi w:val="0"/>
        <w:spacing w:before="0" w:after="0" w:line="312" w:lineRule="exact"/>
        <w:ind w:left="0" w:right="0" w:firstLine="0"/>
        <w:jc w:val="both"/>
      </w:pPr>
      <w:bookmarkStart w:id="613" w:name="bookmark613"/>
      <w:bookmarkEnd w:id="613"/>
      <w:r>
        <w:rPr>
          <w:color w:val="000000"/>
          <w:spacing w:val="0"/>
          <w:w w:val="100"/>
          <w:position w:val="0"/>
        </w:rPr>
        <w:t>该无形资产能够带来经济利益；</w:t>
      </w:r>
    </w:p>
    <w:p>
      <w:pPr>
        <w:pStyle w:val="Style9"/>
        <w:keepNext w:val="0"/>
        <w:keepLines w:val="0"/>
        <w:widowControl w:val="0"/>
        <w:numPr>
          <w:ilvl w:val="0"/>
          <w:numId w:val="7"/>
        </w:numPr>
        <w:shd w:val="clear" w:color="auto" w:fill="auto"/>
        <w:tabs>
          <w:tab w:pos="373" w:val="left"/>
        </w:tabs>
        <w:bidi w:val="0"/>
        <w:spacing w:before="0" w:after="0" w:line="312" w:lineRule="exact"/>
        <w:ind w:left="0" w:right="0" w:firstLine="0"/>
        <w:jc w:val="both"/>
      </w:pPr>
      <w:bookmarkStart w:id="614" w:name="bookmark614"/>
      <w:bookmarkEnd w:id="614"/>
      <w:r>
        <w:rPr>
          <w:color w:val="000000"/>
          <w:spacing w:val="0"/>
          <w:w w:val="100"/>
          <w:position w:val="0"/>
        </w:rPr>
        <w:t>有足够的技术、财务资源和其他资源支持，以完成该无形资产的开发，并有能力使用或出售该无形资产；</w:t>
      </w:r>
    </w:p>
    <w:p>
      <w:pPr>
        <w:pStyle w:val="Style9"/>
        <w:keepNext w:val="0"/>
        <w:keepLines w:val="0"/>
        <w:widowControl w:val="0"/>
        <w:numPr>
          <w:ilvl w:val="0"/>
          <w:numId w:val="7"/>
        </w:numPr>
        <w:shd w:val="clear" w:color="auto" w:fill="auto"/>
        <w:tabs>
          <w:tab w:pos="373" w:val="left"/>
        </w:tabs>
        <w:bidi w:val="0"/>
        <w:spacing w:before="0" w:after="680" w:line="312" w:lineRule="exact"/>
        <w:ind w:left="0" w:right="0" w:firstLine="0"/>
        <w:jc w:val="both"/>
      </w:pPr>
      <w:bookmarkStart w:id="615" w:name="bookmark615"/>
      <w:bookmarkEnd w:id="615"/>
      <w:r>
        <w:rPr>
          <w:color w:val="000000"/>
          <w:spacing w:val="0"/>
          <w:w w:val="100"/>
          <w:position w:val="0"/>
        </w:rPr>
        <w:t>归属于该无形资产开发阶段的支出能够可靠地计量。</w:t>
      </w:r>
    </w:p>
    <w:p>
      <w:pPr>
        <w:pStyle w:val="Style35"/>
        <w:keepNext/>
        <w:keepLines/>
        <w:widowControl w:val="0"/>
        <w:shd w:val="clear" w:color="auto" w:fill="auto"/>
        <w:bidi w:val="0"/>
        <w:spacing w:before="0" w:after="260" w:line="240" w:lineRule="auto"/>
        <w:ind w:left="0" w:right="0" w:firstLine="0"/>
        <w:jc w:val="both"/>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616"/>
      <w:bookmarkEnd w:id="617"/>
      <w:bookmarkEnd w:id="619"/>
    </w:p>
    <w:p>
      <w:pPr>
        <w:pStyle w:val="Style9"/>
        <w:keepNext w:val="0"/>
        <w:keepLines w:val="0"/>
        <w:widowControl w:val="0"/>
        <w:shd w:val="clear" w:color="auto" w:fill="auto"/>
        <w:tabs>
          <w:tab w:pos="427" w:val="left"/>
        </w:tabs>
        <w:bidi w:val="0"/>
        <w:spacing w:before="0" w:after="0" w:line="317" w:lineRule="exact"/>
        <w:ind w:left="0" w:right="0" w:firstLine="0"/>
        <w:jc w:val="both"/>
      </w:pPr>
      <w:bookmarkStart w:id="620" w:name="bookmark620"/>
      <w:r>
        <w:rPr>
          <w:rFonts w:ascii="Times New Roman" w:eastAsia="Times New Roman" w:hAnsi="Times New Roman" w:cs="Times New Roman"/>
          <w:color w:val="000000"/>
          <w:spacing w:val="0"/>
          <w:w w:val="100"/>
          <w:position w:val="0"/>
        </w:rPr>
        <w:t>A</w:t>
      </w:r>
      <w:bookmarkEnd w:id="620"/>
      <w:r>
        <w:rPr>
          <w:color w:val="000000"/>
          <w:spacing w:val="0"/>
          <w:w w:val="100"/>
          <w:position w:val="0"/>
        </w:rPr>
        <w:t>、</w:t>
        <w:tab/>
      </w:r>
      <w:r>
        <w:rPr>
          <w:color w:val="000000"/>
          <w:spacing w:val="0"/>
          <w:w w:val="100"/>
          <w:position w:val="0"/>
        </w:rPr>
        <w:t>长期待摊费用指应由本期和以后各期负担的分摊期限在一年以上的各项费用。</w:t>
      </w:r>
    </w:p>
    <w:p>
      <w:pPr>
        <w:pStyle w:val="Style9"/>
        <w:keepNext w:val="0"/>
        <w:keepLines w:val="0"/>
        <w:widowControl w:val="0"/>
        <w:shd w:val="clear" w:color="auto" w:fill="auto"/>
        <w:tabs>
          <w:tab w:pos="397" w:val="left"/>
        </w:tabs>
        <w:bidi w:val="0"/>
        <w:spacing w:before="0" w:after="680" w:line="317" w:lineRule="exact"/>
        <w:ind w:left="0" w:right="0" w:firstLine="0"/>
        <w:jc w:val="both"/>
      </w:pPr>
      <w:bookmarkStart w:id="621" w:name="bookmark621"/>
      <w:r>
        <w:rPr>
          <w:rFonts w:ascii="Times New Roman" w:eastAsia="Times New Roman" w:hAnsi="Times New Roman" w:cs="Times New Roman"/>
          <w:color w:val="000000"/>
          <w:spacing w:val="0"/>
          <w:w w:val="100"/>
          <w:position w:val="0"/>
        </w:rPr>
        <w:t>B</w:t>
      </w:r>
      <w:bookmarkEnd w:id="621"/>
      <w:r>
        <w:rPr>
          <w:color w:val="000000"/>
          <w:spacing w:val="0"/>
          <w:w w:val="100"/>
          <w:position w:val="0"/>
        </w:rPr>
        <w:t>、</w:t>
        <w:tab/>
      </w:r>
      <w:r>
        <w:rPr>
          <w:color w:val="000000"/>
          <w:spacing w:val="0"/>
          <w:w w:val="100"/>
          <w:position w:val="0"/>
        </w:rPr>
        <w:t>长期待摊费用在取得时按照实际成本计价，开办费在发生时计入当期损益；经营性租赁固定资产的装修费用自生产经营 当月起</w:t>
      </w:r>
      <w:r>
        <w:rPr>
          <w:rFonts w:ascii="Times New Roman" w:eastAsia="Times New Roman" w:hAnsi="Times New Roman" w:cs="Times New Roman"/>
          <w:color w:val="000000"/>
          <w:spacing w:val="0"/>
          <w:w w:val="100"/>
          <w:position w:val="0"/>
        </w:rPr>
        <w:t>5</w:t>
      </w:r>
      <w:r>
        <w:rPr>
          <w:color w:val="000000"/>
          <w:spacing w:val="0"/>
          <w:w w:val="100"/>
          <w:position w:val="0"/>
        </w:rPr>
        <w:t>年内平均摊销，其他长期待摊费用按项目的受益期平均摊销。对于在以后会计期间已无法带来预期经济利益的长期 待摊费用，本公司对其尚未摊销的摊余价值全部转入当期损益。</w:t>
      </w:r>
    </w:p>
    <w:p>
      <w:pPr>
        <w:pStyle w:val="Style35"/>
        <w:keepNext/>
        <w:keepLines/>
        <w:widowControl w:val="0"/>
        <w:shd w:val="clear" w:color="auto" w:fill="auto"/>
        <w:bidi w:val="0"/>
        <w:spacing w:before="0" w:after="360" w:line="240" w:lineRule="auto"/>
        <w:ind w:left="0" w:right="0" w:firstLine="0"/>
        <w:jc w:val="both"/>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1</w:t>
      </w:r>
      <w:bookmarkEnd w:id="624"/>
      <w:r>
        <w:rPr>
          <w:rFonts w:ascii="Times New Roman" w:eastAsia="Times New Roman" w:hAnsi="Times New Roman" w:cs="Times New Roman"/>
          <w:color w:val="000000"/>
          <w:spacing w:val="0"/>
          <w:w w:val="100"/>
          <w:position w:val="0"/>
        </w:rPr>
        <w:t>9</w:t>
      </w:r>
      <w:r>
        <w:rPr>
          <w:color w:val="000000"/>
          <w:spacing w:val="0"/>
          <w:w w:val="100"/>
          <w:position w:val="0"/>
        </w:rPr>
        <w:t>、附回购条件的资产转让</w:t>
      </w:r>
      <w:bookmarkEnd w:id="622"/>
      <w:bookmarkEnd w:id="623"/>
      <w:bookmarkEnd w:id="625"/>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5"/>
        <w:keepNext/>
        <w:keepLines/>
        <w:widowControl w:val="0"/>
        <w:shd w:val="clear" w:color="auto" w:fill="auto"/>
        <w:bidi w:val="0"/>
        <w:spacing w:before="0" w:after="36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2</w:t>
      </w:r>
      <w:bookmarkEnd w:id="628"/>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626"/>
      <w:bookmarkEnd w:id="627"/>
      <w:bookmarkEnd w:id="629"/>
    </w:p>
    <w:p>
      <w:pPr>
        <w:pStyle w:val="Style38"/>
        <w:keepNext/>
        <w:keepLines/>
        <w:widowControl w:val="0"/>
        <w:shd w:val="clear" w:color="auto" w:fill="auto"/>
        <w:tabs>
          <w:tab w:pos="488" w:val="left"/>
        </w:tabs>
        <w:bidi w:val="0"/>
        <w:spacing w:before="0" w:after="28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rPr>
        <w:t>（</w:t>
      </w:r>
      <w:bookmarkEnd w:id="632"/>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630"/>
      <w:bookmarkEnd w:id="631"/>
      <w:bookmarkEnd w:id="633"/>
    </w:p>
    <w:p>
      <w:pPr>
        <w:pStyle w:val="Style9"/>
        <w:keepNext w:val="0"/>
        <w:keepLines w:val="0"/>
        <w:widowControl w:val="0"/>
        <w:shd w:val="clear" w:color="auto" w:fill="auto"/>
        <w:tabs>
          <w:tab w:pos="397" w:val="left"/>
        </w:tabs>
        <w:bidi w:val="0"/>
        <w:spacing w:before="0" w:after="0" w:line="322" w:lineRule="exact"/>
        <w:ind w:left="0" w:right="0" w:firstLine="0"/>
        <w:jc w:val="left"/>
      </w:pPr>
      <w:bookmarkStart w:id="634" w:name="bookmark634"/>
      <w:r>
        <w:rPr>
          <w:rFonts w:ascii="Times New Roman" w:eastAsia="Times New Roman" w:hAnsi="Times New Roman" w:cs="Times New Roman"/>
          <w:color w:val="000000"/>
          <w:spacing w:val="0"/>
          <w:w w:val="100"/>
          <w:position w:val="0"/>
        </w:rPr>
        <w:t>A</w:t>
      </w:r>
      <w:bookmarkEnd w:id="634"/>
      <w:r>
        <w:rPr>
          <w:color w:val="000000"/>
          <w:spacing w:val="0"/>
          <w:w w:val="100"/>
          <w:position w:val="0"/>
        </w:rPr>
        <w:t>、</w:t>
        <w:tab/>
      </w:r>
      <w:r>
        <w:rPr>
          <w:color w:val="000000"/>
          <w:spacing w:val="0"/>
          <w:w w:val="100"/>
          <w:position w:val="0"/>
        </w:rPr>
        <w:t>因对外提供担保、诉讼事项、产品质量保证、亏损合同等或有事项形成的义务成为公司承担的现实义务，履行该义务很 可能导致经济利益流出公司，且该义务的金额能够可靠的计量时，公司将该项义务确认为预计负债。</w:t>
      </w:r>
    </w:p>
    <w:p>
      <w:pPr>
        <w:pStyle w:val="Style9"/>
        <w:keepNext w:val="0"/>
        <w:keepLines w:val="0"/>
        <w:widowControl w:val="0"/>
        <w:shd w:val="clear" w:color="auto" w:fill="auto"/>
        <w:tabs>
          <w:tab w:pos="397" w:val="left"/>
        </w:tabs>
        <w:bidi w:val="0"/>
        <w:spacing w:before="0" w:after="360" w:line="326" w:lineRule="exact"/>
        <w:ind w:left="0" w:right="0" w:firstLine="0"/>
        <w:jc w:val="left"/>
      </w:pPr>
      <w:bookmarkStart w:id="635" w:name="bookmark635"/>
      <w:r>
        <w:rPr>
          <w:rFonts w:ascii="Times New Roman" w:eastAsia="Times New Roman" w:hAnsi="Times New Roman" w:cs="Times New Roman"/>
          <w:color w:val="000000"/>
          <w:spacing w:val="0"/>
          <w:w w:val="100"/>
          <w:position w:val="0"/>
        </w:rPr>
        <w:t>B</w:t>
      </w:r>
      <w:bookmarkEnd w:id="635"/>
      <w:r>
        <w:rPr>
          <w:color w:val="000000"/>
          <w:spacing w:val="0"/>
          <w:w w:val="100"/>
          <w:position w:val="0"/>
        </w:rPr>
        <w:t>、</w:t>
        <w:tab/>
      </w:r>
      <w:r>
        <w:rPr>
          <w:color w:val="000000"/>
          <w:spacing w:val="0"/>
          <w:w w:val="100"/>
          <w:position w:val="0"/>
        </w:rPr>
        <w:t>公司按照履行相关现实义务所需支出的最佳估计数对预计负债进行初始计量，并在资产负债表日对预计负债的账面价值 进行复核。</w:t>
      </w:r>
    </w:p>
    <w:p>
      <w:pPr>
        <w:pStyle w:val="Style38"/>
        <w:keepNext/>
        <w:keepLines/>
        <w:widowControl w:val="0"/>
        <w:shd w:val="clear" w:color="auto" w:fill="auto"/>
        <w:tabs>
          <w:tab w:pos="488" w:val="left"/>
        </w:tabs>
        <w:bidi w:val="0"/>
        <w:spacing w:before="0" w:after="28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w:t>
      </w:r>
      <w:bookmarkEnd w:id="638"/>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636"/>
      <w:bookmarkEnd w:id="637"/>
      <w:bookmarkEnd w:id="639"/>
    </w:p>
    <w:p>
      <w:pPr>
        <w:pStyle w:val="Style9"/>
        <w:keepNext w:val="0"/>
        <w:keepLines w:val="0"/>
        <w:widowControl w:val="0"/>
        <w:shd w:val="clear" w:color="auto" w:fill="auto"/>
        <w:bidi w:val="0"/>
        <w:spacing w:before="0" w:after="680" w:line="312" w:lineRule="exact"/>
        <w:ind w:left="0" w:right="0" w:firstLine="0"/>
        <w:jc w:val="left"/>
      </w:pPr>
      <w:r>
        <w:rPr>
          <w:color w:val="000000"/>
          <w:spacing w:val="0"/>
          <w:w w:val="100"/>
          <w:position w:val="0"/>
        </w:rPr>
        <w:t>公司按照履行相关现实义务所需支出的最佳估计数对预计负债进行初始计量，并在资产负债表日对预计负债的账面价值进行 复核。</w:t>
      </w:r>
    </w:p>
    <w:p>
      <w:pPr>
        <w:pStyle w:val="Style35"/>
        <w:keepNext/>
        <w:keepLines/>
        <w:widowControl w:val="0"/>
        <w:shd w:val="clear" w:color="auto" w:fill="auto"/>
        <w:bidi w:val="0"/>
        <w:spacing w:before="0" w:after="36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rFonts w:ascii="Times New Roman" w:eastAsia="Times New Roman" w:hAnsi="Times New Roman" w:cs="Times New Roman"/>
          <w:color w:val="000000"/>
          <w:spacing w:val="0"/>
          <w:w w:val="100"/>
          <w:position w:val="0"/>
        </w:rPr>
        <w:t>1</w:t>
      </w:r>
      <w:r>
        <w:rPr>
          <w:color w:val="000000"/>
          <w:spacing w:val="0"/>
          <w:w w:val="100"/>
          <w:position w:val="0"/>
        </w:rPr>
        <w:t>、收入</w:t>
      </w:r>
      <w:bookmarkEnd w:id="640"/>
      <w:bookmarkEnd w:id="641"/>
      <w:bookmarkEnd w:id="643"/>
    </w:p>
    <w:p>
      <w:pPr>
        <w:pStyle w:val="Style38"/>
        <w:keepNext/>
        <w:keepLines/>
        <w:widowControl w:val="0"/>
        <w:shd w:val="clear" w:color="auto" w:fill="auto"/>
        <w:tabs>
          <w:tab w:pos="488" w:val="left"/>
        </w:tabs>
        <w:bidi w:val="0"/>
        <w:spacing w:before="0" w:after="28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rPr>
        <w:t>（</w:t>
      </w:r>
      <w:bookmarkEnd w:id="646"/>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644"/>
      <w:bookmarkEnd w:id="645"/>
      <w:bookmarkEnd w:id="647"/>
    </w:p>
    <w:p>
      <w:pPr>
        <w:pStyle w:val="Style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公司已将商品所有权上的主要风险和报酬转移给购买方；公司既没有保留与所有权相联系的继续管理权，也没有对已售出的 商品实施有效控制；收入的金额能够可靠地计量；相关的经济利益很可能流入企业；相关的已发生或将发生的成本能够可靠 地计量时，确认商品销售收入实现。</w:t>
      </w:r>
    </w:p>
    <w:p>
      <w:pPr>
        <w:pStyle w:val="Style38"/>
        <w:keepNext/>
        <w:keepLines/>
        <w:widowControl w:val="0"/>
        <w:shd w:val="clear" w:color="auto" w:fill="auto"/>
        <w:tabs>
          <w:tab w:pos="488" w:val="left"/>
        </w:tabs>
        <w:bidi w:val="0"/>
        <w:spacing w:before="0" w:after="28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w:t>
      </w:r>
      <w:bookmarkEnd w:id="650"/>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648"/>
      <w:bookmarkEnd w:id="649"/>
      <w:bookmarkEnd w:id="651"/>
    </w:p>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与交易相关的经济利益很可能流入企业，收入的金额能够可靠地计量时。分别下列情况确定让渡资产使用权收入金额：</w:t>
      </w:r>
    </w:p>
    <w:p>
      <w:pPr>
        <w:pStyle w:val="Style9"/>
        <w:keepNext w:val="0"/>
        <w:keepLines w:val="0"/>
        <w:widowControl w:val="0"/>
        <w:numPr>
          <w:ilvl w:val="0"/>
          <w:numId w:val="9"/>
        </w:numPr>
        <w:shd w:val="clear" w:color="auto" w:fill="auto"/>
        <w:tabs>
          <w:tab w:pos="358" w:val="left"/>
        </w:tabs>
        <w:bidi w:val="0"/>
        <w:spacing w:before="0" w:after="0" w:line="307" w:lineRule="exact"/>
        <w:ind w:left="0" w:right="0" w:firstLine="0"/>
        <w:jc w:val="left"/>
      </w:pPr>
      <w:bookmarkStart w:id="652" w:name="bookmark652"/>
      <w:bookmarkEnd w:id="652"/>
      <w:r>
        <w:rPr>
          <w:color w:val="000000"/>
          <w:spacing w:val="0"/>
          <w:w w:val="100"/>
          <w:position w:val="0"/>
        </w:rPr>
        <w:t>利息收入金额，按照他人使用本企业货币资金的时间和实际利率计算确定。</w:t>
      </w:r>
    </w:p>
    <w:p>
      <w:pPr>
        <w:pStyle w:val="Style9"/>
        <w:keepNext w:val="0"/>
        <w:keepLines w:val="0"/>
        <w:widowControl w:val="0"/>
        <w:numPr>
          <w:ilvl w:val="0"/>
          <w:numId w:val="9"/>
        </w:numPr>
        <w:shd w:val="clear" w:color="auto" w:fill="auto"/>
        <w:tabs>
          <w:tab w:pos="358" w:val="left"/>
        </w:tabs>
        <w:bidi w:val="0"/>
        <w:spacing w:before="0" w:after="0" w:line="307" w:lineRule="exact"/>
        <w:ind w:left="0" w:right="0" w:firstLine="0"/>
        <w:jc w:val="left"/>
      </w:pPr>
      <w:bookmarkStart w:id="653" w:name="bookmark653"/>
      <w:bookmarkEnd w:id="653"/>
      <w:r>
        <w:rPr>
          <w:color w:val="000000"/>
          <w:spacing w:val="0"/>
          <w:w w:val="100"/>
          <w:position w:val="0"/>
        </w:rPr>
        <w:t>使用费收入金额，按照有关合同或协议约定的收费时间和方法计算确定。</w:t>
      </w:r>
    </w:p>
    <w:p>
      <w:pPr>
        <w:pStyle w:val="Style9"/>
        <w:keepNext w:val="0"/>
        <w:keepLines w:val="0"/>
        <w:widowControl w:val="0"/>
        <w:numPr>
          <w:ilvl w:val="0"/>
          <w:numId w:val="9"/>
        </w:numPr>
        <w:shd w:val="clear" w:color="auto" w:fill="auto"/>
        <w:tabs>
          <w:tab w:pos="358" w:val="left"/>
        </w:tabs>
        <w:bidi w:val="0"/>
        <w:spacing w:before="0" w:after="680" w:line="307" w:lineRule="exact"/>
        <w:ind w:left="0" w:right="0" w:firstLine="0"/>
        <w:jc w:val="left"/>
      </w:pPr>
      <w:bookmarkStart w:id="654" w:name="bookmark654"/>
      <w:bookmarkEnd w:id="654"/>
      <w:r>
        <w:rPr>
          <w:color w:val="000000"/>
          <w:spacing w:val="0"/>
          <w:w w:val="100"/>
          <w:position w:val="0"/>
        </w:rPr>
        <w:t>出租物业收入，即对于经营租赁的租金，按照租赁期内合同总金额在租赁期内各个期间按照直线法确认为当期损益。</w:t>
      </w:r>
    </w:p>
    <w:p>
      <w:pPr>
        <w:pStyle w:val="Style38"/>
        <w:keepNext/>
        <w:keepLines/>
        <w:widowControl w:val="0"/>
        <w:shd w:val="clear" w:color="auto" w:fill="auto"/>
        <w:tabs>
          <w:tab w:pos="488" w:val="left"/>
        </w:tabs>
        <w:bidi w:val="0"/>
        <w:spacing w:before="0" w:after="28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rPr>
        <w:t>（</w:t>
      </w:r>
      <w:bookmarkEnd w:id="657"/>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655"/>
      <w:bookmarkEnd w:id="656"/>
      <w:bookmarkEnd w:id="658"/>
    </w:p>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在同一会计年度内开始并完成的劳务，在完成劳务时确认收入；如劳务的开始和完成超过一个完整会计年度，在提供劳务交 易的结果能够可靠地估计（即劳务总收入及总成本能够可靠地计量，劳务的完成程度能够可靠地确定，相关的价款能够流入） 时，于资产负债表日按完工百分比法确认相关的劳务收入。</w:t>
      </w:r>
    </w:p>
    <w:p>
      <w:pPr>
        <w:pStyle w:val="Style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在资产负债表日提供劳务交易结果不能够可靠估计的，分别下列情况处理：</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已经发生的劳务成本预计能够得到补偿的， 按照已经发生的劳务成本金额确认提供劳务收入，并按相同金额结转劳务成本；</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已经发生的劳务成本预计不能够得到补 偿的，应当将已经发生的劳务成本计入当期损益，不确认提供劳务收入。</w:t>
      </w:r>
    </w:p>
    <w:p>
      <w:pPr>
        <w:pStyle w:val="Style38"/>
        <w:keepNext/>
        <w:keepLines/>
        <w:widowControl w:val="0"/>
        <w:shd w:val="clear" w:color="auto" w:fill="auto"/>
        <w:tabs>
          <w:tab w:pos="488" w:val="left"/>
        </w:tabs>
        <w:bidi w:val="0"/>
        <w:spacing w:before="0" w:after="28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rPr>
        <w:t>（</w:t>
      </w:r>
      <w:bookmarkEnd w:id="661"/>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659"/>
      <w:bookmarkEnd w:id="660"/>
      <w:bookmarkEnd w:id="662"/>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定制软件收入确认</w:t>
      </w:r>
    </w:p>
    <w:p>
      <w:pPr>
        <w:pStyle w:val="Style9"/>
        <w:keepNext w:val="0"/>
        <w:keepLines w:val="0"/>
        <w:widowControl w:val="0"/>
        <w:numPr>
          <w:ilvl w:val="0"/>
          <w:numId w:val="11"/>
        </w:numPr>
        <w:shd w:val="clear" w:color="auto" w:fill="auto"/>
        <w:bidi w:val="0"/>
        <w:spacing w:before="0" w:after="320" w:line="312" w:lineRule="exact"/>
        <w:ind w:left="0" w:right="0" w:firstLine="0"/>
        <w:jc w:val="left"/>
      </w:pPr>
      <w:bookmarkStart w:id="663" w:name="bookmark663"/>
      <w:bookmarkEnd w:id="663"/>
      <w:r>
        <w:rPr>
          <w:color w:val="000000"/>
          <w:spacing w:val="0"/>
          <w:w w:val="100"/>
          <w:position w:val="0"/>
        </w:rPr>
        <w:t>软件项目合同的总收入、项目的完成程度能够可靠地确定，与项目有关的价款能够流入，已经发生的成本和完成该项软件 将要发生的成本能够可靠地计量时，在资产负债表日按完工百分比法确认软件收入。</w:t>
      </w:r>
    </w:p>
    <w:p>
      <w:pPr>
        <w:pStyle w:val="Style9"/>
        <w:keepNext w:val="0"/>
        <w:keepLines w:val="0"/>
        <w:widowControl w:val="0"/>
        <w:numPr>
          <w:ilvl w:val="0"/>
          <w:numId w:val="11"/>
        </w:numPr>
        <w:shd w:val="clear" w:color="auto" w:fill="auto"/>
        <w:bidi w:val="0"/>
        <w:spacing w:before="0" w:after="0" w:line="310" w:lineRule="exact"/>
        <w:ind w:left="0" w:right="0" w:firstLine="0"/>
        <w:jc w:val="left"/>
      </w:pPr>
      <w:bookmarkStart w:id="664" w:name="bookmark664"/>
      <w:bookmarkEnd w:id="664"/>
      <w:r>
        <w:rPr>
          <w:color w:val="000000"/>
          <w:spacing w:val="0"/>
          <w:w w:val="100"/>
          <w:position w:val="0"/>
        </w:rPr>
        <w:t>对在资产负债表日劳务交易结果不能可靠估计的定制软件项目，如果已经发生的成本预计能够得到补偿，应按能够得到补 偿的收入金额确认收入，并按相同的金额结转成本；如果已经发生的成本预计不能全部得到补偿，应按能够得到补偿的收 入金额确认收入，并按已发生的成本结转成本，确认的收入金额小于已经发生的成本的差额，确认为损失；如果已发生的成 本全部不能得到补偿，则不应确认收入，但应将已发生的成本确认为费用。</w:t>
      </w:r>
    </w:p>
    <w:p>
      <w:pPr>
        <w:pStyle w:val="Style9"/>
        <w:keepNext w:val="0"/>
        <w:keepLines w:val="0"/>
        <w:widowControl w:val="0"/>
        <w:shd w:val="clear" w:color="auto" w:fill="auto"/>
        <w:bidi w:val="0"/>
        <w:spacing w:before="0" w:after="680" w:line="310" w:lineRule="exact"/>
        <w:ind w:left="0" w:right="0" w:firstLine="0"/>
        <w:jc w:val="left"/>
      </w:pPr>
      <w:r>
        <w:rPr>
          <w:color w:val="000000"/>
          <w:spacing w:val="0"/>
          <w:w w:val="100"/>
          <w:position w:val="0"/>
        </w:rPr>
        <w:t>软件服务收入确认：在资产负债表日提供劳务交易的结果能够可靠估计的，应当采用完工百分比法确认提供劳务收入。</w:t>
      </w:r>
    </w:p>
    <w:p>
      <w:pPr>
        <w:pStyle w:val="Style35"/>
        <w:keepNext/>
        <w:keepLines/>
        <w:widowControl w:val="0"/>
        <w:shd w:val="clear" w:color="auto" w:fill="auto"/>
        <w:tabs>
          <w:tab w:pos="478" w:val="left"/>
        </w:tabs>
        <w:bidi w:val="0"/>
        <w:spacing w:before="0" w:after="36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2</w:t>
      </w:r>
      <w:bookmarkEnd w:id="667"/>
      <w:r>
        <w:rPr>
          <w:rFonts w:ascii="Times New Roman" w:eastAsia="Times New Roman" w:hAnsi="Times New Roman" w:cs="Times New Roman"/>
          <w:color w:val="000000"/>
          <w:spacing w:val="0"/>
          <w:w w:val="100"/>
          <w:position w:val="0"/>
        </w:rPr>
        <w:t>2</w:t>
      </w:r>
      <w:r>
        <w:rPr>
          <w:color w:val="000000"/>
          <w:spacing w:val="0"/>
          <w:w w:val="100"/>
          <w:position w:val="0"/>
        </w:rPr>
        <w:t>、</w:t>
        <w:tab/>
        <w:t>政府补助</w:t>
      </w:r>
      <w:bookmarkEnd w:id="665"/>
      <w:bookmarkEnd w:id="666"/>
      <w:bookmarkEnd w:id="668"/>
    </w:p>
    <w:p>
      <w:pPr>
        <w:pStyle w:val="Style38"/>
        <w:keepNext/>
        <w:keepLines/>
        <w:widowControl w:val="0"/>
        <w:shd w:val="clear" w:color="auto" w:fill="auto"/>
        <w:tabs>
          <w:tab w:pos="488" w:val="left"/>
        </w:tabs>
        <w:bidi w:val="0"/>
        <w:spacing w:before="0" w:after="28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w:t>
      </w:r>
      <w:bookmarkEnd w:id="671"/>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669"/>
      <w:bookmarkEnd w:id="670"/>
      <w:bookmarkEnd w:id="672"/>
    </w:p>
    <w:p>
      <w:pPr>
        <w:pStyle w:val="Style9"/>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政府补助包括与资产相关的政府补助和与收益相关的政府补助。</w:t>
      </w:r>
    </w:p>
    <w:p>
      <w:pPr>
        <w:pStyle w:val="Style38"/>
        <w:keepNext/>
        <w:keepLines/>
        <w:widowControl w:val="0"/>
        <w:shd w:val="clear" w:color="auto" w:fill="auto"/>
        <w:tabs>
          <w:tab w:pos="488" w:val="left"/>
        </w:tabs>
        <w:bidi w:val="0"/>
        <w:spacing w:before="0" w:after="28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rPr>
        <w:t>（</w:t>
      </w:r>
      <w:bookmarkEnd w:id="675"/>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673"/>
      <w:bookmarkEnd w:id="674"/>
      <w:bookmarkEnd w:id="676"/>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政府补助为货币性资产的，按照收到或应收的金额计量；政府补助为非货币性资产的，按照公允价值计量，公允价值不能可 靠取得的，按照名义金额计量。</w:t>
      </w:r>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与资产相关的政府补助，确认为递延收益，在相关资产使用寿命内平均分配，计入当期损益。与收益相关的政府补助，用于 补偿以后期间的相关费用或损失的，确认为递延收益，在确认相关费用的期间，计入当期损益；用于补偿以前的相关费用或 损失的，直接计入当期损益。</w:t>
      </w:r>
    </w:p>
    <w:p>
      <w:pPr>
        <w:pStyle w:val="Style35"/>
        <w:keepNext/>
        <w:keepLines/>
        <w:widowControl w:val="0"/>
        <w:shd w:val="clear" w:color="auto" w:fill="auto"/>
        <w:tabs>
          <w:tab w:pos="478" w:val="left"/>
        </w:tabs>
        <w:bidi w:val="0"/>
        <w:spacing w:before="0" w:after="36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bookmarkEnd w:id="679"/>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递延所得税资产和递延所得税负债</w:t>
      </w:r>
      <w:bookmarkEnd w:id="677"/>
      <w:bookmarkEnd w:id="678"/>
      <w:bookmarkEnd w:id="680"/>
    </w:p>
    <w:p>
      <w:pPr>
        <w:pStyle w:val="Style38"/>
        <w:keepNext/>
        <w:keepLines/>
        <w:widowControl w:val="0"/>
        <w:shd w:val="clear" w:color="auto" w:fill="auto"/>
        <w:tabs>
          <w:tab w:pos="488" w:val="left"/>
        </w:tabs>
        <w:bidi w:val="0"/>
        <w:spacing w:before="0" w:after="28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w:t>
      </w:r>
      <w:bookmarkEnd w:id="683"/>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681"/>
      <w:bookmarkEnd w:id="682"/>
      <w:bookmarkEnd w:id="684"/>
    </w:p>
    <w:p>
      <w:pPr>
        <w:pStyle w:val="Style9"/>
        <w:keepNext w:val="0"/>
        <w:keepLines w:val="0"/>
        <w:widowControl w:val="0"/>
        <w:numPr>
          <w:ilvl w:val="0"/>
          <w:numId w:val="13"/>
        </w:numPr>
        <w:shd w:val="clear" w:color="auto" w:fill="auto"/>
        <w:tabs>
          <w:tab w:pos="388" w:val="left"/>
        </w:tabs>
        <w:bidi w:val="0"/>
        <w:spacing w:before="0" w:after="360" w:line="316" w:lineRule="exact"/>
        <w:ind w:left="0" w:right="0" w:firstLine="0"/>
        <w:jc w:val="left"/>
      </w:pPr>
      <w:bookmarkStart w:id="685" w:name="bookmark685"/>
      <w:bookmarkEnd w:id="685"/>
      <w:r>
        <w:rPr>
          <w:color w:val="000000"/>
          <w:spacing w:val="0"/>
          <w:w w:val="100"/>
          <w:position w:val="0"/>
        </w:rPr>
        <w:t>本公司以很可能取得用来抵扣可抵扣暂时性差异的应纳税所得额为限，确认由可抵扣暂时性差异产生的递延所得税资产。 但是同时具有下列特征的交易中因资产或负债的初始确认所产生的递延所得税资产不予确认：</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 xml:space="preserve">该项交易不是企业合并； </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交易发生时既不影响会计利润也不影响应纳税所得额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。②本公司对与子公司、联营公司及合营企业投资 相关的可抵扣暂时性差异，同时满足下列条件的，确认相应的递延所得税资产：</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 xml:space="preserve">暂时性差异在可预见的未来很可能转回； </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未来很可能获得用来抵扣暂时性差异的应纳税所得额。③本公司对于能够结转以后年度的可抵扣亏损和税款抵减，以 很可能获得用来抵扣可抵扣亏损和税款抵减的未来应纳税所得额为限，确认相应的递延所得税资产。</w:t>
      </w:r>
    </w:p>
    <w:p>
      <w:pPr>
        <w:pStyle w:val="Style38"/>
        <w:keepNext/>
        <w:keepLines/>
        <w:widowControl w:val="0"/>
        <w:shd w:val="clear" w:color="auto" w:fill="auto"/>
        <w:tabs>
          <w:tab w:pos="488" w:val="left"/>
        </w:tabs>
        <w:bidi w:val="0"/>
        <w:spacing w:before="0" w:after="280" w:line="240" w:lineRule="auto"/>
        <w:ind w:left="0" w:right="0" w:firstLine="0"/>
        <w:jc w:val="left"/>
      </w:pPr>
      <w:bookmarkStart w:id="686" w:name="bookmark686"/>
      <w:bookmarkStart w:id="687" w:name="bookmark687"/>
      <w:bookmarkStart w:id="688" w:name="bookmark688"/>
      <w:bookmarkStart w:id="689" w:name="bookmark689"/>
      <w:r>
        <w:rPr>
          <w:color w:val="000000"/>
          <w:spacing w:val="0"/>
          <w:w w:val="100"/>
          <w:position w:val="0"/>
        </w:rPr>
        <w:t>（</w:t>
      </w:r>
      <w:bookmarkEnd w:id="688"/>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686"/>
      <w:bookmarkEnd w:id="687"/>
      <w:bookmarkEnd w:id="689"/>
    </w:p>
    <w:p>
      <w:pPr>
        <w:pStyle w:val="Style9"/>
        <w:keepNext w:val="0"/>
        <w:keepLines w:val="0"/>
        <w:widowControl w:val="0"/>
        <w:shd w:val="clear" w:color="auto" w:fill="auto"/>
        <w:bidi w:val="0"/>
        <w:spacing w:before="0" w:after="0" w:line="315" w:lineRule="exact"/>
        <w:ind w:left="0" w:right="0" w:firstLine="0"/>
        <w:jc w:val="left"/>
      </w:pPr>
      <w:r>
        <w:rPr>
          <w:color w:val="000000"/>
          <w:spacing w:val="0"/>
          <w:w w:val="100"/>
          <w:position w:val="0"/>
        </w:rPr>
        <w:t>除下列情况产生的递延所得税负债以外，本公司确认所有应纳税暂时性差异产生的递延所得税负债：①商誉的初始确认；</w:t>
      </w:r>
    </w:p>
    <w:p>
      <w:pPr>
        <w:pStyle w:val="Style9"/>
        <w:keepNext w:val="0"/>
        <w:keepLines w:val="0"/>
        <w:widowControl w:val="0"/>
        <w:numPr>
          <w:ilvl w:val="0"/>
          <w:numId w:val="13"/>
        </w:numPr>
        <w:shd w:val="clear" w:color="auto" w:fill="auto"/>
        <w:tabs>
          <w:tab w:pos="388" w:val="left"/>
        </w:tabs>
        <w:bidi w:val="0"/>
        <w:spacing w:before="0" w:after="360" w:line="315" w:lineRule="exact"/>
        <w:ind w:left="0" w:right="0" w:firstLine="0"/>
        <w:jc w:val="left"/>
      </w:pPr>
      <w:bookmarkStart w:id="690" w:name="bookmark690"/>
      <w:bookmarkEnd w:id="690"/>
      <w:r>
        <w:rPr>
          <w:color w:val="000000"/>
          <w:spacing w:val="0"/>
          <w:w w:val="100"/>
          <w:position w:val="0"/>
        </w:rPr>
        <w:t>同时满足具有下列特征的交易中产生的资产或负债的初始确认：</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该项交易不是企业合并；</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交易发生时既不影响 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。③本公司对与子公司、联营公司及合营企业投资产生相关的应纳税暂时 性差异，同时满足下列条件的：</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投资企业能够控制暂时性差异的转回的时间；</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该暂时性差异在可预见的未来很可能 不会转回。</w:t>
      </w:r>
    </w:p>
    <w:p>
      <w:pPr>
        <w:pStyle w:val="Style35"/>
        <w:keepNext/>
        <w:keepLines/>
        <w:widowControl w:val="0"/>
        <w:shd w:val="clear" w:color="auto" w:fill="auto"/>
        <w:tabs>
          <w:tab w:pos="478" w:val="left"/>
        </w:tabs>
        <w:bidi w:val="0"/>
        <w:spacing w:before="0" w:after="36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rFonts w:ascii="Times New Roman" w:eastAsia="Times New Roman" w:hAnsi="Times New Roman" w:cs="Times New Roman"/>
          <w:color w:val="000000"/>
          <w:spacing w:val="0"/>
          <w:w w:val="100"/>
          <w:position w:val="0"/>
        </w:rPr>
        <w:t>4</w:t>
      </w:r>
      <w:r>
        <w:rPr>
          <w:color w:val="000000"/>
          <w:spacing w:val="0"/>
          <w:w w:val="100"/>
          <w:position w:val="0"/>
        </w:rPr>
        <w:t>、</w:t>
        <w:tab/>
        <w:t>经营租赁、融资租赁</w:t>
      </w:r>
      <w:bookmarkEnd w:id="691"/>
      <w:bookmarkEnd w:id="692"/>
      <w:bookmarkEnd w:id="694"/>
    </w:p>
    <w:p>
      <w:pPr>
        <w:pStyle w:val="Style38"/>
        <w:keepNext/>
        <w:keepLines/>
        <w:widowControl w:val="0"/>
        <w:shd w:val="clear" w:color="auto" w:fill="auto"/>
        <w:bidi w:val="0"/>
        <w:spacing w:before="0" w:after="280" w:line="240" w:lineRule="auto"/>
        <w:ind w:left="0" w:right="0" w:firstLine="0"/>
        <w:jc w:val="left"/>
      </w:pPr>
      <w:bookmarkStart w:id="695" w:name="bookmark695"/>
      <w:bookmarkStart w:id="696" w:name="bookmark696"/>
      <w:bookmarkStart w:id="697" w:name="bookmark697"/>
      <w:bookmarkStart w:id="698" w:name="bookmark698"/>
      <w:r>
        <w:rPr>
          <w:color w:val="000000"/>
          <w:spacing w:val="0"/>
          <w:w w:val="100"/>
          <w:position w:val="0"/>
        </w:rPr>
        <w:t>（</w:t>
      </w:r>
      <w:bookmarkEnd w:id="697"/>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695"/>
      <w:bookmarkEnd w:id="696"/>
      <w:bookmarkEnd w:id="698"/>
    </w:p>
    <w:p>
      <w:pPr>
        <w:pStyle w:val="Style9"/>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①公司为承租人时，在租赁期内各个期间按照直线法将租金计入相关资产成本或确认为当期损益，发生的初始直接费用，直 </w:t>
      </w:r>
      <w:r>
        <w:rPr>
          <w:color w:val="000000"/>
          <w:spacing w:val="0"/>
          <w:w w:val="100"/>
          <w:position w:val="0"/>
        </w:rPr>
        <w:t>接计入当期损益。或有租金在实际发生时计入当期损益。</w:t>
      </w:r>
    </w:p>
    <w:p>
      <w:pPr>
        <w:pStyle w:val="Style9"/>
        <w:keepNext w:val="0"/>
        <w:keepLines w:val="0"/>
        <w:widowControl w:val="0"/>
        <w:shd w:val="clear" w:color="auto" w:fill="auto"/>
        <w:bidi w:val="0"/>
        <w:spacing w:before="0" w:after="680" w:line="312" w:lineRule="exact"/>
        <w:ind w:left="0" w:right="0" w:firstLine="0"/>
        <w:jc w:val="left"/>
      </w:pPr>
      <w:r>
        <w:rPr>
          <w:color w:val="000000"/>
          <w:spacing w:val="0"/>
          <w:w w:val="100"/>
          <w:position w:val="0"/>
        </w:rPr>
        <w:t>②公司为出租人时，在租赁期内各个期间按照直线法将租金确认为当期损益，发生的初始直接费用，直接计入当期损益。或 有租金在实际发生时计入当期损益。</w:t>
      </w:r>
    </w:p>
    <w:p>
      <w:pPr>
        <w:pStyle w:val="Style38"/>
        <w:keepNext/>
        <w:keepLines/>
        <w:widowControl w:val="0"/>
        <w:shd w:val="clear" w:color="auto" w:fill="auto"/>
        <w:tabs>
          <w:tab w:pos="488" w:val="left"/>
        </w:tabs>
        <w:bidi w:val="0"/>
        <w:spacing w:before="0" w:after="260" w:line="240" w:lineRule="auto"/>
        <w:ind w:left="0" w:right="0" w:firstLine="0"/>
        <w:jc w:val="left"/>
      </w:pPr>
      <w:bookmarkStart w:id="699" w:name="bookmark699"/>
      <w:bookmarkStart w:id="700" w:name="bookmark700"/>
      <w:bookmarkStart w:id="701" w:name="bookmark701"/>
      <w:bookmarkStart w:id="702" w:name="bookmark702"/>
      <w:r>
        <w:rPr>
          <w:color w:val="000000"/>
          <w:spacing w:val="0"/>
          <w:w w:val="100"/>
          <w:position w:val="0"/>
        </w:rPr>
        <w:t>（</w:t>
      </w:r>
      <w:bookmarkEnd w:id="701"/>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699"/>
      <w:bookmarkEnd w:id="700"/>
      <w:bookmarkEnd w:id="702"/>
    </w:p>
    <w:p>
      <w:pPr>
        <w:pStyle w:val="Style9"/>
        <w:keepNext w:val="0"/>
        <w:keepLines w:val="0"/>
        <w:widowControl w:val="0"/>
        <w:numPr>
          <w:ilvl w:val="0"/>
          <w:numId w:val="15"/>
        </w:numPr>
        <w:shd w:val="clear" w:color="auto" w:fill="auto"/>
        <w:tabs>
          <w:tab w:pos="373" w:val="left"/>
        </w:tabs>
        <w:bidi w:val="0"/>
        <w:spacing w:before="0" w:after="0" w:line="314" w:lineRule="exact"/>
        <w:ind w:left="0" w:right="0" w:firstLine="0"/>
        <w:jc w:val="left"/>
      </w:pPr>
      <w:bookmarkStart w:id="703" w:name="bookmark703"/>
      <w:bookmarkEnd w:id="703"/>
      <w:r>
        <w:rPr>
          <w:color w:val="000000"/>
          <w:spacing w:val="0"/>
          <w:w w:val="100"/>
          <w:position w:val="0"/>
        </w:rPr>
        <w:t>公司为承租人时，在租赁期开始日，公司以租赁开始日租赁资产公允价值与最低租赁付款额现值中两者较低者作为租入资 产的入账价值，将最低租赁付款额作为长期应付款的入账价值，其差额为未确认融资费用，发生的初始直接费用，计入租赁 资产价值。在租赁期各个期间，采用实际利率法计算确认当期的融资费用。</w:t>
      </w:r>
    </w:p>
    <w:p>
      <w:pPr>
        <w:pStyle w:val="Style9"/>
        <w:keepNext w:val="0"/>
        <w:keepLines w:val="0"/>
        <w:widowControl w:val="0"/>
        <w:numPr>
          <w:ilvl w:val="0"/>
          <w:numId w:val="15"/>
        </w:numPr>
        <w:shd w:val="clear" w:color="auto" w:fill="auto"/>
        <w:tabs>
          <w:tab w:pos="373" w:val="left"/>
        </w:tabs>
        <w:bidi w:val="0"/>
        <w:spacing w:before="0" w:after="680" w:line="314" w:lineRule="exact"/>
        <w:ind w:left="0" w:right="0" w:firstLine="0"/>
        <w:jc w:val="left"/>
      </w:pPr>
      <w:bookmarkStart w:id="704" w:name="bookmark704"/>
      <w:bookmarkEnd w:id="704"/>
      <w:r>
        <w:rPr>
          <w:color w:val="000000"/>
          <w:spacing w:val="0"/>
          <w:w w:val="100"/>
          <w:position w:val="0"/>
        </w:rPr>
        <w:t>公司为出租人时，在租赁期开始日，公司以租赁开始日最低租赁收款额与初始直接费用之和作为应收融资租赁款的入账价 值，同时记录未担保余值；将最低租赁收款额、初始直接费用及未担保余值之和与其现值之和的差额确认为未实现融资收益。 在租赁期各个期间，采用实际利率法计算确认当期的融资收入。</w:t>
      </w:r>
    </w:p>
    <w:p>
      <w:pPr>
        <w:pStyle w:val="Style38"/>
        <w:keepNext/>
        <w:keepLines/>
        <w:widowControl w:val="0"/>
        <w:shd w:val="clear" w:color="auto" w:fill="auto"/>
        <w:tabs>
          <w:tab w:pos="488" w:val="left"/>
        </w:tabs>
        <w:bidi w:val="0"/>
        <w:spacing w:before="0" w:after="26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w:t>
      </w:r>
      <w:bookmarkEnd w:id="707"/>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705"/>
      <w:bookmarkEnd w:id="706"/>
      <w:bookmarkEnd w:id="708"/>
    </w:p>
    <w:p>
      <w:pPr>
        <w:pStyle w:val="Style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35"/>
        <w:keepNext/>
        <w:keepLines/>
        <w:widowControl w:val="0"/>
        <w:shd w:val="clear" w:color="auto" w:fill="auto"/>
        <w:tabs>
          <w:tab w:pos="478" w:val="left"/>
        </w:tabs>
        <w:bidi w:val="0"/>
        <w:spacing w:before="0" w:after="26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2</w:t>
      </w:r>
      <w:bookmarkEnd w:id="711"/>
      <w:r>
        <w:rPr>
          <w:rFonts w:ascii="Times New Roman" w:eastAsia="Times New Roman" w:hAnsi="Times New Roman" w:cs="Times New Roman"/>
          <w:color w:val="000000"/>
          <w:spacing w:val="0"/>
          <w:w w:val="100"/>
          <w:position w:val="0"/>
        </w:rPr>
        <w:t>5</w:t>
      </w:r>
      <w:r>
        <w:rPr>
          <w:color w:val="000000"/>
          <w:spacing w:val="0"/>
          <w:w w:val="100"/>
          <w:position w:val="0"/>
        </w:rPr>
        <w:t>、</w:t>
        <w:tab/>
        <w:t>主要会计政策、会计估计的变更</w:t>
      </w:r>
      <w:bookmarkEnd w:id="709"/>
      <w:bookmarkEnd w:id="710"/>
      <w:bookmarkEnd w:id="712"/>
    </w:p>
    <w:p>
      <w:pPr>
        <w:pStyle w:val="Style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本报告期主要会计政策、会计估计是否变更</w:t>
      </w:r>
    </w:p>
    <w:p>
      <w:pPr>
        <w:pStyle w:val="Style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38"/>
        <w:keepNext/>
        <w:keepLines/>
        <w:widowControl w:val="0"/>
        <w:shd w:val="clear" w:color="auto" w:fill="auto"/>
        <w:tabs>
          <w:tab w:pos="488" w:val="left"/>
        </w:tabs>
        <w:bidi w:val="0"/>
        <w:spacing w:before="0" w:after="260" w:line="240" w:lineRule="auto"/>
        <w:ind w:left="0" w:right="0" w:firstLine="0"/>
        <w:jc w:val="left"/>
      </w:pPr>
      <w:bookmarkStart w:id="713" w:name="bookmark713"/>
      <w:bookmarkStart w:id="714" w:name="bookmark714"/>
      <w:bookmarkStart w:id="715" w:name="bookmark715"/>
      <w:bookmarkStart w:id="716" w:name="bookmark716"/>
      <w:r>
        <w:rPr>
          <w:color w:val="000000"/>
          <w:spacing w:val="0"/>
          <w:w w:val="100"/>
          <w:position w:val="0"/>
        </w:rPr>
        <w:t>（</w:t>
      </w:r>
      <w:bookmarkEnd w:id="715"/>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713"/>
      <w:bookmarkEnd w:id="714"/>
      <w:bookmarkEnd w:id="716"/>
    </w:p>
    <w:p>
      <w:pPr>
        <w:pStyle w:val="Style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本报告期主要会计政策是否变更</w:t>
      </w:r>
    </w:p>
    <w:p>
      <w:pPr>
        <w:pStyle w:val="Style9"/>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tabs>
          <w:tab w:pos="488" w:val="left"/>
        </w:tabs>
        <w:bidi w:val="0"/>
        <w:spacing w:before="0" w:after="260" w:line="240" w:lineRule="auto"/>
        <w:ind w:left="0" w:right="0" w:firstLine="0"/>
        <w:jc w:val="left"/>
      </w:pPr>
      <w:bookmarkStart w:id="717" w:name="bookmark717"/>
      <w:bookmarkStart w:id="718" w:name="bookmark718"/>
      <w:bookmarkStart w:id="719" w:name="bookmark719"/>
      <w:bookmarkStart w:id="720" w:name="bookmark720"/>
      <w:r>
        <w:rPr>
          <w:color w:val="000000"/>
          <w:spacing w:val="0"/>
          <w:w w:val="100"/>
          <w:position w:val="0"/>
        </w:rPr>
        <w:t>（</w:t>
      </w:r>
      <w:bookmarkEnd w:id="719"/>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717"/>
      <w:bookmarkEnd w:id="718"/>
      <w:bookmarkEnd w:id="720"/>
    </w:p>
    <w:p>
      <w:pPr>
        <w:pStyle w:val="Style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本报告期主要会计估计是否变更</w:t>
      </w:r>
    </w:p>
    <w:p>
      <w:pPr>
        <w:pStyle w:val="Style9"/>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tabs>
          <w:tab w:pos="478" w:val="left"/>
        </w:tabs>
        <w:bidi w:val="0"/>
        <w:spacing w:before="0" w:after="26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2</w:t>
      </w:r>
      <w:bookmarkEnd w:id="723"/>
      <w:r>
        <w:rPr>
          <w:rFonts w:ascii="Times New Roman" w:eastAsia="Times New Roman" w:hAnsi="Times New Roman" w:cs="Times New Roman"/>
          <w:color w:val="000000"/>
          <w:spacing w:val="0"/>
          <w:w w:val="100"/>
          <w:position w:val="0"/>
        </w:rPr>
        <w:t>6</w:t>
      </w:r>
      <w:r>
        <w:rPr>
          <w:color w:val="000000"/>
          <w:spacing w:val="0"/>
          <w:w w:val="100"/>
          <w:position w:val="0"/>
        </w:rPr>
        <w:t>、</w:t>
        <w:tab/>
        <w:t>前期会计差错更正</w:t>
      </w:r>
      <w:bookmarkEnd w:id="721"/>
      <w:bookmarkEnd w:id="722"/>
      <w:bookmarkEnd w:id="724"/>
    </w:p>
    <w:p>
      <w:pPr>
        <w:pStyle w:val="Style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本报告期是否发现前期会计差错</w:t>
      </w:r>
    </w:p>
    <w:p>
      <w:pPr>
        <w:pStyle w:val="Style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725" w:name="bookmark725"/>
      <w:bookmarkStart w:id="726" w:name="bookmark726"/>
      <w:bookmarkStart w:id="727" w:name="bookmark7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725"/>
      <w:bookmarkEnd w:id="726"/>
      <w:bookmarkEnd w:id="727"/>
    </w:p>
    <w:p>
      <w:pPr>
        <w:pStyle w:val="Style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本报告期是否发现采用追溯重述法的前期会计差错</w:t>
      </w:r>
    </w:p>
    <w:p>
      <w:pPr>
        <w:pStyle w:val="Style9"/>
        <w:keepNext w:val="0"/>
        <w:keepLines w:val="0"/>
        <w:widowControl w:val="0"/>
        <w:shd w:val="clear" w:color="auto" w:fill="auto"/>
        <w:bidi w:val="0"/>
        <w:spacing w:before="0" w:after="36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38"/>
        <w:keepNext/>
        <w:keepLines/>
        <w:widowControl w:val="0"/>
        <w:shd w:val="clear" w:color="auto" w:fill="auto"/>
        <w:bidi w:val="0"/>
        <w:spacing w:before="0" w:line="240" w:lineRule="auto"/>
        <w:ind w:left="0" w:right="0" w:firstLine="0"/>
        <w:jc w:val="both"/>
      </w:pPr>
      <w:bookmarkStart w:id="728" w:name="bookmark728"/>
      <w:bookmarkStart w:id="729" w:name="bookmark729"/>
      <w:bookmarkStart w:id="730" w:name="bookmark7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728"/>
      <w:bookmarkEnd w:id="729"/>
      <w:bookmarkEnd w:id="730"/>
    </w:p>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本报告期是否发现采用未来适用法的前期会计差错</w:t>
      </w:r>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bidi w:val="0"/>
        <w:spacing w:before="0" w:after="360" w:line="240" w:lineRule="auto"/>
        <w:ind w:left="0" w:right="0" w:firstLine="0"/>
        <w:jc w:val="both"/>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2</w:t>
      </w:r>
      <w:bookmarkEnd w:id="733"/>
      <w:r>
        <w:rPr>
          <w:rFonts w:ascii="Times New Roman" w:eastAsia="Times New Roman" w:hAnsi="Times New Roman" w:cs="Times New Roman"/>
          <w:color w:val="000000"/>
          <w:spacing w:val="0"/>
          <w:w w:val="100"/>
          <w:position w:val="0"/>
        </w:rPr>
        <w:t>7</w:t>
      </w:r>
      <w:r>
        <w:rPr>
          <w:color w:val="000000"/>
          <w:spacing w:val="0"/>
          <w:w w:val="100"/>
          <w:position w:val="0"/>
        </w:rPr>
        <w:t>、其他主要会计政策、会计估计和财务报表编制方法</w:t>
      </w:r>
      <w:bookmarkEnd w:id="731"/>
      <w:bookmarkEnd w:id="732"/>
      <w:bookmarkEnd w:id="734"/>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0"/>
        <w:keepNext/>
        <w:keepLines/>
        <w:widowControl w:val="0"/>
        <w:shd w:val="clear" w:color="auto" w:fill="auto"/>
        <w:bidi w:val="0"/>
        <w:spacing w:before="0" w:after="300" w:line="240" w:lineRule="auto"/>
        <w:ind w:left="0" w:right="0" w:firstLine="0"/>
        <w:jc w:val="both"/>
      </w:pPr>
      <w:bookmarkStart w:id="735" w:name="bookmark735"/>
      <w:bookmarkStart w:id="736" w:name="bookmark736"/>
      <w:bookmarkStart w:id="737" w:name="bookmark737"/>
      <w:bookmarkStart w:id="738" w:name="bookmark738"/>
      <w:r>
        <w:rPr>
          <w:color w:val="000000"/>
          <w:spacing w:val="0"/>
          <w:w w:val="100"/>
          <w:position w:val="0"/>
          <w:sz w:val="24"/>
          <w:szCs w:val="24"/>
        </w:rPr>
        <w:t>五</w:t>
      </w:r>
      <w:bookmarkEnd w:id="737"/>
      <w:r>
        <w:rPr>
          <w:color w:val="000000"/>
          <w:spacing w:val="0"/>
          <w:w w:val="100"/>
          <w:position w:val="0"/>
          <w:sz w:val="24"/>
          <w:szCs w:val="24"/>
        </w:rPr>
        <w:t>、税项</w:t>
      </w:r>
      <w:bookmarkEnd w:id="735"/>
      <w:bookmarkEnd w:id="736"/>
      <w:bookmarkEnd w:id="738"/>
    </w:p>
    <w:p>
      <w:pPr>
        <w:pStyle w:val="Style35"/>
        <w:keepNext/>
        <w:keepLines/>
        <w:widowControl w:val="0"/>
        <w:shd w:val="clear" w:color="auto" w:fill="auto"/>
        <w:bidi w:val="0"/>
        <w:spacing w:before="0" w:after="300" w:line="240" w:lineRule="auto"/>
        <w:ind w:left="0" w:right="0" w:firstLine="0"/>
        <w:jc w:val="both"/>
      </w:pPr>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739"/>
      <w:bookmarkEnd w:id="740"/>
      <w:bookmarkEnd w:id="741"/>
    </w:p>
    <w:tbl>
      <w:tblPr>
        <w:tblOverlap w:val="never"/>
        <w:jc w:val="center"/>
        <w:tblLayout w:type="fixed"/>
      </w:tblPr>
      <w:tblGrid>
        <w:gridCol w:w="3528"/>
        <w:gridCol w:w="3019"/>
        <w:gridCol w:w="3034"/>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应税增值额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应税营业收入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房产原值的</w:t>
            </w:r>
            <w:r>
              <w:rPr>
                <w:rFonts w:ascii="Times New Roman" w:eastAsia="Times New Roman" w:hAnsi="Times New Roman" w:cs="Times New Roman"/>
                <w:color w:val="000000"/>
                <w:spacing w:val="0"/>
                <w:w w:val="100"/>
                <w:position w:val="0"/>
              </w:rPr>
              <w:t>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359" w:line="1" w:lineRule="exact"/>
      </w:pPr>
    </w:p>
    <w:p>
      <w:pPr>
        <w:pStyle w:val="Style35"/>
        <w:keepNext/>
        <w:keepLines/>
        <w:widowControl w:val="0"/>
        <w:shd w:val="clear" w:color="auto" w:fill="auto"/>
        <w:bidi w:val="0"/>
        <w:spacing w:before="0" w:after="300" w:line="240" w:lineRule="auto"/>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2</w:t>
      </w:r>
      <w:bookmarkEnd w:id="744"/>
      <w:r>
        <w:rPr>
          <w:color w:val="000000"/>
          <w:spacing w:val="0"/>
          <w:w w:val="100"/>
          <w:position w:val="0"/>
        </w:rPr>
        <w:t>、税收优惠及批文</w:t>
      </w:r>
      <w:bookmarkEnd w:id="742"/>
      <w:bookmarkEnd w:id="743"/>
      <w:bookmarkEnd w:id="745"/>
    </w:p>
    <w:p>
      <w:pPr>
        <w:pStyle w:val="Style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增值税及享受的税收优惠政策</w:t>
      </w:r>
    </w:p>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本公司及子公司深圳市任网游科技发展有限公司（以下简称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任网游公司</w:t>
      </w:r>
      <w:r>
        <w:rPr>
          <w:rFonts w:ascii="Times New Roman" w:eastAsia="Times New Roman" w:hAnsi="Times New Roman" w:cs="Times New Roman"/>
          <w:color w:val="000000"/>
          <w:spacing w:val="0"/>
          <w:w w:val="100"/>
          <w:position w:val="0"/>
        </w:rPr>
        <w:t>”</w:t>
      </w:r>
      <w:r>
        <w:rPr>
          <w:color w:val="000000"/>
          <w:spacing w:val="0"/>
          <w:w w:val="100"/>
          <w:position w:val="0"/>
        </w:rPr>
        <w:t>）、深圳市任子行科技开发有限公司（以下简称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任 子行科技</w:t>
      </w:r>
      <w:r>
        <w:rPr>
          <w:rFonts w:ascii="Times New Roman" w:eastAsia="Times New Roman" w:hAnsi="Times New Roman" w:cs="Times New Roman"/>
          <w:color w:val="000000"/>
          <w:spacing w:val="0"/>
          <w:w w:val="100"/>
          <w:position w:val="0"/>
        </w:rPr>
        <w:t>”</w:t>
      </w:r>
      <w:r>
        <w:rPr>
          <w:color w:val="000000"/>
          <w:spacing w:val="0"/>
          <w:w w:val="100"/>
          <w:position w:val="0"/>
        </w:rPr>
        <w:t>）、深圳市博海通讯技术有限公司（以下简称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博海通讯</w:t>
      </w:r>
      <w:r>
        <w:rPr>
          <w:rFonts w:ascii="Times New Roman" w:eastAsia="Times New Roman" w:hAnsi="Times New Roman" w:cs="Times New Roman"/>
          <w:color w:val="000000"/>
          <w:spacing w:val="0"/>
          <w:w w:val="100"/>
          <w:position w:val="0"/>
        </w:rPr>
        <w:t>”</w:t>
      </w:r>
      <w:r>
        <w:rPr>
          <w:color w:val="000000"/>
          <w:spacing w:val="0"/>
          <w:w w:val="100"/>
          <w:position w:val="0"/>
        </w:rPr>
        <w:t>）均为增值税一般纳税人，适用</w:t>
      </w:r>
      <w:r>
        <w:rPr>
          <w:rFonts w:ascii="Times New Roman" w:eastAsia="Times New Roman" w:hAnsi="Times New Roman" w:cs="Times New Roman"/>
          <w:color w:val="000000"/>
          <w:spacing w:val="0"/>
          <w:w w:val="100"/>
          <w:position w:val="0"/>
        </w:rPr>
        <w:t>17%</w:t>
      </w:r>
      <w:r>
        <w:rPr>
          <w:color w:val="000000"/>
          <w:spacing w:val="0"/>
          <w:w w:val="100"/>
          <w:position w:val="0"/>
        </w:rPr>
        <w:t>的基本税率。</w:t>
      </w:r>
    </w:p>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根据国务院发布的国发</w:t>
      </w:r>
      <w:r>
        <w:rPr>
          <w:rFonts w:ascii="Times New Roman" w:eastAsia="Times New Roman" w:hAnsi="Times New Roman" w:cs="Times New Roman"/>
          <w:color w:val="000000"/>
          <w:spacing w:val="0"/>
          <w:w w:val="100"/>
          <w:position w:val="0"/>
        </w:rPr>
        <w:t>[2000]18</w:t>
      </w:r>
      <w:r>
        <w:rPr>
          <w:color w:val="000000"/>
          <w:spacing w:val="0"/>
          <w:w w:val="100"/>
          <w:position w:val="0"/>
        </w:rPr>
        <w:t>号《国务院关于印发</w:t>
      </w:r>
      <w:r>
        <w:rPr>
          <w:color w:val="000000"/>
          <w:spacing w:val="0"/>
          <w:w w:val="100"/>
          <w:position w:val="0"/>
        </w:rPr>
        <w:t>〈</w:t>
      </w:r>
      <w:r>
        <w:rPr>
          <w:color w:val="000000"/>
          <w:spacing w:val="0"/>
          <w:w w:val="100"/>
          <w:position w:val="0"/>
        </w:rPr>
        <w:t>鼓励软件产业和集成电路产业发展若干政策</w:t>
      </w:r>
      <w:r>
        <w:rPr>
          <w:color w:val="000000"/>
          <w:spacing w:val="0"/>
          <w:w w:val="100"/>
          <w:position w:val="0"/>
        </w:rPr>
        <w:t>〉</w:t>
      </w:r>
      <w:r>
        <w:rPr>
          <w:color w:val="000000"/>
          <w:spacing w:val="0"/>
          <w:w w:val="100"/>
          <w:position w:val="0"/>
        </w:rPr>
        <w:t>的通知》和财政部、国家 税务总局、海关总署发布的财税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2000]25</w:t>
      </w:r>
      <w:r>
        <w:rPr>
          <w:color w:val="000000"/>
          <w:spacing w:val="0"/>
          <w:w w:val="100"/>
          <w:position w:val="0"/>
        </w:rPr>
        <w:t xml:space="preserve">号《关于鼓励软件产业和集成电路产业发展有关税收政策问题的通知》以及国务院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日发布的国发</w:t>
      </w: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011]4</w:t>
      </w:r>
      <w:r>
        <w:rPr>
          <w:color w:val="000000"/>
          <w:spacing w:val="0"/>
          <w:w w:val="100"/>
          <w:position w:val="0"/>
        </w:rPr>
        <w:t>号《关于印发进一步鼓励软件产业和集成电路产业发展若干政策的通知》中的有关规定， 本公司及子公司销售自行开发生产的软件产品，按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%的法定税率征收增值税后，增值税实际税负超过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 即退政策。</w:t>
      </w:r>
    </w:p>
    <w:p>
      <w:pPr>
        <w:pStyle w:val="Style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月，根据财政部、国家税务总局《关于印发</w:t>
      </w:r>
      <w:r>
        <w:rPr>
          <w:color w:val="000000"/>
          <w:spacing w:val="0"/>
          <w:w w:val="100"/>
          <w:position w:val="0"/>
        </w:rPr>
        <w:t>〈</w:t>
      </w:r>
      <w:r>
        <w:rPr>
          <w:color w:val="000000"/>
          <w:spacing w:val="0"/>
          <w:w w:val="100"/>
          <w:position w:val="0"/>
        </w:rPr>
        <w:t>营业税改征增值税试点方案</w:t>
      </w:r>
      <w:r>
        <w:rPr>
          <w:color w:val="000000"/>
          <w:spacing w:val="0"/>
          <w:w w:val="100"/>
          <w:position w:val="0"/>
        </w:rPr>
        <w:t>〉</w:t>
      </w:r>
      <w:r>
        <w:rPr>
          <w:color w:val="000000"/>
          <w:spacing w:val="0"/>
          <w:w w:val="100"/>
          <w:position w:val="0"/>
        </w:rPr>
        <w:t>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2011]110</w:t>
      </w:r>
      <w:r>
        <w:rPr>
          <w:color w:val="000000"/>
          <w:spacing w:val="0"/>
          <w:w w:val="100"/>
          <w:position w:val="0"/>
        </w:rPr>
        <w:t>号），财政部、 国家税务总局《关于在北京等</w:t>
      </w:r>
      <w:r>
        <w:rPr>
          <w:rFonts w:ascii="Times New Roman" w:eastAsia="Times New Roman" w:hAnsi="Times New Roman" w:cs="Times New Roman"/>
          <w:color w:val="000000"/>
          <w:spacing w:val="0"/>
          <w:w w:val="100"/>
          <w:position w:val="0"/>
        </w:rPr>
        <w:t>8</w:t>
      </w:r>
      <w:r>
        <w:rPr>
          <w:color w:val="000000"/>
          <w:spacing w:val="0"/>
          <w:w w:val="100"/>
          <w:position w:val="0"/>
        </w:rPr>
        <w:t>省市开展交通运输业和部分现代服务也营业税改征增值税试点的通知》（财税</w:t>
      </w:r>
      <w:r>
        <w:rPr>
          <w:rFonts w:ascii="Times New Roman" w:eastAsia="Times New Roman" w:hAnsi="Times New Roman" w:cs="Times New Roman"/>
          <w:color w:val="000000"/>
          <w:spacing w:val="0"/>
          <w:w w:val="100"/>
          <w:position w:val="0"/>
        </w:rPr>
        <w:t>[2012]71</w:t>
      </w:r>
      <w:r>
        <w:rPr>
          <w:color w:val="000000"/>
          <w:spacing w:val="0"/>
          <w:w w:val="100"/>
          <w:position w:val="0"/>
        </w:rPr>
        <w:t xml:space="preserve">号） 以及深圳市国家税务局、深圳市地方税务局《关于深圳市营业税改征增值税试点纳税人办理税收业务的通告》深国税告 </w:t>
      </w:r>
      <w:r>
        <w:rPr>
          <w:rFonts w:ascii="Times New Roman" w:eastAsia="Times New Roman" w:hAnsi="Times New Roman" w:cs="Times New Roman"/>
          <w:color w:val="000000"/>
          <w:spacing w:val="0"/>
          <w:w w:val="100"/>
          <w:position w:val="0"/>
        </w:rPr>
        <w:t>[2012]11</w:t>
      </w:r>
      <w:r>
        <w:rPr>
          <w:color w:val="000000"/>
          <w:spacing w:val="0"/>
          <w:w w:val="100"/>
          <w:position w:val="0"/>
        </w:rPr>
        <w:t>号规定，本公司及子公司自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日起，从事技术转让、技术开发业务和与之相关的技术咨询、技术服务业 务取得的收入由征收营业税改为增值税，增值税执行税率为</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9"/>
        <w:keepNext w:val="0"/>
        <w:keepLines w:val="0"/>
        <w:widowControl w:val="0"/>
        <w:shd w:val="clear" w:color="auto" w:fill="auto"/>
        <w:bidi w:val="0"/>
        <w:spacing w:before="0" w:after="340" w:line="313" w:lineRule="exact"/>
        <w:ind w:left="0" w:right="0" w:firstLine="0"/>
        <w:jc w:val="both"/>
      </w:pPr>
      <w:r>
        <w:rPr>
          <w:color w:val="000000"/>
          <w:spacing w:val="0"/>
          <w:w w:val="100"/>
          <w:position w:val="0"/>
        </w:rPr>
        <w:t>根据《财政部、国家税务总局关于在全国开展交通运输业和部分现代服务业营业税改征增值税试点税收政策的通知》（财税 〔</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37</w:t>
      </w:r>
      <w:r>
        <w:rPr>
          <w:color w:val="000000"/>
          <w:spacing w:val="0"/>
          <w:w w:val="100"/>
          <w:position w:val="0"/>
        </w:rPr>
        <w:t>号）附件</w:t>
      </w:r>
      <w:r>
        <w:rPr>
          <w:rFonts w:ascii="Times New Roman" w:eastAsia="Times New Roman" w:hAnsi="Times New Roman" w:cs="Times New Roman"/>
          <w:color w:val="000000"/>
          <w:spacing w:val="0"/>
          <w:w w:val="100"/>
          <w:position w:val="0"/>
        </w:rPr>
        <w:t>3</w:t>
      </w:r>
      <w:r>
        <w:rPr>
          <w:color w:val="000000"/>
          <w:spacing w:val="0"/>
          <w:w w:val="100"/>
          <w:position w:val="0"/>
        </w:rPr>
        <w:t>《交通运输业和部分现代服务业营业税改征增值税试点过渡政策的规定》第一条，试点纳税人提供技 术转让、技术开发和与之相关的技术咨询、技术服务，免征增值税。</w:t>
      </w:r>
    </w:p>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企业所得税及享受的税收优惠政策</w:t>
      </w:r>
    </w:p>
    <w:p>
      <w:pPr>
        <w:pStyle w:val="Style9"/>
        <w:keepNext w:val="0"/>
        <w:keepLines w:val="0"/>
        <w:widowControl w:val="0"/>
        <w:numPr>
          <w:ilvl w:val="0"/>
          <w:numId w:val="17"/>
        </w:numPr>
        <w:shd w:val="clear" w:color="auto" w:fill="auto"/>
        <w:tabs>
          <w:tab w:pos="349" w:val="left"/>
        </w:tabs>
        <w:bidi w:val="0"/>
        <w:spacing w:before="0" w:after="0" w:line="312" w:lineRule="exact"/>
        <w:ind w:left="0" w:right="0" w:firstLine="0"/>
        <w:jc w:val="left"/>
      </w:pPr>
      <w:bookmarkStart w:id="746" w:name="bookmark746"/>
      <w:bookmarkEnd w:id="746"/>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月，本公司被国家发展和改革委员会、工业和信息化部、财政部、商务部和国家税务总局联合认定为</w:t>
      </w:r>
      <w:r>
        <w:rPr>
          <w:rFonts w:ascii="Times New Roman" w:eastAsia="Times New Roman" w:hAnsi="Times New Roman" w:cs="Times New Roman"/>
          <w:color w:val="000000"/>
          <w:spacing w:val="0"/>
          <w:w w:val="100"/>
          <w:position w:val="0"/>
        </w:rPr>
        <w:t xml:space="preserve">2013-2014 </w:t>
      </w:r>
      <w:r>
        <w:rPr>
          <w:color w:val="000000"/>
          <w:spacing w:val="0"/>
          <w:w w:val="100"/>
          <w:position w:val="0"/>
        </w:rPr>
        <w:t xml:space="preserve">年度国家规划布局内重点软件企业。根据《关于进一步鼓励软件产业和集成电路产业发展企业所得税政策的通知》（财税 </w:t>
      </w:r>
      <w:r>
        <w:rPr>
          <w:rFonts w:ascii="Times New Roman" w:eastAsia="Times New Roman" w:hAnsi="Times New Roman" w:cs="Times New Roman"/>
          <w:color w:val="000000"/>
          <w:spacing w:val="0"/>
          <w:w w:val="100"/>
          <w:position w:val="0"/>
        </w:rPr>
        <w:t>[2012]27</w:t>
      </w:r>
      <w:r>
        <w:rPr>
          <w:color w:val="000000"/>
          <w:spacing w:val="0"/>
          <w:w w:val="100"/>
          <w:position w:val="0"/>
        </w:rPr>
        <w:t>号）关于</w:t>
      </w:r>
      <w:r>
        <w:rPr>
          <w:rFonts w:ascii="Times New Roman" w:eastAsia="Times New Roman" w:hAnsi="Times New Roman" w:cs="Times New Roman"/>
          <w:color w:val="000000"/>
          <w:spacing w:val="0"/>
          <w:w w:val="100"/>
          <w:position w:val="0"/>
        </w:rPr>
        <w:t>“</w:t>
      </w:r>
      <w:r>
        <w:rPr>
          <w:color w:val="000000"/>
          <w:spacing w:val="0"/>
          <w:w w:val="100"/>
          <w:position w:val="0"/>
        </w:rPr>
        <w:t>国家规划布局内的重点软件企业和集成电路设计企业，如当年未享受免税优惠的，可减按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 企业所得税</w:t>
      </w:r>
      <w:r>
        <w:rPr>
          <w:rFonts w:ascii="Times New Roman" w:eastAsia="Times New Roman" w:hAnsi="Times New Roman" w:cs="Times New Roman"/>
          <w:color w:val="000000"/>
          <w:spacing w:val="0"/>
          <w:w w:val="100"/>
          <w:position w:val="0"/>
        </w:rPr>
        <w:t>”</w:t>
      </w:r>
      <w:r>
        <w:rPr>
          <w:color w:val="000000"/>
          <w:spacing w:val="0"/>
          <w:w w:val="100"/>
          <w:position w:val="0"/>
        </w:rPr>
        <w:t>的规定，本公司</w:t>
      </w:r>
      <w:r>
        <w:rPr>
          <w:rFonts w:ascii="Times New Roman" w:eastAsia="Times New Roman" w:hAnsi="Times New Roman" w:cs="Times New Roman"/>
          <w:color w:val="000000"/>
          <w:spacing w:val="0"/>
          <w:w w:val="100"/>
          <w:position w:val="0"/>
        </w:rPr>
        <w:t>2013</w:t>
      </w:r>
      <w:r>
        <w:rPr>
          <w:color w:val="000000"/>
          <w:spacing w:val="0"/>
          <w:w w:val="100"/>
          <w:position w:val="0"/>
        </w:rPr>
        <w:t>年度企业所得税按</w:t>
      </w:r>
      <w:r>
        <w:rPr>
          <w:rFonts w:ascii="Times New Roman" w:eastAsia="Times New Roman" w:hAnsi="Times New Roman" w:cs="Times New Roman"/>
          <w:color w:val="000000"/>
          <w:spacing w:val="0"/>
          <w:w w:val="100"/>
          <w:position w:val="0"/>
        </w:rPr>
        <w:t>10%</w:t>
      </w:r>
      <w:r>
        <w:rPr>
          <w:color w:val="000000"/>
          <w:spacing w:val="0"/>
          <w:w w:val="100"/>
          <w:position w:val="0"/>
        </w:rPr>
        <w:t>的税率缴纳。</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报告期内本公司与所属分公司汇总缴纳企业所得税。</w:t>
      </w:r>
    </w:p>
    <w:p>
      <w:pPr>
        <w:pStyle w:val="Style9"/>
        <w:keepNext w:val="0"/>
        <w:keepLines w:val="0"/>
        <w:widowControl w:val="0"/>
        <w:numPr>
          <w:ilvl w:val="0"/>
          <w:numId w:val="17"/>
        </w:numPr>
        <w:shd w:val="clear" w:color="auto" w:fill="auto"/>
        <w:tabs>
          <w:tab w:pos="349" w:val="left"/>
        </w:tabs>
        <w:bidi w:val="0"/>
        <w:spacing w:before="0" w:after="0" w:line="312" w:lineRule="exact"/>
        <w:ind w:left="0" w:right="0" w:firstLine="0"/>
        <w:jc w:val="left"/>
      </w:pPr>
      <w:bookmarkStart w:id="747" w:name="bookmark747"/>
      <w:bookmarkEnd w:id="747"/>
      <w:r>
        <w:rPr>
          <w:color w:val="000000"/>
          <w:spacing w:val="0"/>
          <w:w w:val="100"/>
          <w:position w:val="0"/>
        </w:rPr>
        <w:t>任网游公司于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日被深圳市科技和信息局认定为软件企业，领取编号为深</w:t>
      </w:r>
      <w:r>
        <w:rPr>
          <w:rFonts w:ascii="Times New Roman" w:eastAsia="Times New Roman" w:hAnsi="Times New Roman" w:cs="Times New Roman"/>
          <w:color w:val="000000"/>
          <w:spacing w:val="0"/>
          <w:w w:val="100"/>
          <w:position w:val="0"/>
        </w:rPr>
        <w:t>R-2007-0105</w:t>
      </w:r>
      <w:r>
        <w:rPr>
          <w:color w:val="000000"/>
          <w:spacing w:val="0"/>
          <w:w w:val="100"/>
          <w:position w:val="0"/>
        </w:rPr>
        <w:t>号软件企业认定证书。</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日，经深圳市南山区国家税务局以深国税南减免备案【</w:t>
      </w:r>
      <w:r>
        <w:rPr>
          <w:rFonts w:ascii="Times New Roman" w:eastAsia="Times New Roman" w:hAnsi="Times New Roman" w:cs="Times New Roman"/>
          <w:color w:val="000000"/>
          <w:spacing w:val="0"/>
          <w:w w:val="100"/>
          <w:position w:val="0"/>
        </w:rPr>
        <w:t>2010</w:t>
      </w:r>
      <w:r>
        <w:rPr>
          <w:color w:val="000000"/>
          <w:spacing w:val="0"/>
          <w:w w:val="100"/>
          <w:position w:val="0"/>
        </w:rPr>
        <w:t>】</w:t>
      </w:r>
      <w:r>
        <w:rPr>
          <w:rFonts w:ascii="Times New Roman" w:eastAsia="Times New Roman" w:hAnsi="Times New Roman" w:cs="Times New Roman"/>
          <w:color w:val="000000"/>
          <w:spacing w:val="0"/>
          <w:w w:val="100"/>
          <w:position w:val="0"/>
        </w:rPr>
        <w:t>395</w:t>
      </w:r>
      <w:r>
        <w:rPr>
          <w:color w:val="000000"/>
          <w:spacing w:val="0"/>
          <w:w w:val="100"/>
          <w:position w:val="0"/>
        </w:rPr>
        <w:t>号税收优惠登记备案通知书告知任网游公司自开始 获利年度起，两年免征企业所得税，三年减半征收企业所得税。任网游公司</w:t>
      </w:r>
      <w:r>
        <w:rPr>
          <w:rFonts w:ascii="Times New Roman" w:eastAsia="Times New Roman" w:hAnsi="Times New Roman" w:cs="Times New Roman"/>
          <w:color w:val="000000"/>
          <w:spacing w:val="0"/>
          <w:w w:val="100"/>
          <w:position w:val="0"/>
        </w:rPr>
        <w:t>2010</w:t>
      </w:r>
      <w:r>
        <w:rPr>
          <w:color w:val="000000"/>
          <w:spacing w:val="0"/>
          <w:w w:val="100"/>
          <w:position w:val="0"/>
        </w:rPr>
        <w:t>年度为开始获利年度，</w:t>
      </w:r>
      <w:r>
        <w:rPr>
          <w:rFonts w:ascii="Times New Roman" w:eastAsia="Times New Roman" w:hAnsi="Times New Roman" w:cs="Times New Roman"/>
          <w:color w:val="000000"/>
          <w:spacing w:val="0"/>
          <w:w w:val="100"/>
          <w:position w:val="0"/>
        </w:rPr>
        <w:t>2013</w:t>
      </w:r>
      <w:r>
        <w:rPr>
          <w:color w:val="000000"/>
          <w:spacing w:val="0"/>
          <w:w w:val="100"/>
          <w:position w:val="0"/>
        </w:rPr>
        <w:t>年度享受减半征 收企业所得税优惠。</w:t>
      </w:r>
    </w:p>
    <w:p>
      <w:pPr>
        <w:pStyle w:val="Style9"/>
        <w:keepNext w:val="0"/>
        <w:keepLines w:val="0"/>
        <w:widowControl w:val="0"/>
        <w:numPr>
          <w:ilvl w:val="0"/>
          <w:numId w:val="17"/>
        </w:numPr>
        <w:shd w:val="clear" w:color="auto" w:fill="auto"/>
        <w:tabs>
          <w:tab w:pos="349" w:val="left"/>
        </w:tabs>
        <w:bidi w:val="0"/>
        <w:spacing w:before="0" w:after="0" w:line="312" w:lineRule="exact"/>
        <w:ind w:left="0" w:right="0" w:firstLine="0"/>
        <w:jc w:val="left"/>
      </w:pPr>
      <w:bookmarkStart w:id="748" w:name="bookmark748"/>
      <w:bookmarkEnd w:id="748"/>
      <w:r>
        <w:rPr>
          <w:color w:val="000000"/>
          <w:spacing w:val="0"/>
          <w:w w:val="100"/>
          <w:position w:val="0"/>
        </w:rPr>
        <w:t>根据《中华人民共和国企业所得税法》及其相关规定，对未形成无形资产计入当期损益的研究开发费用，在按照规定据实 扣除的基础上，加计扣除</w:t>
      </w:r>
      <w:r>
        <w:rPr>
          <w:rFonts w:ascii="Times New Roman" w:eastAsia="Times New Roman" w:hAnsi="Times New Roman" w:cs="Times New Roman"/>
          <w:color w:val="000000"/>
          <w:spacing w:val="0"/>
          <w:w w:val="100"/>
          <w:position w:val="0"/>
        </w:rPr>
        <w:t>50%</w:t>
      </w:r>
      <w:r>
        <w:rPr>
          <w:color w:val="000000"/>
          <w:spacing w:val="0"/>
          <w:w w:val="100"/>
          <w:position w:val="0"/>
        </w:rPr>
        <w:t>。本公司及子公司享受该政策优惠。</w:t>
      </w:r>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另外，根据《财政部、国家税务总局关于企业所得税若干优惠政策的通知》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2008]1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，软件生产企业实行增值税即 征即退政策所退还的税款，由企业用于研究开发软件产品和扩大再生产，不作为企业所得税应税收入，不予征收企业所得税。 本公司对于销售自行开发生产的软件产品的部分而产生的营业收入享受该政策优惠。</w:t>
      </w:r>
    </w:p>
    <w:p>
      <w:pPr>
        <w:pStyle w:val="Style35"/>
        <w:keepNext/>
        <w:keepLines/>
        <w:widowControl w:val="0"/>
        <w:shd w:val="clear" w:color="auto" w:fill="auto"/>
        <w:bidi w:val="0"/>
        <w:spacing w:before="0" w:after="36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3</w:t>
      </w:r>
      <w:bookmarkEnd w:id="751"/>
      <w:r>
        <w:rPr>
          <w:color w:val="000000"/>
          <w:spacing w:val="0"/>
          <w:w w:val="100"/>
          <w:position w:val="0"/>
        </w:rPr>
        <w:t>、其他说明</w:t>
      </w:r>
      <w:bookmarkEnd w:id="749"/>
      <w:bookmarkEnd w:id="750"/>
      <w:bookmarkEnd w:id="752"/>
    </w:p>
    <w:p>
      <w:pPr>
        <w:pStyle w:val="Style30"/>
        <w:keepNext/>
        <w:keepLines/>
        <w:widowControl w:val="0"/>
        <w:shd w:val="clear" w:color="auto" w:fill="auto"/>
        <w:bidi w:val="0"/>
        <w:spacing w:before="0" w:after="360" w:line="240" w:lineRule="auto"/>
        <w:ind w:left="0" w:right="0" w:firstLine="0"/>
        <w:jc w:val="left"/>
        <w:sectPr>
          <w:footnotePr>
            <w:pos w:val="pageBottom"/>
            <w:numFmt w:val="decimal"/>
            <w:numRestart w:val="continuous"/>
          </w:footnotePr>
          <w:type w:val="continuous"/>
          <w:pgSz w:w="11900" w:h="16840"/>
          <w:pgMar w:top="1383" w:right="1049" w:bottom="1493" w:left="1068" w:header="0" w:footer="3" w:gutter="0"/>
          <w:cols w:space="720"/>
          <w:noEndnote/>
          <w:rtlGutter w:val="0"/>
          <w:docGrid w:linePitch="360"/>
        </w:sectPr>
      </w:pPr>
      <w:bookmarkStart w:id="753" w:name="bookmark753"/>
      <w:bookmarkStart w:id="754" w:name="bookmark754"/>
      <w:bookmarkStart w:id="755" w:name="bookmark755"/>
      <w:bookmarkStart w:id="756" w:name="bookmark756"/>
      <w:r>
        <w:rPr>
          <w:color w:val="000000"/>
          <w:spacing w:val="0"/>
          <w:w w:val="100"/>
          <w:position w:val="0"/>
          <w:sz w:val="24"/>
          <w:szCs w:val="24"/>
        </w:rPr>
        <w:t>六</w:t>
      </w:r>
      <w:bookmarkEnd w:id="755"/>
      <w:r>
        <w:rPr>
          <w:color w:val="000000"/>
          <w:spacing w:val="0"/>
          <w:w w:val="100"/>
          <w:position w:val="0"/>
          <w:sz w:val="24"/>
          <w:szCs w:val="24"/>
        </w:rPr>
        <w:t>、企业合并及合并财务报表</w:t>
      </w:r>
      <w:bookmarkEnd w:id="753"/>
      <w:bookmarkEnd w:id="754"/>
      <w:bookmarkEnd w:id="756"/>
    </w:p>
    <w:p>
      <w:pPr>
        <w:pStyle w:val="Style35"/>
        <w:keepNext/>
        <w:keepLines/>
        <w:widowControl w:val="0"/>
        <w:shd w:val="clear" w:color="auto" w:fill="auto"/>
        <w:bidi w:val="0"/>
        <w:spacing w:before="0" w:line="240" w:lineRule="auto"/>
        <w:ind w:left="0" w:right="0" w:firstLine="0"/>
        <w:jc w:val="left"/>
      </w:pPr>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757"/>
      <w:bookmarkEnd w:id="758"/>
      <w:bookmarkEnd w:id="759"/>
    </w:p>
    <w:p>
      <w:pPr>
        <w:pStyle w:val="Style38"/>
        <w:keepNext/>
        <w:keepLines/>
        <w:widowControl w:val="0"/>
        <w:shd w:val="clear" w:color="auto" w:fill="auto"/>
        <w:bidi w:val="0"/>
        <w:spacing w:before="0" w:after="340" w:line="240" w:lineRule="auto"/>
        <w:ind w:left="0" w:right="0" w:firstLine="0"/>
        <w:jc w:val="left"/>
      </w:pPr>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760"/>
      <w:bookmarkEnd w:id="761"/>
      <w:bookmarkEnd w:id="762"/>
    </w:p>
    <w:p>
      <w:pPr>
        <w:pStyle w:val="Style22"/>
        <w:keepNext w:val="0"/>
        <w:keepLines w:val="0"/>
        <w:widowControl w:val="0"/>
        <w:shd w:val="clear" w:color="auto" w:fill="auto"/>
        <w:bidi w:val="0"/>
        <w:spacing w:before="0" w:after="0" w:line="240" w:lineRule="auto"/>
        <w:ind w:left="13037" w:right="0" w:firstLine="0"/>
        <w:jc w:val="left"/>
      </w:pPr>
      <w:r>
        <w:rPr>
          <w:color w:val="000000"/>
          <w:spacing w:val="0"/>
          <w:w w:val="100"/>
          <w:position w:val="0"/>
        </w:rPr>
        <w:t>单位：元</w:t>
      </w:r>
    </w:p>
    <w:tbl>
      <w:tblPr>
        <w:tblOverlap w:val="never"/>
        <w:jc w:val="center"/>
        <w:tblLayout w:type="fixed"/>
      </w:tblPr>
      <w:tblGrid>
        <w:gridCol w:w="691"/>
        <w:gridCol w:w="682"/>
        <w:gridCol w:w="686"/>
        <w:gridCol w:w="682"/>
        <w:gridCol w:w="682"/>
        <w:gridCol w:w="4382"/>
        <w:gridCol w:w="1133"/>
        <w:gridCol w:w="850"/>
        <w:gridCol w:w="566"/>
        <w:gridCol w:w="566"/>
        <w:gridCol w:w="427"/>
        <w:gridCol w:w="566"/>
        <w:gridCol w:w="710"/>
        <w:gridCol w:w="1426"/>
      </w:tblGrid>
      <w:tr>
        <w:trPr>
          <w:trHeight w:val="258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期末实际投 资额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实质上构 成对子公 司净投资 的其他项 目余额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 xml:space="preserve">持股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表决 权比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合并</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从母公司所有者 权益冲减子公司 少数股东分担的 本期亏损超过少 数股东在该子公 司年初所有者权 益中所享有份额 后的余额</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任子行 科技开 发有限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计算机软硬件技术开发、销售及相关技术服务，计算机 信息系统集成（以上法律、行政法规、国务院决定规定 登记前需审批的项目除外）。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武汉任 子行软 件技术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计算机软硬件技术开发、销售及相关技术服务：计算机 信息系统集成：基础技术外包</w:t>
            </w:r>
            <w:r>
              <w:rPr>
                <w:color w:val="000000"/>
                <w:spacing w:val="0"/>
                <w:w w:val="100"/>
                <w:position w:val="0"/>
              </w:rPr>
              <w:t>（</w:t>
            </w:r>
            <w:r>
              <w:rPr>
                <w:rFonts w:ascii="Times New Roman" w:eastAsia="Times New Roman" w:hAnsi="Times New Roman" w:cs="Times New Roman"/>
                <w:color w:val="000000"/>
                <w:spacing w:val="0"/>
                <w:w w:val="100"/>
                <w:position w:val="0"/>
              </w:rPr>
              <w:t>IT</w:t>
            </w:r>
            <w:r>
              <w:rPr>
                <w:color w:val="000000"/>
                <w:spacing w:val="0"/>
                <w:w w:val="100"/>
                <w:position w:val="0"/>
              </w:rPr>
              <w:t>、</w:t>
            </w:r>
            <w:r>
              <w:rPr>
                <w:color w:val="000000"/>
                <w:spacing w:val="0"/>
                <w:w w:val="100"/>
                <w:position w:val="0"/>
              </w:rPr>
              <w:t>软件开发设计、技 术服务、基础技术平台整合和管理整合）。（国家有专项 规定的项目经审批后或凭许可证在核定期限内经营）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65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成都网 娱互动 网络科 技有限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网络游</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网络技术、计算机技术开发、技术转让、技术咨询：开 发、销售游戏软件：计算机系统集成：销售计算机软硬 件及辅助设备：货物及技术进出口（国家法律、行政法 规禁止的除外，国家法律、行政法规限制的取得许可后 方可经营）：网络工程设计及施工（凭资质许可证经营）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r>
        <w:br w:type="page"/>
      </w:r>
    </w:p>
    <w:p>
      <w:pPr>
        <w:pStyle w:val="Style38"/>
        <w:keepNext/>
        <w:keepLines/>
        <w:widowControl w:val="0"/>
        <w:shd w:val="clear" w:color="auto" w:fill="auto"/>
        <w:bidi w:val="0"/>
        <w:spacing w:before="0" w:line="240" w:lineRule="auto"/>
        <w:ind w:left="0" w:right="0" w:firstLine="0"/>
        <w:jc w:val="left"/>
      </w:pPr>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（2</w:t>
      </w:r>
      <w:r>
        <w:rPr>
          <w:color w:val="000000"/>
          <w:spacing w:val="0"/>
          <w:w w:val="100"/>
          <w:position w:val="0"/>
        </w:rPr>
        <w:t>）非同一控制下企业合并取得的子公司</w:t>
      </w:r>
      <w:bookmarkEnd w:id="763"/>
      <w:bookmarkEnd w:id="764"/>
      <w:bookmarkEnd w:id="765"/>
    </w:p>
    <w:p>
      <w:pPr>
        <w:pStyle w:val="Style22"/>
        <w:keepNext w:val="0"/>
        <w:keepLines w:val="0"/>
        <w:widowControl w:val="0"/>
        <w:shd w:val="clear" w:color="auto" w:fill="auto"/>
        <w:bidi w:val="0"/>
        <w:spacing w:before="0" w:after="0" w:line="240" w:lineRule="auto"/>
        <w:ind w:left="13037" w:right="0" w:firstLine="0"/>
        <w:jc w:val="left"/>
      </w:pPr>
      <w:r>
        <w:rPr>
          <w:color w:val="000000"/>
          <w:spacing w:val="0"/>
          <w:w w:val="100"/>
          <w:position w:val="0"/>
        </w:rPr>
        <w:t>单位：元</w:t>
      </w:r>
    </w:p>
    <w:tbl>
      <w:tblPr>
        <w:tblOverlap w:val="never"/>
        <w:jc w:val="center"/>
        <w:tblLayout w:type="fixed"/>
      </w:tblPr>
      <w:tblGrid>
        <w:gridCol w:w="691"/>
        <w:gridCol w:w="682"/>
        <w:gridCol w:w="686"/>
        <w:gridCol w:w="682"/>
        <w:gridCol w:w="682"/>
        <w:gridCol w:w="3245"/>
        <w:gridCol w:w="1138"/>
        <w:gridCol w:w="706"/>
        <w:gridCol w:w="710"/>
        <w:gridCol w:w="710"/>
        <w:gridCol w:w="422"/>
        <w:gridCol w:w="1138"/>
        <w:gridCol w:w="1133"/>
        <w:gridCol w:w="1426"/>
      </w:tblGrid>
      <w:tr>
        <w:trPr>
          <w:trHeight w:val="258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期末实际投 资额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表决权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 合并 报表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少数股东权 益</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少数股东权 益中用于冲 减少数股东 损益的金额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从母公司所有者 权益冲减子公司 少数股东分担的 本期亏损超过少 数股东在该子公 司年初所有者权 益中所享有份额 后的余额</w:t>
            </w:r>
          </w:p>
        </w:tc>
      </w:tr>
      <w:tr>
        <w:trPr>
          <w:trHeight w:val="321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深圳市 任网游 科技发 展有限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软件开 发及销 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计算机软硬件的技术开发和销售、</w:t>
            </w:r>
            <w:r>
              <w:rPr>
                <w:rFonts w:ascii="Times New Roman" w:eastAsia="Times New Roman" w:hAnsi="Times New Roman" w:cs="Times New Roman"/>
                <w:color w:val="000000"/>
                <w:spacing w:val="0"/>
                <w:w w:val="100"/>
                <w:position w:val="0"/>
              </w:rPr>
              <w:t>IC</w:t>
            </w:r>
            <w:r>
              <w:rPr>
                <w:color w:val="000000"/>
                <w:spacing w:val="0"/>
                <w:w w:val="100"/>
                <w:position w:val="0"/>
              </w:rPr>
              <w:t>卡 技术开发、网络系统集成技术的咨询、经 济信息咨询；从事广告业务（以上法律、 行政法规、国务院决定禁止的项目除外， 限制的项目须取得许可后方可经营）；信 息服务业务（仅限互联网信息服务业务， 增值电信业务经营许可证有效期至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日），经营进出口业务（法律、 行政法规、国务院决定禁止的项目除外， 限制的项目须取得许可后方可经营）。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28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博海通 讯技术 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通信产 品生产 及销售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通讯产品、计算机软件的开发及销售</w:t>
            </w:r>
            <w:r>
              <w:rPr>
                <w:color w:val="000000"/>
                <w:spacing w:val="0"/>
                <w:w w:val="100"/>
                <w:position w:val="0"/>
              </w:rPr>
              <w:t>，</w:t>
            </w:r>
            <w:r>
              <w:rPr>
                <w:color w:val="000000"/>
                <w:spacing w:val="0"/>
                <w:w w:val="100"/>
                <w:position w:val="0"/>
              </w:rPr>
              <w:t>其 他国内贸易（以上均不含法律、行政法规、 国务院规定需前置审批和禁止的项目）； 经营进出口业务（法律、法规禁止的项目 除外；法律、法规限制的项目需取得许可 后方可经营）；组装生产功率放大器（不 含限制项目）。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11,920,000.00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-1,571,270.01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4,647,625.12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sectPr>
          <w:headerReference w:type="default" r:id="rId31"/>
          <w:footerReference w:type="default" r:id="rId32"/>
          <w:headerReference w:type="even" r:id="rId33"/>
          <w:footerReference w:type="even" r:id="rId34"/>
          <w:footnotePr>
            <w:pos w:val="pageBottom"/>
            <w:numFmt w:val="decimal"/>
            <w:numRestart w:val="continuous"/>
          </w:footnotePr>
          <w:pgSz w:w="16840" w:h="11900" w:orient="landscape"/>
          <w:pgMar w:top="1145" w:right="1360" w:bottom="1332" w:left="1422" w:header="0" w:footer="3" w:gutter="0"/>
          <w:cols w:space="720"/>
          <w:noEndnote/>
          <w:rtlGutter w:val="0"/>
          <w:docGrid w:linePitch="360"/>
        </w:sectPr>
      </w:pPr>
      <w:r>
        <w:rPr>
          <w:color w:val="000000"/>
          <w:spacing w:val="0"/>
          <w:w w:val="100"/>
          <w:position w:val="0"/>
        </w:rPr>
        <w:t>通过非同一控制下企业合并取得的子公司的其他说明</w:t>
      </w:r>
    </w:p>
    <w:p>
      <w:pPr>
        <w:pStyle w:val="Style35"/>
        <w:keepNext/>
        <w:keepLines/>
        <w:widowControl w:val="0"/>
        <w:shd w:val="clear" w:color="auto" w:fill="auto"/>
        <w:tabs>
          <w:tab w:pos="378" w:val="left"/>
        </w:tabs>
        <w:bidi w:val="0"/>
        <w:spacing w:before="80" w:after="24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2</w:t>
      </w:r>
      <w:bookmarkEnd w:id="768"/>
      <w:r>
        <w:rPr>
          <w:color w:val="000000"/>
          <w:spacing w:val="0"/>
          <w:w w:val="100"/>
          <w:position w:val="0"/>
        </w:rPr>
        <w:t>、</w:t>
        <w:tab/>
        <w:t>合并范围发生变更的说明</w:t>
      </w:r>
      <w:bookmarkEnd w:id="766"/>
      <w:bookmarkEnd w:id="767"/>
      <w:bookmarkEnd w:id="769"/>
    </w:p>
    <w:p>
      <w:pPr>
        <w:pStyle w:val="Style9"/>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合并报表范围发生变更说明</w:t>
      </w:r>
    </w:p>
    <w:p>
      <w:pPr>
        <w:pStyle w:val="Style9"/>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9"/>
        <w:keepNext w:val="0"/>
        <w:keepLines w:val="0"/>
        <w:widowControl w:val="0"/>
        <w:shd w:val="clear" w:color="auto" w:fill="auto"/>
        <w:bidi w:val="0"/>
        <w:spacing w:before="0" w:after="0" w:line="350" w:lineRule="exact"/>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rPr>
        <w:t>2</w:t>
      </w:r>
      <w:r>
        <w:rPr>
          <w:color w:val="000000"/>
          <w:spacing w:val="0"/>
          <w:w w:val="100"/>
          <w:position w:val="0"/>
        </w:rPr>
        <w:t>家，原因为</w:t>
      </w:r>
    </w:p>
    <w:p>
      <w:pPr>
        <w:pStyle w:val="Style9"/>
        <w:keepNext w:val="0"/>
        <w:keepLines w:val="0"/>
        <w:widowControl w:val="0"/>
        <w:shd w:val="clear" w:color="auto" w:fill="auto"/>
        <w:bidi w:val="0"/>
        <w:spacing w:before="0" w:after="340" w:line="350" w:lineRule="exact"/>
        <w:ind w:left="0" w:right="0" w:firstLine="0"/>
        <w:jc w:val="left"/>
      </w:pPr>
      <w:r>
        <w:rPr>
          <w:color w:val="000000"/>
          <w:spacing w:val="0"/>
          <w:w w:val="100"/>
          <w:position w:val="0"/>
        </w:rPr>
        <w:t>本期公司出资设立了全资子公司成都网娱互动网络科技有限公司和武汉市任子行软件技术有限公司。 与上年相比本年（期）减少合并单位</w:t>
      </w:r>
      <w:r>
        <w:rPr>
          <w:rFonts w:ascii="Times New Roman" w:eastAsia="Times New Roman" w:hAnsi="Times New Roman" w:cs="Times New Roman"/>
          <w:color w:val="000000"/>
          <w:spacing w:val="0"/>
          <w:w w:val="100"/>
          <w:position w:val="0"/>
        </w:rPr>
        <w:t>0</w:t>
      </w:r>
      <w:r>
        <w:rPr>
          <w:color w:val="000000"/>
          <w:spacing w:val="0"/>
          <w:w w:val="100"/>
          <w:position w:val="0"/>
        </w:rPr>
        <w:t>家，原因为</w:t>
      </w:r>
    </w:p>
    <w:p>
      <w:pPr>
        <w:pStyle w:val="Style35"/>
        <w:keepNext/>
        <w:keepLines/>
        <w:widowControl w:val="0"/>
        <w:shd w:val="clear" w:color="auto" w:fill="auto"/>
        <w:tabs>
          <w:tab w:pos="378" w:val="left"/>
        </w:tabs>
        <w:bidi w:val="0"/>
        <w:spacing w:before="0" w:after="24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3</w:t>
      </w:r>
      <w:bookmarkEnd w:id="772"/>
      <w:r>
        <w:rPr>
          <w:color w:val="000000"/>
          <w:spacing w:val="0"/>
          <w:w w:val="100"/>
          <w:position w:val="0"/>
        </w:rPr>
        <w:t>、</w:t>
        <w:tab/>
        <w:t>报告期内新纳入合并范围的主体和报告期内不再纳入合并范围的主体</w:t>
      </w:r>
      <w:bookmarkEnd w:id="770"/>
      <w:bookmarkEnd w:id="771"/>
      <w:bookmarkEnd w:id="773"/>
    </w:p>
    <w:p>
      <w:pPr>
        <w:pStyle w:val="Style9"/>
        <w:keepNext w:val="0"/>
        <w:keepLines w:val="0"/>
        <w:widowControl w:val="0"/>
        <w:shd w:val="clear" w:color="auto" w:fill="auto"/>
        <w:bidi w:val="0"/>
        <w:spacing w:before="0" w:after="100" w:line="350" w:lineRule="exact"/>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武汉市任子行软件技术有限公司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10,013,060.85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13,060.85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成都网娱互动网络科技有限公司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8,376,767.27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-1,623,232.73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年初至处置日净利润</w:t>
            </w:r>
          </w:p>
        </w:tc>
      </w:tr>
    </w:tbl>
    <w:p>
      <w:pPr>
        <w:widowControl w:val="0"/>
        <w:spacing w:after="99" w:line="1" w:lineRule="exact"/>
      </w:pPr>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新纳入合并范围的主体和不再纳入合并范围的主体的其他说明</w:t>
      </w:r>
    </w:p>
    <w:p>
      <w:pPr>
        <w:pStyle w:val="Style30"/>
        <w:keepNext/>
        <w:keepLines/>
        <w:widowControl w:val="0"/>
        <w:shd w:val="clear" w:color="auto" w:fill="auto"/>
        <w:bidi w:val="0"/>
        <w:spacing w:before="0" w:after="340" w:line="240" w:lineRule="auto"/>
        <w:ind w:left="0" w:right="0" w:firstLine="0"/>
        <w:jc w:val="left"/>
      </w:pPr>
      <w:bookmarkStart w:id="774" w:name="bookmark774"/>
      <w:bookmarkStart w:id="775" w:name="bookmark775"/>
      <w:bookmarkStart w:id="776" w:name="bookmark776"/>
      <w:bookmarkStart w:id="777" w:name="bookmark777"/>
      <w:r>
        <w:rPr>
          <w:color w:val="000000"/>
          <w:spacing w:val="0"/>
          <w:w w:val="100"/>
          <w:position w:val="0"/>
          <w:sz w:val="24"/>
          <w:szCs w:val="24"/>
        </w:rPr>
        <w:t>七</w:t>
      </w:r>
      <w:bookmarkEnd w:id="776"/>
      <w:r>
        <w:rPr>
          <w:color w:val="000000"/>
          <w:spacing w:val="0"/>
          <w:w w:val="100"/>
          <w:position w:val="0"/>
          <w:sz w:val="24"/>
          <w:szCs w:val="24"/>
        </w:rPr>
        <w:t>、合并财务报表主要项目注释</w:t>
      </w:r>
      <w:bookmarkEnd w:id="774"/>
      <w:bookmarkEnd w:id="775"/>
      <w:bookmarkEnd w:id="777"/>
    </w:p>
    <w:p>
      <w:pPr>
        <w:pStyle w:val="Style35"/>
        <w:keepNext/>
        <w:keepLines/>
        <w:widowControl w:val="0"/>
        <w:shd w:val="clear" w:color="auto" w:fill="auto"/>
        <w:bidi w:val="0"/>
        <w:spacing w:before="0" w:line="240" w:lineRule="auto"/>
        <w:ind w:left="0" w:right="0" w:firstLine="0"/>
        <w:jc w:val="left"/>
      </w:pPr>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778"/>
      <w:bookmarkEnd w:id="779"/>
      <w:bookmarkEnd w:id="78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54"/>
        <w:gridCol w:w="1334"/>
        <w:gridCol w:w="931"/>
        <w:gridCol w:w="1603"/>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人民币金额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50,589.80</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66,200.89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50,589.80</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66,200.89</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327,984,359.72</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323,825,426.95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327,984,359.72</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323,825,426.95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1,244,827.04</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1,722,880.14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1,244,827.04</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1,722,880.14</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329,279,776.56</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325,614,507.98</w:t>
            </w:r>
          </w:p>
        </w:tc>
      </w:tr>
    </w:tbl>
    <w:p>
      <w:pPr>
        <w:pStyle w:val="Style9"/>
        <w:keepNext w:val="0"/>
        <w:keepLines w:val="0"/>
        <w:widowControl w:val="0"/>
        <w:shd w:val="clear" w:color="auto" w:fill="auto"/>
        <w:bidi w:val="0"/>
        <w:spacing w:before="0" w:after="240" w:line="346" w:lineRule="exact"/>
        <w:ind w:left="0" w:right="0" w:firstLine="0"/>
        <w:jc w:val="left"/>
      </w:pPr>
      <w:r>
        <w:rPr>
          <w:color w:val="000000"/>
          <w:spacing w:val="0"/>
          <w:w w:val="100"/>
          <w:position w:val="0"/>
        </w:rPr>
        <w:t>如有因抵押、质押或冻结等对使用有限制、存放在境外、有潜在回收风险的款项应单独说明 公司期末用于质押的货币资金</w:t>
      </w:r>
      <w:r>
        <w:rPr>
          <w:rFonts w:ascii="Times New Roman" w:eastAsia="Times New Roman" w:hAnsi="Times New Roman" w:cs="Times New Roman"/>
          <w:color w:val="000000"/>
          <w:spacing w:val="0"/>
          <w:w w:val="100"/>
          <w:position w:val="0"/>
        </w:rPr>
        <w:t>1,092,681.84</w:t>
      </w:r>
      <w:r>
        <w:rPr>
          <w:color w:val="000000"/>
          <w:spacing w:val="0"/>
          <w:w w:val="100"/>
          <w:position w:val="0"/>
        </w:rPr>
        <w:t>元，用于其他保证业务的货币资金</w:t>
      </w:r>
      <w:r>
        <w:rPr>
          <w:rFonts w:ascii="Times New Roman" w:eastAsia="Times New Roman" w:hAnsi="Times New Roman" w:cs="Times New Roman"/>
          <w:color w:val="000000"/>
          <w:spacing w:val="0"/>
          <w:w w:val="100"/>
          <w:position w:val="0"/>
        </w:rPr>
        <w:t>152,145.2</w:t>
      </w:r>
      <w:r>
        <w:rPr>
          <w:rFonts w:ascii="Times New Roman" w:eastAsia="Times New Roman" w:hAnsi="Times New Roman" w:cs="Times New Roman"/>
          <w:color w:val="000000"/>
          <w:spacing w:val="0"/>
          <w:w w:val="100"/>
          <w:position w:val="0"/>
        </w:rPr>
        <w:t>0</w:t>
      </w:r>
      <w:r>
        <w:rPr>
          <w:color w:val="000000"/>
          <w:spacing w:val="0"/>
          <w:w w:val="100"/>
          <w:position w:val="0"/>
        </w:rPr>
        <w:t>元。</w:t>
      </w:r>
      <w:r>
        <w:br w:type="page"/>
      </w:r>
    </w:p>
    <w:p>
      <w:pPr>
        <w:pStyle w:val="Style35"/>
        <w:keepNext/>
        <w:keepLines/>
        <w:widowControl w:val="0"/>
        <w:shd w:val="clear" w:color="auto" w:fill="auto"/>
        <w:bidi w:val="0"/>
        <w:spacing w:before="0" w:line="240" w:lineRule="auto"/>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2</w:t>
      </w:r>
      <w:bookmarkEnd w:id="783"/>
      <w:r>
        <w:rPr>
          <w:color w:val="000000"/>
          <w:spacing w:val="0"/>
          <w:w w:val="100"/>
          <w:position w:val="0"/>
        </w:rPr>
        <w:t>、应收票据</w:t>
      </w:r>
      <w:bookmarkEnd w:id="781"/>
      <w:bookmarkEnd w:id="782"/>
      <w:bookmarkEnd w:id="784"/>
    </w:p>
    <w:p>
      <w:pPr>
        <w:pStyle w:val="Style38"/>
        <w:keepNext/>
        <w:keepLines/>
        <w:widowControl w:val="0"/>
        <w:shd w:val="clear" w:color="auto" w:fill="auto"/>
        <w:bidi w:val="0"/>
        <w:spacing w:before="0" w:after="340" w:line="240" w:lineRule="auto"/>
        <w:ind w:left="0" w:right="0" w:firstLine="0"/>
        <w:jc w:val="both"/>
      </w:pPr>
      <w:bookmarkStart w:id="785" w:name="bookmark785"/>
      <w:bookmarkStart w:id="786" w:name="bookmark786"/>
      <w:bookmarkStart w:id="787" w:name="bookmark7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785"/>
      <w:bookmarkEnd w:id="786"/>
      <w:bookmarkEnd w:id="78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4"/>
        <w:gridCol w:w="2659"/>
        <w:gridCol w:w="2928"/>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449,290.11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3,551,230.84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3,056,838.72</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490,890.11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6,608,069.56</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3</w:t>
      </w:r>
      <w:bookmarkEnd w:id="790"/>
      <w:r>
        <w:rPr>
          <w:color w:val="000000"/>
          <w:spacing w:val="0"/>
          <w:w w:val="100"/>
          <w:position w:val="0"/>
        </w:rPr>
        <w:t>、应收账款</w:t>
      </w:r>
      <w:bookmarkEnd w:id="788"/>
      <w:bookmarkEnd w:id="789"/>
      <w:bookmarkEnd w:id="791"/>
    </w:p>
    <w:p>
      <w:pPr>
        <w:pStyle w:val="Style38"/>
        <w:keepNext/>
        <w:keepLines/>
        <w:widowControl w:val="0"/>
        <w:shd w:val="clear" w:color="auto" w:fill="auto"/>
        <w:bidi w:val="0"/>
        <w:spacing w:before="0" w:after="340" w:line="240" w:lineRule="auto"/>
        <w:ind w:left="0" w:right="0" w:firstLine="0"/>
        <w:jc w:val="both"/>
      </w:pPr>
      <w:bookmarkStart w:id="792" w:name="bookmark792"/>
      <w:bookmarkStart w:id="793" w:name="bookmark793"/>
      <w:bookmarkStart w:id="794" w:name="bookmark7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792"/>
      <w:bookmarkEnd w:id="793"/>
      <w:bookmarkEnd w:id="79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926"/>
        <w:gridCol w:w="931"/>
        <w:gridCol w:w="931"/>
        <w:gridCol w:w="922"/>
        <w:gridCol w:w="802"/>
        <w:gridCol w:w="931"/>
        <w:gridCol w:w="1061"/>
        <w:gridCol w:w="1075"/>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1,732,434.9</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519,730.49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按照账龄组合计提坏账 准备的应收账款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35,204,707.</w:t>
            </w:r>
          </w:p>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6,279,666.6</w:t>
            </w:r>
          </w:p>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46,050,36</w:t>
            </w:r>
          </w:p>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5,166,626.16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w:t>
            </w:r>
          </w:p>
        </w:tc>
      </w:tr>
      <w:tr>
        <w:trPr>
          <w:trHeight w:val="71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35,204,707.</w:t>
            </w:r>
          </w:p>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6,279,666.6</w:t>
            </w:r>
          </w:p>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46,050,36</w:t>
            </w:r>
          </w:p>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5,166,626.16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w:t>
            </w:r>
          </w:p>
        </w:tc>
      </w:tr>
      <w:tr>
        <w:trPr>
          <w:trHeight w:val="725"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36,937,142.</w:t>
            </w:r>
          </w:p>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6,799,397.1</w:t>
            </w:r>
          </w:p>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46,050,36</w:t>
            </w:r>
          </w:p>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0.44</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5,166,626.16</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应收账款种类的说明</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期末单项金额重大并单项计提坏账准备的应收账款</w:t>
      </w:r>
    </w:p>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77"/>
        <w:gridCol w:w="1622"/>
        <w:gridCol w:w="1622"/>
        <w:gridCol w:w="1627"/>
        <w:gridCol w:w="1637"/>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国家计算机网络应急技术处理协调中 心新疆分中心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1,732,434.97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519,730.49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账龄较长，尚未回 款，目前还在催收中</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1,732,434.97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519,730.49</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组合中，按账龄分析法计提坏账准备的应收账款</w:t>
      </w:r>
    </w:p>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483"/>
        <w:gridCol w:w="1584"/>
        <w:gridCol w:w="926"/>
        <w:gridCol w:w="1728"/>
        <w:gridCol w:w="1459"/>
        <w:gridCol w:w="931"/>
        <w:gridCol w:w="1469"/>
      </w:tblGrid>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19,100,781.67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952,759.08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35,031,396.04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76.07%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1,838,147.56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19,100,781.67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952,759.08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35,031,396.04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76.07%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1,838,147.56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10,503,398.29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1,050,339.83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6,122,315.14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612,231.51</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1,891,370.69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567,411.21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3,119,860.25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939,458.08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3,709,156.50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3,709,156.50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1,776,789.01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1,776,789.01</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35,204,707.15</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6,279,666.62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46,050,360.44</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5,166,626.16</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40" w:line="240" w:lineRule="auto"/>
        <w:ind w:left="0" w:right="0" w:firstLine="0"/>
        <w:jc w:val="left"/>
      </w:pPr>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795"/>
      <w:bookmarkEnd w:id="796"/>
      <w:bookmarkEnd w:id="79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4,522,115.00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1,950,800.00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1,732,434.96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1,672,593.58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1,671,267.17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11,549,210.71</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31.26%</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4</w:t>
      </w:r>
      <w:bookmarkEnd w:id="800"/>
      <w:r>
        <w:rPr>
          <w:color w:val="000000"/>
          <w:spacing w:val="0"/>
          <w:w w:val="100"/>
          <w:position w:val="0"/>
        </w:rPr>
        <w:t>、其他应收款</w:t>
      </w:r>
      <w:bookmarkEnd w:id="798"/>
      <w:bookmarkEnd w:id="799"/>
      <w:bookmarkEnd w:id="801"/>
    </w:p>
    <w:p>
      <w:pPr>
        <w:pStyle w:val="Style38"/>
        <w:keepNext/>
        <w:keepLines/>
        <w:widowControl w:val="0"/>
        <w:shd w:val="clear" w:color="auto" w:fill="auto"/>
        <w:bidi w:val="0"/>
        <w:spacing w:before="0" w:after="340" w:line="240" w:lineRule="auto"/>
        <w:ind w:left="0" w:right="0" w:firstLine="0"/>
        <w:jc w:val="left"/>
      </w:pPr>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802"/>
      <w:bookmarkEnd w:id="803"/>
      <w:bookmarkEnd w:id="80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848"/>
        <w:gridCol w:w="1853"/>
        <w:gridCol w:w="1982"/>
        <w:gridCol w:w="1992"/>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spacing w:lineRule="exact" w:line="1"/>
        <w:rPr>
          <w:sz w:val="2"/>
          <w:szCs w:val="2"/>
        </w:rPr>
      </w:pPr>
      <w:r>
        <w:br w:type="page"/>
      </w:r>
    </w:p>
    <w:tbl>
      <w:tblPr>
        <w:tblOverlap w:val="never"/>
        <w:jc w:val="center"/>
        <w:tblLayout w:type="fixed"/>
      </w:tblPr>
      <w:tblGrid>
        <w:gridCol w:w="1910"/>
        <w:gridCol w:w="1056"/>
        <w:gridCol w:w="792"/>
        <w:gridCol w:w="1056"/>
        <w:gridCol w:w="797"/>
        <w:gridCol w:w="1056"/>
        <w:gridCol w:w="926"/>
        <w:gridCol w:w="1190"/>
        <w:gridCol w:w="80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按照账龄组合计提坏账 准备的其他应收款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4,545,296.42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989,573.57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4,856,836.65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943,686.57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4,545,296.42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989,573.57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4,856,836.65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943,686.57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4,545,296.42</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989,573.57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4,856,836.65</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943,686.57</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其他应收款种类的说明</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843"/>
        <w:gridCol w:w="658"/>
        <w:gridCol w:w="1445"/>
        <w:gridCol w:w="1450"/>
        <w:gridCol w:w="658"/>
        <w:gridCol w:w="1680"/>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2,505,332.67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113,199.01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2,606,864.00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146,708.20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364,310.37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1,439,781.80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142,642.52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1,192,784.83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357,295.64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222,650.00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66,795.00</w:t>
            </w: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482,868.55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482,868.55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587,540.85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587,540.85</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4,545,296.42</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989,573.58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4,856,836.65</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943,686.57</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805" w:name="bookmark805"/>
      <w:bookmarkStart w:id="806" w:name="bookmark806"/>
      <w:bookmarkStart w:id="807" w:name="bookmark8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805"/>
      <w:bookmarkEnd w:id="806"/>
      <w:bookmarkEnd w:id="80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851,600.00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18.74%</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雇员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223,200.00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雇员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137,598.00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129,228.00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1,591,626.00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35.02%</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5</w:t>
      </w:r>
      <w:bookmarkEnd w:id="810"/>
      <w:r>
        <w:rPr>
          <w:color w:val="000000"/>
          <w:spacing w:val="0"/>
          <w:w w:val="100"/>
          <w:position w:val="0"/>
        </w:rPr>
        <w:t>、预付款项</w:t>
      </w:r>
      <w:bookmarkEnd w:id="808"/>
      <w:bookmarkEnd w:id="809"/>
      <w:bookmarkEnd w:id="811"/>
    </w:p>
    <w:p>
      <w:pPr>
        <w:pStyle w:val="Style38"/>
        <w:keepNext/>
        <w:keepLines/>
        <w:widowControl w:val="0"/>
        <w:shd w:val="clear" w:color="auto" w:fill="auto"/>
        <w:bidi w:val="0"/>
        <w:spacing w:before="0" w:after="340" w:line="240" w:lineRule="auto"/>
        <w:ind w:left="0" w:right="0" w:firstLine="0"/>
        <w:jc w:val="left"/>
      </w:pPr>
      <w:bookmarkStart w:id="812" w:name="bookmark812"/>
      <w:bookmarkStart w:id="813" w:name="bookmark813"/>
      <w:bookmarkStart w:id="814" w:name="bookmark8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12"/>
      <w:bookmarkEnd w:id="813"/>
      <w:bookmarkEnd w:id="81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1"/>
        <w:gridCol w:w="3053"/>
        <w:gridCol w:w="1075"/>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11,562,615.35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2,800,801.35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107,670.02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172,324.00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60,724.00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11,731,009.37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2,973,125.35</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预付款项账龄的说明</w:t>
      </w:r>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40" w:line="240" w:lineRule="auto"/>
        <w:ind w:left="0" w:right="0" w:firstLine="0"/>
        <w:jc w:val="left"/>
      </w:pPr>
      <w:bookmarkStart w:id="815" w:name="bookmark815"/>
      <w:bookmarkStart w:id="816" w:name="bookmark816"/>
      <w:bookmarkStart w:id="817" w:name="bookmark8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815"/>
      <w:bookmarkEnd w:id="816"/>
      <w:bookmarkEnd w:id="81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7,335,162.40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尚达到结算条件</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1,776,500.00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尚达到结算条件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1,707,384.99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尚达到结算条件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284,300.00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尚达到结算条件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107,670.00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11,211,017.39</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预付款项主要单位的说明</w:t>
      </w:r>
    </w:p>
    <w:p>
      <w:pPr>
        <w:pStyle w:val="Style9"/>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38"/>
        <w:keepNext/>
        <w:keepLines/>
        <w:widowControl w:val="0"/>
        <w:shd w:val="clear" w:color="auto" w:fill="auto"/>
        <w:bidi w:val="0"/>
        <w:spacing w:before="0" w:after="340" w:line="240" w:lineRule="auto"/>
        <w:ind w:left="0" w:right="0" w:firstLine="0"/>
        <w:jc w:val="both"/>
      </w:pPr>
      <w:bookmarkStart w:id="818" w:name="bookmark818"/>
      <w:bookmarkStart w:id="819" w:name="bookmark819"/>
      <w:bookmarkStart w:id="820" w:name="bookmark820"/>
      <w:bookmarkStart w:id="821" w:name="bookmark821"/>
      <w:r>
        <w:rPr>
          <w:color w:val="000000"/>
          <w:spacing w:val="0"/>
          <w:w w:val="100"/>
          <w:position w:val="0"/>
        </w:rPr>
        <w:t>（</w:t>
      </w:r>
      <w:bookmarkEnd w:id="820"/>
      <w:r>
        <w:rPr>
          <w:rFonts w:ascii="Times New Roman" w:eastAsia="Times New Roman" w:hAnsi="Times New Roman" w:cs="Times New Roman"/>
          <w:color w:val="000000"/>
          <w:spacing w:val="0"/>
          <w:w w:val="100"/>
          <w:position w:val="0"/>
        </w:rPr>
        <w:t>3</w:t>
      </w:r>
      <w:r>
        <w:rPr>
          <w:color w:val="000000"/>
          <w:spacing w:val="0"/>
          <w:w w:val="100"/>
          <w:position w:val="0"/>
        </w:rPr>
        <w:t>）预付款项的说明</w:t>
      </w:r>
      <w:bookmarkEnd w:id="818"/>
      <w:bookmarkEnd w:id="819"/>
      <w:bookmarkEnd w:id="821"/>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年末预付帐款较</w:t>
      </w:r>
      <w:r>
        <w:rPr>
          <w:rFonts w:ascii="Times New Roman" w:eastAsia="Times New Roman" w:hAnsi="Times New Roman" w:cs="Times New Roman"/>
          <w:color w:val="000000"/>
          <w:spacing w:val="0"/>
          <w:w w:val="100"/>
          <w:position w:val="0"/>
        </w:rPr>
        <w:t>2 012</w:t>
      </w:r>
      <w:r>
        <w:rPr>
          <w:color w:val="000000"/>
          <w:spacing w:val="0"/>
          <w:w w:val="100"/>
          <w:position w:val="0"/>
        </w:rPr>
        <w:t>年末增加</w:t>
      </w:r>
      <w:r>
        <w:rPr>
          <w:rFonts w:ascii="Times New Roman" w:eastAsia="Times New Roman" w:hAnsi="Times New Roman" w:cs="Times New Roman"/>
          <w:color w:val="000000"/>
          <w:spacing w:val="0"/>
          <w:w w:val="100"/>
          <w:position w:val="0"/>
        </w:rPr>
        <w:t>8,757,884.02</w:t>
      </w:r>
      <w:r>
        <w:rPr>
          <w:color w:val="000000"/>
          <w:spacing w:val="0"/>
          <w:w w:val="100"/>
          <w:position w:val="0"/>
        </w:rPr>
        <w:t>元</w:t>
      </w:r>
      <w:r>
        <w:rPr>
          <w:color w:val="000000"/>
          <w:spacing w:val="0"/>
          <w:w w:val="100"/>
          <w:position w:val="0"/>
        </w:rPr>
        <w:t>，</w:t>
      </w:r>
      <w:r>
        <w:rPr>
          <w:color w:val="000000"/>
          <w:spacing w:val="0"/>
          <w:w w:val="100"/>
          <w:position w:val="0"/>
        </w:rPr>
        <w:t>增长幅度</w:t>
      </w:r>
      <w:r>
        <w:rPr>
          <w:rFonts w:ascii="Times New Roman" w:eastAsia="Times New Roman" w:hAnsi="Times New Roman" w:cs="Times New Roman"/>
          <w:color w:val="000000"/>
          <w:spacing w:val="0"/>
          <w:w w:val="100"/>
          <w:position w:val="0"/>
        </w:rPr>
        <w:t>294.57%</w:t>
      </w:r>
      <w:r>
        <w:rPr>
          <w:color w:val="000000"/>
          <w:spacing w:val="0"/>
          <w:w w:val="100"/>
          <w:position w:val="0"/>
        </w:rPr>
        <w:t>，主要是公司采购规模增加所致。</w:t>
      </w:r>
      <w:r>
        <w:br w:type="page"/>
      </w:r>
    </w:p>
    <w:p>
      <w:pPr>
        <w:pStyle w:val="Style35"/>
        <w:keepNext/>
        <w:keepLines/>
        <w:widowControl w:val="0"/>
        <w:shd w:val="clear" w:color="auto" w:fill="auto"/>
        <w:bidi w:val="0"/>
        <w:spacing w:before="0" w:after="32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6</w:t>
      </w:r>
      <w:bookmarkEnd w:id="824"/>
      <w:r>
        <w:rPr>
          <w:color w:val="000000"/>
          <w:spacing w:val="0"/>
          <w:w w:val="100"/>
          <w:position w:val="0"/>
        </w:rPr>
        <w:t>、存货</w:t>
      </w:r>
      <w:bookmarkEnd w:id="822"/>
      <w:bookmarkEnd w:id="823"/>
      <w:bookmarkEnd w:id="825"/>
    </w:p>
    <w:p>
      <w:pPr>
        <w:pStyle w:val="Style38"/>
        <w:keepNext/>
        <w:keepLines/>
        <w:widowControl w:val="0"/>
        <w:shd w:val="clear" w:color="auto" w:fill="auto"/>
        <w:bidi w:val="0"/>
        <w:spacing w:before="0" w:line="240" w:lineRule="auto"/>
        <w:ind w:left="0" w:right="0" w:firstLine="0"/>
        <w:jc w:val="left"/>
      </w:pPr>
      <w:bookmarkStart w:id="826" w:name="bookmark826"/>
      <w:bookmarkStart w:id="827" w:name="bookmark827"/>
      <w:bookmarkStart w:id="828" w:name="bookmark8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26"/>
      <w:bookmarkEnd w:id="827"/>
      <w:bookmarkEnd w:id="82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0"/>
        <w:gridCol w:w="1330"/>
        <w:gridCol w:w="1330"/>
        <w:gridCol w:w="1330"/>
        <w:gridCol w:w="1334"/>
      </w:tblGrid>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2,825,549.49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2,825,549.49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8,817,358.84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8,817,358.84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321,648.37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321,648.37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21,104,756.09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1,540,419.68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19,564,336.41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17,609,146.44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1,119,060.27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16,490,086.17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18,017,654.09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18,017,654.09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6,537,568.82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6,537,568.82</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41,947,959.67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1,540,419.68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40,407,539.99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33,285,722.47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1,119,060.27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32,166,662.20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829" w:name="bookmark829"/>
      <w:bookmarkStart w:id="830" w:name="bookmark830"/>
      <w:bookmarkStart w:id="831" w:name="bookmark8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829"/>
      <w:bookmarkEnd w:id="830"/>
      <w:bookmarkEnd w:id="83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618"/>
        <w:gridCol w:w="1613"/>
        <w:gridCol w:w="1416"/>
        <w:gridCol w:w="1430"/>
        <w:gridCol w:w="1766"/>
      </w:tblGrid>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1,119,060.27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421,359.41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1,540,419.68</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1,119,060.27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421,359.41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1,540,419.68</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832" w:name="bookmark832"/>
      <w:bookmarkStart w:id="833" w:name="bookmark833"/>
      <w:bookmarkStart w:id="834" w:name="bookmark834"/>
      <w:bookmarkStart w:id="835" w:name="bookmark835"/>
      <w:r>
        <w:rPr>
          <w:color w:val="000000"/>
          <w:spacing w:val="0"/>
          <w:w w:val="100"/>
          <w:position w:val="0"/>
        </w:rPr>
        <w:t>（</w:t>
      </w:r>
      <w:bookmarkEnd w:id="834"/>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832"/>
      <w:bookmarkEnd w:id="833"/>
      <w:bookmarkEnd w:id="835"/>
    </w:p>
    <w:tbl>
      <w:tblPr>
        <w:tblOverlap w:val="never"/>
        <w:jc w:val="center"/>
        <w:tblLayout w:type="fixed"/>
      </w:tblPr>
      <w:tblGrid>
        <w:gridCol w:w="2400"/>
        <w:gridCol w:w="2390"/>
        <w:gridCol w:w="2390"/>
        <w:gridCol w:w="2405"/>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计提存货跌价准备的依据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27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年末存货按成本高于可变现 净值的差额计提存货跌价准 备。公司按日常活动中存货的 估计售价减去至完工时估计 将要发生的成本、估计的销售 费用以及相关税费后的金额 确定可变现净值。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本期无跌价准备转销情况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年末存货按成本高于可变现 净值的差额计提存货跌价准 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本期无跌价准备转销情况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6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年末存货按成本高于可变现 净值的差额计提存货跌价准 备。公司按日常活动中存货的 估计售价减去至完工时估计 将要发生的成本、估计的销售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本期无跌价准备转销情况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2400"/>
        <w:gridCol w:w="2390"/>
        <w:gridCol w:w="2390"/>
        <w:gridCol w:w="2405"/>
      </w:tblGrid>
      <w:tr>
        <w:trPr>
          <w:trHeight w:val="686"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费用以及相关税费后的金额 确定可变现净值。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9"/>
        <w:keepNext w:val="0"/>
        <w:keepLines w:val="0"/>
        <w:widowControl w:val="0"/>
        <w:shd w:val="clear" w:color="auto" w:fill="auto"/>
        <w:bidi w:val="0"/>
        <w:spacing w:before="0" w:after="0" w:line="326" w:lineRule="exact"/>
        <w:ind w:left="0" w:right="0" w:firstLine="0"/>
        <w:jc w:val="left"/>
      </w:pPr>
      <w:r>
        <w:rPr>
          <w:color w:val="000000"/>
          <w:spacing w:val="0"/>
          <w:w w:val="100"/>
          <w:position w:val="0"/>
        </w:rPr>
        <w:t>存货的说明</w:t>
      </w:r>
    </w:p>
    <w:p>
      <w:pPr>
        <w:pStyle w:val="Style9"/>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年末存货余额较</w:t>
      </w:r>
      <w:r>
        <w:rPr>
          <w:rFonts w:ascii="Times New Roman" w:eastAsia="Times New Roman" w:hAnsi="Times New Roman" w:cs="Times New Roman"/>
          <w:color w:val="000000"/>
          <w:spacing w:val="0"/>
          <w:w w:val="100"/>
          <w:position w:val="0"/>
        </w:rPr>
        <w:t>2 012</w:t>
      </w:r>
      <w:r>
        <w:rPr>
          <w:color w:val="000000"/>
          <w:spacing w:val="0"/>
          <w:w w:val="100"/>
          <w:position w:val="0"/>
        </w:rPr>
        <w:t>年末增加</w:t>
      </w:r>
      <w:r>
        <w:rPr>
          <w:rFonts w:ascii="Times New Roman" w:eastAsia="Times New Roman" w:hAnsi="Times New Roman" w:cs="Times New Roman"/>
          <w:color w:val="000000"/>
          <w:spacing w:val="0"/>
          <w:w w:val="100"/>
          <w:position w:val="0"/>
        </w:rPr>
        <w:t>8,662,237.20</w:t>
      </w:r>
      <w:r>
        <w:rPr>
          <w:color w:val="000000"/>
          <w:spacing w:val="0"/>
          <w:w w:val="100"/>
          <w:position w:val="0"/>
        </w:rPr>
        <w:t>元，增长幅度</w:t>
      </w:r>
      <w:r>
        <w:rPr>
          <w:rFonts w:ascii="Times New Roman" w:eastAsia="Times New Roman" w:hAnsi="Times New Roman" w:cs="Times New Roman"/>
          <w:color w:val="000000"/>
          <w:spacing w:val="0"/>
          <w:w w:val="100"/>
          <w:position w:val="0"/>
        </w:rPr>
        <w:t>26.02%</w:t>
      </w:r>
      <w:r>
        <w:rPr>
          <w:color w:val="000000"/>
          <w:spacing w:val="0"/>
          <w:w w:val="100"/>
          <w:position w:val="0"/>
        </w:rPr>
        <w:t>，主要是本年公司部分项目未结算，发出商品增加 所致。</w:t>
      </w:r>
    </w:p>
    <w:p>
      <w:pPr>
        <w:pStyle w:val="Style35"/>
        <w:keepNext/>
        <w:keepLines/>
        <w:widowControl w:val="0"/>
        <w:shd w:val="clear" w:color="auto" w:fill="auto"/>
        <w:bidi w:val="0"/>
        <w:spacing w:before="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7</w:t>
      </w:r>
      <w:bookmarkEnd w:id="838"/>
      <w:r>
        <w:rPr>
          <w:color w:val="000000"/>
          <w:spacing w:val="0"/>
          <w:w w:val="100"/>
          <w:position w:val="0"/>
        </w:rPr>
        <w:t>、其他流动资产</w:t>
      </w:r>
      <w:bookmarkEnd w:id="836"/>
      <w:bookmarkEnd w:id="837"/>
      <w:bookmarkEnd w:id="83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2923"/>
        <w:gridCol w:w="320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5,034,020.57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5,034,020.57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其他流动资产说明</w:t>
      </w:r>
    </w:p>
    <w:p>
      <w:pPr>
        <w:pStyle w:val="Style35"/>
        <w:keepNext/>
        <w:keepLines/>
        <w:widowControl w:val="0"/>
        <w:shd w:val="clear" w:color="auto" w:fill="auto"/>
        <w:bidi w:val="0"/>
        <w:spacing w:before="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8</w:t>
      </w:r>
      <w:bookmarkEnd w:id="842"/>
      <w:r>
        <w:rPr>
          <w:color w:val="000000"/>
          <w:spacing w:val="0"/>
          <w:w w:val="100"/>
          <w:position w:val="0"/>
        </w:rPr>
        <w:t>、长期股权投资</w:t>
      </w:r>
      <w:bookmarkEnd w:id="840"/>
      <w:bookmarkEnd w:id="841"/>
      <w:bookmarkEnd w:id="843"/>
    </w:p>
    <w:p>
      <w:pPr>
        <w:pStyle w:val="Style38"/>
        <w:keepNext/>
        <w:keepLines/>
        <w:widowControl w:val="0"/>
        <w:shd w:val="clear" w:color="auto" w:fill="auto"/>
        <w:bidi w:val="0"/>
        <w:spacing w:before="0" w:after="340" w:line="240" w:lineRule="auto"/>
        <w:ind w:left="0" w:right="0" w:firstLine="140"/>
        <w:jc w:val="left"/>
      </w:pPr>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844"/>
      <w:bookmarkEnd w:id="845"/>
      <w:bookmarkEnd w:id="84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96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北京中天 信安科技 有限责任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4,557,748</w:t>
            </w:r>
          </w:p>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-836,038.</w:t>
            </w:r>
          </w:p>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3,721,710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4,557,748</w:t>
            </w:r>
          </w:p>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-836,038.</w:t>
            </w:r>
          </w:p>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3,721,710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9</w:t>
      </w:r>
      <w:bookmarkEnd w:id="849"/>
      <w:r>
        <w:rPr>
          <w:color w:val="000000"/>
          <w:spacing w:val="0"/>
          <w:w w:val="100"/>
          <w:position w:val="0"/>
        </w:rPr>
        <w:t>、投资性房地产</w:t>
      </w:r>
      <w:bookmarkEnd w:id="847"/>
      <w:bookmarkEnd w:id="848"/>
      <w:bookmarkEnd w:id="850"/>
    </w:p>
    <w:p>
      <w:pPr>
        <w:pStyle w:val="Style38"/>
        <w:keepNext/>
        <w:keepLines/>
        <w:widowControl w:val="0"/>
        <w:shd w:val="clear" w:color="auto" w:fill="auto"/>
        <w:bidi w:val="0"/>
        <w:spacing w:before="0" w:after="340" w:line="240" w:lineRule="auto"/>
        <w:ind w:left="0" w:right="0" w:firstLine="0"/>
        <w:jc w:val="left"/>
      </w:pPr>
      <w:bookmarkStart w:id="851" w:name="bookmark851"/>
      <w:bookmarkStart w:id="852" w:name="bookmark852"/>
      <w:bookmarkStart w:id="853" w:name="bookmark8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851"/>
      <w:bookmarkEnd w:id="852"/>
      <w:bookmarkEnd w:id="85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38"/>
        <w:gridCol w:w="1992"/>
        <w:gridCol w:w="1862"/>
        <w:gridCol w:w="1858"/>
        <w:gridCol w:w="2136"/>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609,326.00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609,326.00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609,326.00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609,326.00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57,885.94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11,577.24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69,463.18</w:t>
            </w:r>
          </w:p>
        </w:tc>
      </w:tr>
    </w:tbl>
    <w:p>
      <w:pPr>
        <w:spacing w:lineRule="exact" w:line="1"/>
        <w:rPr>
          <w:sz w:val="2"/>
          <w:szCs w:val="2"/>
        </w:rPr>
      </w:pPr>
      <w:r>
        <w:br w:type="page"/>
      </w:r>
    </w:p>
    <w:tbl>
      <w:tblPr>
        <w:tblOverlap w:val="never"/>
        <w:jc w:val="center"/>
        <w:tblLayout w:type="fixed"/>
      </w:tblPr>
      <w:tblGrid>
        <w:gridCol w:w="1733"/>
        <w:gridCol w:w="1997"/>
        <w:gridCol w:w="1862"/>
        <w:gridCol w:w="1858"/>
        <w:gridCol w:w="2136"/>
      </w:tblGrid>
      <w:tr>
        <w:trPr>
          <w:trHeight w:val="36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57,885.94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69,463.18</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三、投资性房地产账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551,440.06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539,862.82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551,440.06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539,862.82</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五、投资性房地产账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551,440.06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539,862.82</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551,440.06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539,862.82</w:t>
            </w:r>
          </w:p>
        </w:tc>
      </w:tr>
    </w:tbl>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5366"/>
        <w:gridCol w:w="4219"/>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11,577.24</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854"/>
      <w:bookmarkEnd w:id="855"/>
      <w:bookmarkEnd w:id="857"/>
    </w:p>
    <w:p>
      <w:pPr>
        <w:pStyle w:val="Style38"/>
        <w:keepNext/>
        <w:keepLines/>
        <w:widowControl w:val="0"/>
        <w:shd w:val="clear" w:color="auto" w:fill="auto"/>
        <w:bidi w:val="0"/>
        <w:spacing w:before="0" w:after="380" w:line="240" w:lineRule="auto"/>
        <w:ind w:left="0" w:right="0" w:firstLine="0"/>
        <w:jc w:val="left"/>
      </w:pPr>
      <w:bookmarkStart w:id="858" w:name="bookmark858"/>
      <w:bookmarkStart w:id="859" w:name="bookmark859"/>
      <w:bookmarkStart w:id="860" w:name="bookmark8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858"/>
      <w:bookmarkEnd w:id="859"/>
      <w:bookmarkEnd w:id="86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59"/>
        <w:gridCol w:w="1330"/>
        <w:gridCol w:w="1594"/>
        <w:gridCol w:w="1594"/>
        <w:gridCol w:w="1469"/>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126,890,768.47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16,124,936.02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437,636.78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142,578,067.71</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74,170,252.48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74,170,252.48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1,373,314.49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1,465,314.49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2,801,212.00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1,722,268.67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283,000.00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4,240,480.67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46,674,049.62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13,886,054.90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145,220.78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60,414,883.74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1,871,939.88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424,612.45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2,287,136.33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18,166,486.92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11,037,654.92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285,214.79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28,918,927.05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2,401,595.54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1,497,977.52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3,899,573.06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196,101.08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134,834.89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330,935.97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1,252,147.66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506,893.04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254,700.00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1,504,340.70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13,248,699.99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8,648,504.48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25,187.98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21,872,016.49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1,067,942.65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239,475.92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5,326.81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1,302,091.76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108,724,281.55</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113,659,140.66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71,768,656.94</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70,270,679.41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1,177,213.41</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1,134,378.52</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1,549,064.34</w:t>
            </w:r>
          </w:p>
        </w:tc>
        <w:tc>
          <w:tcPr>
            <w:gridSpan w:val="3"/>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2,736,139.97</w:t>
            </w:r>
          </w:p>
        </w:tc>
      </w:tr>
    </w:tbl>
    <w:p>
      <w:pPr>
        <w:spacing w:lineRule="exact" w:line="1"/>
        <w:rPr>
          <w:sz w:val="2"/>
          <w:szCs w:val="2"/>
        </w:rPr>
      </w:pPr>
      <w:r>
        <w:br w:type="page"/>
      </w:r>
    </w:p>
    <w:tbl>
      <w:tblPr>
        <w:tblOverlap w:val="never"/>
        <w:jc w:val="center"/>
        <w:tblLayout w:type="fixed"/>
      </w:tblPr>
      <w:tblGrid>
        <w:gridCol w:w="2136"/>
        <w:gridCol w:w="1459"/>
        <w:gridCol w:w="4517"/>
        <w:gridCol w:w="1469"/>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33,425,349.63</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38,542,867.26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803,997.23</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975,075.50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108,724,281.55</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113,659,140.66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71,768,656.94</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70,270,679.41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1,177,213.41</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1,134,378.52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1,549,064.34</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2,736,139.97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33,425,349.63</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38,542,867.26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803,997.23</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975,075.50</w:t>
            </w:r>
          </w:p>
        </w:tc>
      </w:tr>
    </w:tbl>
    <w:p>
      <w:pPr>
        <w:widowControl w:val="0"/>
        <w:spacing w:after="5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11,037,654.92</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keepLines/>
        <w:widowControl w:val="0"/>
        <w:shd w:val="clear" w:color="auto" w:fill="auto"/>
        <w:bidi w:val="0"/>
        <w:spacing w:before="0" w:after="36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861"/>
      <w:bookmarkEnd w:id="862"/>
      <w:bookmarkEnd w:id="864"/>
    </w:p>
    <w:p>
      <w:pPr>
        <w:pStyle w:val="Style38"/>
        <w:keepNext/>
        <w:keepLines/>
        <w:widowControl w:val="0"/>
        <w:shd w:val="clear" w:color="auto" w:fill="auto"/>
        <w:bidi w:val="0"/>
        <w:spacing w:before="0" w:line="240" w:lineRule="auto"/>
        <w:ind w:left="0" w:right="0" w:firstLine="0"/>
        <w:jc w:val="left"/>
      </w:pPr>
      <w:bookmarkStart w:id="865" w:name="bookmark865"/>
      <w:bookmarkStart w:id="866" w:name="bookmark866"/>
      <w:bookmarkStart w:id="867" w:name="bookmark8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865"/>
      <w:bookmarkEnd w:id="866"/>
      <w:bookmarkEnd w:id="86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2,590,904.06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1,092,792.46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3,683,696.52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2,590,904.06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1,092,792.46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3,683,696.52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1,092,254.68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661,017.29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1,753,271.97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1,092,254.68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661,017.29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1,753,271.97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1,498,649.38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431,775.17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1,930,424.55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1,498,649.38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431,775.17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1,930,424.55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1,498,649.38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431,775.17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1,930,424.55</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1,498,649.38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431,775.17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1,930,424.55</w:t>
            </w:r>
          </w:p>
        </w:tc>
      </w:tr>
    </w:tbl>
    <w:p>
      <w:pPr>
        <w:widowControl w:val="0"/>
        <w:spacing w:after="59" w:line="1" w:lineRule="exact"/>
      </w:pPr>
    </w:p>
    <w:p>
      <w:pPr>
        <w:pStyle w:val="Style53"/>
        <w:keepNext w:val="0"/>
        <w:keepLines w:val="0"/>
        <w:widowControl w:val="0"/>
        <w:shd w:val="clear" w:color="auto" w:fill="auto"/>
        <w:bidi w:val="0"/>
        <w:spacing w:before="0" w:after="360" w:line="240" w:lineRule="auto"/>
        <w:ind w:left="0" w:right="0" w:firstLine="0"/>
        <w:jc w:val="left"/>
      </w:pPr>
      <w:r>
        <w:rPr>
          <w:rFonts w:ascii="SimSun" w:eastAsia="SimSun" w:hAnsi="SimSun" w:cs="SimSun"/>
          <w:color w:val="000000"/>
          <w:spacing w:val="0"/>
          <w:w w:val="100"/>
          <w:position w:val="0"/>
        </w:rPr>
        <w:t>本期摊销额</w:t>
      </w:r>
      <w:r>
        <w:rPr>
          <w:color w:val="000000"/>
          <w:spacing w:val="0"/>
          <w:w w:val="100"/>
          <w:position w:val="0"/>
        </w:rPr>
        <w:t>661,017.29</w:t>
      </w:r>
      <w:r>
        <w:rPr>
          <w:rFonts w:ascii="SimSun" w:eastAsia="SimSun" w:hAnsi="SimSun" w:cs="SimSun"/>
          <w:color w:val="000000"/>
          <w:spacing w:val="0"/>
          <w:w w:val="100"/>
          <w:position w:val="0"/>
        </w:rPr>
        <w:t>元。</w:t>
      </w:r>
    </w:p>
    <w:p>
      <w:pPr>
        <w:pStyle w:val="Style35"/>
        <w:keepNext/>
        <w:keepLines/>
        <w:widowControl w:val="0"/>
        <w:shd w:val="clear" w:color="auto" w:fill="auto"/>
        <w:bidi w:val="0"/>
        <w:spacing w:before="0" w:after="360" w:line="240"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w:t>
      </w:r>
      <w:bookmarkEnd w:id="870"/>
      <w:r>
        <w:rPr>
          <w:rFonts w:ascii="Times New Roman" w:eastAsia="Times New Roman" w:hAnsi="Times New Roman" w:cs="Times New Roman"/>
          <w:color w:val="000000"/>
          <w:spacing w:val="0"/>
          <w:w w:val="100"/>
          <w:position w:val="0"/>
        </w:rPr>
        <w:t>2</w:t>
      </w:r>
      <w:r>
        <w:rPr>
          <w:color w:val="000000"/>
          <w:spacing w:val="0"/>
          <w:w w:val="100"/>
          <w:position w:val="0"/>
        </w:rPr>
        <w:t>、商誉</w:t>
      </w:r>
      <w:bookmarkEnd w:id="868"/>
      <w:bookmarkEnd w:id="869"/>
      <w:bookmarkEnd w:id="87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459"/>
        <w:gridCol w:w="1459"/>
        <w:gridCol w:w="1459"/>
        <w:gridCol w:w="1464"/>
        <w:gridCol w:w="1205"/>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非同一控制下企业合并形成的 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4,743,091.01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4,743,091.01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4,743,091.01</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4,743,091.01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4,743,091.01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4,743,091.01</w:t>
            </w:r>
          </w:p>
        </w:tc>
      </w:tr>
    </w:tbl>
    <w:p>
      <w:pPr>
        <w:spacing w:lineRule="exact" w:line="1"/>
        <w:rPr>
          <w:sz w:val="2"/>
          <w:szCs w:val="2"/>
        </w:rPr>
      </w:pPr>
      <w:r>
        <w:br w:type="page"/>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说明商誉的减值测试方法和减值准备计提方法</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以博海通讯现时性存量资产为出发点，参考博海通讯审计经营成果，本公司管理层基于谨慎性原则全额计提了商誉减值。</w:t>
      </w:r>
    </w:p>
    <w:p>
      <w:pPr>
        <w:pStyle w:val="Style35"/>
        <w:keepNext/>
        <w:keepLines/>
        <w:widowControl w:val="0"/>
        <w:shd w:val="clear" w:color="auto" w:fill="auto"/>
        <w:bidi w:val="0"/>
        <w:spacing w:before="0" w:after="36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872"/>
      <w:bookmarkEnd w:id="873"/>
      <w:bookmarkEnd w:id="87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本期摊销额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77,225.17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77,225.17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77,225.17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77,225.17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长期待摊费用的说明</w:t>
      </w:r>
    </w:p>
    <w:p>
      <w:pPr>
        <w:pStyle w:val="Style35"/>
        <w:keepNext/>
        <w:keepLines/>
        <w:widowControl w:val="0"/>
        <w:shd w:val="clear" w:color="auto" w:fill="auto"/>
        <w:bidi w:val="0"/>
        <w:spacing w:before="0" w:after="36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4</w:t>
      </w:r>
      <w:r>
        <w:rPr>
          <w:color w:val="000000"/>
          <w:spacing w:val="0"/>
          <w:w w:val="100"/>
          <w:position w:val="0"/>
        </w:rPr>
        <w:t>、递延所得税资产和递延所得税负债</w:t>
      </w:r>
      <w:bookmarkEnd w:id="876"/>
      <w:bookmarkEnd w:id="877"/>
      <w:bookmarkEnd w:id="879"/>
    </w:p>
    <w:p>
      <w:pPr>
        <w:pStyle w:val="Style38"/>
        <w:keepNext/>
        <w:keepLines/>
        <w:widowControl w:val="0"/>
        <w:shd w:val="clear" w:color="auto" w:fill="auto"/>
        <w:bidi w:val="0"/>
        <w:spacing w:before="0" w:line="240" w:lineRule="auto"/>
        <w:ind w:left="0" w:right="0" w:firstLine="0"/>
        <w:jc w:val="left"/>
      </w:pPr>
      <w:bookmarkStart w:id="880" w:name="bookmark880"/>
      <w:bookmarkStart w:id="881" w:name="bookmark881"/>
      <w:bookmarkStart w:id="882" w:name="bookmark8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880"/>
      <w:bookmarkEnd w:id="881"/>
      <w:bookmarkEnd w:id="882"/>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已确认的递延所得税资产和递延所得税负债</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1,400,892.56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1,084,406.16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4,970,250.00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4,332,000.00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6,371,142.56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5,416,406.16</w:t>
            </w:r>
          </w:p>
        </w:tc>
      </w:tr>
      <w:tr>
        <w:trPr>
          <w:trHeight w:val="408" w:hRule="exact"/>
        </w:trPr>
        <w:tc>
          <w:tcPr>
            <w:gridSpan w:val="3"/>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期初数</w:t>
            </w:r>
          </w:p>
        </w:tc>
      </w:tr>
    </w:tbl>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未确认递延所得税资产的可抵扣亏损将于以下年度到期</w:t>
      </w:r>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2261"/>
        <w:gridCol w:w="1992"/>
        <w:gridCol w:w="3331"/>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2928"/>
        <w:gridCol w:w="2794"/>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398" w:hRule="exact"/>
        </w:trPr>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6,799,397.11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5,166,626.16</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989,573.57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943,686.57</w:t>
            </w:r>
          </w:p>
        </w:tc>
      </w:tr>
    </w:tbl>
    <w:p>
      <w:pPr>
        <w:spacing w:lineRule="exact" w:line="1"/>
        <w:rPr>
          <w:sz w:val="2"/>
          <w:szCs w:val="2"/>
        </w:rPr>
      </w:pPr>
      <w:r>
        <w:br w:type="page"/>
      </w:r>
    </w:p>
    <w:tbl>
      <w:tblPr>
        <w:tblOverlap w:val="never"/>
        <w:jc w:val="center"/>
        <w:tblLayout w:type="fixed"/>
      </w:tblPr>
      <w:tblGrid>
        <w:gridCol w:w="3859"/>
        <w:gridCol w:w="2928"/>
        <w:gridCol w:w="2794"/>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1,540,419.68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1,119,060.27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33,135,000.00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28,880,000.00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42,464,390.36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36,109,373.00</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883" w:name="bookmark883"/>
      <w:bookmarkStart w:id="884" w:name="bookmark884"/>
      <w:bookmarkStart w:id="885" w:name="bookmark8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883"/>
      <w:bookmarkEnd w:id="884"/>
      <w:bookmarkEnd w:id="885"/>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1613"/>
        <w:gridCol w:w="1627"/>
        <w:gridCol w:w="1627"/>
        <w:gridCol w:w="1637"/>
      </w:tblGrid>
      <w:tr>
        <w:trPr>
          <w:trHeight w:val="1032"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 负债</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报告期初互抵后的 可抵扣或应纳税暂 时性差异</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6,371,142.56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5,416,406.16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78"/>
        <w:gridCol w:w="5707"/>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递延所得税资产和递延所得税负债的说明</w:t>
      </w:r>
    </w:p>
    <w:p>
      <w:pPr>
        <w:pStyle w:val="Style35"/>
        <w:keepNext/>
        <w:keepLines/>
        <w:widowControl w:val="0"/>
        <w:shd w:val="clear" w:color="auto" w:fill="auto"/>
        <w:bidi w:val="0"/>
        <w:spacing w:before="0" w:after="36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rFonts w:ascii="Times New Roman" w:eastAsia="Times New Roman" w:hAnsi="Times New Roman" w:cs="Times New Roman"/>
          <w:color w:val="000000"/>
          <w:spacing w:val="0"/>
          <w:w w:val="100"/>
          <w:position w:val="0"/>
        </w:rPr>
        <w:t>5</w:t>
      </w:r>
      <w:r>
        <w:rPr>
          <w:color w:val="000000"/>
          <w:spacing w:val="0"/>
          <w:w w:val="100"/>
          <w:position w:val="0"/>
        </w:rPr>
        <w:t>、资产减值准备明细</w:t>
      </w:r>
      <w:bookmarkEnd w:id="886"/>
      <w:bookmarkEnd w:id="887"/>
      <w:bookmarkEnd w:id="88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526"/>
        <w:gridCol w:w="1531"/>
        <w:gridCol w:w="1397"/>
        <w:gridCol w:w="1392"/>
        <w:gridCol w:w="1469"/>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期初账面余额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6,110,312.73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1,678,657.95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7,788,970.68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1,119,060.27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421,359.41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1,540,419.68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1,983,479.28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2,759,611.73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4,743,091.01</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9,212,852.28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4,859,629.09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14,072,481.37</w:t>
            </w:r>
          </w:p>
        </w:tc>
      </w:tr>
    </w:tbl>
    <w:p>
      <w:pPr>
        <w:widowControl w:val="0"/>
        <w:spacing w:after="9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资产减值明细情况的说明</w:t>
      </w:r>
    </w:p>
    <w:p>
      <w:pPr>
        <w:pStyle w:val="Style35"/>
        <w:keepNext/>
        <w:keepLines/>
        <w:widowControl w:val="0"/>
        <w:shd w:val="clear" w:color="auto" w:fill="auto"/>
        <w:bidi w:val="0"/>
        <w:spacing w:before="0" w:after="36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6</w:t>
      </w:r>
      <w:r>
        <w:rPr>
          <w:color w:val="000000"/>
          <w:spacing w:val="0"/>
          <w:w w:val="100"/>
          <w:position w:val="0"/>
        </w:rPr>
        <w:t>、短期借款</w:t>
      </w:r>
      <w:bookmarkEnd w:id="890"/>
      <w:bookmarkEnd w:id="891"/>
      <w:bookmarkEnd w:id="893"/>
    </w:p>
    <w:p>
      <w:pPr>
        <w:pStyle w:val="Style38"/>
        <w:keepNext/>
        <w:keepLines/>
        <w:widowControl w:val="0"/>
        <w:shd w:val="clear" w:color="auto" w:fill="auto"/>
        <w:bidi w:val="0"/>
        <w:spacing w:before="0" w:line="240" w:lineRule="auto"/>
        <w:ind w:left="0" w:right="0" w:firstLine="0"/>
        <w:jc w:val="left"/>
      </w:pPr>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894"/>
      <w:bookmarkEnd w:id="895"/>
      <w:bookmarkEnd w:id="89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81"/>
        <w:gridCol w:w="2938"/>
        <w:gridCol w:w="3067"/>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218,148.35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2,662,833.33</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218,148.35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2,662,833.33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r>
        <w:br w:type="page"/>
      </w:r>
    </w:p>
    <w:p>
      <w:pPr>
        <w:pStyle w:val="Style35"/>
        <w:keepNext/>
        <w:keepLines/>
        <w:widowControl w:val="0"/>
        <w:shd w:val="clear" w:color="auto" w:fill="auto"/>
        <w:bidi w:val="0"/>
        <w:spacing w:before="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w:t>
      </w:r>
      <w:bookmarkEnd w:id="899"/>
      <w:r>
        <w:rPr>
          <w:rFonts w:ascii="Times New Roman" w:eastAsia="Times New Roman" w:hAnsi="Times New Roman" w:cs="Times New Roman"/>
          <w:color w:val="000000"/>
          <w:spacing w:val="0"/>
          <w:w w:val="100"/>
          <w:position w:val="0"/>
        </w:rPr>
        <w:t>7</w:t>
      </w:r>
      <w:r>
        <w:rPr>
          <w:color w:val="000000"/>
          <w:spacing w:val="0"/>
          <w:w w:val="100"/>
          <w:position w:val="0"/>
        </w:rPr>
        <w:t>、应付票据</w:t>
      </w:r>
      <w:bookmarkEnd w:id="897"/>
      <w:bookmarkEnd w:id="898"/>
      <w:bookmarkEnd w:id="90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81"/>
        <w:gridCol w:w="2938"/>
        <w:gridCol w:w="3067"/>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760,721.02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6,710,958.58</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760,721.02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6,710,958.58</w:t>
            </w:r>
          </w:p>
        </w:tc>
      </w:tr>
    </w:tbl>
    <w:p>
      <w:pPr>
        <w:pStyle w:val="Style9"/>
        <w:keepNext w:val="0"/>
        <w:keepLines w:val="0"/>
        <w:widowControl w:val="0"/>
        <w:shd w:val="clear" w:color="auto" w:fill="auto"/>
        <w:bidi w:val="0"/>
        <w:spacing w:before="0" w:after="0" w:line="326" w:lineRule="exact"/>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760,721.02</w:t>
      </w:r>
      <w:r>
        <w:rPr>
          <w:color w:val="000000"/>
          <w:spacing w:val="0"/>
          <w:w w:val="100"/>
          <w:position w:val="0"/>
        </w:rPr>
        <w:t>元。</w:t>
      </w:r>
    </w:p>
    <w:p>
      <w:pPr>
        <w:pStyle w:val="Style9"/>
        <w:keepNext w:val="0"/>
        <w:keepLines w:val="0"/>
        <w:widowControl w:val="0"/>
        <w:shd w:val="clear" w:color="auto" w:fill="auto"/>
        <w:bidi w:val="0"/>
        <w:spacing w:before="0" w:after="0" w:line="326" w:lineRule="exact"/>
        <w:ind w:left="0" w:right="0" w:firstLine="0"/>
        <w:jc w:val="left"/>
      </w:pPr>
      <w:r>
        <w:rPr>
          <w:color w:val="000000"/>
          <w:spacing w:val="0"/>
          <w:w w:val="100"/>
          <w:position w:val="0"/>
        </w:rPr>
        <w:t>应付票据的说明</w:t>
      </w:r>
    </w:p>
    <w:p>
      <w:pPr>
        <w:pStyle w:val="Style9"/>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日应付票据较年初余额减少了</w:t>
      </w:r>
      <w:r>
        <w:rPr>
          <w:rFonts w:ascii="Times New Roman" w:eastAsia="Times New Roman" w:hAnsi="Times New Roman" w:cs="Times New Roman"/>
          <w:color w:val="000000"/>
          <w:spacing w:val="0"/>
          <w:w w:val="100"/>
          <w:position w:val="0"/>
        </w:rPr>
        <w:t>5,950,237.56</w:t>
      </w:r>
      <w:r>
        <w:rPr>
          <w:color w:val="000000"/>
          <w:spacing w:val="0"/>
          <w:w w:val="100"/>
          <w:position w:val="0"/>
        </w:rPr>
        <w:t>元，减少幅度为</w:t>
      </w:r>
      <w:r>
        <w:rPr>
          <w:rFonts w:ascii="Times New Roman" w:eastAsia="Times New Roman" w:hAnsi="Times New Roman" w:cs="Times New Roman"/>
          <w:color w:val="000000"/>
          <w:spacing w:val="0"/>
          <w:w w:val="100"/>
          <w:position w:val="0"/>
        </w:rPr>
        <w:t>88.66%</w:t>
      </w:r>
      <w:r>
        <w:rPr>
          <w:color w:val="000000"/>
          <w:spacing w:val="0"/>
          <w:w w:val="100"/>
          <w:position w:val="0"/>
        </w:rPr>
        <w:t>,主要是本年本公司减少票据结算方式 所致。</w:t>
      </w:r>
    </w:p>
    <w:p>
      <w:pPr>
        <w:pStyle w:val="Style35"/>
        <w:keepNext/>
        <w:keepLines/>
        <w:widowControl w:val="0"/>
        <w:shd w:val="clear" w:color="auto" w:fill="auto"/>
        <w:bidi w:val="0"/>
        <w:spacing w:before="0" w:line="240" w:lineRule="auto"/>
        <w:ind w:left="0" w:right="0" w:firstLine="0"/>
        <w:jc w:val="both"/>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1</w:t>
      </w:r>
      <w:bookmarkEnd w:id="903"/>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901"/>
      <w:bookmarkEnd w:id="902"/>
      <w:bookmarkEnd w:id="904"/>
    </w:p>
    <w:p>
      <w:pPr>
        <w:pStyle w:val="Style38"/>
        <w:keepNext/>
        <w:keepLines/>
        <w:widowControl w:val="0"/>
        <w:shd w:val="clear" w:color="auto" w:fill="auto"/>
        <w:bidi w:val="0"/>
        <w:spacing w:before="0" w:after="340" w:line="240" w:lineRule="auto"/>
        <w:ind w:left="0" w:right="0" w:firstLine="0"/>
        <w:jc w:val="both"/>
      </w:pPr>
      <w:bookmarkStart w:id="905" w:name="bookmark905"/>
      <w:bookmarkStart w:id="906" w:name="bookmark906"/>
      <w:bookmarkStart w:id="907" w:name="bookmark9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905"/>
      <w:bookmarkEnd w:id="906"/>
      <w:bookmarkEnd w:id="90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86"/>
        <w:gridCol w:w="2933"/>
        <w:gridCol w:w="3067"/>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14,060,089.06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15,357,508.66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5,550,908.51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6,829,953.29</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19,610,997.57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22,187,461.95</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）账龄超过一年的大额应付账款情况的说明</w:t>
      </w:r>
      <w:bookmarkEnd w:id="908"/>
      <w:bookmarkEnd w:id="909"/>
      <w:bookmarkEnd w:id="910"/>
    </w:p>
    <w:tbl>
      <w:tblPr>
        <w:tblOverlap w:val="never"/>
        <w:jc w:val="center"/>
        <w:tblLayout w:type="fixed"/>
      </w:tblPr>
      <w:tblGrid>
        <w:gridCol w:w="1853"/>
        <w:gridCol w:w="1838"/>
        <w:gridCol w:w="1843"/>
        <w:gridCol w:w="1843"/>
        <w:gridCol w:w="1714"/>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1,820,000.00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未达到结算条件</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344,291.10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未达到结算条件</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2,164,291.10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35"/>
        <w:keepNext/>
        <w:keepLines/>
        <w:widowControl w:val="0"/>
        <w:shd w:val="clear" w:color="auto" w:fill="auto"/>
        <w:bidi w:val="0"/>
        <w:spacing w:before="0" w:line="240" w:lineRule="auto"/>
        <w:ind w:left="0" w:right="0" w:firstLine="0"/>
        <w:jc w:val="both"/>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1</w:t>
      </w:r>
      <w:bookmarkEnd w:id="913"/>
      <w:r>
        <w:rPr>
          <w:rFonts w:ascii="Times New Roman" w:eastAsia="Times New Roman" w:hAnsi="Times New Roman" w:cs="Times New Roman"/>
          <w:color w:val="000000"/>
          <w:spacing w:val="0"/>
          <w:w w:val="100"/>
          <w:position w:val="0"/>
        </w:rPr>
        <w:t>9</w:t>
      </w:r>
      <w:r>
        <w:rPr>
          <w:color w:val="000000"/>
          <w:spacing w:val="0"/>
          <w:w w:val="100"/>
          <w:position w:val="0"/>
        </w:rPr>
        <w:t>、预收账款</w:t>
      </w:r>
      <w:bookmarkEnd w:id="911"/>
      <w:bookmarkEnd w:id="912"/>
      <w:bookmarkEnd w:id="914"/>
    </w:p>
    <w:p>
      <w:pPr>
        <w:pStyle w:val="Style38"/>
        <w:keepNext/>
        <w:keepLines/>
        <w:widowControl w:val="0"/>
        <w:shd w:val="clear" w:color="auto" w:fill="auto"/>
        <w:bidi w:val="0"/>
        <w:spacing w:before="0" w:after="340" w:line="240" w:lineRule="auto"/>
        <w:ind w:left="0" w:right="0" w:firstLine="0"/>
        <w:jc w:val="both"/>
      </w:pPr>
      <w:bookmarkStart w:id="915" w:name="bookmark915"/>
      <w:bookmarkStart w:id="916" w:name="bookmark916"/>
      <w:bookmarkStart w:id="917" w:name="bookmark9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915"/>
      <w:bookmarkEnd w:id="916"/>
      <w:bookmarkEnd w:id="91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2794"/>
        <w:gridCol w:w="292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50,948,420.46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44,488,209.36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1,548,364.47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270,658.31</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52,496,784.93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44,758,867.67</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918" w:name="bookmark918"/>
      <w:bookmarkStart w:id="919" w:name="bookmark919"/>
      <w:bookmarkStart w:id="920" w:name="bookmark9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)账龄超过一年的大额预收账款情况的说明</w:t>
      </w:r>
      <w:bookmarkEnd w:id="918"/>
      <w:bookmarkEnd w:id="919"/>
      <w:bookmarkEnd w:id="920"/>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公司期末账龄超过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年的大额预收款项主要是湛江市公安局网络警察支队的合同款</w:t>
      </w:r>
      <w:r>
        <w:rPr>
          <w:rFonts w:ascii="Times New Roman" w:eastAsia="Times New Roman" w:hAnsi="Times New Roman" w:cs="Times New Roman"/>
          <w:color w:val="000000"/>
          <w:spacing w:val="0"/>
          <w:w w:val="100"/>
          <w:position w:val="0"/>
        </w:rPr>
        <w:t>737,800.00</w:t>
      </w:r>
      <w:r>
        <w:rPr>
          <w:color w:val="000000"/>
          <w:spacing w:val="0"/>
          <w:w w:val="100"/>
          <w:position w:val="0"/>
        </w:rPr>
        <w:t>元，尚未达到结算条件。</w:t>
      </w:r>
    </w:p>
    <w:p>
      <w:pPr>
        <w:pStyle w:val="Style35"/>
        <w:keepNext/>
        <w:keepLines/>
        <w:widowControl w:val="0"/>
        <w:shd w:val="clear" w:color="auto" w:fill="auto"/>
        <w:bidi w:val="0"/>
        <w:spacing w:before="0" w:after="36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921"/>
      <w:bookmarkEnd w:id="922"/>
      <w:bookmarkEnd w:id="92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867"/>
        <w:gridCol w:w="1992"/>
        <w:gridCol w:w="2256"/>
        <w:gridCol w:w="187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7,440,432.30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58,888,667.74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55,819,719.30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10,509,380.74</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2,277,225.59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2,277,225.59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5,069,232.40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5,069,232.40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3,209,674.00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3,209,674.00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1,397,105.75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1,397,105.75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226,775.07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226,775.07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111,477.15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111,477.15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124,200.43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124,200.43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2,032,685.30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2,032,685.30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380,746.92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380,746.92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7,440,432.30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68,648,557.95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65,579,609.51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10,509,380.74</w:t>
            </w:r>
          </w:p>
        </w:tc>
      </w:tr>
    </w:tbl>
    <w:p>
      <w:pPr>
        <w:widowControl w:val="0"/>
        <w:spacing w:after="5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326,054.82</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54,692.10</w:t>
      </w:r>
      <w:r>
        <w:rPr>
          <w:color w:val="000000"/>
          <w:spacing w:val="0"/>
          <w:w w:val="100"/>
          <w:position w:val="0"/>
        </w:rPr>
        <w:t>元。</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应付职工薪酬预计发放时间、金额等安排</w:t>
      </w:r>
    </w:p>
    <w:p>
      <w:pPr>
        <w:pStyle w:val="Style35"/>
        <w:keepNext/>
        <w:keepLines/>
        <w:widowControl w:val="0"/>
        <w:shd w:val="clear" w:color="auto" w:fill="auto"/>
        <w:bidi w:val="0"/>
        <w:spacing w:before="0" w:after="36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bookmarkEnd w:id="927"/>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925"/>
      <w:bookmarkEnd w:id="926"/>
      <w:bookmarkEnd w:id="92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28"/>
        <w:gridCol w:w="2789"/>
        <w:gridCol w:w="2669"/>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2,370,324.07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4,782,198.00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179,954.94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175,052.78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671,100.65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1,807,059.64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391,141.58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136,168.77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180,663.04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312,608.63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129,045.03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223,291.88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11,357.30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11,357.30</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9,918.50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34,024.88</w:t>
            </w:r>
          </w:p>
        </w:tc>
      </w:tr>
    </w:tbl>
    <w:p>
      <w:pPr>
        <w:spacing w:lineRule="exact" w:line="1"/>
        <w:rPr>
          <w:sz w:val="2"/>
          <w:szCs w:val="2"/>
        </w:rPr>
      </w:pPr>
      <w:r>
        <w:br w:type="page"/>
      </w:r>
    </w:p>
    <w:tbl>
      <w:tblPr>
        <w:tblOverlap w:val="never"/>
        <w:jc w:val="center"/>
        <w:tblLayout w:type="fixed"/>
      </w:tblPr>
      <w:tblGrid>
        <w:gridCol w:w="4128"/>
        <w:gridCol w:w="2789"/>
        <w:gridCol w:w="2669"/>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16,525.13</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3,955,168.93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7,508,205.51</w:t>
            </w:r>
          </w:p>
        </w:tc>
      </w:tr>
    </w:tbl>
    <w:p>
      <w:pPr>
        <w:widowControl w:val="0"/>
        <w:spacing w:after="79" w:line="1" w:lineRule="exact"/>
      </w:pPr>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5"/>
        <w:keepNext/>
        <w:keepLines/>
        <w:widowControl w:val="0"/>
        <w:shd w:val="clear" w:color="auto" w:fill="auto"/>
        <w:bidi w:val="0"/>
        <w:spacing w:before="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929"/>
      <w:bookmarkEnd w:id="930"/>
      <w:bookmarkEnd w:id="932"/>
    </w:p>
    <w:p>
      <w:pPr>
        <w:pStyle w:val="Style38"/>
        <w:keepNext/>
        <w:keepLines/>
        <w:widowControl w:val="0"/>
        <w:shd w:val="clear" w:color="auto" w:fill="auto"/>
        <w:bidi w:val="0"/>
        <w:spacing w:before="0" w:after="340" w:line="240" w:lineRule="auto"/>
        <w:ind w:left="0" w:right="0" w:firstLine="140"/>
        <w:jc w:val="left"/>
      </w:pPr>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933"/>
      <w:bookmarkEnd w:id="934"/>
      <w:bookmarkEnd w:id="93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8,260,228.66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295,891.99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984,346.44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8,567,894.01</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9,244,575.10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8,863,786.00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140"/>
        <w:jc w:val="left"/>
      </w:pPr>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)账龄超过一年的大额其他应付款情况的说明</w:t>
      </w:r>
      <w:bookmarkEnd w:id="936"/>
      <w:bookmarkEnd w:id="937"/>
      <w:bookmarkEnd w:id="938"/>
    </w:p>
    <w:tbl>
      <w:tblPr>
        <w:tblOverlap w:val="never"/>
        <w:jc w:val="left"/>
        <w:tblLayout w:type="fixed"/>
      </w:tblPr>
      <w:tblGrid>
        <w:gridCol w:w="2621"/>
        <w:gridCol w:w="2093"/>
        <w:gridCol w:w="2098"/>
        <w:gridCol w:w="2126"/>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35"/>
        <w:keepNext/>
        <w:keepLines/>
        <w:widowControl w:val="0"/>
        <w:shd w:val="clear" w:color="auto" w:fill="auto"/>
        <w:bidi w:val="0"/>
        <w:spacing w:before="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939"/>
      <w:bookmarkEnd w:id="940"/>
      <w:bookmarkEnd w:id="94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基于结构无关的低成本灾备系统补助资金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1,340,000.00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2,680,000.00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信盾计算机终端监控系统补助资金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8,800,000.00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互联网音视频节目识别技术及监管研发平台补 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1,000,000.00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面向三网融合的多媒体网络舆情分析平台产业 化项目补助资金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3,500,000.00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互联网舆情综合管理系统项目补助资金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移动互联网审计平台产业化项目补助资金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监控信息安全工程技术研究开发中心提升项目 补助资金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1,700,000.00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互联网内容安全工程实验室项目补助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5,000,000.00</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互联网数据中心信息安全审计管理系统的研发 及产业化项目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1,700,000.00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730"/>
        <w:gridCol w:w="2789"/>
        <w:gridCol w:w="3067"/>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33,135,000.00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28,880,000.00</w:t>
            </w:r>
          </w:p>
        </w:tc>
      </w:tr>
    </w:tbl>
    <w:p>
      <w:pPr>
        <w:pStyle w:val="Style9"/>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其他非流动负债说明</w:t>
      </w:r>
    </w:p>
    <w:p>
      <w:pPr>
        <w:pStyle w:val="Style9"/>
        <w:keepNext w:val="0"/>
        <w:keepLines w:val="0"/>
        <w:widowControl w:val="0"/>
        <w:shd w:val="clear" w:color="auto" w:fill="auto"/>
        <w:tabs>
          <w:tab w:pos="476" w:val="left"/>
        </w:tabs>
        <w:bidi w:val="0"/>
        <w:spacing w:before="0" w:after="0" w:line="313" w:lineRule="exact"/>
        <w:ind w:left="0" w:right="0" w:firstLine="0"/>
        <w:jc w:val="left"/>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1</w:t>
      </w:r>
      <w:r>
        <w:rPr>
          <w:color w:val="000000"/>
          <w:spacing w:val="0"/>
          <w:w w:val="100"/>
          <w:position w:val="0"/>
        </w:rPr>
        <w:t>）</w:t>
        <w:tab/>
        <w:t>根据国家发展和改革委员会办公厅文件（发改办高技</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2007]2035</w:t>
      </w:r>
      <w:r>
        <w:rPr>
          <w:color w:val="000000"/>
          <w:spacing w:val="0"/>
          <w:w w:val="100"/>
          <w:position w:val="0"/>
        </w:rPr>
        <w:t>号）和深圳市发展和改革委员会文件（深发改</w:t>
      </w:r>
      <w:r>
        <w:rPr>
          <w:rFonts w:ascii="Times New Roman" w:eastAsia="Times New Roman" w:hAnsi="Times New Roman" w:cs="Times New Roman"/>
          <w:color w:val="000000"/>
          <w:spacing w:val="0"/>
          <w:w w:val="100"/>
          <w:position w:val="0"/>
        </w:rPr>
        <w:t xml:space="preserve">[2007]2219 </w:t>
      </w:r>
      <w:r>
        <w:rPr>
          <w:color w:val="000000"/>
          <w:spacing w:val="0"/>
          <w:w w:val="100"/>
          <w:position w:val="0"/>
        </w:rPr>
        <w:t>号）规定，国家发改委和深圳市发改委分别拨付本公司基于结构无关的低成本灾备系统补助资金</w:t>
      </w:r>
      <w:r>
        <w:rPr>
          <w:rFonts w:ascii="Times New Roman" w:eastAsia="Times New Roman" w:hAnsi="Times New Roman" w:cs="Times New Roman"/>
          <w:color w:val="000000"/>
          <w:spacing w:val="0"/>
          <w:w w:val="100"/>
          <w:position w:val="0"/>
        </w:rPr>
        <w:t>450</w:t>
      </w:r>
      <w:r>
        <w:rPr>
          <w:color w:val="000000"/>
          <w:spacing w:val="0"/>
          <w:w w:val="100"/>
          <w:position w:val="0"/>
        </w:rPr>
        <w:t>万元和</w:t>
      </w:r>
      <w:r>
        <w:rPr>
          <w:rFonts w:ascii="Times New Roman" w:eastAsia="Times New Roman" w:hAnsi="Times New Roman" w:cs="Times New Roman"/>
          <w:color w:val="000000"/>
          <w:spacing w:val="0"/>
          <w:w w:val="100"/>
          <w:position w:val="0"/>
        </w:rPr>
        <w:t>200</w:t>
      </w:r>
      <w:r>
        <w:rPr>
          <w:color w:val="000000"/>
          <w:spacing w:val="0"/>
          <w:w w:val="100"/>
          <w:position w:val="0"/>
        </w:rPr>
        <w:t>万元，深圳市 南山区财政局也配套拨付</w:t>
      </w:r>
      <w:r>
        <w:rPr>
          <w:rFonts w:ascii="Times New Roman" w:eastAsia="Times New Roman" w:hAnsi="Times New Roman" w:cs="Times New Roman"/>
          <w:color w:val="000000"/>
          <w:spacing w:val="0"/>
          <w:w w:val="100"/>
          <w:position w:val="0"/>
        </w:rPr>
        <w:t>20</w:t>
      </w:r>
      <w:r>
        <w:rPr>
          <w:color w:val="000000"/>
          <w:spacing w:val="0"/>
          <w:w w:val="100"/>
          <w:position w:val="0"/>
        </w:rPr>
        <w:t>万元，三项拨款合计</w:t>
      </w:r>
      <w:r>
        <w:rPr>
          <w:rFonts w:ascii="Times New Roman" w:eastAsia="Times New Roman" w:hAnsi="Times New Roman" w:cs="Times New Roman"/>
          <w:color w:val="000000"/>
          <w:spacing w:val="0"/>
          <w:w w:val="100"/>
          <w:position w:val="0"/>
        </w:rPr>
        <w:t>670</w:t>
      </w:r>
      <w:r>
        <w:rPr>
          <w:color w:val="000000"/>
          <w:spacing w:val="0"/>
          <w:w w:val="100"/>
          <w:position w:val="0"/>
        </w:rPr>
        <w:t>万元。因该补助属于与资产相关的政府补助，形成了相应的研发设备， 并按</w:t>
      </w:r>
      <w:r>
        <w:rPr>
          <w:rFonts w:ascii="Times New Roman" w:eastAsia="Times New Roman" w:hAnsi="Times New Roman" w:cs="Times New Roman"/>
          <w:color w:val="000000"/>
          <w:spacing w:val="0"/>
          <w:w w:val="100"/>
          <w:position w:val="0"/>
        </w:rPr>
        <w:t>5</w:t>
      </w:r>
      <w:r>
        <w:rPr>
          <w:color w:val="000000"/>
          <w:spacing w:val="0"/>
          <w:w w:val="100"/>
          <w:position w:val="0"/>
        </w:rPr>
        <w:t>年计提折旧。该项目于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月完成验收，本公司自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月起，将该递延收益按</w:t>
      </w:r>
      <w:r>
        <w:rPr>
          <w:rFonts w:ascii="Times New Roman" w:eastAsia="Times New Roman" w:hAnsi="Times New Roman" w:cs="Times New Roman"/>
          <w:color w:val="000000"/>
          <w:spacing w:val="0"/>
          <w:w w:val="100"/>
          <w:position w:val="0"/>
        </w:rPr>
        <w:t>5</w:t>
      </w:r>
      <w:r>
        <w:rPr>
          <w:color w:val="000000"/>
          <w:spacing w:val="0"/>
          <w:w w:val="100"/>
          <w:position w:val="0"/>
        </w:rPr>
        <w:t>年分期计入补贴收入。</w:t>
      </w:r>
    </w:p>
    <w:p>
      <w:pPr>
        <w:pStyle w:val="Style9"/>
        <w:keepNext w:val="0"/>
        <w:keepLines w:val="0"/>
        <w:widowControl w:val="0"/>
        <w:shd w:val="clear" w:color="auto" w:fill="auto"/>
        <w:tabs>
          <w:tab w:pos="481" w:val="left"/>
        </w:tabs>
        <w:bidi w:val="0"/>
        <w:spacing w:before="0" w:after="0" w:line="313" w:lineRule="exact"/>
        <w:ind w:left="0" w:right="0" w:firstLine="0"/>
        <w:jc w:val="left"/>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2</w:t>
      </w:r>
      <w:r>
        <w:rPr>
          <w:color w:val="000000"/>
          <w:spacing w:val="0"/>
          <w:w w:val="100"/>
          <w:position w:val="0"/>
        </w:rPr>
        <w:t>）</w:t>
        <w:tab/>
        <w:t>根据国家发展和改革委员会办公厅文件（发改办高技</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2009]924</w:t>
      </w:r>
      <w:r>
        <w:rPr>
          <w:color w:val="000000"/>
          <w:spacing w:val="0"/>
          <w:w w:val="100"/>
          <w:position w:val="0"/>
        </w:rPr>
        <w:t>号）和深圳市发展和改革委员会文件（深发改</w:t>
      </w:r>
      <w:r>
        <w:rPr>
          <w:rFonts w:ascii="Times New Roman" w:eastAsia="Times New Roman" w:hAnsi="Times New Roman" w:cs="Times New Roman"/>
          <w:color w:val="000000"/>
          <w:spacing w:val="0"/>
          <w:w w:val="100"/>
          <w:position w:val="0"/>
        </w:rPr>
        <w:t xml:space="preserve">[2010]128 </w:t>
      </w:r>
      <w:r>
        <w:rPr>
          <w:color w:val="000000"/>
          <w:spacing w:val="0"/>
          <w:w w:val="100"/>
          <w:position w:val="0"/>
        </w:rPr>
        <w:t>号）规定，国家发改委和深圳市发改委分别拨付本公司信盾计算机终端监控系统产品产业化项目补助资金</w:t>
      </w:r>
      <w:r>
        <w:rPr>
          <w:rFonts w:ascii="Times New Roman" w:eastAsia="Times New Roman" w:hAnsi="Times New Roman" w:cs="Times New Roman"/>
          <w:color w:val="000000"/>
          <w:spacing w:val="0"/>
          <w:w w:val="100"/>
          <w:position w:val="0"/>
        </w:rPr>
        <w:t>800</w:t>
      </w:r>
      <w:r>
        <w:rPr>
          <w:color w:val="000000"/>
          <w:spacing w:val="0"/>
          <w:w w:val="100"/>
          <w:position w:val="0"/>
        </w:rPr>
        <w:t>万元和</w:t>
      </w:r>
      <w:r>
        <w:rPr>
          <w:rFonts w:ascii="Times New Roman" w:eastAsia="Times New Roman" w:hAnsi="Times New Roman" w:cs="Times New Roman"/>
          <w:color w:val="000000"/>
          <w:spacing w:val="0"/>
          <w:w w:val="100"/>
          <w:position w:val="0"/>
        </w:rPr>
        <w:t>300</w:t>
      </w:r>
      <w:r>
        <w:rPr>
          <w:color w:val="000000"/>
          <w:spacing w:val="0"/>
          <w:w w:val="100"/>
          <w:position w:val="0"/>
        </w:rPr>
        <w:t>万元, 两项合计</w:t>
      </w:r>
      <w:r>
        <w:rPr>
          <w:rFonts w:ascii="Times New Roman" w:eastAsia="Times New Roman" w:hAnsi="Times New Roman" w:cs="Times New Roman"/>
          <w:color w:val="000000"/>
          <w:spacing w:val="0"/>
          <w:w w:val="100"/>
          <w:position w:val="0"/>
        </w:rPr>
        <w:t>1100</w:t>
      </w:r>
      <w:r>
        <w:rPr>
          <w:color w:val="000000"/>
          <w:spacing w:val="0"/>
          <w:w w:val="100"/>
          <w:position w:val="0"/>
        </w:rPr>
        <w:t>万元。该项目于</w:t>
      </w:r>
      <w:r>
        <w:rPr>
          <w:rFonts w:ascii="Times New Roman" w:eastAsia="Times New Roman" w:hAnsi="Times New Roman" w:cs="Times New Roman"/>
          <w:color w:val="000000"/>
          <w:spacing w:val="0"/>
          <w:w w:val="100"/>
          <w:position w:val="0"/>
        </w:rPr>
        <w:t>2 012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月完成验收，本公司自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月起，将该递延收益按</w:t>
      </w:r>
      <w:r>
        <w:rPr>
          <w:rFonts w:ascii="Times New Roman" w:eastAsia="Times New Roman" w:hAnsi="Times New Roman" w:cs="Times New Roman"/>
          <w:color w:val="000000"/>
          <w:spacing w:val="0"/>
          <w:w w:val="100"/>
          <w:position w:val="0"/>
        </w:rPr>
        <w:t>5</w:t>
      </w:r>
      <w:r>
        <w:rPr>
          <w:color w:val="000000"/>
          <w:spacing w:val="0"/>
          <w:w w:val="100"/>
          <w:position w:val="0"/>
        </w:rPr>
        <w:t>年分期计入补贴收入。</w:t>
      </w:r>
    </w:p>
    <w:p>
      <w:pPr>
        <w:pStyle w:val="Style9"/>
        <w:keepNext w:val="0"/>
        <w:keepLines w:val="0"/>
        <w:widowControl w:val="0"/>
        <w:shd w:val="clear" w:color="auto" w:fill="auto"/>
        <w:tabs>
          <w:tab w:pos="481" w:val="left"/>
        </w:tabs>
        <w:bidi w:val="0"/>
        <w:spacing w:before="0" w:after="0" w:line="313" w:lineRule="exact"/>
        <w:ind w:left="0" w:right="0" w:firstLine="0"/>
        <w:jc w:val="left"/>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月，根据深圳市发展和改革委员会文件（深发改</w:t>
      </w:r>
      <w:r>
        <w:rPr>
          <w:rFonts w:ascii="Times New Roman" w:eastAsia="Times New Roman" w:hAnsi="Times New Roman" w:cs="Times New Roman"/>
          <w:color w:val="000000"/>
          <w:spacing w:val="0"/>
          <w:w w:val="100"/>
          <w:position w:val="0"/>
        </w:rPr>
        <w:t>[2011]1782</w:t>
      </w:r>
      <w:r>
        <w:rPr>
          <w:color w:val="000000"/>
          <w:spacing w:val="0"/>
          <w:w w:val="100"/>
          <w:position w:val="0"/>
        </w:rPr>
        <w:t>号）规定，深圳市发展和改革委员会拨付本公司互 联网音视频节目识别技术及监管研发平台补助资金</w:t>
      </w:r>
      <w:r>
        <w:rPr>
          <w:rFonts w:ascii="Times New Roman" w:eastAsia="Times New Roman" w:hAnsi="Times New Roman" w:cs="Times New Roman"/>
          <w:color w:val="000000"/>
          <w:spacing w:val="0"/>
          <w:w w:val="100"/>
          <w:position w:val="0"/>
        </w:rPr>
        <w:t>100</w:t>
      </w:r>
      <w:r>
        <w:rPr>
          <w:color w:val="000000"/>
          <w:spacing w:val="0"/>
          <w:w w:val="100"/>
          <w:position w:val="0"/>
        </w:rPr>
        <w:t>万元，用于购置资产。该项目于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月通过验收，本公司自</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月起，将该递延收益按</w:t>
      </w:r>
      <w:r>
        <w:rPr>
          <w:rFonts w:ascii="Times New Roman" w:eastAsia="Times New Roman" w:hAnsi="Times New Roman" w:cs="Times New Roman"/>
          <w:color w:val="000000"/>
          <w:spacing w:val="0"/>
          <w:w w:val="100"/>
          <w:position w:val="0"/>
        </w:rPr>
        <w:t>5</w:t>
      </w:r>
      <w:r>
        <w:rPr>
          <w:color w:val="000000"/>
          <w:spacing w:val="0"/>
          <w:w w:val="100"/>
          <w:position w:val="0"/>
        </w:rPr>
        <w:t>年分期计入补贴收入。</w:t>
      </w:r>
    </w:p>
    <w:p>
      <w:pPr>
        <w:pStyle w:val="Style9"/>
        <w:keepNext w:val="0"/>
        <w:keepLines w:val="0"/>
        <w:widowControl w:val="0"/>
        <w:shd w:val="clear" w:color="auto" w:fill="auto"/>
        <w:tabs>
          <w:tab w:pos="486" w:val="left"/>
        </w:tabs>
        <w:bidi w:val="0"/>
        <w:spacing w:before="0" w:after="0" w:line="313" w:lineRule="exact"/>
        <w:ind w:left="0" w:right="0" w:firstLine="0"/>
        <w:jc w:val="left"/>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4</w:t>
      </w:r>
      <w:r>
        <w:rPr>
          <w:color w:val="000000"/>
          <w:spacing w:val="0"/>
          <w:w w:val="100"/>
          <w:position w:val="0"/>
        </w:rPr>
        <w:t>）</w:t>
        <w:tab/>
        <w:t>根据国家发展和改革委员会办公厅复函文件（发改办高技【</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1424</w:t>
      </w:r>
      <w:r>
        <w:rPr>
          <w:color w:val="000000"/>
          <w:spacing w:val="0"/>
          <w:w w:val="100"/>
          <w:position w:val="0"/>
        </w:rPr>
        <w:t>号文）和深圳市发展和改革委员会关于转发国 家发展和改革委员会办公厅复函文件的通知（深发改【</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703</w:t>
      </w:r>
      <w:r>
        <w:rPr>
          <w:color w:val="000000"/>
          <w:spacing w:val="0"/>
          <w:w w:val="100"/>
          <w:position w:val="0"/>
        </w:rPr>
        <w:t>号文件以及深圳市发展和改革委员会转发的《国家发展改 革委员会关于下达</w:t>
      </w:r>
      <w:r>
        <w:rPr>
          <w:rFonts w:ascii="Times New Roman" w:eastAsia="Times New Roman" w:hAnsi="Times New Roman" w:cs="Times New Roman"/>
          <w:color w:val="000000"/>
          <w:spacing w:val="0"/>
          <w:w w:val="100"/>
          <w:position w:val="0"/>
        </w:rPr>
        <w:t>2012</w:t>
      </w:r>
      <w:r>
        <w:rPr>
          <w:color w:val="000000"/>
          <w:spacing w:val="0"/>
          <w:w w:val="100"/>
          <w:position w:val="0"/>
        </w:rPr>
        <w:t>年第三批产业技术研究与开发资金高技术产业发展项目投资计划的通知》（深发改【</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1152</w:t>
      </w:r>
      <w:r>
        <w:rPr>
          <w:color w:val="000000"/>
          <w:spacing w:val="0"/>
          <w:w w:val="100"/>
          <w:position w:val="0"/>
        </w:rPr>
        <w:t>号文 件），拨付本公司面向三网融合的多媒体网络舆情分析平台产业化项目资金</w:t>
      </w:r>
      <w:r>
        <w:rPr>
          <w:rFonts w:ascii="Times New Roman" w:eastAsia="Times New Roman" w:hAnsi="Times New Roman" w:cs="Times New Roman"/>
          <w:color w:val="000000"/>
          <w:spacing w:val="0"/>
          <w:w w:val="100"/>
          <w:position w:val="0"/>
        </w:rPr>
        <w:t>800</w:t>
      </w:r>
      <w:r>
        <w:rPr>
          <w:color w:val="000000"/>
          <w:spacing w:val="0"/>
          <w:w w:val="100"/>
          <w:position w:val="0"/>
        </w:rPr>
        <w:t>万元。根据深圳市发展和改革委员会文件（深 发改【</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287</w:t>
      </w:r>
      <w:r>
        <w:rPr>
          <w:color w:val="000000"/>
          <w:spacing w:val="0"/>
          <w:w w:val="100"/>
          <w:position w:val="0"/>
        </w:rPr>
        <w:t>号），拨付本公司面向三网融合的多媒体网络舆情分析平台产业化项目补助资金</w:t>
      </w:r>
      <w:r>
        <w:rPr>
          <w:rFonts w:ascii="Times New Roman" w:eastAsia="Times New Roman" w:hAnsi="Times New Roman" w:cs="Times New Roman"/>
          <w:color w:val="000000"/>
          <w:spacing w:val="0"/>
          <w:w w:val="100"/>
          <w:position w:val="0"/>
        </w:rPr>
        <w:t>668</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日，已实际收到上述文件中拨付的资金</w:t>
      </w:r>
      <w:r>
        <w:rPr>
          <w:rFonts w:ascii="Times New Roman" w:eastAsia="Times New Roman" w:hAnsi="Times New Roman" w:cs="Times New Roman"/>
          <w:color w:val="000000"/>
          <w:spacing w:val="0"/>
          <w:w w:val="100"/>
          <w:position w:val="0"/>
        </w:rPr>
        <w:t>1018</w:t>
      </w:r>
      <w:r>
        <w:rPr>
          <w:color w:val="000000"/>
          <w:spacing w:val="0"/>
          <w:w w:val="100"/>
          <w:position w:val="0"/>
        </w:rPr>
        <w:t>万元。因该项目尚未完成，暂计入递延收益。</w:t>
      </w:r>
    </w:p>
    <w:p>
      <w:pPr>
        <w:pStyle w:val="Style9"/>
        <w:keepNext w:val="0"/>
        <w:keepLines w:val="0"/>
        <w:widowControl w:val="0"/>
        <w:shd w:val="clear" w:color="auto" w:fill="auto"/>
        <w:tabs>
          <w:tab w:pos="481" w:val="left"/>
        </w:tabs>
        <w:bidi w:val="0"/>
        <w:spacing w:before="0" w:after="0" w:line="313" w:lineRule="exact"/>
        <w:ind w:left="0" w:right="0" w:firstLine="0"/>
        <w:jc w:val="left"/>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5</w:t>
      </w:r>
      <w:r>
        <w:rPr>
          <w:color w:val="000000"/>
          <w:spacing w:val="0"/>
          <w:w w:val="100"/>
          <w:position w:val="0"/>
        </w:rPr>
        <w:t>）</w:t>
        <w:tab/>
        <w:t>根据深圳市科技创新委员会下发的深科技创新【</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139</w:t>
      </w:r>
      <w:r>
        <w:rPr>
          <w:color w:val="000000"/>
          <w:spacing w:val="0"/>
          <w:w w:val="100"/>
          <w:position w:val="0"/>
        </w:rPr>
        <w:t>号文件规定，深圳市科技创新委员会拨付本公司互联网舆情 综合管理系统项目资助款</w:t>
      </w:r>
      <w:r>
        <w:rPr>
          <w:rFonts w:ascii="Times New Roman" w:eastAsia="Times New Roman" w:hAnsi="Times New Roman" w:cs="Times New Roman"/>
          <w:color w:val="000000"/>
          <w:spacing w:val="0"/>
          <w:w w:val="100"/>
          <w:position w:val="0"/>
        </w:rPr>
        <w:t>90</w:t>
      </w:r>
      <w:r>
        <w:rPr>
          <w:color w:val="000000"/>
          <w:spacing w:val="0"/>
          <w:w w:val="100"/>
          <w:position w:val="0"/>
        </w:rPr>
        <w:t>万元，该项目于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月通过验收，本公司自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月起，将该递延收益按</w:t>
      </w:r>
      <w:r>
        <w:rPr>
          <w:rFonts w:ascii="Times New Roman" w:eastAsia="Times New Roman" w:hAnsi="Times New Roman" w:cs="Times New Roman"/>
          <w:color w:val="000000"/>
          <w:spacing w:val="0"/>
          <w:w w:val="100"/>
          <w:position w:val="0"/>
        </w:rPr>
        <w:t>5</w:t>
      </w:r>
      <w:r>
        <w:rPr>
          <w:color w:val="000000"/>
          <w:spacing w:val="0"/>
          <w:w w:val="100"/>
          <w:position w:val="0"/>
        </w:rPr>
        <w:t>年分期计入补贴 收入。</w:t>
      </w:r>
    </w:p>
    <w:p>
      <w:pPr>
        <w:pStyle w:val="Style9"/>
        <w:keepNext w:val="0"/>
        <w:keepLines w:val="0"/>
        <w:widowControl w:val="0"/>
        <w:shd w:val="clear" w:color="auto" w:fill="auto"/>
        <w:tabs>
          <w:tab w:pos="481" w:val="left"/>
        </w:tabs>
        <w:bidi w:val="0"/>
        <w:spacing w:before="0" w:after="0" w:line="314" w:lineRule="exact"/>
        <w:ind w:left="0" w:right="0" w:firstLine="0"/>
        <w:jc w:val="left"/>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6</w:t>
      </w:r>
      <w:r>
        <w:rPr>
          <w:color w:val="000000"/>
          <w:spacing w:val="0"/>
          <w:w w:val="100"/>
          <w:position w:val="0"/>
        </w:rPr>
        <w:t>）</w:t>
        <w:tab/>
        <w:t>根据深圳市发展和改革委员会、深圳市经济贸易和信息化委员会、深圳市科技创新委员会、深圳市财政委员会关于下 达</w:t>
      </w:r>
      <w:r>
        <w:rPr>
          <w:rFonts w:ascii="Times New Roman" w:eastAsia="Times New Roman" w:hAnsi="Times New Roman" w:cs="Times New Roman"/>
          <w:color w:val="000000"/>
          <w:spacing w:val="0"/>
          <w:w w:val="100"/>
          <w:position w:val="0"/>
        </w:rPr>
        <w:t>2012</w:t>
      </w:r>
      <w:r>
        <w:rPr>
          <w:color w:val="000000"/>
          <w:spacing w:val="0"/>
          <w:w w:val="100"/>
          <w:position w:val="0"/>
        </w:rPr>
        <w:t>年第一批扶持计划的文件（深发改【</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707</w:t>
      </w:r>
      <w:r>
        <w:rPr>
          <w:color w:val="000000"/>
          <w:spacing w:val="0"/>
          <w:w w:val="100"/>
          <w:position w:val="0"/>
        </w:rPr>
        <w:t>号）规定，拨付本公司移动互联网审计平台产业化项目补助资金</w:t>
      </w:r>
      <w:r>
        <w:rPr>
          <w:rFonts w:ascii="Times New Roman" w:eastAsia="Times New Roman" w:hAnsi="Times New Roman" w:cs="Times New Roman"/>
          <w:color w:val="000000"/>
          <w:spacing w:val="0"/>
          <w:w w:val="100"/>
          <w:position w:val="0"/>
        </w:rPr>
        <w:t xml:space="preserve">500 </w:t>
      </w:r>
      <w:r>
        <w:rPr>
          <w:color w:val="000000"/>
          <w:spacing w:val="0"/>
          <w:w w:val="100"/>
          <w:position w:val="0"/>
        </w:rPr>
        <w:t>万元，因该项目尚未完成，暂计入递延收益。</w:t>
      </w:r>
    </w:p>
    <w:p>
      <w:pPr>
        <w:pStyle w:val="Style9"/>
        <w:keepNext w:val="0"/>
        <w:keepLines w:val="0"/>
        <w:widowControl w:val="0"/>
        <w:shd w:val="clear" w:color="auto" w:fill="auto"/>
        <w:tabs>
          <w:tab w:pos="481" w:val="left"/>
        </w:tabs>
        <w:bidi w:val="0"/>
        <w:spacing w:before="0" w:after="0" w:line="314" w:lineRule="exact"/>
        <w:ind w:left="0" w:right="0" w:firstLine="0"/>
        <w:jc w:val="left"/>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7</w:t>
      </w:r>
      <w:r>
        <w:rPr>
          <w:color w:val="000000"/>
          <w:spacing w:val="0"/>
          <w:w w:val="100"/>
          <w:position w:val="0"/>
        </w:rPr>
        <w:t>）</w:t>
        <w:tab/>
        <w:t>根据深圳市发展和改革委员会、深圳市科技工贸和信息化委员会、深圳市财政委员会关于下达专项资金</w:t>
      </w:r>
      <w:r>
        <w:rPr>
          <w:rFonts w:ascii="Times New Roman" w:eastAsia="Times New Roman" w:hAnsi="Times New Roman" w:cs="Times New Roman"/>
          <w:color w:val="000000"/>
          <w:spacing w:val="0"/>
          <w:w w:val="100"/>
          <w:position w:val="0"/>
        </w:rPr>
        <w:t>2011</w:t>
      </w:r>
      <w:r>
        <w:rPr>
          <w:color w:val="000000"/>
          <w:spacing w:val="0"/>
          <w:w w:val="100"/>
          <w:position w:val="0"/>
        </w:rPr>
        <w:t>年第一批 扶持计划的通知（深发改【</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1673</w:t>
      </w:r>
      <w:r>
        <w:rPr>
          <w:color w:val="000000"/>
          <w:spacing w:val="0"/>
          <w:w w:val="100"/>
          <w:position w:val="0"/>
        </w:rPr>
        <w:t>号文）规定，拨付本公司监控信息安全工程技术研究开发中心提升项目补助资金</w:t>
      </w:r>
      <w:r>
        <w:rPr>
          <w:rFonts w:ascii="Times New Roman" w:eastAsia="Times New Roman" w:hAnsi="Times New Roman" w:cs="Times New Roman"/>
          <w:color w:val="000000"/>
          <w:spacing w:val="0"/>
          <w:w w:val="100"/>
          <w:position w:val="0"/>
        </w:rPr>
        <w:t xml:space="preserve">200 </w:t>
      </w:r>
      <w:r>
        <w:rPr>
          <w:color w:val="000000"/>
          <w:spacing w:val="0"/>
          <w:w w:val="100"/>
          <w:position w:val="0"/>
        </w:rPr>
        <w:t>万元。该项目于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月通过验收，本公司自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月起，将该递延收益按</w:t>
      </w:r>
      <w:r>
        <w:rPr>
          <w:rFonts w:ascii="Times New Roman" w:eastAsia="Times New Roman" w:hAnsi="Times New Roman" w:cs="Times New Roman"/>
          <w:color w:val="000000"/>
          <w:spacing w:val="0"/>
          <w:w w:val="100"/>
          <w:position w:val="0"/>
        </w:rPr>
        <w:t>5</w:t>
      </w:r>
      <w:r>
        <w:rPr>
          <w:color w:val="000000"/>
          <w:spacing w:val="0"/>
          <w:w w:val="100"/>
          <w:position w:val="0"/>
        </w:rPr>
        <w:t>年分期计入补贴收入。</w:t>
      </w:r>
    </w:p>
    <w:p>
      <w:pPr>
        <w:pStyle w:val="Style9"/>
        <w:keepNext w:val="0"/>
        <w:keepLines w:val="0"/>
        <w:widowControl w:val="0"/>
        <w:shd w:val="clear" w:color="auto" w:fill="auto"/>
        <w:tabs>
          <w:tab w:pos="486" w:val="left"/>
        </w:tabs>
        <w:bidi w:val="0"/>
        <w:spacing w:before="0" w:after="0" w:line="314" w:lineRule="exact"/>
        <w:ind w:left="0" w:right="0" w:firstLine="0"/>
        <w:jc w:val="left"/>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8</w:t>
      </w:r>
      <w:r>
        <w:rPr>
          <w:color w:val="000000"/>
          <w:spacing w:val="0"/>
          <w:w w:val="100"/>
          <w:position w:val="0"/>
        </w:rPr>
        <w:t>）</w:t>
        <w:tab/>
        <w:t>根据深圳市发展和改革委员会、深圳市经济贸易和信息化委员会、深圳市科技创新委员会、深圳市财政委员会联合文 件（深发改</w:t>
      </w:r>
      <w:r>
        <w:rPr>
          <w:rFonts w:ascii="Times New Roman" w:eastAsia="Times New Roman" w:hAnsi="Times New Roman" w:cs="Times New Roman"/>
          <w:color w:val="000000"/>
          <w:spacing w:val="0"/>
          <w:w w:val="100"/>
          <w:position w:val="0"/>
        </w:rPr>
        <w:t>[2012]1241</w:t>
      </w:r>
      <w:r>
        <w:rPr>
          <w:color w:val="000000"/>
          <w:spacing w:val="0"/>
          <w:w w:val="100"/>
          <w:position w:val="0"/>
        </w:rPr>
        <w:t>号文）规定，拨付本公司互联网内容安全安全工程实验室项目补助资金</w:t>
      </w:r>
      <w:r>
        <w:rPr>
          <w:rFonts w:ascii="Times New Roman" w:eastAsia="Times New Roman" w:hAnsi="Times New Roman" w:cs="Times New Roman"/>
          <w:color w:val="000000"/>
          <w:spacing w:val="0"/>
          <w:w w:val="100"/>
          <w:position w:val="0"/>
        </w:rPr>
        <w:t>500</w:t>
      </w:r>
      <w:r>
        <w:rPr>
          <w:color w:val="000000"/>
          <w:spacing w:val="0"/>
          <w:w w:val="100"/>
          <w:position w:val="0"/>
        </w:rPr>
        <w:t>万。因该项目尚未完成， 暂计入递延收益。</w:t>
      </w:r>
    </w:p>
    <w:p>
      <w:pPr>
        <w:pStyle w:val="Style9"/>
        <w:keepNext w:val="0"/>
        <w:keepLines w:val="0"/>
        <w:widowControl w:val="0"/>
        <w:shd w:val="clear" w:color="auto" w:fill="auto"/>
        <w:tabs>
          <w:tab w:pos="481" w:val="left"/>
        </w:tabs>
        <w:bidi w:val="0"/>
        <w:spacing w:before="0" w:after="40" w:line="314" w:lineRule="exact"/>
        <w:ind w:left="0" w:right="0" w:firstLine="0"/>
        <w:jc w:val="left"/>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9</w:t>
      </w:r>
      <w:r>
        <w:rPr>
          <w:color w:val="000000"/>
          <w:spacing w:val="0"/>
          <w:w w:val="100"/>
          <w:position w:val="0"/>
        </w:rPr>
        <w:t>）</w:t>
        <w:tab/>
        <w:t>根据深圳市南山区科技创新局文件（深南科</w:t>
      </w:r>
      <w:r>
        <w:rPr>
          <w:rFonts w:ascii="Times New Roman" w:eastAsia="Times New Roman" w:hAnsi="Times New Roman" w:cs="Times New Roman"/>
          <w:color w:val="000000"/>
          <w:spacing w:val="0"/>
          <w:w w:val="100"/>
          <w:position w:val="0"/>
        </w:rPr>
        <w:t>[2013]67</w:t>
      </w:r>
      <w:r>
        <w:rPr>
          <w:color w:val="000000"/>
          <w:spacing w:val="0"/>
          <w:w w:val="100"/>
          <w:position w:val="0"/>
        </w:rPr>
        <w:t>号）和深圳市科技创新委员会文件（深发改</w:t>
      </w:r>
      <w:r>
        <w:rPr>
          <w:rFonts w:ascii="Times New Roman" w:eastAsia="Times New Roman" w:hAnsi="Times New Roman" w:cs="Times New Roman"/>
          <w:color w:val="000000"/>
          <w:spacing w:val="0"/>
          <w:w w:val="100"/>
          <w:position w:val="0"/>
        </w:rPr>
        <w:t>[2013]1450</w:t>
      </w:r>
      <w:r>
        <w:rPr>
          <w:color w:val="000000"/>
          <w:spacing w:val="0"/>
          <w:w w:val="100"/>
          <w:position w:val="0"/>
        </w:rPr>
        <w:t>号文）规定， 深圳市南山区科技创新局和深圳市科技创新委员会分别拨付本公司互联网数据中心信息安全审计管理系统的研发及产业化 项目补助资金</w:t>
      </w:r>
      <w:r>
        <w:rPr>
          <w:rFonts w:ascii="Times New Roman" w:eastAsia="Times New Roman" w:hAnsi="Times New Roman" w:cs="Times New Roman"/>
          <w:color w:val="000000"/>
          <w:spacing w:val="0"/>
          <w:w w:val="100"/>
          <w:position w:val="0"/>
        </w:rPr>
        <w:t>20</w:t>
      </w:r>
      <w:r>
        <w:rPr>
          <w:color w:val="000000"/>
          <w:spacing w:val="0"/>
          <w:w w:val="100"/>
          <w:position w:val="0"/>
        </w:rPr>
        <w:t>万元和</w:t>
      </w:r>
      <w:r>
        <w:rPr>
          <w:rFonts w:ascii="Times New Roman" w:eastAsia="Times New Roman" w:hAnsi="Times New Roman" w:cs="Times New Roman"/>
          <w:color w:val="000000"/>
          <w:spacing w:val="0"/>
          <w:w w:val="100"/>
          <w:position w:val="0"/>
        </w:rPr>
        <w:t>15 0</w:t>
      </w:r>
      <w:r>
        <w:rPr>
          <w:color w:val="000000"/>
          <w:spacing w:val="0"/>
          <w:w w:val="100"/>
          <w:position w:val="0"/>
        </w:rPr>
        <w:t>万元，两项合计</w:t>
      </w:r>
      <w:r>
        <w:rPr>
          <w:rFonts w:ascii="Times New Roman" w:eastAsia="Times New Roman" w:hAnsi="Times New Roman" w:cs="Times New Roman"/>
          <w:color w:val="000000"/>
          <w:spacing w:val="0"/>
          <w:w w:val="100"/>
          <w:position w:val="0"/>
        </w:rPr>
        <w:t>170</w:t>
      </w:r>
      <w:r>
        <w:rPr>
          <w:color w:val="000000"/>
          <w:spacing w:val="0"/>
          <w:w w:val="100"/>
          <w:position w:val="0"/>
        </w:rPr>
        <w:t>万元，因该项目尚未完成，暂计入递延收益。</w:t>
      </w:r>
    </w:p>
    <w:p>
      <w:pPr>
        <w:pStyle w:val="Style9"/>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涉及政府补助的负债项目</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1"/>
        <w:gridCol w:w="1406"/>
        <w:gridCol w:w="1243"/>
        <w:gridCol w:w="1430"/>
        <w:gridCol w:w="1152"/>
        <w:gridCol w:w="1118"/>
        <w:gridCol w:w="1574"/>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基于结构无关的低 成本灾备系统补助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信盾计算机终端监 控系统补助资金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6,600,000.00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661"/>
        <w:gridCol w:w="1406"/>
        <w:gridCol w:w="1243"/>
        <w:gridCol w:w="1430"/>
        <w:gridCol w:w="1152"/>
        <w:gridCol w:w="1118"/>
        <w:gridCol w:w="1574"/>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互联网音视频节目 识别技术及监管研 发平台补助资金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面向三网融合的多 媒体网络舆情分析 平台产业化项目补 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互联网舆情综合管 理系统项目补助资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移动互联网审计平 台产业化项目补助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监控信息安全工程</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技术研究开发中心</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提升项目补助资金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互联网内容安全工 程实验室项目补助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互联网数据中心信 息安全审计管理系 统的研发及产业化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28,880,000.00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8,380,000.00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33,135,000.00</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4</w:t>
      </w:r>
      <w:r>
        <w:rPr>
          <w:color w:val="000000"/>
          <w:spacing w:val="0"/>
          <w:w w:val="100"/>
          <w:position w:val="0"/>
        </w:rPr>
        <w:t>、股本</w:t>
      </w:r>
      <w:bookmarkEnd w:id="952"/>
      <w:bookmarkEnd w:id="953"/>
      <w:bookmarkEnd w:id="95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10"/>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70,700,000.00</w:t>
            </w:r>
          </w:p>
        </w:tc>
      </w:tr>
    </w:tbl>
    <w:p>
      <w:pPr>
        <w:pStyle w:val="Style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35"/>
        <w:keepNext/>
        <w:keepLines/>
        <w:widowControl w:val="0"/>
        <w:shd w:val="clear" w:color="auto" w:fill="auto"/>
        <w:bidi w:val="0"/>
        <w:spacing w:before="0" w:after="36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956"/>
      <w:bookmarkEnd w:id="957"/>
      <w:bookmarkEnd w:id="95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62"/>
        <w:gridCol w:w="1992"/>
        <w:gridCol w:w="1728"/>
        <w:gridCol w:w="1603"/>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232,446,964.92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232,446,964.92</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4,394,299.72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-4,394,299.72</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232,446,964.92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4,394,299.72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228,052,665.20</w:t>
            </w:r>
          </w:p>
        </w:tc>
      </w:tr>
    </w:tbl>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资本公积说明</w:t>
      </w:r>
    </w:p>
    <w:p>
      <w:pPr>
        <w:pStyle w:val="Style35"/>
        <w:keepNext/>
        <w:keepLines/>
        <w:widowControl w:val="0"/>
        <w:shd w:val="clear" w:color="auto" w:fill="auto"/>
        <w:bidi w:val="0"/>
        <w:spacing w:before="0" w:after="360" w:line="240" w:lineRule="auto"/>
        <w:ind w:left="0" w:right="0" w:firstLine="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960"/>
      <w:bookmarkEnd w:id="961"/>
      <w:bookmarkEnd w:id="96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62"/>
        <w:gridCol w:w="1992"/>
        <w:gridCol w:w="1728"/>
        <w:gridCol w:w="1603"/>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期末数</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10,727,840.82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2,643,557.34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13,371,398.16</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10,727,840.82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2,643,557.34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13,371,398.16</w:t>
            </w:r>
          </w:p>
        </w:tc>
      </w:tr>
    </w:tbl>
    <w:p>
      <w:pPr>
        <w:pStyle w:val="Style9"/>
        <w:keepNext w:val="0"/>
        <w:keepLines w:val="0"/>
        <w:widowControl w:val="0"/>
        <w:shd w:val="clear" w:color="auto" w:fill="auto"/>
        <w:bidi w:val="0"/>
        <w:spacing w:before="0" w:after="360" w:line="355" w:lineRule="exact"/>
        <w:ind w:left="0" w:right="0" w:firstLine="0"/>
        <w:jc w:val="both"/>
      </w:pPr>
      <w:r>
        <w:rPr>
          <w:color w:val="000000"/>
          <w:spacing w:val="0"/>
          <w:w w:val="100"/>
          <w:position w:val="0"/>
        </w:rPr>
        <w:t>盈余公积说明，用盈余公积转增股本、弥补亏损、分派股利的，应说明有关决议 公司的法定盈余公积按照当年净利润的</w:t>
      </w:r>
      <w:r>
        <w:rPr>
          <w:rFonts w:ascii="Times New Roman" w:eastAsia="Times New Roman" w:hAnsi="Times New Roman" w:cs="Times New Roman"/>
          <w:color w:val="000000"/>
          <w:spacing w:val="0"/>
          <w:w w:val="100"/>
          <w:position w:val="0"/>
        </w:rPr>
        <w:t>10%</w:t>
      </w:r>
      <w:r>
        <w:rPr>
          <w:color w:val="000000"/>
          <w:spacing w:val="0"/>
          <w:w w:val="100"/>
          <w:position w:val="0"/>
        </w:rPr>
        <w:t>提取。</w:t>
      </w:r>
    </w:p>
    <w:p>
      <w:pPr>
        <w:pStyle w:val="Style35"/>
        <w:keepNext/>
        <w:keepLines/>
        <w:widowControl w:val="0"/>
        <w:shd w:val="clear" w:color="auto" w:fill="auto"/>
        <w:bidi w:val="0"/>
        <w:spacing w:before="0" w:after="360" w:line="240" w:lineRule="auto"/>
        <w:ind w:left="0" w:right="0" w:firstLine="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964"/>
      <w:bookmarkEnd w:id="965"/>
      <w:bookmarkEnd w:id="96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725"/>
        <w:gridCol w:w="2131"/>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91,654,998.25</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91,654,998.25</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25,140,974.57</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2,643,557.34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106,375,415.48</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调整年初未分配利润明细：</w:t>
      </w:r>
    </w:p>
    <w:p>
      <w:pPr>
        <w:pStyle w:val="Style9"/>
        <w:keepNext w:val="0"/>
        <w:keepLines w:val="0"/>
        <w:widowControl w:val="0"/>
        <w:shd w:val="clear" w:color="auto" w:fill="auto"/>
        <w:tabs>
          <w:tab w:pos="330" w:val="left"/>
        </w:tabs>
        <w:bidi w:val="0"/>
        <w:spacing w:before="0" w:after="0" w:line="312" w:lineRule="exact"/>
        <w:ind w:left="0" w:right="0" w:firstLine="0"/>
        <w:jc w:val="both"/>
      </w:pPr>
      <w:bookmarkStart w:id="968" w:name="bookmark968"/>
      <w:r>
        <w:rPr>
          <w:rFonts w:ascii="Times New Roman" w:eastAsia="Times New Roman" w:hAnsi="Times New Roman" w:cs="Times New Roman"/>
          <w:color w:val="000000"/>
          <w:spacing w:val="0"/>
          <w:w w:val="100"/>
          <w:position w:val="0"/>
        </w:rPr>
        <w:t>1</w:t>
      </w:r>
      <w:bookmarkEnd w:id="968"/>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9"/>
        <w:keepNext w:val="0"/>
        <w:keepLines w:val="0"/>
        <w:widowControl w:val="0"/>
        <w:shd w:val="clear" w:color="auto" w:fill="auto"/>
        <w:tabs>
          <w:tab w:pos="349" w:val="left"/>
        </w:tabs>
        <w:bidi w:val="0"/>
        <w:spacing w:before="0" w:after="0" w:line="312" w:lineRule="exact"/>
        <w:ind w:left="0" w:right="0" w:firstLine="0"/>
        <w:jc w:val="both"/>
      </w:pPr>
      <w:bookmarkStart w:id="969" w:name="bookmark969"/>
      <w:r>
        <w:rPr>
          <w:rFonts w:ascii="Times New Roman" w:eastAsia="Times New Roman" w:hAnsi="Times New Roman" w:cs="Times New Roman"/>
          <w:color w:val="000000"/>
          <w:spacing w:val="0"/>
          <w:w w:val="100"/>
          <w:position w:val="0"/>
        </w:rPr>
        <w:t>2</w:t>
      </w:r>
      <w:bookmarkEnd w:id="96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9"/>
        <w:keepNext w:val="0"/>
        <w:keepLines w:val="0"/>
        <w:widowControl w:val="0"/>
        <w:shd w:val="clear" w:color="auto" w:fill="auto"/>
        <w:tabs>
          <w:tab w:pos="349" w:val="left"/>
        </w:tabs>
        <w:bidi w:val="0"/>
        <w:spacing w:before="0" w:after="0" w:line="312" w:lineRule="exact"/>
        <w:ind w:left="0" w:right="0" w:firstLine="0"/>
        <w:jc w:val="both"/>
      </w:pPr>
      <w:bookmarkStart w:id="970" w:name="bookmark970"/>
      <w:r>
        <w:rPr>
          <w:rFonts w:ascii="Times New Roman" w:eastAsia="Times New Roman" w:hAnsi="Times New Roman" w:cs="Times New Roman"/>
          <w:color w:val="000000"/>
          <w:spacing w:val="0"/>
          <w:w w:val="100"/>
          <w:position w:val="0"/>
        </w:rPr>
        <w:t>3</w:t>
      </w:r>
      <w:bookmarkEnd w:id="970"/>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9"/>
        <w:keepNext w:val="0"/>
        <w:keepLines w:val="0"/>
        <w:widowControl w:val="0"/>
        <w:shd w:val="clear" w:color="auto" w:fill="auto"/>
        <w:tabs>
          <w:tab w:pos="349" w:val="left"/>
        </w:tabs>
        <w:bidi w:val="0"/>
        <w:spacing w:before="0" w:after="0" w:line="312" w:lineRule="exact"/>
        <w:ind w:left="0" w:right="0" w:firstLine="0"/>
        <w:jc w:val="both"/>
      </w:pPr>
      <w:bookmarkStart w:id="971" w:name="bookmark971"/>
      <w:r>
        <w:rPr>
          <w:rFonts w:ascii="Times New Roman" w:eastAsia="Times New Roman" w:hAnsi="Times New Roman" w:cs="Times New Roman"/>
          <w:color w:val="000000"/>
          <w:spacing w:val="0"/>
          <w:w w:val="100"/>
          <w:position w:val="0"/>
        </w:rPr>
        <w:t>4</w:t>
      </w:r>
      <w:bookmarkEnd w:id="971"/>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9"/>
        <w:keepNext w:val="0"/>
        <w:keepLines w:val="0"/>
        <w:widowControl w:val="0"/>
        <w:shd w:val="clear" w:color="auto" w:fill="auto"/>
        <w:tabs>
          <w:tab w:pos="349" w:val="left"/>
        </w:tabs>
        <w:bidi w:val="0"/>
        <w:spacing w:before="0" w:after="0" w:line="312" w:lineRule="exact"/>
        <w:ind w:left="0" w:right="0" w:firstLine="0"/>
        <w:jc w:val="both"/>
      </w:pPr>
      <w:bookmarkStart w:id="972" w:name="bookmark972"/>
      <w:r>
        <w:rPr>
          <w:rFonts w:ascii="Times New Roman" w:eastAsia="Times New Roman" w:hAnsi="Times New Roman" w:cs="Times New Roman"/>
          <w:color w:val="000000"/>
          <w:spacing w:val="0"/>
          <w:w w:val="100"/>
          <w:position w:val="0"/>
        </w:rPr>
        <w:t>5</w:t>
      </w:r>
      <w:bookmarkEnd w:id="972"/>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5"/>
        <w:keepNext/>
        <w:keepLines/>
        <w:widowControl w:val="0"/>
        <w:shd w:val="clear" w:color="auto" w:fill="auto"/>
        <w:bidi w:val="0"/>
        <w:spacing w:before="0" w:after="360" w:line="240" w:lineRule="auto"/>
        <w:ind w:left="0" w:right="0" w:firstLine="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8</w:t>
      </w:r>
      <w:r>
        <w:rPr>
          <w:color w:val="000000"/>
          <w:spacing w:val="0"/>
          <w:w w:val="100"/>
          <w:position w:val="0"/>
        </w:rPr>
        <w:t>、营业收入、营业成本</w:t>
      </w:r>
      <w:bookmarkEnd w:id="973"/>
      <w:bookmarkEnd w:id="974"/>
      <w:bookmarkEnd w:id="976"/>
    </w:p>
    <w:p>
      <w:pPr>
        <w:pStyle w:val="Style38"/>
        <w:keepNext/>
        <w:keepLines/>
        <w:widowControl w:val="0"/>
        <w:shd w:val="clear" w:color="auto" w:fill="auto"/>
        <w:bidi w:val="0"/>
        <w:spacing w:before="0" w:line="240" w:lineRule="auto"/>
        <w:ind w:left="0" w:right="0" w:firstLine="0"/>
        <w:jc w:val="both"/>
      </w:pPr>
      <w:bookmarkStart w:id="977" w:name="bookmark977"/>
      <w:bookmarkStart w:id="978" w:name="bookmark978"/>
      <w:bookmarkStart w:id="979" w:name="bookmark9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977"/>
      <w:bookmarkEnd w:id="978"/>
      <w:bookmarkEnd w:id="97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58"/>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245,386,180.86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192,965,600.79</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8,574.29</w:t>
            </w:r>
          </w:p>
        </w:tc>
      </w:tr>
    </w:tbl>
    <w:p>
      <w:pPr>
        <w:spacing w:lineRule="exact" w:line="1"/>
        <w:rPr>
          <w:sz w:val="2"/>
          <w:szCs w:val="2"/>
        </w:rPr>
      </w:pPr>
      <w:r>
        <w:br w:type="page"/>
      </w:r>
    </w:p>
    <w:tbl>
      <w:tblPr>
        <w:tblOverlap w:val="never"/>
        <w:jc w:val="center"/>
        <w:tblLayout w:type="fixed"/>
      </w:tblPr>
      <w:tblGrid>
        <w:gridCol w:w="3326"/>
        <w:gridCol w:w="3058"/>
        <w:gridCol w:w="3202"/>
      </w:tblGrid>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119,905,374.33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83,974,440.74</w:t>
            </w:r>
          </w:p>
        </w:tc>
      </w:tr>
    </w:tbl>
    <w:p>
      <w:pPr>
        <w:widowControl w:val="0"/>
        <w:spacing w:after="299" w:line="1" w:lineRule="exact"/>
      </w:pPr>
    </w:p>
    <w:p>
      <w:pPr>
        <w:pStyle w:val="Style64"/>
        <w:keepNext w:val="0"/>
        <w:keepLines w:val="0"/>
        <w:widowControl w:val="0"/>
        <w:shd w:val="clear" w:color="auto" w:fill="auto"/>
        <w:bidi w:val="0"/>
        <w:spacing w:before="0" w:line="240" w:lineRule="auto"/>
        <w:ind w:left="0" w:right="0" w:firstLine="0"/>
        <w:jc w:val="left"/>
      </w:pPr>
      <w:bookmarkStart w:id="980" w:name="bookmark980"/>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98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78,459,798.36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6,362,574.05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64,486,286.87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865,291.15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137,444,578.88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99,954,226.22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102,046,432.84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70,617,479.15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29,481,803.62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13,576,996.82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26,432,881.08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12,478,624.02</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245,386,180.86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bookmarkStart w:id="981" w:name="bookmark981"/>
            <w:r>
              <w:rPr>
                <w:rFonts w:ascii="Times New Roman" w:eastAsia="Times New Roman" w:hAnsi="Times New Roman" w:cs="Times New Roman"/>
                <w:color w:val="000000"/>
                <w:spacing w:val="0"/>
                <w:w w:val="100"/>
                <w:position w:val="0"/>
              </w:rPr>
              <w:t>119,893,797.09</w:t>
            </w:r>
            <w:bookmarkEnd w:id="981"/>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192,965,600.79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83,961,394.32</w:t>
            </w:r>
          </w:p>
        </w:tc>
      </w:tr>
    </w:tbl>
    <w:p>
      <w:pPr>
        <w:widowControl w:val="0"/>
        <w:spacing w:after="299" w:line="1" w:lineRule="exact"/>
      </w:pPr>
    </w:p>
    <w:p>
      <w:pPr>
        <w:pStyle w:val="Style64"/>
        <w:keepNext w:val="0"/>
        <w:keepLines w:val="0"/>
        <w:widowControl w:val="0"/>
        <w:numPr>
          <w:ilvl w:val="0"/>
          <w:numId w:val="19"/>
        </w:numPr>
        <w:shd w:val="clear" w:color="auto" w:fill="auto"/>
        <w:bidi w:val="0"/>
        <w:spacing w:before="0" w:line="240" w:lineRule="auto"/>
        <w:ind w:left="0" w:right="0" w:firstLine="0"/>
        <w:jc w:val="left"/>
      </w:pPr>
      <w:bookmarkStart w:id="982" w:name="bookmark982"/>
      <w:bookmarkEnd w:id="982"/>
      <w:r>
        <w:rPr>
          <w:color w:val="000000"/>
          <w:spacing w:val="0"/>
          <w:w w:val="100"/>
          <w:position w:val="0"/>
        </w:rPr>
        <w:t>主营业务(分产品)</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专用安全审计产品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46,099,381.42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25,460,838.73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51,630,903.71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23,748,180.63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通用安全审计产品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102,913,862.07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56,440,493.20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59,898,969.48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13,253,569.16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网络监管产品及安全集成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83,684,851.39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25,965,593.67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75,286,018.28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41,824,938.11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12,688,085.98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12,026,871.49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6,149,709.32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5,134,706.42</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245,386,180.86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119,893,797.09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192,965,600.79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bookmarkStart w:id="983" w:name="bookmark983"/>
            <w:r>
              <w:rPr>
                <w:rFonts w:ascii="Times New Roman" w:eastAsia="Times New Roman" w:hAnsi="Times New Roman" w:cs="Times New Roman"/>
                <w:color w:val="000000"/>
                <w:spacing w:val="0"/>
                <w:w w:val="100"/>
                <w:position w:val="0"/>
              </w:rPr>
              <w:t>83,961,394.32</w:t>
            </w:r>
            <w:bookmarkEnd w:id="983"/>
          </w:p>
        </w:tc>
      </w:tr>
    </w:tbl>
    <w:p>
      <w:pPr>
        <w:widowControl w:val="0"/>
        <w:spacing w:after="299" w:line="1" w:lineRule="exact"/>
      </w:pPr>
    </w:p>
    <w:p>
      <w:pPr>
        <w:pStyle w:val="Style64"/>
        <w:keepNext w:val="0"/>
        <w:keepLines w:val="0"/>
        <w:widowControl w:val="0"/>
        <w:numPr>
          <w:ilvl w:val="0"/>
          <w:numId w:val="19"/>
        </w:numPr>
        <w:shd w:val="clear" w:color="auto" w:fill="auto"/>
        <w:bidi w:val="0"/>
        <w:spacing w:before="0" w:line="240" w:lineRule="auto"/>
        <w:ind w:left="0" w:right="0" w:firstLine="0"/>
        <w:jc w:val="left"/>
      </w:pPr>
      <w:bookmarkStart w:id="984" w:name="bookmark984"/>
      <w:bookmarkEnd w:id="984"/>
      <w:r>
        <w:rPr>
          <w:color w:val="000000"/>
          <w:spacing w:val="0"/>
          <w:w w:val="100"/>
          <w:position w:val="0"/>
        </w:rPr>
        <w:t>主营业务(分地区)</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78,180,256.43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42,337,809.41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30,704,136.64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4,052,616.38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10,072,219.51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5,500,299.50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7,561,571.66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2,114,625.95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62,085,150.54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13,059,996.18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54,666,097.04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30,042,072.64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10,063,757.46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5,659,278.88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12,523,295.87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7,307,610.54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42,891,774.26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33,299,940.05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41,267,670.90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19,206,194.96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16,612,991.83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8,492,191.06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11,798,567.28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7,382,315.54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13,251,267.93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6,084,912.63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16,624,189.24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6,536,489.22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12,228,762.90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5,459,369.38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17,820,072.16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7,319,469.09</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245,386,180.86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119,893,797.09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192,965,600.79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83,961,394.32</w:t>
            </w:r>
          </w:p>
        </w:tc>
      </w:tr>
    </w:tbl>
    <w:p>
      <w:pPr>
        <w:spacing w:lineRule="exact" w:line="1"/>
        <w:rPr>
          <w:sz w:val="2"/>
          <w:szCs w:val="2"/>
        </w:rPr>
      </w:pPr>
      <w:r>
        <w:br w:type="page"/>
      </w:r>
    </w:p>
    <w:p>
      <w:pPr>
        <w:pStyle w:val="Style38"/>
        <w:keepNext/>
        <w:keepLines/>
        <w:widowControl w:val="0"/>
        <w:numPr>
          <w:ilvl w:val="0"/>
          <w:numId w:val="19"/>
        </w:numPr>
        <w:shd w:val="clear" w:color="auto" w:fill="auto"/>
        <w:bidi w:val="0"/>
        <w:spacing w:before="0" w:line="240" w:lineRule="auto"/>
        <w:ind w:left="0" w:right="0" w:firstLine="140"/>
        <w:jc w:val="left"/>
      </w:pPr>
      <w:bookmarkStart w:id="985" w:name="bookmark985"/>
      <w:bookmarkStart w:id="986" w:name="bookmark986"/>
      <w:bookmarkStart w:id="987" w:name="bookmark987"/>
      <w:bookmarkStart w:id="988" w:name="bookmark988"/>
      <w:bookmarkEnd w:id="987"/>
      <w:r>
        <w:rPr>
          <w:color w:val="000000"/>
          <w:spacing w:val="0"/>
          <w:w w:val="100"/>
          <w:position w:val="0"/>
        </w:rPr>
        <w:t>公司来自前五名客户的营业收入情况</w:t>
      </w:r>
      <w:bookmarkEnd w:id="985"/>
      <w:bookmarkEnd w:id="986"/>
      <w:bookmarkEnd w:id="98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6"/>
        <w:gridCol w:w="2842"/>
        <w:gridCol w:w="413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78,180,256.43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10,198,497.44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4,401,018.87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4,226,495.72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139,006,268.46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56.65%</w:t>
            </w:r>
          </w:p>
        </w:tc>
      </w:tr>
    </w:tbl>
    <w:p>
      <w:pPr>
        <w:widowControl w:val="0"/>
        <w:spacing w:after="7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营业收入的说明</w:t>
      </w:r>
    </w:p>
    <w:p>
      <w:pPr>
        <w:pStyle w:val="Style35"/>
        <w:keepNext/>
        <w:keepLines/>
        <w:widowControl w:val="0"/>
        <w:shd w:val="clear" w:color="auto" w:fill="auto"/>
        <w:bidi w:val="0"/>
        <w:spacing w:before="0" w:after="36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rFonts w:ascii="Times New Roman" w:eastAsia="Times New Roman" w:hAnsi="Times New Roman" w:cs="Times New Roman"/>
          <w:color w:val="000000"/>
          <w:spacing w:val="0"/>
          <w:w w:val="100"/>
          <w:position w:val="0"/>
        </w:rPr>
        <w:t>9</w:t>
      </w:r>
      <w:r>
        <w:rPr>
          <w:color w:val="000000"/>
          <w:spacing w:val="0"/>
          <w:w w:val="100"/>
          <w:position w:val="0"/>
        </w:rPr>
        <w:t>、营业税金及附加</w:t>
      </w:r>
      <w:bookmarkEnd w:id="989"/>
      <w:bookmarkEnd w:id="990"/>
      <w:bookmarkEnd w:id="99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2"/>
        <w:gridCol w:w="1862"/>
        <w:gridCol w:w="2933"/>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74,579.95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1,209,949.78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490,528.79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631,059.16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351,482.78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450,759.25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73,021.88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33,659.81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989,613.40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2,325,428.00</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营业税金及附加的说明</w:t>
      </w:r>
    </w:p>
    <w:p>
      <w:pPr>
        <w:pStyle w:val="Style35"/>
        <w:keepNext/>
        <w:keepLines/>
        <w:widowControl w:val="0"/>
        <w:shd w:val="clear" w:color="auto" w:fill="auto"/>
        <w:bidi w:val="0"/>
        <w:spacing w:before="0" w:after="36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993"/>
      <w:bookmarkEnd w:id="994"/>
      <w:bookmarkEnd w:id="99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工资性费用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11,762,417.33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8,558,967.36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3,647,194.89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3,742,673.52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1,419,392.20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1,955,096.46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1,313,730.40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2,179,675.14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769,544.34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1,003,284.67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1,380,066.21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881,752.83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2,355,894.14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633,671.90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1,060,618.55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1,208,245.40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23,708,858.06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20,163,367.28</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000"/>
      <w:bookmarkEnd w:id="997"/>
      <w:bookmarkEnd w:id="99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37,311,497.86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22,540,430.09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工资性费用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23,864,947.94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19,026,443.51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10,938,469.06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7,884,870.15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2,802,892.97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2,420,598.11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3,191,293.94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1,857,531.43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2,281,498.34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1,398,195.20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1,124,975.38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879,030.58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1,923,420.86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368,848.50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630,117.38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464,755.31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416,976.95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422,374.42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819,620.93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556,051.50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测试及托管费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450,973.68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536,015.00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616,237.81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320,990.35</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86,372,923.10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58,676,134.15</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001"/>
      <w:bookmarkEnd w:id="1002"/>
      <w:bookmarkEnd w:id="100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363,767.43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808,262.65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-5,910,270.84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-1,690,989.61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1,927,912.79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340,819.60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106,171.14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69,533.14</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-3,512,419.48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-472,374.22</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3</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005"/>
      <w:bookmarkEnd w:id="1006"/>
      <w:bookmarkEnd w:id="1008"/>
    </w:p>
    <w:p>
      <w:pPr>
        <w:pStyle w:val="Style38"/>
        <w:keepNext/>
        <w:keepLines/>
        <w:widowControl w:val="0"/>
        <w:shd w:val="clear" w:color="auto" w:fill="auto"/>
        <w:bidi w:val="0"/>
        <w:spacing w:before="0" w:line="240" w:lineRule="auto"/>
        <w:ind w:left="0" w:right="0" w:firstLine="0"/>
        <w:jc w:val="left"/>
      </w:pPr>
      <w:bookmarkStart w:id="1009" w:name="bookmark1009"/>
      <w:bookmarkStart w:id="1010" w:name="bookmark1010"/>
      <w:bookmarkStart w:id="1011" w:name="bookmark10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009"/>
      <w:bookmarkEnd w:id="1010"/>
      <w:bookmarkEnd w:id="101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98"/>
        <w:gridCol w:w="2918"/>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-836,038.07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-442,251.51</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-836,038.07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-442,251.51</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3</w:t>
      </w:r>
      <w:bookmarkEnd w:id="1014"/>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012"/>
      <w:bookmarkEnd w:id="1013"/>
      <w:bookmarkEnd w:id="101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1,678,657.95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1,510,455.56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421,359.41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849,998.58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2,759,611.73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1,715,800.00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4,859,629.09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4,076,254.14</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3</w:t>
      </w:r>
      <w:bookmarkEnd w:id="1018"/>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016"/>
      <w:bookmarkEnd w:id="1017"/>
      <w:bookmarkEnd w:id="1019"/>
    </w:p>
    <w:p>
      <w:pPr>
        <w:pStyle w:val="Style38"/>
        <w:keepNext/>
        <w:keepLines/>
        <w:widowControl w:val="0"/>
        <w:shd w:val="clear" w:color="auto" w:fill="auto"/>
        <w:bidi w:val="0"/>
        <w:spacing w:before="0" w:line="240" w:lineRule="auto"/>
        <w:ind w:left="0" w:right="0" w:firstLine="0"/>
        <w:jc w:val="left"/>
      </w:pPr>
      <w:bookmarkStart w:id="1020" w:name="bookmark1020"/>
      <w:bookmarkStart w:id="1021" w:name="bookmark1021"/>
      <w:bookmarkStart w:id="1022" w:name="bookmark10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020"/>
      <w:bookmarkEnd w:id="1021"/>
      <w:bookmarkEnd w:id="102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98"/>
        <w:gridCol w:w="1954"/>
        <w:gridCol w:w="2160"/>
        <w:gridCol w:w="2174"/>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17,055.00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17,055.00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8,788,600.00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9,860,249.96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5,864,386.56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6,863,789.62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53,850.50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35,040.00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14,723,892.06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16,759,079.58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营业外收入说明</w:t>
      </w:r>
    </w:p>
    <w:p>
      <w:pPr>
        <w:pStyle w:val="Style38"/>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023"/>
      <w:bookmarkEnd w:id="1024"/>
      <w:bookmarkEnd w:id="102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基于结构无关的低成本</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灾备系统补助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1,339,999.96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互联网多媒体内容监管 关键技术研发及产业化 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pPr>
            <w:r>
              <w:rPr>
                <w:color w:val="000000"/>
                <w:spacing w:val="0"/>
                <w:w w:val="100"/>
                <w:position w:val="0"/>
              </w:rPr>
              <w:t>信盾计算机终端监控系 统产品产业化项目补助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公司上市补助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互联网音视频节目识别 技术及监管研发平台补 助资金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新型绿色无线射频前端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系统模块补助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互联网舆情综合管理系 统项目补助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深圳市龙岗区财政局科 技资金补助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年特色产业资金补 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科技进步奖补助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深圳骨干企业财政奖励 金补助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监控信息安全工程技术 研究开发中心提升项目 补助资金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8,788,600.00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9,860,249.96</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026"/>
      <w:bookmarkEnd w:id="1027"/>
      <w:bookmarkEnd w:id="102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20"/>
        <w:gridCol w:w="1920"/>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 的金额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85,360.01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85,360.01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85,360.01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1,120,250.00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16,518.04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22,121.99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71,048.80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22,121.99</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1,232,732.00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87,566.84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1,232,732.00</w:t>
            </w:r>
          </w:p>
        </w:tc>
      </w:tr>
    </w:tbl>
    <w:p>
      <w:pPr>
        <w:widowControl w:val="0"/>
        <w:spacing w:after="7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营业外支出说明</w:t>
      </w:r>
    </w:p>
    <w:p>
      <w:pPr>
        <w:pStyle w:val="Style35"/>
        <w:keepNext/>
        <w:keepLines/>
        <w:widowControl w:val="0"/>
        <w:shd w:val="clear" w:color="auto" w:fill="auto"/>
        <w:bidi w:val="0"/>
        <w:spacing w:before="0" w:after="36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030"/>
      <w:bookmarkEnd w:id="1031"/>
      <w:bookmarkEnd w:id="103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4,378,918.57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4,647,185.82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-954,736.40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-1,394,267.23</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3,424,182.17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3,252,918.59</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w:t>
      </w:r>
      <w:bookmarkEnd w:id="1036"/>
      <w:r>
        <w:rPr>
          <w:rFonts w:ascii="Times New Roman" w:eastAsia="Times New Roman" w:hAnsi="Times New Roman" w:cs="Times New Roman"/>
          <w:color w:val="000000"/>
          <w:spacing w:val="0"/>
          <w:w w:val="100"/>
          <w:position w:val="0"/>
        </w:rPr>
        <w:t>8</w:t>
      </w:r>
      <w:r>
        <w:rPr>
          <w:color w:val="000000"/>
          <w:spacing w:val="0"/>
          <w:w w:val="100"/>
          <w:position w:val="0"/>
        </w:rPr>
        <w:t>、基本每股收益和稀释每股收益的计算过程</w:t>
      </w:r>
      <w:bookmarkEnd w:id="1034"/>
      <w:bookmarkEnd w:id="1035"/>
      <w:bookmarkEnd w:id="1037"/>
    </w:p>
    <w:tbl>
      <w:tblPr>
        <w:tblOverlap w:val="never"/>
        <w:jc w:val="center"/>
        <w:tblLayout w:type="fixed"/>
      </w:tblPr>
      <w:tblGrid>
        <w:gridCol w:w="2026"/>
        <w:gridCol w:w="1709"/>
        <w:gridCol w:w="5357"/>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计算过程</w:t>
            </w:r>
          </w:p>
        </w:tc>
      </w:tr>
      <w:tr>
        <w:trPr>
          <w:trHeight w:val="350"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 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25,140,974.57/70,700,000.00=0.36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39,007,060.36/64,800,000.00=0.6</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5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扣除非经常性损益后归属 于公司普通股股东的净利 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21,256,983.47/70,700,000.00=0.30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年度</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31,900,050.58/64,800,000.00=0.49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3</w:t>
      </w:r>
      <w:bookmarkEnd w:id="1040"/>
      <w:r>
        <w:rPr>
          <w:rFonts w:ascii="Times New Roman" w:eastAsia="Times New Roman" w:hAnsi="Times New Roman" w:cs="Times New Roman"/>
          <w:color w:val="000000"/>
          <w:spacing w:val="0"/>
          <w:w w:val="100"/>
          <w:position w:val="0"/>
        </w:rPr>
        <w:t>9</w:t>
      </w:r>
      <w:r>
        <w:rPr>
          <w:color w:val="000000"/>
          <w:spacing w:val="0"/>
          <w:w w:val="100"/>
          <w:position w:val="0"/>
        </w:rPr>
        <w:t>、现金流量表附注</w:t>
      </w:r>
      <w:bookmarkEnd w:id="1038"/>
      <w:bookmarkEnd w:id="1039"/>
      <w:bookmarkEnd w:id="1041"/>
    </w:p>
    <w:p>
      <w:pPr>
        <w:pStyle w:val="Style38"/>
        <w:keepNext/>
        <w:keepLines/>
        <w:widowControl w:val="0"/>
        <w:shd w:val="clear" w:color="auto" w:fill="auto"/>
        <w:bidi w:val="0"/>
        <w:spacing w:before="0" w:after="340" w:line="240" w:lineRule="auto"/>
        <w:ind w:left="0" w:right="0" w:firstLine="0"/>
        <w:jc w:val="left"/>
      </w:pPr>
      <w:bookmarkStart w:id="1042" w:name="bookmark1042"/>
      <w:bookmarkStart w:id="1043" w:name="bookmark1043"/>
      <w:bookmarkStart w:id="1044" w:name="bookmark10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042"/>
      <w:bookmarkEnd w:id="1043"/>
      <w:bookmarkEnd w:id="104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13,178,600.00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收回往来款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12,270,692.56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5,910,270.84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70,905.50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31,430,468.90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39" w:line="1" w:lineRule="exact"/>
      </w:pPr>
    </w:p>
    <w:p>
      <w:pPr>
        <w:pStyle w:val="Style38"/>
        <w:keepNext/>
        <w:keepLines/>
        <w:widowControl w:val="0"/>
        <w:shd w:val="clear" w:color="auto" w:fill="auto"/>
        <w:bidi w:val="0"/>
        <w:spacing w:before="0" w:after="340" w:line="240" w:lineRule="auto"/>
        <w:ind w:left="0" w:right="0" w:firstLine="140"/>
        <w:jc w:val="left"/>
      </w:pPr>
      <w:bookmarkStart w:id="1045" w:name="bookmark1045"/>
      <w:bookmarkStart w:id="1046" w:name="bookmark1046"/>
      <w:bookmarkStart w:id="1047" w:name="bookmark10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045"/>
      <w:bookmarkEnd w:id="1046"/>
      <w:bookmarkEnd w:id="104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支付除员工薪酬外的管理费用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25,229,863.02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支付除员工薪酬外的销售费用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11,584,389.34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支付往来款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1,906,959.14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1,429,603.19</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40,150,814.69</w:t>
            </w:r>
          </w:p>
        </w:tc>
      </w:tr>
    </w:tbl>
    <w:p>
      <w:pPr>
        <w:widowControl w:val="0"/>
        <w:spacing w:after="79" w:line="1" w:lineRule="exact"/>
      </w:pPr>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支付的其他与经营活动有关的现金说明</w:t>
      </w:r>
    </w:p>
    <w:p>
      <w:pPr>
        <w:pStyle w:val="Style38"/>
        <w:keepNext/>
        <w:keepLines/>
        <w:widowControl w:val="0"/>
        <w:shd w:val="clear" w:color="auto" w:fill="auto"/>
        <w:bidi w:val="0"/>
        <w:spacing w:before="0" w:after="34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048"/>
      <w:bookmarkEnd w:id="1049"/>
      <w:bookmarkEnd w:id="105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购买博海通讯少数股东股权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4,320,000.00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4,320,000.00</w:t>
            </w:r>
          </w:p>
        </w:tc>
      </w:tr>
    </w:tbl>
    <w:p>
      <w:pPr>
        <w:spacing w:lineRule="exact" w:line="1"/>
        <w:rPr>
          <w:sz w:val="2"/>
          <w:szCs w:val="2"/>
        </w:rPr>
      </w:pPr>
      <w:r>
        <w:br w:type="page"/>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5"/>
        <w:keepNext/>
        <w:keepLines/>
        <w:widowControl w:val="0"/>
        <w:shd w:val="clear" w:color="auto" w:fill="auto"/>
        <w:bidi w:val="0"/>
        <w:spacing w:before="0" w:after="36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4</w:t>
      </w:r>
      <w:bookmarkEnd w:id="1054"/>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052"/>
      <w:bookmarkEnd w:id="1053"/>
      <w:bookmarkEnd w:id="1055"/>
    </w:p>
    <w:p>
      <w:pPr>
        <w:pStyle w:val="Style38"/>
        <w:keepNext/>
        <w:keepLines/>
        <w:widowControl w:val="0"/>
        <w:shd w:val="clear" w:color="auto" w:fill="auto"/>
        <w:bidi w:val="0"/>
        <w:spacing w:before="0" w:line="240" w:lineRule="auto"/>
        <w:ind w:left="0" w:right="0" w:firstLine="0"/>
        <w:jc w:val="left"/>
      </w:pPr>
      <w:bookmarkStart w:id="1056" w:name="bookmark1056"/>
      <w:bookmarkStart w:id="1057" w:name="bookmark1057"/>
      <w:bookmarkStart w:id="1058" w:name="bookmark10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056"/>
      <w:bookmarkEnd w:id="1057"/>
      <w:bookmarkEnd w:id="105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0"/>
        <w:gridCol w:w="2669"/>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22,293,142.18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37,207,267.63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4,859,629.09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4,076,254.14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11,049,232.15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7,813,015.18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661,017.29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428,331.91</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77,225.17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132,376.74</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50" w:lineRule="exact"/>
              <w:ind w:left="0" w:right="0" w:firstLine="0"/>
              <w:jc w:val="both"/>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-68,305.01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180,959.44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746,446.70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836,038.07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442,251.51</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-954,736.40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-1,394,267.23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-8,662,237.20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3,693,661.53</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1,593,406.81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-35,749,845.04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3,965,581.69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54,799,527.21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35,821,429.72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75,195,020.28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328,034,949.52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323,891,627.84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323,891,627.84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58,889,310.06</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4,143,321.68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265,002,317.78</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140"/>
        <w:jc w:val="left"/>
      </w:pPr>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059"/>
      <w:bookmarkEnd w:id="1060"/>
      <w:bookmarkEnd w:id="106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0"/>
        <w:gridCol w:w="2669"/>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.取得子公司及其他营业单位的价格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7,600,000.00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7,600,000.00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减：子公司及其他营业单位持有的现金和现金等价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1,479,440.72</w:t>
            </w:r>
          </w:p>
        </w:tc>
      </w:tr>
    </w:tbl>
    <w:p>
      <w:pPr>
        <w:spacing w:lineRule="exact" w:line="1"/>
        <w:rPr>
          <w:sz w:val="2"/>
          <w:szCs w:val="2"/>
        </w:rPr>
      </w:pPr>
      <w:r>
        <w:br w:type="page"/>
      </w:r>
    </w:p>
    <w:tbl>
      <w:tblPr>
        <w:tblOverlap w:val="never"/>
        <w:jc w:val="center"/>
        <w:tblLayout w:type="fixed"/>
      </w:tblPr>
      <w:tblGrid>
        <w:gridCol w:w="4397"/>
        <w:gridCol w:w="2520"/>
        <w:gridCol w:w="2669"/>
      </w:tblGrid>
      <w:tr>
        <w:trPr>
          <w:trHeight w:val="36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6,120,559.28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取得子公司的净资产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6,126,643.66</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43,067,705.54</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3,069,810.50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40,010,872.38</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8"/>
        <w:keepNext/>
        <w:keepLines/>
        <w:widowControl w:val="0"/>
        <w:numPr>
          <w:ilvl w:val="0"/>
          <w:numId w:val="21"/>
        </w:numPr>
        <w:shd w:val="clear" w:color="auto" w:fill="auto"/>
        <w:bidi w:val="0"/>
        <w:spacing w:before="0" w:line="240" w:lineRule="auto"/>
        <w:ind w:left="0" w:right="0" w:firstLine="14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现金和现金等价物的构成</w:t>
      </w:r>
      <w:bookmarkEnd w:id="1062"/>
      <w:bookmarkEnd w:id="1063"/>
      <w:bookmarkEnd w:id="106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9"/>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328,034,949.52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323,891,627.84</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50,589.80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66,200.89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327,984,359.72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323,825,426.95</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328,034,949.52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323,891,627.84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sz w:val="24"/>
          <w:szCs w:val="24"/>
        </w:rPr>
        <w:t>八</w:t>
      </w:r>
      <w:bookmarkEnd w:id="1068"/>
      <w:r>
        <w:rPr>
          <w:color w:val="000000"/>
          <w:spacing w:val="0"/>
          <w:w w:val="100"/>
          <w:position w:val="0"/>
          <w:sz w:val="24"/>
          <w:szCs w:val="24"/>
        </w:rPr>
        <w:t>、关联方及关联交易</w:t>
      </w:r>
      <w:bookmarkEnd w:id="1066"/>
      <w:bookmarkEnd w:id="1067"/>
      <w:bookmarkEnd w:id="1069"/>
    </w:p>
    <w:p>
      <w:pPr>
        <w:pStyle w:val="Style35"/>
        <w:keepNext/>
        <w:keepLines/>
        <w:widowControl w:val="0"/>
        <w:shd w:val="clear" w:color="auto" w:fill="auto"/>
        <w:bidi w:val="0"/>
        <w:spacing w:before="0" w:after="320" w:line="240" w:lineRule="auto"/>
        <w:ind w:left="0" w:right="0" w:firstLine="0"/>
        <w:jc w:val="left"/>
      </w:pPr>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070"/>
      <w:bookmarkEnd w:id="1071"/>
      <w:bookmarkEnd w:id="1072"/>
    </w:p>
    <w:tbl>
      <w:tblPr>
        <w:tblOverlap w:val="never"/>
        <w:jc w:val="center"/>
        <w:tblLayout w:type="fixed"/>
      </w:tblPr>
      <w:tblGrid>
        <w:gridCol w:w="878"/>
        <w:gridCol w:w="869"/>
        <w:gridCol w:w="874"/>
        <w:gridCol w:w="869"/>
        <w:gridCol w:w="869"/>
        <w:gridCol w:w="869"/>
        <w:gridCol w:w="874"/>
        <w:gridCol w:w="869"/>
        <w:gridCol w:w="869"/>
        <w:gridCol w:w="869"/>
        <w:gridCol w:w="874"/>
      </w:tblGrid>
      <w:tr>
        <w:trPr>
          <w:trHeight w:val="1349"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母公司对 本企业的 持股比例</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本企业最 终控制方</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bl>
    <w:p>
      <w:pPr>
        <w:widowControl w:val="0"/>
        <w:spacing w:after="7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本企业的母公司情况的说明</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自然人景晓军持有本公司</w:t>
      </w:r>
      <w:r>
        <w:rPr>
          <w:rFonts w:ascii="Times New Roman" w:eastAsia="Times New Roman" w:hAnsi="Times New Roman" w:cs="Times New Roman"/>
          <w:color w:val="000000"/>
          <w:spacing w:val="0"/>
          <w:w w:val="100"/>
          <w:position w:val="0"/>
        </w:rPr>
        <w:t>53.45%</w:t>
      </w:r>
      <w:r>
        <w:rPr>
          <w:color w:val="000000"/>
          <w:spacing w:val="0"/>
          <w:w w:val="100"/>
          <w:position w:val="0"/>
        </w:rPr>
        <w:t>的具有表决权的股份，为公司的控股股东。</w:t>
      </w:r>
    </w:p>
    <w:p>
      <w:pPr>
        <w:pStyle w:val="Style35"/>
        <w:keepNext/>
        <w:keepLines/>
        <w:widowControl w:val="0"/>
        <w:shd w:val="clear" w:color="auto" w:fill="auto"/>
        <w:bidi w:val="0"/>
        <w:spacing w:before="0" w:after="320" w:line="240" w:lineRule="auto"/>
        <w:ind w:left="0" w:right="0" w:firstLine="0"/>
        <w:jc w:val="left"/>
      </w:pPr>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073"/>
      <w:bookmarkEnd w:id="1074"/>
      <w:bookmarkEnd w:id="1075"/>
    </w:p>
    <w:tbl>
      <w:tblPr>
        <w:tblOverlap w:val="never"/>
        <w:jc w:val="center"/>
        <w:tblLayout w:type="fixed"/>
      </w:tblPr>
      <w:tblGrid>
        <w:gridCol w:w="965"/>
        <w:gridCol w:w="955"/>
        <w:gridCol w:w="955"/>
        <w:gridCol w:w="960"/>
        <w:gridCol w:w="960"/>
        <w:gridCol w:w="955"/>
        <w:gridCol w:w="955"/>
        <w:gridCol w:w="955"/>
        <w:gridCol w:w="960"/>
        <w:gridCol w:w="965"/>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right"/>
            </w:pPr>
            <w:r>
              <w:rPr>
                <w:color w:val="000000"/>
                <w:spacing w:val="0"/>
                <w:w w:val="100"/>
                <w:position w:val="0"/>
              </w:rPr>
              <w:t>表决权比例</w:t>
            </w:r>
          </w:p>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组织机构代</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深圳市任网 游科技发展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78831832-0</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深圳市任子 行科技开发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55387242-3</w:t>
            </w:r>
          </w:p>
        </w:tc>
      </w:tr>
    </w:tbl>
    <w:p>
      <w:pPr>
        <w:spacing w:lineRule="exact" w:line="1"/>
        <w:rPr>
          <w:sz w:val="2"/>
          <w:szCs w:val="2"/>
        </w:rPr>
      </w:pPr>
      <w:r>
        <w:br w:type="page"/>
      </w:r>
    </w:p>
    <w:tbl>
      <w:tblPr>
        <w:tblOverlap w:val="never"/>
        <w:jc w:val="center"/>
        <w:tblLayout w:type="fixed"/>
      </w:tblPr>
      <w:tblGrid>
        <w:gridCol w:w="965"/>
        <w:gridCol w:w="955"/>
        <w:gridCol w:w="955"/>
        <w:gridCol w:w="960"/>
        <w:gridCol w:w="960"/>
        <w:gridCol w:w="955"/>
        <w:gridCol w:w="955"/>
        <w:gridCol w:w="955"/>
        <w:gridCol w:w="960"/>
        <w:gridCol w:w="965"/>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武汉任子行 软件技术有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07447932-5</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成都网娱互 动网络科技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网络游戏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07537484-0</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深圳市博海 通讯技术有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6,000,000.0</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76915378-6</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3</w:t>
      </w:r>
      <w:bookmarkEnd w:id="1078"/>
      <w:r>
        <w:rPr>
          <w:color w:val="000000"/>
          <w:spacing w:val="0"/>
          <w:w w:val="100"/>
          <w:position w:val="0"/>
        </w:rPr>
        <w:t>、本企业的合营和联营企业情况</w:t>
      </w:r>
      <w:bookmarkEnd w:id="1076"/>
      <w:bookmarkEnd w:id="1077"/>
      <w:bookmarkEnd w:id="1079"/>
    </w:p>
    <w:tbl>
      <w:tblPr>
        <w:tblOverlap w:val="never"/>
        <w:jc w:val="center"/>
        <w:tblLayout w:type="fixed"/>
      </w:tblPr>
      <w:tblGrid>
        <w:gridCol w:w="960"/>
        <w:gridCol w:w="955"/>
        <w:gridCol w:w="960"/>
        <w:gridCol w:w="955"/>
        <w:gridCol w:w="955"/>
        <w:gridCol w:w="960"/>
        <w:gridCol w:w="955"/>
        <w:gridCol w:w="960"/>
        <w:gridCol w:w="955"/>
        <w:gridCol w:w="970"/>
      </w:tblGrid>
      <w:tr>
        <w:trPr>
          <w:trHeight w:val="1344"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314" w:lineRule="exact"/>
              <w:ind w:left="0" w:right="0" w:firstLine="0"/>
              <w:jc w:val="center"/>
            </w:pPr>
            <w:r>
              <w:rPr>
                <w:color w:val="000000"/>
                <w:spacing w:val="0"/>
                <w:w w:val="100"/>
                <w:position w:val="0"/>
              </w:rPr>
              <w:t>本企业在被 投资单位表 决权比例</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组织机构代</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403" w:hRule="exact"/>
        </w:trPr>
        <w:tc>
          <w:tcPr>
            <w:gridSpan w:val="10"/>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0"/>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北京中天 信安科技 有限责任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计算机应用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重大影响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59968335-3</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4</w:t>
      </w:r>
      <w:bookmarkEnd w:id="1082"/>
      <w:r>
        <w:rPr>
          <w:color w:val="000000"/>
          <w:spacing w:val="0"/>
          <w:w w:val="100"/>
          <w:position w:val="0"/>
        </w:rPr>
        <w:t>、本企业的其他关联方情况</w:t>
      </w:r>
      <w:bookmarkEnd w:id="1080"/>
      <w:bookmarkEnd w:id="1081"/>
      <w:bookmarkEnd w:id="1083"/>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其他关联方名称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深圳市华信远景投资咨询有限公司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55034698-9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天津东方富海股权投资基金合伙企业</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69405351-X</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本公司股东、董事</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景晓东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牛京国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付昭阳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闵锐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肖建军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潘绿英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本公司职工监事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师召辉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本公司股东、监事</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何小荣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沈智杰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本公司股东、副总裁</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本公司股东、副总裁</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本公司股东、副总裁</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周益斌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本公司财务总监</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深圳市翰博天宝艺术品有限公司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受同一控制人控制的企业</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68535971-X</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本企业的其他关联方情况的说明</w:t>
      </w:r>
    </w:p>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sz w:val="24"/>
          <w:szCs w:val="24"/>
        </w:rPr>
        <w:t>九</w:t>
      </w:r>
      <w:bookmarkEnd w:id="1086"/>
      <w:r>
        <w:rPr>
          <w:color w:val="000000"/>
          <w:spacing w:val="0"/>
          <w:w w:val="100"/>
          <w:position w:val="0"/>
          <w:sz w:val="24"/>
          <w:szCs w:val="24"/>
        </w:rPr>
        <w:t>、承诺事项</w:t>
      </w:r>
      <w:bookmarkEnd w:id="1084"/>
      <w:bookmarkEnd w:id="1085"/>
      <w:bookmarkEnd w:id="1087"/>
    </w:p>
    <w:p>
      <w:pPr>
        <w:pStyle w:val="Style35"/>
        <w:keepNext/>
        <w:keepLines/>
        <w:widowControl w:val="0"/>
        <w:shd w:val="clear" w:color="auto" w:fill="auto"/>
        <w:bidi w:val="0"/>
        <w:spacing w:before="0" w:after="320" w:line="240" w:lineRule="auto"/>
        <w:ind w:left="0" w:right="0" w:firstLine="0"/>
        <w:jc w:val="left"/>
      </w:pPr>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088"/>
      <w:bookmarkEnd w:id="1089"/>
      <w:bookmarkEnd w:id="1090"/>
    </w:p>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30"/>
        <w:keepNext/>
        <w:keepLines/>
        <w:widowControl w:val="0"/>
        <w:shd w:val="clear" w:color="auto" w:fill="auto"/>
        <w:bidi w:val="0"/>
        <w:spacing w:before="0" w:line="240" w:lineRule="auto"/>
        <w:ind w:left="0" w:right="0" w:firstLine="0"/>
        <w:jc w:val="left"/>
      </w:pPr>
      <w:bookmarkStart w:id="1091" w:name="bookmark1091"/>
      <w:bookmarkStart w:id="1092" w:name="bookmark1092"/>
      <w:bookmarkStart w:id="1093" w:name="bookmark1093"/>
      <w:r>
        <w:rPr>
          <w:color w:val="000000"/>
          <w:spacing w:val="0"/>
          <w:w w:val="100"/>
          <w:position w:val="0"/>
          <w:sz w:val="24"/>
          <w:szCs w:val="24"/>
        </w:rPr>
        <w:t>十、资产负债表日后事项</w:t>
      </w:r>
      <w:bookmarkEnd w:id="1091"/>
      <w:bookmarkEnd w:id="1092"/>
      <w:bookmarkEnd w:id="1093"/>
    </w:p>
    <w:p>
      <w:pPr>
        <w:pStyle w:val="Style35"/>
        <w:keepNext/>
        <w:keepLines/>
        <w:widowControl w:val="0"/>
        <w:shd w:val="clear" w:color="auto" w:fill="auto"/>
        <w:bidi w:val="0"/>
        <w:spacing w:before="0" w:after="380" w:line="240" w:lineRule="auto"/>
        <w:ind w:left="0" w:right="0" w:firstLine="0"/>
        <w:jc w:val="left"/>
      </w:pPr>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r>
        <w:rPr>
          <w:color w:val="000000"/>
          <w:spacing w:val="0"/>
          <w:w w:val="100"/>
          <w:position w:val="0"/>
        </w:rPr>
        <w:t>、资产负债表日后利润分配情况说明</w:t>
      </w:r>
      <w:bookmarkEnd w:id="1094"/>
      <w:bookmarkEnd w:id="1095"/>
      <w:bookmarkEnd w:id="1096"/>
    </w:p>
    <w:p>
      <w:pPr>
        <w:pStyle w:val="Style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7,070,000.00</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both"/>
      </w:pPr>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097"/>
      <w:bookmarkEnd w:id="1098"/>
      <w:bookmarkEnd w:id="1099"/>
    </w:p>
    <w:p>
      <w:pPr>
        <w:pStyle w:val="Style9"/>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日，公司第二届董事会第七次会议审议通过了公司</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年度利润分配预案，以截至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日公司总股本 </w:t>
      </w:r>
      <w:r>
        <w:rPr>
          <w:rFonts w:ascii="Times New Roman" w:eastAsia="Times New Roman" w:hAnsi="Times New Roman" w:cs="Times New Roman"/>
          <w:color w:val="000000"/>
          <w:spacing w:val="0"/>
          <w:w w:val="100"/>
          <w:position w:val="0"/>
        </w:rPr>
        <w:t>7,070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color w:val="000000"/>
          <w:spacing w:val="0"/>
          <w:w w:val="100"/>
          <w:position w:val="0"/>
        </w:rPr>
        <w:t>元人民币(含税)，同时进行资本公积金转增股本，以</w:t>
      </w:r>
      <w:r>
        <w:rPr>
          <w:rFonts w:ascii="Times New Roman" w:eastAsia="Times New Roman" w:hAnsi="Times New Roman" w:cs="Times New Roman"/>
          <w:color w:val="000000"/>
          <w:spacing w:val="0"/>
          <w:w w:val="100"/>
          <w:position w:val="0"/>
        </w:rPr>
        <w:t>7,070</w:t>
      </w:r>
      <w:r>
        <w:rPr>
          <w:color w:val="000000"/>
          <w:spacing w:val="0"/>
          <w:w w:val="100"/>
          <w:position w:val="0"/>
        </w:rPr>
        <w:t>万股为基数向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股，共计转增</w:t>
      </w:r>
      <w:r>
        <w:rPr>
          <w:rFonts w:ascii="Times New Roman" w:eastAsia="Times New Roman" w:hAnsi="Times New Roman" w:cs="Times New Roman"/>
          <w:color w:val="000000"/>
          <w:spacing w:val="0"/>
          <w:w w:val="100"/>
          <w:position w:val="0"/>
        </w:rPr>
        <w:t>4,242</w:t>
      </w:r>
      <w:r>
        <w:rPr>
          <w:color w:val="000000"/>
          <w:spacing w:val="0"/>
          <w:w w:val="100"/>
          <w:position w:val="0"/>
        </w:rPr>
        <w:t>万股，转增后公司总股本将增加至</w:t>
      </w:r>
      <w:r>
        <w:rPr>
          <w:rFonts w:ascii="Times New Roman" w:eastAsia="Times New Roman" w:hAnsi="Times New Roman" w:cs="Times New Roman"/>
          <w:color w:val="000000"/>
          <w:spacing w:val="0"/>
          <w:w w:val="100"/>
          <w:position w:val="0"/>
        </w:rPr>
        <w:t>11,312</w:t>
      </w:r>
      <w:r>
        <w:rPr>
          <w:color w:val="000000"/>
          <w:spacing w:val="0"/>
          <w:w w:val="100"/>
          <w:position w:val="0"/>
        </w:rPr>
        <w:t>万股。上述利润分配预案尚需公司</w:t>
      </w:r>
      <w:r>
        <w:rPr>
          <w:rFonts w:ascii="Times New Roman" w:eastAsia="Times New Roman" w:hAnsi="Times New Roman" w:cs="Times New Roman"/>
          <w:color w:val="000000"/>
          <w:spacing w:val="0"/>
          <w:w w:val="100"/>
          <w:position w:val="0"/>
        </w:rPr>
        <w:t>2013</w:t>
      </w:r>
      <w:r>
        <w:rPr>
          <w:color w:val="000000"/>
          <w:spacing w:val="0"/>
          <w:w w:val="100"/>
          <w:position w:val="0"/>
        </w:rPr>
        <w:t>年 度股东大会批准实施。</w:t>
      </w:r>
    </w:p>
    <w:p>
      <w:pPr>
        <w:pStyle w:val="Style9"/>
        <w:keepNext w:val="0"/>
        <w:keepLines w:val="0"/>
        <w:widowControl w:val="0"/>
        <w:shd w:val="clear" w:color="auto" w:fill="auto"/>
        <w:bidi w:val="0"/>
        <w:spacing w:before="0" w:after="320" w:line="315" w:lineRule="exact"/>
        <w:ind w:left="0" w:right="0" w:firstLine="0"/>
        <w:jc w:val="both"/>
      </w:pPr>
      <w:r>
        <w:rPr>
          <w:color w:val="000000"/>
          <w:spacing w:val="0"/>
          <w:w w:val="100"/>
          <w:position w:val="0"/>
        </w:rPr>
        <w:t>除上述事项外，截至本财务报告签发日止，本公司不存在其他应披露的资产负债表日后事项。</w:t>
      </w:r>
    </w:p>
    <w:p>
      <w:pPr>
        <w:pStyle w:val="Style30"/>
        <w:keepNext/>
        <w:keepLines/>
        <w:widowControl w:val="0"/>
        <w:shd w:val="clear" w:color="auto" w:fill="auto"/>
        <w:bidi w:val="0"/>
        <w:spacing w:before="0" w:line="240" w:lineRule="auto"/>
        <w:ind w:left="0" w:right="0" w:firstLine="0"/>
        <w:jc w:val="both"/>
      </w:pPr>
      <w:bookmarkStart w:id="1100" w:name="bookmark1100"/>
      <w:bookmarkStart w:id="1101" w:name="bookmark1101"/>
      <w:bookmarkStart w:id="1102" w:name="bookmark1102"/>
      <w:r>
        <w:rPr>
          <w:color w:val="000000"/>
          <w:spacing w:val="0"/>
          <w:w w:val="100"/>
          <w:position w:val="0"/>
          <w:sz w:val="24"/>
          <w:szCs w:val="24"/>
        </w:rPr>
        <w:t>十一、母公司财务报表主要项目注释</w:t>
      </w:r>
      <w:bookmarkEnd w:id="1100"/>
      <w:bookmarkEnd w:id="1101"/>
      <w:bookmarkEnd w:id="1102"/>
    </w:p>
    <w:p>
      <w:pPr>
        <w:pStyle w:val="Style35"/>
        <w:keepNext/>
        <w:keepLines/>
        <w:widowControl w:val="0"/>
        <w:shd w:val="clear" w:color="auto" w:fill="auto"/>
        <w:bidi w:val="0"/>
        <w:spacing w:before="0" w:after="320" w:line="240" w:lineRule="auto"/>
        <w:ind w:left="0" w:right="0" w:firstLine="0"/>
        <w:jc w:val="both"/>
      </w:pPr>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03"/>
      <w:bookmarkEnd w:id="1104"/>
      <w:bookmarkEnd w:id="1105"/>
    </w:p>
    <w:p>
      <w:pPr>
        <w:pStyle w:val="Style35"/>
        <w:keepNext/>
        <w:keepLines/>
        <w:widowControl w:val="0"/>
        <w:shd w:val="clear" w:color="auto" w:fill="auto"/>
        <w:bidi w:val="0"/>
        <w:spacing w:before="0" w:after="320" w:line="240" w:lineRule="auto"/>
        <w:ind w:left="0" w:right="0" w:firstLine="0"/>
        <w:jc w:val="both"/>
      </w:pPr>
      <w:bookmarkStart w:id="1103" w:name="bookmark1103"/>
      <w:bookmarkStart w:id="1104" w:name="bookmark11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03"/>
      <w:bookmarkEnd w:id="1104"/>
    </w:p>
    <w:p>
      <w:pPr>
        <w:pStyle w:val="Style22"/>
        <w:keepNext w:val="0"/>
        <w:keepLines w:val="0"/>
        <w:widowControl w:val="0"/>
        <w:shd w:val="clear" w:color="auto" w:fill="auto"/>
        <w:bidi w:val="0"/>
        <w:spacing w:before="0" w:after="0" w:line="240" w:lineRule="auto"/>
        <w:ind w:left="0" w:right="0" w:firstLine="0"/>
        <w:jc w:val="right"/>
      </w:pPr>
      <w:bookmarkStart w:id="1106" w:name="bookmark1106"/>
      <w:r>
        <w:rPr>
          <w:color w:val="000000"/>
          <w:spacing w:val="0"/>
          <w:w w:val="100"/>
          <w:position w:val="0"/>
        </w:rPr>
        <w:t>单位： 元</w:t>
      </w:r>
      <w:bookmarkEnd w:id="1106"/>
    </w:p>
    <w:tbl>
      <w:tblPr>
        <w:tblOverlap w:val="never"/>
        <w:jc w:val="center"/>
        <w:tblLayout w:type="fixed"/>
      </w:tblPr>
      <w:tblGrid>
        <w:gridCol w:w="2006"/>
        <w:gridCol w:w="1190"/>
        <w:gridCol w:w="533"/>
        <w:gridCol w:w="1330"/>
        <w:gridCol w:w="658"/>
        <w:gridCol w:w="1200"/>
        <w:gridCol w:w="662"/>
        <w:gridCol w:w="1330"/>
        <w:gridCol w:w="677"/>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1,732,434.96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519,730.49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9"/>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bl>
    <w:p>
      <w:pPr>
        <w:spacing w:lineRule="exact" w:line="1"/>
        <w:rPr>
          <w:sz w:val="2"/>
          <w:szCs w:val="2"/>
        </w:rPr>
      </w:pPr>
      <w:r>
        <w:br w:type="page"/>
      </w:r>
    </w:p>
    <w:tbl>
      <w:tblPr>
        <w:tblOverlap w:val="never"/>
        <w:jc w:val="center"/>
        <w:tblLayout w:type="fixed"/>
      </w:tblPr>
      <w:tblGrid>
        <w:gridCol w:w="2006"/>
        <w:gridCol w:w="1190"/>
        <w:gridCol w:w="533"/>
        <w:gridCol w:w="1330"/>
        <w:gridCol w:w="662"/>
        <w:gridCol w:w="1195"/>
        <w:gridCol w:w="667"/>
        <w:gridCol w:w="1325"/>
        <w:gridCol w:w="677"/>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按照账龄组合计提坏账 准备的应收账款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26,870,331.88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93.94</w:t>
            </w:r>
          </w:p>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4,396,035.91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34,179,406.27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4,123,918.59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26,870,331.88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93.94</w:t>
            </w:r>
          </w:p>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4,396,035.91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34,179,406.27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4,123,918.59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28,602,766.84</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4,915,766.40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34,179,406.27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4,123,918.59</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应收账款种类的说明</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7"/>
        <w:gridCol w:w="1622"/>
        <w:gridCol w:w="1622"/>
        <w:gridCol w:w="1627"/>
        <w:gridCol w:w="1637"/>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国家计算机网络应急技术处理协调中 心新疆分中心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1,732,434.96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519,730.49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1,732,434.96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519,730.49</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组合中，采用账龄分析法计提坏账准备的应收账款</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997"/>
        <w:gridCol w:w="662"/>
        <w:gridCol w:w="1459"/>
        <w:gridCol w:w="2126"/>
        <w:gridCol w:w="667"/>
        <w:gridCol w:w="1603"/>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14,801,510.78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739,608.54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25,564,298.71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1,278,214.94</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8,217,284.00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645,728.40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4,928,703.60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492,870.36</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1,452,625.90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435,787.77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1,910,100.96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576,530.29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2,398,911.20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2,574,911.20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1,776,303.00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1,776,303.00</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26,870,331.88</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4,396,035.91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34,179,406.27</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4,123,918.59</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8"/>
        <w:keepNext/>
        <w:keepLines/>
        <w:widowControl w:val="0"/>
        <w:numPr>
          <w:ilvl w:val="0"/>
          <w:numId w:val="23"/>
        </w:numPr>
        <w:shd w:val="clear" w:color="auto" w:fill="auto"/>
        <w:tabs>
          <w:tab w:pos="488" w:val="left"/>
        </w:tabs>
        <w:bidi w:val="0"/>
        <w:spacing w:before="0" w:after="340" w:line="240" w:lineRule="auto"/>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金额较大的其他的应收账款的性质或内容</w:t>
      </w:r>
      <w:bookmarkEnd w:id="1107"/>
      <w:bookmarkEnd w:id="1108"/>
      <w:bookmarkEnd w:id="1110"/>
    </w:p>
    <w:p>
      <w:pPr>
        <w:pStyle w:val="Style38"/>
        <w:keepNext/>
        <w:keepLines/>
        <w:widowControl w:val="0"/>
        <w:numPr>
          <w:ilvl w:val="0"/>
          <w:numId w:val="23"/>
        </w:numPr>
        <w:shd w:val="clear" w:color="auto" w:fill="auto"/>
        <w:tabs>
          <w:tab w:pos="488" w:val="left"/>
        </w:tabs>
        <w:bidi w:val="0"/>
        <w:spacing w:before="0" w:after="340" w:line="240" w:lineRule="auto"/>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应收账款中金额前五名单位情况</w:t>
      </w:r>
      <w:bookmarkEnd w:id="1111"/>
      <w:bookmarkEnd w:id="1112"/>
      <w:bookmarkEnd w:id="111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4,522,115.00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1,950,800.00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1,732,434.96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1,077,500.00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10,642,849.96</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37.21%</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both"/>
      </w:pPr>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15"/>
      <w:bookmarkEnd w:id="1116"/>
      <w:bookmarkEnd w:id="1117"/>
    </w:p>
    <w:p>
      <w:pPr>
        <w:pStyle w:val="Style38"/>
        <w:keepNext/>
        <w:keepLines/>
        <w:widowControl w:val="0"/>
        <w:shd w:val="clear" w:color="auto" w:fill="auto"/>
        <w:bidi w:val="0"/>
        <w:spacing w:before="0" w:after="340" w:line="240" w:lineRule="auto"/>
        <w:ind w:left="0" w:right="0" w:firstLine="0"/>
        <w:jc w:val="both"/>
      </w:pPr>
      <w:bookmarkStart w:id="1118" w:name="bookmark1118"/>
      <w:bookmarkStart w:id="1119" w:name="bookmark1119"/>
      <w:bookmarkStart w:id="1120" w:name="bookmark11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18"/>
      <w:bookmarkEnd w:id="1119"/>
      <w:bookmarkEnd w:id="112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454"/>
        <w:gridCol w:w="528"/>
        <w:gridCol w:w="1320"/>
        <w:gridCol w:w="528"/>
        <w:gridCol w:w="1325"/>
        <w:gridCol w:w="528"/>
        <w:gridCol w:w="1190"/>
        <w:gridCol w:w="533"/>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gridSpan w:val="9"/>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按照账龄组合计提坏账准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17,384,504.64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881,241.74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6,060,219.69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900,974.99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17,384,504.64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881,241.74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6,060,219.69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900,974.99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17,384,504.64</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881,241.74</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6,060,219.69</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900,974.99</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其他应收款种类的说明</w:t>
      </w:r>
    </w:p>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期末单项金额重大并单项计提坏账准备的其他应收款</w:t>
      </w:r>
    </w:p>
    <w:p>
      <w:pPr>
        <w:pStyle w:val="Style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组合中，采用账龄分析法计提坏账准备的其他应收款</w:t>
      </w:r>
    </w:p>
    <w:p>
      <w:pPr>
        <w:pStyle w:val="Style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795"/>
        <w:gridCol w:w="662"/>
        <w:gridCol w:w="1594"/>
        <w:gridCol w:w="1862"/>
        <w:gridCol w:w="662"/>
        <w:gridCol w:w="1738"/>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5"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center"/>
        <w:tblLayout w:type="fixed"/>
      </w:tblPr>
      <w:tblGrid>
        <w:gridCol w:w="1272"/>
        <w:gridCol w:w="1795"/>
        <w:gridCol w:w="662"/>
        <w:gridCol w:w="1594"/>
        <w:gridCol w:w="1862"/>
        <w:gridCol w:w="662"/>
        <w:gridCol w:w="1738"/>
      </w:tblGrid>
      <w:tr>
        <w:trPr>
          <w:trHeight w:val="403" w:hRule="exact"/>
        </w:trPr>
        <w:tc>
          <w:tcPr>
            <w:gridSpan w:val="7"/>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14,447,128.10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92,282.96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3,933,475.08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129,973.77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1,373,501.20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34,163.00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1,390,603.76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138,880.37</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1,155,056.79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345,977.23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44,580.00</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408,818.55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408,818.55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587,540.85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587,540.85</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17,384,504.64</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881,241.74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6,060,219.69</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900,974.99</w:t>
            </w:r>
          </w:p>
        </w:tc>
      </w:tr>
    </w:tbl>
    <w:p>
      <w:pPr>
        <w:widowControl w:val="0"/>
        <w:spacing w:after="119" w:line="1" w:lineRule="exact"/>
      </w:pPr>
    </w:p>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组合中，采用余额百分比法计提坏账准备的其他应收款</w:t>
      </w:r>
    </w:p>
    <w:p>
      <w:pPr>
        <w:pStyle w:val="Style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组合中，采用其他方法计提坏账准备的其他应收款</w:t>
      </w:r>
    </w:p>
    <w:p>
      <w:pPr>
        <w:pStyle w:val="Style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期末单项金额虽不重大但单项计提坏账准备的其他应收款</w:t>
      </w:r>
    </w:p>
    <w:p>
      <w:pPr>
        <w:pStyle w:val="Style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both"/>
      </w:pPr>
      <w:bookmarkStart w:id="1121" w:name="bookmark1121"/>
      <w:bookmarkStart w:id="1122" w:name="bookmark1122"/>
      <w:bookmarkStart w:id="1123" w:name="bookmark11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1121"/>
      <w:bookmarkEnd w:id="1122"/>
      <w:bookmarkEnd w:id="112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深圳市博海通讯技术有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12,355,278.70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71.07%</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深圳市任网游科技发展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1,267,821.30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7.29%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广西壮族自治区公安厅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851,600.00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路凤林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雇员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1.44%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深圳市银波达通信技术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223,200.00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1.28%</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14,947,900.00</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85.98%</w:t>
            </w:r>
          </w:p>
        </w:tc>
      </w:tr>
    </w:tbl>
    <w:p>
      <w:pPr>
        <w:widowControl w:val="0"/>
        <w:spacing w:after="299" w:line="1" w:lineRule="exact"/>
      </w:pPr>
    </w:p>
    <w:p>
      <w:pPr>
        <w:pStyle w:val="Style35"/>
        <w:keepNext/>
        <w:keepLines/>
        <w:widowControl w:val="0"/>
        <w:shd w:val="clear" w:color="auto" w:fill="auto"/>
        <w:bidi w:val="0"/>
        <w:spacing w:before="0" w:after="360" w:line="240" w:lineRule="auto"/>
        <w:ind w:left="0" w:right="0" w:firstLine="0"/>
        <w:jc w:val="both"/>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3</w:t>
      </w:r>
      <w:bookmarkEnd w:id="1126"/>
      <w:r>
        <w:rPr>
          <w:color w:val="000000"/>
          <w:spacing w:val="0"/>
          <w:w w:val="100"/>
          <w:position w:val="0"/>
        </w:rPr>
        <w:t>、长期股权投资</w:t>
      </w:r>
      <w:bookmarkEnd w:id="1124"/>
      <w:bookmarkEnd w:id="1125"/>
      <w:bookmarkEnd w:id="112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811"/>
        <w:gridCol w:w="778"/>
        <w:gridCol w:w="806"/>
        <w:gridCol w:w="797"/>
        <w:gridCol w:w="806"/>
      </w:tblGrid>
      <w:tr>
        <w:trPr>
          <w:trHeight w:val="196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9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网游科技 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深圳市任 子行科技 开发有限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深圳市博 海通讯技 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7,600,000</w:t>
            </w:r>
          </w:p>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7,600,000</w:t>
            </w:r>
          </w:p>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4,320,000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11,920,00</w:t>
            </w:r>
          </w:p>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武汉任子 行软件技 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成都网娱 互动网络 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北京中天 信安科技 有限责任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4,557,748</w:t>
            </w:r>
          </w:p>
          <w:p>
            <w:pPr>
              <w:pStyle w:val="Style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-836,038.</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3,721,710</w:t>
            </w:r>
          </w:p>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62,600,00</w:t>
            </w:r>
          </w:p>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42,157,74</w:t>
            </w:r>
          </w:p>
          <w:p>
            <w:pPr>
              <w:pStyle w:val="Style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23,483,96</w:t>
            </w:r>
          </w:p>
          <w:p>
            <w:pPr>
              <w:pStyle w:val="Style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65,641,71</w:t>
            </w:r>
          </w:p>
          <w:p>
            <w:pPr>
              <w:pStyle w:val="Style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0.42</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5"/>
        <w:keepNext/>
        <w:keepLines/>
        <w:widowControl w:val="0"/>
        <w:shd w:val="clear" w:color="auto" w:fill="auto"/>
        <w:bidi w:val="0"/>
        <w:spacing w:before="0" w:after="36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4</w:t>
      </w:r>
      <w:bookmarkEnd w:id="1130"/>
      <w:r>
        <w:rPr>
          <w:color w:val="000000"/>
          <w:spacing w:val="0"/>
          <w:w w:val="100"/>
          <w:position w:val="0"/>
        </w:rPr>
        <w:t>、营业收入和营业成本</w:t>
      </w:r>
      <w:bookmarkEnd w:id="1128"/>
      <w:bookmarkEnd w:id="1129"/>
      <w:bookmarkEnd w:id="1131"/>
    </w:p>
    <w:p>
      <w:pPr>
        <w:pStyle w:val="Style35"/>
        <w:keepNext/>
        <w:keepLines/>
        <w:widowControl w:val="0"/>
        <w:shd w:val="clear" w:color="auto" w:fill="auto"/>
        <w:bidi w:val="0"/>
        <w:spacing w:before="0" w:after="360" w:line="240" w:lineRule="auto"/>
        <w:ind w:left="0" w:right="0" w:firstLine="0"/>
        <w:jc w:val="left"/>
      </w:pPr>
      <w:bookmarkStart w:id="1128" w:name="bookmark1128"/>
      <w:bookmarkStart w:id="1129" w:name="bookmark1129"/>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128"/>
      <w:bookmarkEnd w:id="1129"/>
    </w:p>
    <w:p>
      <w:pPr>
        <w:pStyle w:val="Style22"/>
        <w:keepNext w:val="0"/>
        <w:keepLines w:val="0"/>
        <w:widowControl w:val="0"/>
        <w:shd w:val="clear" w:color="auto" w:fill="auto"/>
        <w:bidi w:val="0"/>
        <w:spacing w:before="0" w:after="0" w:line="240" w:lineRule="auto"/>
        <w:ind w:left="0" w:right="0" w:firstLine="0"/>
        <w:jc w:val="right"/>
      </w:pPr>
      <w:bookmarkStart w:id="1132" w:name="bookmark1132"/>
      <w:r>
        <w:rPr>
          <w:color w:val="000000"/>
          <w:spacing w:val="0"/>
          <w:w w:val="100"/>
          <w:position w:val="0"/>
        </w:rPr>
        <w:t>单位：元</w:t>
      </w:r>
      <w:bookmarkEnd w:id="1132"/>
    </w:p>
    <w:tbl>
      <w:tblPr>
        <w:tblOverlap w:val="never"/>
        <w:jc w:val="center"/>
        <w:tblLayout w:type="fixed"/>
      </w:tblPr>
      <w:tblGrid>
        <w:gridCol w:w="2530"/>
        <w:gridCol w:w="3456"/>
        <w:gridCol w:w="3600"/>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212,165,879.65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172,514,237.05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6,976.00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212,165,879.65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172,521,213.05</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107,097,842.12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bookmarkStart w:id="1133" w:name="bookmark1133"/>
            <w:r>
              <w:rPr>
                <w:rFonts w:ascii="Times New Roman" w:eastAsia="Times New Roman" w:hAnsi="Times New Roman" w:cs="Times New Roman"/>
                <w:color w:val="000000"/>
                <w:spacing w:val="0"/>
                <w:w w:val="100"/>
                <w:position w:val="0"/>
              </w:rPr>
              <w:t>74,770,300.53</w:t>
            </w:r>
            <w:bookmarkEnd w:id="1133"/>
          </w:p>
        </w:tc>
      </w:tr>
    </w:tbl>
    <w:p>
      <w:pPr>
        <w:widowControl w:val="0"/>
        <w:spacing w:after="299" w:line="1" w:lineRule="exact"/>
      </w:pPr>
    </w:p>
    <w:p>
      <w:pPr>
        <w:pStyle w:val="Style6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p>
    <w:p>
      <w:pPr>
        <w:pStyle w:val="Style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66"/>
        <w:gridCol w:w="1862"/>
        <w:gridCol w:w="1862"/>
        <w:gridCol w:w="1858"/>
        <w:gridCol w:w="1738"/>
      </w:tblGrid>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行业名称</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75,970,387.98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6,362,574.05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63,725,263.54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865,291.15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110,794,468.23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86,904,431.63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84,364,387.99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61,723,731.69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25,401,023.44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13,819,259.20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24,424,585.52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12,169,700.51</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bookmarkStart w:id="1134" w:name="bookmark1134"/>
            <w:r>
              <w:rPr>
                <w:rFonts w:ascii="Times New Roman" w:eastAsia="Times New Roman" w:hAnsi="Times New Roman" w:cs="Times New Roman"/>
                <w:color w:val="000000"/>
                <w:spacing w:val="0"/>
                <w:w w:val="100"/>
                <w:position w:val="0"/>
              </w:rPr>
              <w:t>212,165,879.65</w:t>
            </w:r>
            <w:bookmarkEnd w:id="1134"/>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107,086,264.88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172,514,237.05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74,758,723.35</w:t>
            </w:r>
          </w:p>
        </w:tc>
      </w:tr>
    </w:tbl>
    <w:p>
      <w:pPr>
        <w:widowControl w:val="0"/>
        <w:spacing w:after="299" w:line="1" w:lineRule="exact"/>
      </w:pPr>
    </w:p>
    <w:p>
      <w:pPr>
        <w:pStyle w:val="Style64"/>
        <w:keepNext w:val="0"/>
        <w:keepLines w:val="0"/>
        <w:widowControl w:val="0"/>
        <w:numPr>
          <w:ilvl w:val="0"/>
          <w:numId w:val="25"/>
        </w:numPr>
        <w:shd w:val="clear" w:color="auto" w:fill="auto"/>
        <w:bidi w:val="0"/>
        <w:spacing w:before="0" w:line="240" w:lineRule="auto"/>
        <w:ind w:left="0" w:right="0" w:firstLine="0"/>
        <w:jc w:val="left"/>
      </w:pPr>
      <w:bookmarkStart w:id="1135" w:name="bookmark1135"/>
      <w:bookmarkEnd w:id="1135"/>
      <w:r>
        <w:rPr>
          <w:color w:val="000000"/>
          <w:spacing w:val="0"/>
          <w:w w:val="100"/>
          <w:position w:val="0"/>
        </w:rPr>
        <w:t>主营业务(分产品)</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专用安全审计产品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42,018,601.24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25,703,101.11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49,614,103.88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23,435,846.86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通用安全审计产品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88,951,837.40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55,417,570.10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47,614,114.89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9,497,938.38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网络监管产品及安全集成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81,195,441.01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25,965,593.67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75,286,018.28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41,824,938.11</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212,165,879.65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107,086,264.88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bookmarkStart w:id="1136" w:name="bookmark1136"/>
            <w:r>
              <w:rPr>
                <w:rFonts w:ascii="Times New Roman" w:eastAsia="Times New Roman" w:hAnsi="Times New Roman" w:cs="Times New Roman"/>
                <w:color w:val="000000"/>
                <w:spacing w:val="0"/>
                <w:w w:val="100"/>
                <w:position w:val="0"/>
              </w:rPr>
              <w:t>172,514,237.05</w:t>
            </w:r>
            <w:bookmarkEnd w:id="1136"/>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74,758,723.35</w:t>
            </w:r>
          </w:p>
        </w:tc>
      </w:tr>
    </w:tbl>
    <w:p>
      <w:pPr>
        <w:widowControl w:val="0"/>
        <w:spacing w:after="299" w:line="1" w:lineRule="exact"/>
      </w:pPr>
    </w:p>
    <w:p>
      <w:pPr>
        <w:pStyle w:val="Style64"/>
        <w:keepNext w:val="0"/>
        <w:keepLines w:val="0"/>
        <w:widowControl w:val="0"/>
        <w:numPr>
          <w:ilvl w:val="0"/>
          <w:numId w:val="25"/>
        </w:numPr>
        <w:shd w:val="clear" w:color="auto" w:fill="auto"/>
        <w:bidi w:val="0"/>
        <w:spacing w:before="0" w:line="240" w:lineRule="auto"/>
        <w:ind w:left="0" w:right="0" w:firstLine="0"/>
        <w:jc w:val="left"/>
      </w:pPr>
      <w:bookmarkStart w:id="1137" w:name="bookmark1137"/>
      <w:bookmarkEnd w:id="1137"/>
      <w:r>
        <w:rPr>
          <w:color w:val="000000"/>
          <w:spacing w:val="0"/>
          <w:w w:val="100"/>
          <w:position w:val="0"/>
        </w:rPr>
        <w:t>主营业务(分地区)</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3"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10,011,960.04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5,464,555.90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7,561,571.66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2,114,625.95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56,918,834.94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12,315,079.06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52,129,594.22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29,502,998.46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7,635,553.30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3,493,626.23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9,533,574.61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4,468,708.00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96,747,180.40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66,538,208.95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58,544,620.40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18,776,320.14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15,551,313.50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7,730,512.73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11,257,459.27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6,971,612.04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13,072,274.57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6,084,912.63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16,568,746.44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6,497,297.38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12,228,762.90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5,459,369.38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16,918,670.45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6,427,161.38</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212,165,879.65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107,086,264.88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172,514,237.05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74,758,723.35</w:t>
            </w:r>
          </w:p>
        </w:tc>
      </w:tr>
    </w:tbl>
    <w:p>
      <w:pPr>
        <w:widowControl w:val="0"/>
        <w:spacing w:after="299" w:line="1" w:lineRule="exact"/>
      </w:pPr>
    </w:p>
    <w:p>
      <w:pPr>
        <w:pStyle w:val="Style38"/>
        <w:keepNext/>
        <w:keepLines/>
        <w:widowControl w:val="0"/>
        <w:numPr>
          <w:ilvl w:val="0"/>
          <w:numId w:val="25"/>
        </w:numPr>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公司来自前五名客户的营业收入情况</w:t>
      </w:r>
      <w:bookmarkEnd w:id="1138"/>
      <w:bookmarkEnd w:id="1139"/>
      <w:bookmarkEnd w:id="114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18"/>
        <w:gridCol w:w="1877"/>
      </w:tblGrid>
      <w:tr>
        <w:trPr>
          <w:trHeight w:val="720"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占公司全部营业收入的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65,272,464.37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w:t>
            </w:r>
          </w:p>
        </w:tc>
      </w:tr>
    </w:tbl>
    <w:p>
      <w:pPr>
        <w:spacing w:lineRule="exact" w:line="1"/>
        <w:rPr>
          <w:sz w:val="2"/>
          <w:szCs w:val="2"/>
        </w:rPr>
      </w:pPr>
      <w:r>
        <w:br w:type="page"/>
      </w:r>
    </w:p>
    <w:tbl>
      <w:tblPr>
        <w:tblOverlap w:val="never"/>
        <w:jc w:val="center"/>
        <w:tblLayout w:type="fixed"/>
      </w:tblPr>
      <w:tblGrid>
        <w:gridCol w:w="4790"/>
        <w:gridCol w:w="2918"/>
        <w:gridCol w:w="187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10,198,497.44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4,226,495.72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3,073,034.75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124,770,492.28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58.81%</w:t>
            </w:r>
          </w:p>
        </w:tc>
      </w:tr>
    </w:tbl>
    <w:p>
      <w:pPr>
        <w:widowControl w:val="0"/>
        <w:spacing w:after="79" w:line="1" w:lineRule="exact"/>
      </w:pPr>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营业收入的说明</w:t>
      </w:r>
    </w:p>
    <w:p>
      <w:pPr>
        <w:pStyle w:val="Style35"/>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5</w:t>
      </w:r>
      <w:bookmarkEnd w:id="1144"/>
      <w:r>
        <w:rPr>
          <w:color w:val="000000"/>
          <w:spacing w:val="0"/>
          <w:w w:val="100"/>
          <w:position w:val="0"/>
        </w:rPr>
        <w:t>、投资收益</w:t>
      </w:r>
      <w:bookmarkEnd w:id="1142"/>
      <w:bookmarkEnd w:id="1143"/>
      <w:bookmarkEnd w:id="1145"/>
    </w:p>
    <w:p>
      <w:pPr>
        <w:pStyle w:val="Style38"/>
        <w:keepNext/>
        <w:keepLines/>
        <w:widowControl w:val="0"/>
        <w:shd w:val="clear" w:color="auto" w:fill="auto"/>
        <w:bidi w:val="0"/>
        <w:spacing w:before="0" w:after="340" w:line="240" w:lineRule="auto"/>
        <w:ind w:left="0" w:right="0" w:firstLine="0"/>
        <w:jc w:val="left"/>
      </w:pPr>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146"/>
      <w:bookmarkEnd w:id="1147"/>
      <w:bookmarkEnd w:id="114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-836,038.07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-442,251.51</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489,523.56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222,333.32</w:t>
            </w:r>
          </w:p>
        </w:tc>
      </w:tr>
      <w:tr>
        <w:trPr>
          <w:trHeight w:val="408"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-346,514.51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-219,918.19</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6</w:t>
      </w:r>
      <w:bookmarkEnd w:id="1151"/>
      <w:r>
        <w:rPr>
          <w:color w:val="000000"/>
          <w:spacing w:val="0"/>
          <w:w w:val="100"/>
          <w:position w:val="0"/>
        </w:rPr>
        <w:t>、现金流量表补充资料</w:t>
      </w:r>
      <w:bookmarkEnd w:id="1149"/>
      <w:bookmarkEnd w:id="1150"/>
      <w:bookmarkEnd w:id="115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56"/>
        <w:gridCol w:w="2270"/>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26,435,573.36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38,727,447.37</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1,193,474.97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2,409,239.22</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10,520,185.14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7,360,911.99</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628,654.85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412,150.69</w:t>
            </w: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-242,260.37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346,514.51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219,918.19</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-817,271.03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-1,401,584.99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-14,595,955.73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6,181,781.25</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-2,166,649.68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-15,427,099.83</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14,731,365.94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44,327,764.20</w:t>
            </w: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36,050,686.96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82,810,528.09</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5059"/>
        <w:gridCol w:w="2256"/>
        <w:gridCol w:w="2270"/>
      </w:tblGrid>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287,572,837.32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299,778,895.38</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299,778,895.38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54,507,898.29</w:t>
            </w: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-12,206,058.06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245,270,997.09</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r>
        <w:rPr>
          <w:color w:val="000000"/>
          <w:spacing w:val="0"/>
          <w:w w:val="100"/>
          <w:position w:val="0"/>
          <w:sz w:val="24"/>
          <w:szCs w:val="24"/>
        </w:rPr>
        <w:t>十二、补充资料</w:t>
      </w:r>
      <w:bookmarkEnd w:id="1153"/>
      <w:bookmarkEnd w:id="1154"/>
      <w:bookmarkEnd w:id="1155"/>
    </w:p>
    <w:p>
      <w:pPr>
        <w:pStyle w:val="Style35"/>
        <w:keepNext/>
        <w:keepLines/>
        <w:widowControl w:val="0"/>
        <w:shd w:val="clear" w:color="auto" w:fill="auto"/>
        <w:bidi w:val="0"/>
        <w:spacing w:before="0" w:after="360" w:line="240" w:lineRule="auto"/>
        <w:ind w:left="0" w:right="0" w:firstLine="0"/>
        <w:jc w:val="left"/>
      </w:pPr>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156"/>
      <w:bookmarkEnd w:id="1157"/>
      <w:bookmarkEnd w:id="115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-68,305.01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8,788,600.00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-11,577.24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-1,093,521.49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-2,759,611.73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927,407.83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44,185.60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3,883,991.10</w:t>
            </w:r>
          </w:p>
        </w:tc>
        <w:tc>
          <w:tcPr>
            <w:tcBorders>
              <w:top w:val="single" w:sz="4"/>
              <w:left w:val="single" w:sz="4"/>
              <w:bottom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计入当期损益的政府补助为经常性损益项目，应说明逐项披露认定理由。</w:t>
      </w:r>
    </w:p>
    <w:p>
      <w:pPr>
        <w:pStyle w:val="Style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159"/>
      <w:bookmarkEnd w:id="1160"/>
      <w:bookmarkEnd w:id="116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0"/>
        <w:gridCol w:w="1920"/>
        <w:gridCol w:w="1949"/>
      </w:tblGrid>
      <w:tr>
        <w:trPr>
          <w:trHeight w:val="408" w:hRule="exact"/>
        </w:trPr>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基本每股收益</w:t>
            </w:r>
          </w:p>
        </w:tc>
        <w:tc>
          <w:tcPr>
            <w:tcBorders>
              <w:top w:val="single" w:sz="4"/>
              <w:left w:val="single" w:sz="4"/>
              <w:righ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4D4D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r>
      <w:tr>
        <w:trPr>
          <w:trHeight w:val="720" w:hRule="exact"/>
        </w:trPr>
        <w:tc>
          <w:tcPr>
            <w:tcBorders>
              <w:top w:val="single" w:sz="4"/>
              <w:left w:val="single" w:sz="4"/>
              <w:bottom w:val="single" w:sz="4"/>
            </w:tcBorders>
            <w:shd w:val="clear" w:color="auto" w:fill="D4D4D4"/>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r>
    </w:tbl>
    <w:p>
      <w:pPr>
        <w:widowControl w:val="0"/>
        <w:spacing w:after="319" w:line="1" w:lineRule="exact"/>
      </w:pPr>
    </w:p>
    <w:p>
      <w:pPr>
        <w:pStyle w:val="Style35"/>
        <w:keepNext/>
        <w:keepLines/>
        <w:widowControl w:val="0"/>
        <w:shd w:val="clear" w:color="auto" w:fill="auto"/>
        <w:bidi w:val="0"/>
        <w:spacing w:before="0" w:after="26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3</w:t>
      </w:r>
      <w:bookmarkEnd w:id="1164"/>
      <w:r>
        <w:rPr>
          <w:color w:val="000000"/>
          <w:spacing w:val="0"/>
          <w:w w:val="100"/>
          <w:position w:val="0"/>
        </w:rPr>
        <w:t>、公司主要会计报表项目的异常情况及原因的说明</w:t>
      </w:r>
      <w:bookmarkEnd w:id="1162"/>
      <w:bookmarkEnd w:id="1163"/>
      <w:bookmarkEnd w:id="1165"/>
    </w:p>
    <w:p>
      <w:pPr>
        <w:pStyle w:val="Style9"/>
        <w:keepNext w:val="0"/>
        <w:keepLines w:val="0"/>
        <w:widowControl w:val="0"/>
        <w:shd w:val="clear" w:color="auto" w:fill="auto"/>
        <w:tabs>
          <w:tab w:pos="445" w:val="left"/>
        </w:tabs>
        <w:bidi w:val="0"/>
        <w:spacing w:before="0" w:after="0" w:line="326" w:lineRule="exact"/>
        <w:ind w:left="0" w:right="0" w:firstLine="0"/>
        <w:jc w:val="left"/>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w:t>
        <w:tab/>
        <w:t>公司</w:t>
      </w:r>
      <w:r>
        <w:rPr>
          <w:rFonts w:ascii="Times New Roman" w:eastAsia="Times New Roman" w:hAnsi="Times New Roman" w:cs="Times New Roman"/>
          <w:color w:val="000000"/>
          <w:spacing w:val="0"/>
          <w:w w:val="100"/>
          <w:position w:val="0"/>
        </w:rPr>
        <w:t>2013</w:t>
      </w:r>
      <w:r>
        <w:rPr>
          <w:color w:val="000000"/>
          <w:spacing w:val="0"/>
          <w:w w:val="100"/>
          <w:position w:val="0"/>
        </w:rPr>
        <w:t>年末应收票据较</w:t>
      </w:r>
      <w:r>
        <w:rPr>
          <w:rFonts w:ascii="Times New Roman" w:eastAsia="Times New Roman" w:hAnsi="Times New Roman" w:cs="Times New Roman"/>
          <w:color w:val="000000"/>
          <w:spacing w:val="0"/>
          <w:w w:val="100"/>
          <w:position w:val="0"/>
        </w:rPr>
        <w:t>2012</w:t>
      </w:r>
      <w:r>
        <w:rPr>
          <w:color w:val="000000"/>
          <w:spacing w:val="0"/>
          <w:w w:val="100"/>
          <w:position w:val="0"/>
        </w:rPr>
        <w:t>年末减少</w:t>
      </w:r>
      <w:r>
        <w:rPr>
          <w:rFonts w:ascii="Times New Roman" w:eastAsia="Times New Roman" w:hAnsi="Times New Roman" w:cs="Times New Roman"/>
          <w:color w:val="000000"/>
          <w:spacing w:val="0"/>
          <w:w w:val="100"/>
          <w:position w:val="0"/>
        </w:rPr>
        <w:t>6,117,179.45</w:t>
      </w:r>
      <w:r>
        <w:rPr>
          <w:color w:val="000000"/>
          <w:spacing w:val="0"/>
          <w:w w:val="100"/>
          <w:position w:val="0"/>
        </w:rPr>
        <w:t>元，减少幅度为</w:t>
      </w:r>
      <w:r>
        <w:rPr>
          <w:rFonts w:ascii="Times New Roman" w:eastAsia="Times New Roman" w:hAnsi="Times New Roman" w:cs="Times New Roman"/>
          <w:color w:val="000000"/>
          <w:spacing w:val="0"/>
          <w:w w:val="100"/>
          <w:position w:val="0"/>
        </w:rPr>
        <w:t>92.57%</w:t>
      </w:r>
      <w:r>
        <w:rPr>
          <w:color w:val="000000"/>
          <w:spacing w:val="0"/>
          <w:w w:val="100"/>
          <w:position w:val="0"/>
        </w:rPr>
        <w:t>，主要是公司减少票据结算所致。</w:t>
      </w:r>
    </w:p>
    <w:p>
      <w:pPr>
        <w:pStyle w:val="Style9"/>
        <w:keepNext w:val="0"/>
        <w:keepLines w:val="0"/>
        <w:widowControl w:val="0"/>
        <w:shd w:val="clear" w:color="auto" w:fill="auto"/>
        <w:tabs>
          <w:tab w:pos="445" w:val="left"/>
        </w:tabs>
        <w:bidi w:val="0"/>
        <w:spacing w:before="0" w:after="0" w:line="326" w:lineRule="exact"/>
        <w:ind w:left="0" w:right="0" w:firstLine="0"/>
        <w:jc w:val="left"/>
      </w:pPr>
      <w:bookmarkStart w:id="1167" w:name="bookmark1167"/>
      <w:r>
        <w:rPr>
          <w:color w:val="000000"/>
          <w:spacing w:val="0"/>
          <w:w w:val="100"/>
          <w:position w:val="0"/>
        </w:rPr>
        <w:t>（</w:t>
      </w:r>
      <w:bookmarkEnd w:id="1167"/>
      <w:r>
        <w:rPr>
          <w:rFonts w:ascii="Times New Roman" w:eastAsia="Times New Roman" w:hAnsi="Times New Roman" w:cs="Times New Roman"/>
          <w:color w:val="000000"/>
          <w:spacing w:val="0"/>
          <w:w w:val="100"/>
          <w:position w:val="0"/>
        </w:rPr>
        <w:t>2</w:t>
      </w:r>
      <w:r>
        <w:rPr>
          <w:color w:val="000000"/>
          <w:spacing w:val="0"/>
          <w:w w:val="100"/>
          <w:position w:val="0"/>
        </w:rPr>
        <w:t>）</w:t>
        <w:tab/>
        <w:t>公司</w:t>
      </w:r>
      <w:r>
        <w:rPr>
          <w:rFonts w:ascii="Times New Roman" w:eastAsia="Times New Roman" w:hAnsi="Times New Roman" w:cs="Times New Roman"/>
          <w:color w:val="000000"/>
          <w:spacing w:val="0"/>
          <w:w w:val="100"/>
          <w:position w:val="0"/>
        </w:rPr>
        <w:t>2013</w:t>
      </w:r>
      <w:r>
        <w:rPr>
          <w:color w:val="000000"/>
          <w:spacing w:val="0"/>
          <w:w w:val="100"/>
          <w:position w:val="0"/>
        </w:rPr>
        <w:t>年末预付帐款较</w:t>
      </w:r>
      <w:r>
        <w:rPr>
          <w:rFonts w:ascii="Times New Roman" w:eastAsia="Times New Roman" w:hAnsi="Times New Roman" w:cs="Times New Roman"/>
          <w:color w:val="000000"/>
          <w:spacing w:val="0"/>
          <w:w w:val="100"/>
          <w:position w:val="0"/>
        </w:rPr>
        <w:t>2 012</w:t>
      </w:r>
      <w:r>
        <w:rPr>
          <w:color w:val="000000"/>
          <w:spacing w:val="0"/>
          <w:w w:val="100"/>
          <w:position w:val="0"/>
        </w:rPr>
        <w:t>年末增加</w:t>
      </w:r>
      <w:r>
        <w:rPr>
          <w:rFonts w:ascii="Times New Roman" w:eastAsia="Times New Roman" w:hAnsi="Times New Roman" w:cs="Times New Roman"/>
          <w:color w:val="000000"/>
          <w:spacing w:val="0"/>
          <w:w w:val="100"/>
          <w:position w:val="0"/>
        </w:rPr>
        <w:t>8,757,884.02</w:t>
      </w:r>
      <w:r>
        <w:rPr>
          <w:color w:val="000000"/>
          <w:spacing w:val="0"/>
          <w:w w:val="100"/>
          <w:position w:val="0"/>
        </w:rPr>
        <w:t>元</w:t>
      </w:r>
      <w:r>
        <w:rPr>
          <w:color w:val="000000"/>
          <w:spacing w:val="0"/>
          <w:w w:val="100"/>
          <w:position w:val="0"/>
        </w:rPr>
        <w:t>，</w:t>
      </w:r>
      <w:r>
        <w:rPr>
          <w:color w:val="000000"/>
          <w:spacing w:val="0"/>
          <w:w w:val="100"/>
          <w:position w:val="0"/>
        </w:rPr>
        <w:t>增长幅度</w:t>
      </w:r>
      <w:r>
        <w:rPr>
          <w:rFonts w:ascii="Times New Roman" w:eastAsia="Times New Roman" w:hAnsi="Times New Roman" w:cs="Times New Roman"/>
          <w:color w:val="000000"/>
          <w:spacing w:val="0"/>
          <w:w w:val="100"/>
          <w:position w:val="0"/>
        </w:rPr>
        <w:t>294.57%</w:t>
      </w:r>
      <w:r>
        <w:rPr>
          <w:color w:val="000000"/>
          <w:spacing w:val="0"/>
          <w:w w:val="100"/>
          <w:position w:val="0"/>
        </w:rPr>
        <w:t>，主要是公司采购规模增加所致。</w:t>
      </w:r>
    </w:p>
    <w:p>
      <w:pPr>
        <w:pStyle w:val="Style9"/>
        <w:keepNext w:val="0"/>
        <w:keepLines w:val="0"/>
        <w:widowControl w:val="0"/>
        <w:shd w:val="clear" w:color="auto" w:fill="auto"/>
        <w:tabs>
          <w:tab w:pos="445" w:val="left"/>
        </w:tabs>
        <w:bidi w:val="0"/>
        <w:spacing w:before="0" w:after="0" w:line="326" w:lineRule="exact"/>
        <w:ind w:left="0" w:right="0" w:firstLine="0"/>
        <w:jc w:val="left"/>
      </w:pPr>
      <w:bookmarkStart w:id="1168" w:name="bookmark1168"/>
      <w:r>
        <w:rPr>
          <w:color w:val="000000"/>
          <w:spacing w:val="0"/>
          <w:w w:val="100"/>
          <w:position w:val="0"/>
        </w:rPr>
        <w:t>（</w:t>
      </w:r>
      <w:bookmarkEnd w:id="1168"/>
      <w:r>
        <w:rPr>
          <w:rFonts w:ascii="Times New Roman" w:eastAsia="Times New Roman" w:hAnsi="Times New Roman" w:cs="Times New Roman"/>
          <w:color w:val="000000"/>
          <w:spacing w:val="0"/>
          <w:w w:val="100"/>
          <w:position w:val="0"/>
        </w:rPr>
        <w:t>3</w:t>
      </w:r>
      <w:r>
        <w:rPr>
          <w:color w:val="000000"/>
          <w:spacing w:val="0"/>
          <w:w w:val="100"/>
          <w:position w:val="0"/>
        </w:rPr>
        <w:t>）</w:t>
        <w:tab/>
        <w:t>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日短期借款较年初余额减少了</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,444,684.98</w:t>
      </w:r>
      <w:r>
        <w:rPr>
          <w:color w:val="000000"/>
          <w:spacing w:val="0"/>
          <w:w w:val="100"/>
          <w:position w:val="0"/>
        </w:rPr>
        <w:t>元，是公司归还了借款所致。</w:t>
      </w:r>
    </w:p>
    <w:p>
      <w:pPr>
        <w:pStyle w:val="Style9"/>
        <w:keepNext w:val="0"/>
        <w:keepLines w:val="0"/>
        <w:widowControl w:val="0"/>
        <w:shd w:val="clear" w:color="auto" w:fill="auto"/>
        <w:tabs>
          <w:tab w:pos="445" w:val="left"/>
        </w:tabs>
        <w:bidi w:val="0"/>
        <w:spacing w:before="0" w:after="0" w:line="326" w:lineRule="exact"/>
        <w:ind w:left="0" w:right="0" w:firstLine="0"/>
        <w:jc w:val="left"/>
      </w:pPr>
      <w:bookmarkStart w:id="1169" w:name="bookmark1169"/>
      <w:r>
        <w:rPr>
          <w:color w:val="000000"/>
          <w:spacing w:val="0"/>
          <w:w w:val="100"/>
          <w:position w:val="0"/>
        </w:rPr>
        <w:t>（</w:t>
      </w:r>
      <w:bookmarkEnd w:id="1169"/>
      <w:r>
        <w:rPr>
          <w:rFonts w:ascii="Times New Roman" w:eastAsia="Times New Roman" w:hAnsi="Times New Roman" w:cs="Times New Roman"/>
          <w:color w:val="000000"/>
          <w:spacing w:val="0"/>
          <w:w w:val="100"/>
          <w:position w:val="0"/>
        </w:rPr>
        <w:t>4</w:t>
      </w:r>
      <w:r>
        <w:rPr>
          <w:color w:val="000000"/>
          <w:spacing w:val="0"/>
          <w:w w:val="100"/>
          <w:position w:val="0"/>
        </w:rPr>
        <w:t>）</w:t>
        <w:tab/>
        <w:t>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日应付票据较年初余额减少了 </w:t>
      </w:r>
      <w:r>
        <w:rPr>
          <w:rFonts w:ascii="Times New Roman" w:eastAsia="Times New Roman" w:hAnsi="Times New Roman" w:cs="Times New Roman"/>
          <w:color w:val="000000"/>
          <w:spacing w:val="0"/>
          <w:w w:val="100"/>
          <w:position w:val="0"/>
        </w:rPr>
        <w:t>5,950,237.56</w:t>
      </w:r>
      <w:r>
        <w:rPr>
          <w:color w:val="000000"/>
          <w:spacing w:val="0"/>
          <w:w w:val="100"/>
          <w:position w:val="0"/>
        </w:rPr>
        <w:t>元，主要是公司减少票据结算方式所致。</w:t>
      </w:r>
    </w:p>
    <w:p>
      <w:pPr>
        <w:pStyle w:val="Style9"/>
        <w:keepNext w:val="0"/>
        <w:keepLines w:val="0"/>
        <w:widowControl w:val="0"/>
        <w:shd w:val="clear" w:color="auto" w:fill="auto"/>
        <w:tabs>
          <w:tab w:pos="541" w:val="left"/>
        </w:tabs>
        <w:bidi w:val="0"/>
        <w:spacing w:before="0" w:after="320" w:line="326" w:lineRule="exact"/>
        <w:ind w:left="0" w:right="0" w:firstLine="0"/>
        <w:jc w:val="left"/>
      </w:pPr>
      <w:bookmarkStart w:id="1170" w:name="bookmark1170"/>
      <w:r>
        <w:rPr>
          <w:color w:val="000000"/>
          <w:spacing w:val="0"/>
          <w:w w:val="100"/>
          <w:position w:val="0"/>
        </w:rPr>
        <w:t>（</w:t>
      </w:r>
      <w:bookmarkEnd w:id="1170"/>
      <w:r>
        <w:rPr>
          <w:rFonts w:ascii="Times New Roman" w:eastAsia="Times New Roman" w:hAnsi="Times New Roman" w:cs="Times New Roman"/>
          <w:color w:val="000000"/>
          <w:spacing w:val="0"/>
          <w:w w:val="100"/>
          <w:position w:val="0"/>
        </w:rPr>
        <w:t>5</w:t>
      </w:r>
      <w:r>
        <w:rPr>
          <w:color w:val="000000"/>
          <w:spacing w:val="0"/>
          <w:w w:val="100"/>
          <w:position w:val="0"/>
        </w:rPr>
        <w:t>）</w:t>
        <w:tab/>
        <w:t>公司</w:t>
      </w:r>
      <w:r>
        <w:rPr>
          <w:rFonts w:ascii="Times New Roman" w:eastAsia="Times New Roman" w:hAnsi="Times New Roman" w:cs="Times New Roman"/>
          <w:color w:val="000000"/>
          <w:spacing w:val="0"/>
          <w:w w:val="100"/>
          <w:position w:val="0"/>
        </w:rPr>
        <w:t>2013</w:t>
      </w:r>
      <w:r>
        <w:rPr>
          <w:color w:val="000000"/>
          <w:spacing w:val="0"/>
          <w:w w:val="100"/>
          <w:position w:val="0"/>
        </w:rPr>
        <w:t>年末应付职工薪酬较</w:t>
      </w:r>
      <w:r>
        <w:rPr>
          <w:rFonts w:ascii="Times New Roman" w:eastAsia="Times New Roman" w:hAnsi="Times New Roman" w:cs="Times New Roman"/>
          <w:color w:val="000000"/>
          <w:spacing w:val="0"/>
          <w:w w:val="100"/>
          <w:position w:val="0"/>
        </w:rPr>
        <w:t>2012</w:t>
      </w:r>
      <w:r>
        <w:rPr>
          <w:color w:val="000000"/>
          <w:spacing w:val="0"/>
          <w:w w:val="100"/>
          <w:position w:val="0"/>
        </w:rPr>
        <w:t>年末增加</w:t>
      </w:r>
      <w:r>
        <w:rPr>
          <w:rFonts w:ascii="Times New Roman" w:eastAsia="Times New Roman" w:hAnsi="Times New Roman" w:cs="Times New Roman"/>
          <w:color w:val="000000"/>
          <w:spacing w:val="0"/>
          <w:w w:val="100"/>
          <w:position w:val="0"/>
        </w:rPr>
        <w:t>3,068,948.44</w:t>
      </w:r>
      <w:r>
        <w:rPr>
          <w:color w:val="000000"/>
          <w:spacing w:val="0"/>
          <w:w w:val="100"/>
          <w:position w:val="0"/>
        </w:rPr>
        <w:t>元，增加幅度为</w:t>
      </w:r>
      <w:r>
        <w:rPr>
          <w:rFonts w:ascii="Times New Roman" w:eastAsia="Times New Roman" w:hAnsi="Times New Roman" w:cs="Times New Roman"/>
          <w:color w:val="000000"/>
          <w:spacing w:val="0"/>
          <w:w w:val="100"/>
          <w:position w:val="0"/>
        </w:rPr>
        <w:t>41.25%</w:t>
      </w:r>
      <w:r>
        <w:rPr>
          <w:color w:val="000000"/>
          <w:spacing w:val="0"/>
          <w:w w:val="100"/>
          <w:position w:val="0"/>
        </w:rPr>
        <w:t>,主要是公司员工人数增加及工资薪酬 增加所致。</w:t>
      </w:r>
    </w:p>
    <w:p>
      <w:pPr>
        <w:pStyle w:val="Style9"/>
        <w:keepNext w:val="0"/>
        <w:keepLines w:val="0"/>
        <w:widowControl w:val="0"/>
        <w:numPr>
          <w:ilvl w:val="0"/>
          <w:numId w:val="25"/>
        </w:numPr>
        <w:shd w:val="clear" w:color="auto" w:fill="auto"/>
        <w:tabs>
          <w:tab w:pos="537" w:val="left"/>
        </w:tabs>
        <w:bidi w:val="0"/>
        <w:spacing w:before="0" w:after="0" w:line="326" w:lineRule="exact"/>
        <w:ind w:left="0" w:right="0" w:firstLine="0"/>
        <w:jc w:val="left"/>
      </w:pPr>
      <w:bookmarkStart w:id="1171" w:name="bookmark1171"/>
      <w:bookmarkEnd w:id="1171"/>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年末应交税费较</w:t>
      </w:r>
      <w:r>
        <w:rPr>
          <w:rFonts w:ascii="Times New Roman" w:eastAsia="Times New Roman" w:hAnsi="Times New Roman" w:cs="Times New Roman"/>
          <w:color w:val="000000"/>
          <w:spacing w:val="0"/>
          <w:w w:val="100"/>
          <w:position w:val="0"/>
        </w:rPr>
        <w:t>2012</w:t>
      </w:r>
      <w:r>
        <w:rPr>
          <w:color w:val="000000"/>
          <w:spacing w:val="0"/>
          <w:w w:val="100"/>
          <w:position w:val="0"/>
        </w:rPr>
        <w:t>年末减少</w:t>
      </w:r>
      <w:r>
        <w:rPr>
          <w:rFonts w:ascii="Times New Roman" w:eastAsia="Times New Roman" w:hAnsi="Times New Roman" w:cs="Times New Roman"/>
          <w:color w:val="000000"/>
          <w:spacing w:val="0"/>
          <w:w w:val="100"/>
          <w:position w:val="0"/>
        </w:rPr>
        <w:t>3,553,036.59</w:t>
      </w:r>
      <w:r>
        <w:rPr>
          <w:color w:val="000000"/>
          <w:spacing w:val="0"/>
          <w:w w:val="100"/>
          <w:position w:val="0"/>
        </w:rPr>
        <w:t>元，减少幅度为</w:t>
      </w:r>
      <w:r>
        <w:rPr>
          <w:rFonts w:ascii="Times New Roman" w:eastAsia="Times New Roman" w:hAnsi="Times New Roman" w:cs="Times New Roman"/>
          <w:color w:val="000000"/>
          <w:spacing w:val="0"/>
          <w:w w:val="100"/>
          <w:position w:val="0"/>
        </w:rPr>
        <w:t>47.32%</w:t>
      </w:r>
      <w:r>
        <w:rPr>
          <w:color w:val="000000"/>
          <w:spacing w:val="0"/>
          <w:w w:val="100"/>
          <w:position w:val="0"/>
        </w:rPr>
        <w:t>,主要是公司采购增加引起增值税进项税额 增加所致。</w:t>
      </w:r>
    </w:p>
    <w:p>
      <w:pPr>
        <w:pStyle w:val="Style9"/>
        <w:keepNext w:val="0"/>
        <w:keepLines w:val="0"/>
        <w:widowControl w:val="0"/>
        <w:numPr>
          <w:ilvl w:val="0"/>
          <w:numId w:val="25"/>
        </w:numPr>
        <w:shd w:val="clear" w:color="auto" w:fill="auto"/>
        <w:tabs>
          <w:tab w:pos="450" w:val="left"/>
        </w:tabs>
        <w:bidi w:val="0"/>
        <w:spacing w:before="0" w:after="0" w:line="326" w:lineRule="exact"/>
        <w:ind w:left="0" w:right="0" w:firstLine="0"/>
        <w:jc w:val="left"/>
      </w:pPr>
      <w:bookmarkStart w:id="1172" w:name="bookmark1172"/>
      <w:bookmarkEnd w:id="1172"/>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年度实现主营业务收入同比增长</w:t>
      </w:r>
      <w:r>
        <w:rPr>
          <w:rFonts w:ascii="Times New Roman" w:eastAsia="Times New Roman" w:hAnsi="Times New Roman" w:cs="Times New Roman"/>
          <w:color w:val="000000"/>
          <w:spacing w:val="0"/>
          <w:w w:val="100"/>
          <w:position w:val="0"/>
        </w:rPr>
        <w:t>27.16%</w:t>
      </w:r>
      <w:r>
        <w:rPr>
          <w:color w:val="000000"/>
          <w:spacing w:val="0"/>
          <w:w w:val="100"/>
          <w:position w:val="0"/>
        </w:rPr>
        <w:t>，主要系加强营销体系建设，销售能力提升导致销售合同增加所致。</w:t>
      </w:r>
    </w:p>
    <w:p>
      <w:pPr>
        <w:pStyle w:val="Style9"/>
        <w:keepNext w:val="0"/>
        <w:keepLines w:val="0"/>
        <w:widowControl w:val="0"/>
        <w:numPr>
          <w:ilvl w:val="0"/>
          <w:numId w:val="25"/>
        </w:numPr>
        <w:shd w:val="clear" w:color="auto" w:fill="auto"/>
        <w:tabs>
          <w:tab w:pos="450" w:val="left"/>
        </w:tabs>
        <w:bidi w:val="0"/>
        <w:spacing w:before="0" w:after="0" w:line="326" w:lineRule="exact"/>
        <w:ind w:left="0" w:right="0" w:firstLine="0"/>
        <w:jc w:val="left"/>
      </w:pPr>
      <w:bookmarkStart w:id="1173" w:name="bookmark1173"/>
      <w:bookmarkEnd w:id="1173"/>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年度主营业务成本同比增长</w:t>
      </w:r>
      <w:r>
        <w:rPr>
          <w:rFonts w:ascii="Times New Roman" w:eastAsia="Times New Roman" w:hAnsi="Times New Roman" w:cs="Times New Roman"/>
          <w:color w:val="000000"/>
          <w:spacing w:val="0"/>
          <w:w w:val="100"/>
          <w:position w:val="0"/>
        </w:rPr>
        <w:t>42.79%</w:t>
      </w:r>
      <w:r>
        <w:rPr>
          <w:color w:val="000000"/>
          <w:spacing w:val="0"/>
          <w:w w:val="100"/>
          <w:position w:val="0"/>
        </w:rPr>
        <w:t>，主要系销售收入增加导致销售成本增加所致。</w:t>
      </w:r>
    </w:p>
    <w:p>
      <w:pPr>
        <w:pStyle w:val="Style9"/>
        <w:keepNext w:val="0"/>
        <w:keepLines w:val="0"/>
        <w:widowControl w:val="0"/>
        <w:numPr>
          <w:ilvl w:val="0"/>
          <w:numId w:val="25"/>
        </w:numPr>
        <w:shd w:val="clear" w:color="auto" w:fill="auto"/>
        <w:tabs>
          <w:tab w:pos="537" w:val="left"/>
        </w:tabs>
        <w:bidi w:val="0"/>
        <w:spacing w:before="0" w:after="0" w:line="326" w:lineRule="exact"/>
        <w:ind w:left="0" w:right="0" w:firstLine="0"/>
        <w:jc w:val="left"/>
      </w:pPr>
      <w:bookmarkStart w:id="1174" w:name="bookmark1174"/>
      <w:bookmarkEnd w:id="1174"/>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年度营业税金及附加较</w:t>
      </w:r>
      <w:r>
        <w:rPr>
          <w:rFonts w:ascii="Times New Roman" w:eastAsia="Times New Roman" w:hAnsi="Times New Roman" w:cs="Times New Roman"/>
          <w:color w:val="000000"/>
          <w:spacing w:val="0"/>
          <w:w w:val="100"/>
          <w:position w:val="0"/>
        </w:rPr>
        <w:t>2012</w:t>
      </w:r>
      <w:r>
        <w:rPr>
          <w:color w:val="000000"/>
          <w:spacing w:val="0"/>
          <w:w w:val="100"/>
          <w:position w:val="0"/>
        </w:rPr>
        <w:t>年度减少</w:t>
      </w:r>
      <w:r>
        <w:rPr>
          <w:rFonts w:ascii="Times New Roman" w:eastAsia="Times New Roman" w:hAnsi="Times New Roman" w:cs="Times New Roman"/>
          <w:color w:val="000000"/>
          <w:spacing w:val="0"/>
          <w:w w:val="100"/>
          <w:position w:val="0"/>
        </w:rPr>
        <w:t>1,335,814.6</w:t>
      </w:r>
      <w:r>
        <w:rPr>
          <w:rFonts w:ascii="Times New Roman" w:eastAsia="Times New Roman" w:hAnsi="Times New Roman" w:cs="Times New Roman"/>
          <w:color w:val="000000"/>
          <w:spacing w:val="0"/>
          <w:w w:val="100"/>
          <w:position w:val="0"/>
        </w:rPr>
        <w:t>0</w:t>
      </w:r>
      <w:r>
        <w:rPr>
          <w:color w:val="000000"/>
          <w:spacing w:val="0"/>
          <w:w w:val="100"/>
          <w:position w:val="0"/>
        </w:rPr>
        <w:t>元，减少幅度为</w:t>
      </w:r>
      <w:r>
        <w:rPr>
          <w:rFonts w:ascii="Times New Roman" w:eastAsia="Times New Roman" w:hAnsi="Times New Roman" w:cs="Times New Roman"/>
          <w:color w:val="000000"/>
          <w:spacing w:val="0"/>
          <w:w w:val="100"/>
          <w:position w:val="0"/>
        </w:rPr>
        <w:t>57.44%</w:t>
      </w:r>
      <w:r>
        <w:rPr>
          <w:color w:val="000000"/>
          <w:spacing w:val="0"/>
          <w:w w:val="100"/>
          <w:position w:val="0"/>
        </w:rPr>
        <w:t>，主要是公司自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从事技术转让、技术开发业务和与之相关的技术咨询、技术服务业务取得的收入由征收营业税改为增值税所致。</w:t>
      </w:r>
    </w:p>
    <w:p>
      <w:pPr>
        <w:pStyle w:val="Style9"/>
        <w:keepNext w:val="0"/>
        <w:keepLines w:val="0"/>
        <w:widowControl w:val="0"/>
        <w:numPr>
          <w:ilvl w:val="0"/>
          <w:numId w:val="25"/>
        </w:numPr>
        <w:shd w:val="clear" w:color="auto" w:fill="auto"/>
        <w:tabs>
          <w:tab w:pos="633" w:val="left"/>
        </w:tabs>
        <w:bidi w:val="0"/>
        <w:spacing w:before="0" w:after="0" w:line="331" w:lineRule="exact"/>
        <w:ind w:left="0" w:right="0" w:firstLine="0"/>
        <w:jc w:val="left"/>
      </w:pPr>
      <w:bookmarkStart w:id="1175" w:name="bookmark1175"/>
      <w:bookmarkEnd w:id="1175"/>
      <w:r>
        <w:rPr>
          <w:color w:val="000000"/>
          <w:spacing w:val="0"/>
          <w:w w:val="100"/>
          <w:position w:val="0"/>
        </w:rPr>
        <w:t>公司本年度管理费用较</w:t>
      </w:r>
      <w:r>
        <w:rPr>
          <w:rFonts w:ascii="Times New Roman" w:eastAsia="Times New Roman" w:hAnsi="Times New Roman" w:cs="Times New Roman"/>
          <w:color w:val="000000"/>
          <w:spacing w:val="0"/>
          <w:w w:val="100"/>
          <w:position w:val="0"/>
        </w:rPr>
        <w:t>2012</w:t>
      </w:r>
      <w:r>
        <w:rPr>
          <w:color w:val="000000"/>
          <w:spacing w:val="0"/>
          <w:w w:val="100"/>
          <w:position w:val="0"/>
        </w:rPr>
        <w:t>年度增加</w:t>
      </w:r>
      <w:r>
        <w:rPr>
          <w:rFonts w:ascii="Times New Roman" w:eastAsia="Times New Roman" w:hAnsi="Times New Roman" w:cs="Times New Roman"/>
          <w:color w:val="000000"/>
          <w:spacing w:val="0"/>
          <w:w w:val="100"/>
          <w:position w:val="0"/>
        </w:rPr>
        <w:t>27,696,788.95</w:t>
      </w:r>
      <w:r>
        <w:rPr>
          <w:color w:val="000000"/>
          <w:spacing w:val="0"/>
          <w:w w:val="100"/>
          <w:position w:val="0"/>
        </w:rPr>
        <w:t>元，增长幅度为</w:t>
      </w:r>
      <w:r>
        <w:rPr>
          <w:rFonts w:ascii="Times New Roman" w:eastAsia="Times New Roman" w:hAnsi="Times New Roman" w:cs="Times New Roman"/>
          <w:color w:val="000000"/>
          <w:spacing w:val="0"/>
          <w:w w:val="100"/>
          <w:position w:val="0"/>
        </w:rPr>
        <w:t>47.20%</w:t>
      </w:r>
      <w:r>
        <w:rPr>
          <w:color w:val="000000"/>
          <w:spacing w:val="0"/>
          <w:w w:val="100"/>
          <w:position w:val="0"/>
        </w:rPr>
        <w:t>，主要是公司加强研发投入、人员工资增加 及固定资产折旧增加所致。</w:t>
      </w:r>
    </w:p>
    <w:p>
      <w:pPr>
        <w:pStyle w:val="Style9"/>
        <w:keepNext w:val="0"/>
        <w:keepLines w:val="0"/>
        <w:widowControl w:val="0"/>
        <w:numPr>
          <w:ilvl w:val="0"/>
          <w:numId w:val="25"/>
        </w:numPr>
        <w:shd w:val="clear" w:color="auto" w:fill="auto"/>
        <w:tabs>
          <w:tab w:pos="628" w:val="left"/>
        </w:tabs>
        <w:bidi w:val="0"/>
        <w:spacing w:before="0" w:after="0" w:line="312" w:lineRule="exact"/>
        <w:ind w:left="0" w:right="0" w:firstLine="0"/>
        <w:jc w:val="left"/>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374" w:right="1064" w:bottom="1446" w:left="1064" w:header="0" w:footer="3" w:gutter="0"/>
          <w:cols w:space="720"/>
          <w:noEndnote/>
          <w:rtlGutter w:val="0"/>
          <w:docGrid w:linePitch="360"/>
        </w:sectPr>
      </w:pPr>
      <w:bookmarkStart w:id="1176" w:name="bookmark1176"/>
      <w:bookmarkEnd w:id="1176"/>
      <w:r>
        <w:rPr>
          <w:color w:val="000000"/>
          <w:spacing w:val="0"/>
          <w:w w:val="100"/>
          <w:position w:val="0"/>
        </w:rPr>
        <w:t>本年度经营活动产生的现金流量净额同比减少</w:t>
      </w:r>
      <w:r>
        <w:rPr>
          <w:rFonts w:ascii="Times New Roman" w:eastAsia="Times New Roman" w:hAnsi="Times New Roman" w:cs="Times New Roman"/>
          <w:color w:val="000000"/>
          <w:spacing w:val="0"/>
          <w:w w:val="100"/>
          <w:position w:val="0"/>
        </w:rPr>
        <w:t>52.36%</w:t>
      </w:r>
      <w:r>
        <w:rPr>
          <w:color w:val="000000"/>
          <w:spacing w:val="0"/>
          <w:w w:val="100"/>
          <w:position w:val="0"/>
        </w:rPr>
        <w:t>，主要是本年度购买商品、接受劳务支付的现金增加所致；投 资活动现金流出同比减少</w:t>
      </w:r>
      <w:r>
        <w:rPr>
          <w:rFonts w:ascii="Times New Roman" w:eastAsia="Times New Roman" w:hAnsi="Times New Roman" w:cs="Times New Roman"/>
          <w:color w:val="000000"/>
          <w:spacing w:val="0"/>
          <w:w w:val="100"/>
          <w:position w:val="0"/>
        </w:rPr>
        <w:t>53.40%</w:t>
      </w:r>
      <w:r>
        <w:rPr>
          <w:color w:val="000000"/>
          <w:spacing w:val="0"/>
          <w:w w:val="100"/>
          <w:position w:val="0"/>
        </w:rPr>
        <w:t>，主要是本年度公司合理控制研发节奏，加大了研发人工的投入，适当减少了固定资产的 投入；现金及现金等价物净增加额同比减少</w:t>
      </w:r>
      <w:r>
        <w:rPr>
          <w:rFonts w:ascii="Times New Roman" w:eastAsia="Times New Roman" w:hAnsi="Times New Roman" w:cs="Times New Roman"/>
          <w:color w:val="000000"/>
          <w:spacing w:val="0"/>
          <w:w w:val="100"/>
          <w:position w:val="0"/>
        </w:rPr>
        <w:t>98.44%</w:t>
      </w:r>
      <w:r>
        <w:rPr>
          <w:color w:val="000000"/>
          <w:spacing w:val="0"/>
          <w:w w:val="100"/>
          <w:position w:val="0"/>
        </w:rPr>
        <w:t>，主要是</w:t>
      </w:r>
      <w:r>
        <w:rPr>
          <w:rFonts w:ascii="Times New Roman" w:eastAsia="Times New Roman" w:hAnsi="Times New Roman" w:cs="Times New Roman"/>
          <w:color w:val="000000"/>
          <w:spacing w:val="0"/>
          <w:w w:val="100"/>
          <w:position w:val="0"/>
        </w:rPr>
        <w:t>2012</w:t>
      </w:r>
      <w:r>
        <w:rPr>
          <w:color w:val="000000"/>
          <w:spacing w:val="0"/>
          <w:w w:val="100"/>
          <w:position w:val="0"/>
        </w:rPr>
        <w:t>年公司收到募集资金所致。</w:t>
      </w:r>
    </w:p>
    <w:p>
      <w:pPr>
        <w:pStyle w:val="Style19"/>
        <w:keepNext/>
        <w:keepLines/>
        <w:widowControl w:val="0"/>
        <w:shd w:val="clear" w:color="auto" w:fill="auto"/>
        <w:bidi w:val="0"/>
        <w:spacing w:before="0" w:after="560" w:line="240" w:lineRule="auto"/>
        <w:ind w:left="0" w:right="0" w:firstLine="0"/>
        <w:jc w:val="center"/>
      </w:pPr>
      <w:bookmarkStart w:id="1177" w:name="bookmark1177"/>
      <w:bookmarkStart w:id="1178" w:name="bookmark1178"/>
      <w:bookmarkStart w:id="1179" w:name="bookmark1179"/>
      <w:r>
        <w:rPr>
          <w:color w:val="000000"/>
          <w:spacing w:val="0"/>
          <w:w w:val="100"/>
          <w:position w:val="0"/>
        </w:rPr>
        <w:t>第十节备查文件目录</w:t>
      </w:r>
      <w:bookmarkEnd w:id="1177"/>
      <w:bookmarkEnd w:id="1178"/>
      <w:bookmarkEnd w:id="1179"/>
    </w:p>
    <w:p>
      <w:pPr>
        <w:pStyle w:val="Style9"/>
        <w:keepNext w:val="0"/>
        <w:keepLines w:val="0"/>
        <w:widowControl w:val="0"/>
        <w:shd w:val="clear" w:color="auto" w:fill="auto"/>
        <w:tabs>
          <w:tab w:pos="334" w:val="left"/>
        </w:tabs>
        <w:bidi w:val="0"/>
        <w:spacing w:before="0" w:after="80" w:line="240" w:lineRule="auto"/>
        <w:ind w:left="0" w:right="0" w:firstLine="0"/>
        <w:jc w:val="left"/>
      </w:pPr>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1"/>
      <w:r>
        <w:rPr>
          <w:color w:val="000000"/>
          <w:spacing w:val="0"/>
          <w:w w:val="100"/>
          <w:position w:val="0"/>
        </w:rPr>
        <w:t>、</w:t>
        <w:tab/>
        <w:t>载有公司法定代表人、主管会计工作负责人、会计机构负责人签名并盖章的财务报表。</w:t>
      </w:r>
      <w:bookmarkEnd w:id="1180"/>
    </w:p>
    <w:p>
      <w:pPr>
        <w:pStyle w:val="Style9"/>
        <w:keepNext w:val="0"/>
        <w:keepLines w:val="0"/>
        <w:widowControl w:val="0"/>
        <w:shd w:val="clear" w:color="auto" w:fill="auto"/>
        <w:tabs>
          <w:tab w:pos="354" w:val="left"/>
        </w:tabs>
        <w:bidi w:val="0"/>
        <w:spacing w:before="0" w:after="80" w:line="240" w:lineRule="auto"/>
        <w:ind w:left="0" w:right="0" w:firstLine="0"/>
        <w:jc w:val="left"/>
      </w:pPr>
      <w:bookmarkStart w:id="1182" w:name="bookmark1182"/>
      <w:r>
        <w:rPr>
          <w:rFonts w:ascii="Times New Roman" w:eastAsia="Times New Roman" w:hAnsi="Times New Roman" w:cs="Times New Roman"/>
          <w:color w:val="000000"/>
          <w:spacing w:val="0"/>
          <w:w w:val="100"/>
          <w:position w:val="0"/>
        </w:rPr>
        <w:t>2</w:t>
      </w:r>
      <w:bookmarkEnd w:id="1182"/>
      <w:r>
        <w:rPr>
          <w:color w:val="000000"/>
          <w:spacing w:val="0"/>
          <w:w w:val="100"/>
          <w:position w:val="0"/>
        </w:rPr>
        <w:t>、</w:t>
        <w:tab/>
        <w:t>载有会计师事务所盖章、注册会计师签名并盖章的审计报告原件。</w:t>
      </w:r>
    </w:p>
    <w:p>
      <w:pPr>
        <w:pStyle w:val="Style9"/>
        <w:keepNext w:val="0"/>
        <w:keepLines w:val="0"/>
        <w:widowControl w:val="0"/>
        <w:shd w:val="clear" w:color="auto" w:fill="auto"/>
        <w:tabs>
          <w:tab w:pos="354" w:val="left"/>
        </w:tabs>
        <w:bidi w:val="0"/>
        <w:spacing w:before="0" w:after="80" w:line="240" w:lineRule="auto"/>
        <w:ind w:left="0" w:right="0" w:firstLine="0"/>
        <w:jc w:val="left"/>
      </w:pPr>
      <w:bookmarkStart w:id="1183" w:name="bookmark1183"/>
      <w:r>
        <w:rPr>
          <w:rFonts w:ascii="Times New Roman" w:eastAsia="Times New Roman" w:hAnsi="Times New Roman" w:cs="Times New Roman"/>
          <w:color w:val="000000"/>
          <w:spacing w:val="0"/>
          <w:w w:val="100"/>
          <w:position w:val="0"/>
        </w:rPr>
        <w:t>3</w:t>
      </w:r>
      <w:bookmarkEnd w:id="1183"/>
      <w:r>
        <w:rPr>
          <w:color w:val="000000"/>
          <w:spacing w:val="0"/>
          <w:w w:val="100"/>
          <w:position w:val="0"/>
        </w:rPr>
        <w:t>、</w:t>
        <w:tab/>
        <w:t>报告期内在中国证监会指定网站上公开披露过的所有公司文件的正本及公告的原稿。</w:t>
      </w:r>
    </w:p>
    <w:p>
      <w:pPr>
        <w:pStyle w:val="Style9"/>
        <w:keepNext w:val="0"/>
        <w:keepLines w:val="0"/>
        <w:widowControl w:val="0"/>
        <w:shd w:val="clear" w:color="auto" w:fill="auto"/>
        <w:tabs>
          <w:tab w:pos="354" w:val="left"/>
        </w:tabs>
        <w:bidi w:val="0"/>
        <w:spacing w:before="0" w:after="80" w:line="240" w:lineRule="auto"/>
        <w:ind w:left="0" w:right="0" w:firstLine="0"/>
        <w:jc w:val="left"/>
      </w:pPr>
      <w:bookmarkStart w:id="1184" w:name="bookmark1184"/>
      <w:r>
        <w:rPr>
          <w:rFonts w:ascii="Times New Roman" w:eastAsia="Times New Roman" w:hAnsi="Times New Roman" w:cs="Times New Roman"/>
          <w:color w:val="000000"/>
          <w:spacing w:val="0"/>
          <w:w w:val="100"/>
          <w:position w:val="0"/>
        </w:rPr>
        <w:t>4</w:t>
      </w:r>
      <w:bookmarkEnd w:id="1184"/>
      <w:r>
        <w:rPr>
          <w:color w:val="000000"/>
          <w:spacing w:val="0"/>
          <w:w w:val="100"/>
          <w:position w:val="0"/>
        </w:rPr>
        <w:t>、</w:t>
        <w:tab/>
        <w:t>经公司法定代表人签字和公司盖章的本次年度报告。</w:t>
      </w:r>
    </w:p>
    <w:p>
      <w:pPr>
        <w:pStyle w:val="Style9"/>
        <w:keepNext w:val="0"/>
        <w:keepLines w:val="0"/>
        <w:widowControl w:val="0"/>
        <w:shd w:val="clear" w:color="auto" w:fill="auto"/>
        <w:tabs>
          <w:tab w:pos="354" w:val="left"/>
        </w:tabs>
        <w:bidi w:val="0"/>
        <w:spacing w:before="0" w:after="80" w:line="240" w:lineRule="auto"/>
        <w:ind w:left="0" w:right="0" w:firstLine="0"/>
        <w:jc w:val="left"/>
      </w:pPr>
      <w:bookmarkStart w:id="1185" w:name="bookmark1185"/>
      <w:r>
        <w:rPr>
          <w:rFonts w:ascii="Times New Roman" w:eastAsia="Times New Roman" w:hAnsi="Times New Roman" w:cs="Times New Roman"/>
          <w:color w:val="000000"/>
          <w:spacing w:val="0"/>
          <w:w w:val="100"/>
          <w:position w:val="0"/>
        </w:rPr>
        <w:t>5</w:t>
      </w:r>
      <w:bookmarkEnd w:id="1185"/>
      <w:r>
        <w:rPr>
          <w:color w:val="000000"/>
          <w:spacing w:val="0"/>
          <w:w w:val="100"/>
          <w:position w:val="0"/>
        </w:rPr>
        <w:t>、</w:t>
        <w:tab/>
        <w:t>深圳证券交易所要求的其他文件。</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以上备查文件的备置地点：深圳市南山区科技中二路软件园</w:t>
      </w:r>
      <w:r>
        <w:rPr>
          <w:rFonts w:ascii="Times New Roman" w:eastAsia="Times New Roman" w:hAnsi="Times New Roman" w:cs="Times New Roman"/>
          <w:color w:val="000000"/>
          <w:spacing w:val="0"/>
          <w:w w:val="100"/>
          <w:position w:val="0"/>
        </w:rPr>
        <w:t>2</w:t>
      </w:r>
      <w:r>
        <w:rPr>
          <w:color w:val="000000"/>
          <w:spacing w:val="0"/>
          <w:w w:val="100"/>
          <w:position w:val="0"/>
        </w:rPr>
        <w:t>栋</w:t>
      </w:r>
      <w:r>
        <w:rPr>
          <w:rFonts w:ascii="Times New Roman" w:eastAsia="Times New Roman" w:hAnsi="Times New Roman" w:cs="Times New Roman"/>
          <w:color w:val="000000"/>
          <w:spacing w:val="0"/>
          <w:w w:val="100"/>
          <w:position w:val="0"/>
        </w:rPr>
        <w:t>6</w:t>
      </w:r>
      <w:r>
        <w:rPr>
          <w:color w:val="000000"/>
          <w:spacing w:val="0"/>
          <w:w w:val="100"/>
          <w:position w:val="0"/>
        </w:rPr>
        <w:t>楼公司证券事务部办公室。</w:t>
      </w:r>
    </w:p>
    <w:sectPr>
      <w:footnotePr>
        <w:pos w:val="pageBottom"/>
        <w:numFmt w:val="decimal"/>
        <w:numRestart w:val="continuous"/>
      </w:footnotePr>
      <w:pgSz w:w="11900" w:h="16840"/>
      <w:pgMar w:top="1969" w:right="1110" w:bottom="1969" w:left="11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6708140</wp:posOffset>
              </wp:positionH>
              <wp:positionV relativeFrom="page">
                <wp:posOffset>9958070</wp:posOffset>
              </wp:positionV>
              <wp:extent cx="100330" cy="79375"/>
              <wp:wrapNone/>
              <wp:docPr id="4" name="Shape 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8.20000000000005pt;margin-top:784.10000000000002pt;width:7.90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6708140</wp:posOffset>
              </wp:positionH>
              <wp:positionV relativeFrom="page">
                <wp:posOffset>9958070</wp:posOffset>
              </wp:positionV>
              <wp:extent cx="100330" cy="79375"/>
              <wp:wrapNone/>
              <wp:docPr id="54" name="Shape 5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528.20000000000005pt;margin-top:784.10000000000002pt;width:7.9000000000000004pt;height:6.25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6708140</wp:posOffset>
              </wp:positionH>
              <wp:positionV relativeFrom="page">
                <wp:posOffset>9958070</wp:posOffset>
              </wp:positionV>
              <wp:extent cx="100330" cy="79375"/>
              <wp:wrapNone/>
              <wp:docPr id="59" name="Shape 5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28.20000000000005pt;margin-top:784.10000000000002pt;width:7.9000000000000004pt;height:6.25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9665970</wp:posOffset>
              </wp:positionH>
              <wp:positionV relativeFrom="page">
                <wp:posOffset>6823075</wp:posOffset>
              </wp:positionV>
              <wp:extent cx="106680" cy="79375"/>
              <wp:wrapNone/>
              <wp:docPr id="116" name="Shape 11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2" type="#_x0000_t202" style="position:absolute;margin-left:761.10000000000002pt;margin-top:537.25pt;width:8.4000000000000004pt;height:6.25pt;z-index:-1887440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9665970</wp:posOffset>
              </wp:positionH>
              <wp:positionV relativeFrom="page">
                <wp:posOffset>6823075</wp:posOffset>
              </wp:positionV>
              <wp:extent cx="106680" cy="79375"/>
              <wp:wrapNone/>
              <wp:docPr id="121" name="Shape 12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7" type="#_x0000_t202" style="position:absolute;margin-left:761.10000000000002pt;margin-top:537.25pt;width:8.4000000000000004pt;height:6.25pt;z-index:-18874401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6708140</wp:posOffset>
              </wp:positionH>
              <wp:positionV relativeFrom="page">
                <wp:posOffset>9958070</wp:posOffset>
              </wp:positionV>
              <wp:extent cx="100330" cy="79375"/>
              <wp:wrapNone/>
              <wp:docPr id="126" name="Shape 12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528.20000000000005pt;margin-top:784.10000000000002pt;width:7.9000000000000004pt;height:6.25pt;z-index:-1887440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6708140</wp:posOffset>
              </wp:positionH>
              <wp:positionV relativeFrom="page">
                <wp:posOffset>9958070</wp:posOffset>
              </wp:positionV>
              <wp:extent cx="100330" cy="79375"/>
              <wp:wrapNone/>
              <wp:docPr id="131" name="Shape 13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7" type="#_x0000_t202" style="position:absolute;margin-left:528.20000000000005pt;margin-top:784.10000000000002pt;width:7.9000000000000004pt;height:6.25pt;z-index:-1887440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6708140</wp:posOffset>
              </wp:positionH>
              <wp:positionV relativeFrom="page">
                <wp:posOffset>9958070</wp:posOffset>
              </wp:positionV>
              <wp:extent cx="100330" cy="79375"/>
              <wp:wrapNone/>
              <wp:docPr id="9" name="Shape 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8.20000000000005pt;margin-top:784.10000000000002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6791325</wp:posOffset>
              </wp:positionH>
              <wp:positionV relativeFrom="page">
                <wp:posOffset>10128885</wp:posOffset>
              </wp:positionV>
              <wp:extent cx="30480" cy="79375"/>
              <wp:wrapNone/>
              <wp:docPr id="14" name="Shape 1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4.75pt;margin-top:797.55000000000007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725170</wp:posOffset>
              </wp:positionH>
              <wp:positionV relativeFrom="page">
                <wp:posOffset>9750425</wp:posOffset>
              </wp:positionV>
              <wp:extent cx="542290" cy="118745"/>
              <wp:wrapNone/>
              <wp:docPr id="19" name="Shape 19"/>
              <a:graphic xmlns:a="http://schemas.openxmlformats.org/drawingml/2006/main">
                <a:graphicData uri="http://schemas.microsoft.com/office/word/2010/wordprocessingShape">
                  <wps:wsp>
                    <wps:cNvSpPr txBox="1"/>
                    <wps:spPr>
                      <a:xfrm>
                        <a:ext cx="542290" cy="1187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研发投入</w:t>
                          </w:r>
                        </w:p>
                      </w:txbxContent>
                    </wps:txbx>
                    <wps:bodyPr wrap="none" lIns="0" tIns="0" rIns="0" bIns="0">
                      <a:spAutoFit/>
                    </wps:bodyPr>
                  </wps:wsp>
                </a:graphicData>
              </a:graphic>
            </wp:anchor>
          </w:drawing>
        </mc:Choice>
        <mc:Fallback>
          <w:pict>
            <v:shape id="_x0000_s1045" type="#_x0000_t202" style="position:absolute;margin-left:57.100000000000001pt;margin-top:767.75pt;width:42.700000000000003pt;height:9.3499999999999996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研发投入</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6741795</wp:posOffset>
              </wp:positionH>
              <wp:positionV relativeFrom="page">
                <wp:posOffset>10113010</wp:posOffset>
              </wp:positionV>
              <wp:extent cx="85090" cy="79375"/>
              <wp:wrapNone/>
              <wp:docPr id="21" name="Shape 2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530.85000000000002pt;margin-top:796.30000000000007pt;width:6.7000000000000002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6708140</wp:posOffset>
              </wp:positionH>
              <wp:positionV relativeFrom="page">
                <wp:posOffset>9958070</wp:posOffset>
              </wp:positionV>
              <wp:extent cx="100330" cy="79375"/>
              <wp:wrapNone/>
              <wp:docPr id="26" name="Shape 2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528.20000000000005pt;margin-top:784.10000000000002pt;width:7.9000000000000004pt;height:6.25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6708140</wp:posOffset>
              </wp:positionH>
              <wp:positionV relativeFrom="page">
                <wp:posOffset>9958070</wp:posOffset>
              </wp:positionV>
              <wp:extent cx="100330" cy="79375"/>
              <wp:wrapNone/>
              <wp:docPr id="31" name="Shape 3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28.20000000000005pt;margin-top:784.10000000000002pt;width:7.9000000000000004pt;height:6.25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6708140</wp:posOffset>
              </wp:positionH>
              <wp:positionV relativeFrom="page">
                <wp:posOffset>9958070</wp:posOffset>
              </wp:positionV>
              <wp:extent cx="100330" cy="79375"/>
              <wp:wrapNone/>
              <wp:docPr id="36" name="Shape 3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528.20000000000005pt;margin-top:784.10000000000002pt;width:7.9000000000000004pt;height:6.25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9662795</wp:posOffset>
              </wp:positionH>
              <wp:positionV relativeFrom="page">
                <wp:posOffset>6837045</wp:posOffset>
              </wp:positionV>
              <wp:extent cx="113030" cy="79375"/>
              <wp:wrapNone/>
              <wp:docPr id="43" name="Shape 43"/>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760.85000000000002pt;margin-top:538.35000000000002pt;width:8.9000000000000004pt;height:6.25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9662795</wp:posOffset>
              </wp:positionH>
              <wp:positionV relativeFrom="page">
                <wp:posOffset>6837045</wp:posOffset>
              </wp:positionV>
              <wp:extent cx="113030" cy="79375"/>
              <wp:wrapNone/>
              <wp:docPr id="48" name="Shape 48"/>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760.85000000000002pt;margin-top:538.35000000000002pt;width:8.9000000000000004pt;height:6.25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4380230</wp:posOffset>
              </wp:positionH>
              <wp:positionV relativeFrom="page">
                <wp:posOffset>549910</wp:posOffset>
              </wp:positionV>
              <wp:extent cx="2453640" cy="106680"/>
              <wp:wrapNone/>
              <wp:docPr id="1" name="Shape 1"/>
              <a:graphic xmlns:a="http://schemas.openxmlformats.org/drawingml/2006/main">
                <a:graphicData uri="http://schemas.microsoft.com/office/word/2010/wordprocessingShape">
                  <wps:wsp>
                    <wps:cNvSpPr txBox="1"/>
                    <wps:spPr>
                      <a:xfrm>
                        <a:ext cx="245364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4.90000000000003pt;margin-top:43.300000000000004pt;width:193.2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4380230</wp:posOffset>
              </wp:positionH>
              <wp:positionV relativeFrom="page">
                <wp:posOffset>549910</wp:posOffset>
              </wp:positionV>
              <wp:extent cx="2453640" cy="106680"/>
              <wp:wrapNone/>
              <wp:docPr id="51" name="Shape 51"/>
              <a:graphic xmlns:a="http://schemas.openxmlformats.org/drawingml/2006/main">
                <a:graphicData uri="http://schemas.microsoft.com/office/word/2010/wordprocessingShape">
                  <wps:wsp>
                    <wps:cNvSpPr txBox="1"/>
                    <wps:spPr>
                      <a:xfrm>
                        <a:ext cx="245364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77" type="#_x0000_t202" style="position:absolute;margin-left:344.90000000000003pt;margin-top:43.300000000000004pt;width:193.20000000000002pt;height:8.4000000000000004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53" name="Shape 5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4380230</wp:posOffset>
              </wp:positionH>
              <wp:positionV relativeFrom="page">
                <wp:posOffset>549910</wp:posOffset>
              </wp:positionV>
              <wp:extent cx="2453640" cy="106680"/>
              <wp:wrapNone/>
              <wp:docPr id="56" name="Shape 56"/>
              <a:graphic xmlns:a="http://schemas.openxmlformats.org/drawingml/2006/main">
                <a:graphicData uri="http://schemas.microsoft.com/office/word/2010/wordprocessingShape">
                  <wps:wsp>
                    <wps:cNvSpPr txBox="1"/>
                    <wps:spPr>
                      <a:xfrm>
                        <a:ext cx="245364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82" type="#_x0000_t202" style="position:absolute;margin-left:344.90000000000003pt;margin-top:43.300000000000004pt;width:193.20000000000002pt;height:8.4000000000000004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58" name="Shape 5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7321550</wp:posOffset>
              </wp:positionH>
              <wp:positionV relativeFrom="page">
                <wp:posOffset>556895</wp:posOffset>
              </wp:positionV>
              <wp:extent cx="2453640" cy="106680"/>
              <wp:wrapNone/>
              <wp:docPr id="113" name="Shape 113"/>
              <a:graphic xmlns:a="http://schemas.openxmlformats.org/drawingml/2006/main">
                <a:graphicData uri="http://schemas.microsoft.com/office/word/2010/wordprocessingShape">
                  <wps:wsp>
                    <wps:cNvSpPr txBox="1"/>
                    <wps:spPr>
                      <a:xfrm>
                        <a:ext cx="245364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39" type="#_x0000_t202" style="position:absolute;margin-left:576.5pt;margin-top:43.850000000000001pt;width:193.20000000000002pt;height:8.4000000000000004pt;z-index:-18874401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3335" cy="0"/>
              <wp:wrapNone/>
              <wp:docPr id="115" name="Shape 115"/>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05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7321550</wp:posOffset>
              </wp:positionH>
              <wp:positionV relativeFrom="page">
                <wp:posOffset>556895</wp:posOffset>
              </wp:positionV>
              <wp:extent cx="2453640" cy="106680"/>
              <wp:wrapNone/>
              <wp:docPr id="118" name="Shape 118"/>
              <a:graphic xmlns:a="http://schemas.openxmlformats.org/drawingml/2006/main">
                <a:graphicData uri="http://schemas.microsoft.com/office/word/2010/wordprocessingShape">
                  <wps:wsp>
                    <wps:cNvSpPr txBox="1"/>
                    <wps:spPr>
                      <a:xfrm>
                        <a:ext cx="2453640"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44" type="#_x0000_t202" style="position:absolute;margin-left:576.5pt;margin-top:43.850000000000001pt;width:193.20000000000002pt;height:8.4000000000000004pt;z-index:-1887440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任子行网络技术股份有限公司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3335" cy="0"/>
              <wp:wrapNone/>
              <wp:docPr id="120" name="Shape 120"/>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05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4380230</wp:posOffset>
              </wp:positionH>
              <wp:positionV relativeFrom="page">
                <wp:posOffset>549910</wp:posOffset>
              </wp:positionV>
              <wp:extent cx="2453640" cy="106680"/>
              <wp:wrapNone/>
              <wp:docPr id="123" name="Shape 123"/>
              <a:graphic xmlns:a="http://schemas.openxmlformats.org/drawingml/2006/main">
                <a:graphicData uri="http://schemas.microsoft.com/office/word/2010/wordprocessingShape">
                  <wps:wsp>
                    <wps:cNvSpPr txBox="1"/>
                    <wps:spPr>
                      <a:xfrm>
                        <a:ext cx="245364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49" type="#_x0000_t202" style="position:absolute;margin-left:344.90000000000003pt;margin-top:43.300000000000004pt;width:193.20000000000002pt;height:8.4000000000000004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125" name="Shape 12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4380230</wp:posOffset>
              </wp:positionH>
              <wp:positionV relativeFrom="page">
                <wp:posOffset>549910</wp:posOffset>
              </wp:positionV>
              <wp:extent cx="2453640" cy="106680"/>
              <wp:wrapNone/>
              <wp:docPr id="128" name="Shape 128"/>
              <a:graphic xmlns:a="http://schemas.openxmlformats.org/drawingml/2006/main">
                <a:graphicData uri="http://schemas.microsoft.com/office/word/2010/wordprocessingShape">
                  <wps:wsp>
                    <wps:cNvSpPr txBox="1"/>
                    <wps:spPr>
                      <a:xfrm>
                        <a:ext cx="245364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54" type="#_x0000_t202" style="position:absolute;margin-left:344.90000000000003pt;margin-top:43.300000000000004pt;width:193.20000000000002pt;height:8.4000000000000004pt;z-index:-1887440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130" name="Shape 13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4380230</wp:posOffset>
              </wp:positionH>
              <wp:positionV relativeFrom="page">
                <wp:posOffset>549910</wp:posOffset>
              </wp:positionV>
              <wp:extent cx="2453640" cy="106680"/>
              <wp:wrapNone/>
              <wp:docPr id="6" name="Shape 6"/>
              <a:graphic xmlns:a="http://schemas.openxmlformats.org/drawingml/2006/main">
                <a:graphicData uri="http://schemas.microsoft.com/office/word/2010/wordprocessingShape">
                  <wps:wsp>
                    <wps:cNvSpPr txBox="1"/>
                    <wps:spPr>
                      <a:xfrm>
                        <a:ext cx="245364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2" type="#_x0000_t202" style="position:absolute;margin-left:344.90000000000003pt;margin-top:43.300000000000004pt;width:193.2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4380230</wp:posOffset>
              </wp:positionH>
              <wp:positionV relativeFrom="page">
                <wp:posOffset>478790</wp:posOffset>
              </wp:positionV>
              <wp:extent cx="2453640" cy="106680"/>
              <wp:wrapNone/>
              <wp:docPr id="11" name="Shape 11"/>
              <a:graphic xmlns:a="http://schemas.openxmlformats.org/drawingml/2006/main">
                <a:graphicData uri="http://schemas.microsoft.com/office/word/2010/wordprocessingShape">
                  <wps:wsp>
                    <wps:cNvSpPr txBox="1"/>
                    <wps:spPr>
                      <a:xfrm>
                        <a:ext cx="245364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7" type="#_x0000_t202" style="position:absolute;margin-left:344.90000000000003pt;margin-top:37.700000000000003pt;width:193.2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0135" cy="0"/>
              <wp:wrapNone/>
              <wp:docPr id="13" name="Shape 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49.100000000000001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4382770</wp:posOffset>
              </wp:positionH>
              <wp:positionV relativeFrom="page">
                <wp:posOffset>719455</wp:posOffset>
              </wp:positionV>
              <wp:extent cx="2453640" cy="106680"/>
              <wp:wrapNone/>
              <wp:docPr id="16" name="Shape 16"/>
              <a:graphic xmlns:a="http://schemas.openxmlformats.org/drawingml/2006/main">
                <a:graphicData uri="http://schemas.microsoft.com/office/word/2010/wordprocessingShape">
                  <wps:wsp>
                    <wps:cNvSpPr txBox="1"/>
                    <wps:spPr>
                      <a:xfrm>
                        <a:ext cx="245364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42" type="#_x0000_t202" style="position:absolute;margin-left:345.10000000000002pt;margin-top:56.649999999999999pt;width:193.2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864235</wp:posOffset>
              </wp:positionV>
              <wp:extent cx="6160135" cy="0"/>
              <wp:wrapNone/>
              <wp:docPr id="18" name="Shape 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68.049999999999997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4380230</wp:posOffset>
              </wp:positionH>
              <wp:positionV relativeFrom="page">
                <wp:posOffset>549910</wp:posOffset>
              </wp:positionV>
              <wp:extent cx="2453640" cy="106680"/>
              <wp:wrapNone/>
              <wp:docPr id="23" name="Shape 23"/>
              <a:graphic xmlns:a="http://schemas.openxmlformats.org/drawingml/2006/main">
                <a:graphicData uri="http://schemas.microsoft.com/office/word/2010/wordprocessingShape">
                  <wps:wsp>
                    <wps:cNvSpPr txBox="1"/>
                    <wps:spPr>
                      <a:xfrm>
                        <a:ext cx="245364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49" type="#_x0000_t202" style="position:absolute;margin-left:344.90000000000003pt;margin-top:43.300000000000004pt;width:193.2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25" name="Shape 2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4380230</wp:posOffset>
              </wp:positionH>
              <wp:positionV relativeFrom="page">
                <wp:posOffset>549910</wp:posOffset>
              </wp:positionV>
              <wp:extent cx="2453640" cy="106680"/>
              <wp:wrapNone/>
              <wp:docPr id="28" name="Shape 28"/>
              <a:graphic xmlns:a="http://schemas.openxmlformats.org/drawingml/2006/main">
                <a:graphicData uri="http://schemas.microsoft.com/office/word/2010/wordprocessingShape">
                  <wps:wsp>
                    <wps:cNvSpPr txBox="1"/>
                    <wps:spPr>
                      <a:xfrm>
                        <a:ext cx="245364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54" type="#_x0000_t202" style="position:absolute;margin-left:344.90000000000003pt;margin-top:43.300000000000004pt;width:193.20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30" name="Shape 3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4380230</wp:posOffset>
              </wp:positionH>
              <wp:positionV relativeFrom="page">
                <wp:posOffset>549910</wp:posOffset>
              </wp:positionV>
              <wp:extent cx="2453640" cy="106680"/>
              <wp:wrapNone/>
              <wp:docPr id="33" name="Shape 33"/>
              <a:graphic xmlns:a="http://schemas.openxmlformats.org/drawingml/2006/main">
                <a:graphicData uri="http://schemas.microsoft.com/office/word/2010/wordprocessingShape">
                  <wps:wsp>
                    <wps:cNvSpPr txBox="1"/>
                    <wps:spPr>
                      <a:xfrm>
                        <a:ext cx="245364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59" type="#_x0000_t202" style="position:absolute;margin-left:344.90000000000003pt;margin-top:43.300000000000004pt;width:193.20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35" name="Shape 3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7321550</wp:posOffset>
              </wp:positionH>
              <wp:positionV relativeFrom="page">
                <wp:posOffset>543560</wp:posOffset>
              </wp:positionV>
              <wp:extent cx="2453640" cy="106680"/>
              <wp:wrapNone/>
              <wp:docPr id="40" name="Shape 40"/>
              <a:graphic xmlns:a="http://schemas.openxmlformats.org/drawingml/2006/main">
                <a:graphicData uri="http://schemas.microsoft.com/office/word/2010/wordprocessingShape">
                  <wps:wsp>
                    <wps:cNvSpPr txBox="1"/>
                    <wps:spPr>
                      <a:xfrm>
                        <a:ext cx="245364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66" type="#_x0000_t202" style="position:absolute;margin-left:576.5pt;margin-top:42.800000000000004pt;width:193.20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718185</wp:posOffset>
              </wp:positionV>
              <wp:extent cx="8903335" cy="0"/>
              <wp:wrapNone/>
              <wp:docPr id="42" name="Shape 42"/>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6.550000000000004pt;width:701.05000000000007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7321550</wp:posOffset>
              </wp:positionH>
              <wp:positionV relativeFrom="page">
                <wp:posOffset>543560</wp:posOffset>
              </wp:positionV>
              <wp:extent cx="2453640" cy="106680"/>
              <wp:wrapNone/>
              <wp:docPr id="45" name="Shape 45"/>
              <a:graphic xmlns:a="http://schemas.openxmlformats.org/drawingml/2006/main">
                <a:graphicData uri="http://schemas.microsoft.com/office/word/2010/wordprocessingShape">
                  <wps:wsp>
                    <wps:cNvSpPr txBox="1"/>
                    <wps:spPr>
                      <a:xfrm>
                        <a:ext cx="245364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71" type="#_x0000_t202" style="position:absolute;margin-left:576.5pt;margin-top:42.800000000000004pt;width:193.20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任子行网络技术股份有限公司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718185</wp:posOffset>
              </wp:positionV>
              <wp:extent cx="8903335" cy="0"/>
              <wp:wrapNone/>
              <wp:docPr id="47" name="Shape 47"/>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6.550000000000004pt;width:701.05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8"/>
      <w:szCs w:val="18"/>
      <w:u w:val="none"/>
      <w:shd w:val="clear" w:color="auto" w:fill="auto"/>
    </w:rPr>
  </w:style>
  <w:style w:type="character" w:customStyle="1" w:styleId="CharStyle10">
    <w:name w:val="正文文本_"/>
    <w:basedOn w:val="DefaultParagraphFont"/>
    <w:link w:val="Style9"/>
    <w:rPr>
      <w:rFonts w:ascii="SimSun" w:eastAsia="SimSun" w:hAnsi="SimSun" w:cs="SimSun"/>
      <w:b w:val="0"/>
      <w:bCs w:val="0"/>
      <w:i w:val="0"/>
      <w:iCs w:val="0"/>
      <w:smallCaps w:val="0"/>
      <w:strike w:val="0"/>
      <w:sz w:val="18"/>
      <w:szCs w:val="18"/>
      <w:u w:val="none"/>
      <w:shd w:val="clear" w:color="auto" w:fill="auto"/>
    </w:rPr>
  </w:style>
  <w:style w:type="character" w:customStyle="1" w:styleId="CharStyle20">
    <w:name w:val="标题 #1_"/>
    <w:basedOn w:val="DefaultParagraphFont"/>
    <w:link w:val="Style19"/>
    <w:rPr>
      <w:rFonts w:ascii="SimSun" w:eastAsia="SimSun" w:hAnsi="SimSun" w:cs="SimSun"/>
      <w:b/>
      <w:bCs/>
      <w:i w:val="0"/>
      <w:iCs w:val="0"/>
      <w:smallCaps w:val="0"/>
      <w:strike w:val="0"/>
      <w:sz w:val="32"/>
      <w:szCs w:val="32"/>
      <w:u w:val="none"/>
      <w:shd w:val="clear" w:color="auto" w:fill="auto"/>
    </w:rPr>
  </w:style>
  <w:style w:type="character" w:customStyle="1" w:styleId="CharStyle23">
    <w:name w:val="表格标题_"/>
    <w:basedOn w:val="DefaultParagraphFont"/>
    <w:link w:val="Style22"/>
    <w:rPr>
      <w:rFonts w:ascii="SimSun" w:eastAsia="SimSun" w:hAnsi="SimSun" w:cs="SimSun"/>
      <w:b w:val="0"/>
      <w:bCs w:val="0"/>
      <w:i w:val="0"/>
      <w:iCs w:val="0"/>
      <w:smallCaps w:val="0"/>
      <w:strike w:val="0"/>
      <w:sz w:val="18"/>
      <w:szCs w:val="18"/>
      <w:u w:val="none"/>
      <w:shd w:val="clear" w:color="auto" w:fill="auto"/>
    </w:rPr>
  </w:style>
  <w:style w:type="character" w:customStyle="1" w:styleId="CharStyle27">
    <w:name w:val="目录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31">
    <w:name w:val="标题 #2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4">
    <w:name w:val="正文文本 (4)_"/>
    <w:basedOn w:val="DefaultParagraphFont"/>
    <w:link w:val="Style43"/>
    <w:rPr>
      <w:rFonts w:ascii="SimSun" w:eastAsia="SimSun" w:hAnsi="SimSun" w:cs="SimSun"/>
      <w:b w:val="0"/>
      <w:bCs w:val="0"/>
      <w:i w:val="0"/>
      <w:iCs w:val="0"/>
      <w:smallCaps w:val="0"/>
      <w:strike w:val="0"/>
      <w:u w:val="none"/>
      <w:shd w:val="clear" w:color="auto" w:fill="auto"/>
    </w:rPr>
  </w:style>
  <w:style w:type="character" w:customStyle="1" w:styleId="CharStyle47">
    <w:name w:val="图片标题_"/>
    <w:basedOn w:val="DefaultParagraphFont"/>
    <w:link w:val="Style46"/>
    <w:rPr>
      <w:rFonts w:ascii="SimHei" w:eastAsia="SimHei" w:hAnsi="SimHei" w:cs="SimHei"/>
      <w:b w:val="0"/>
      <w:bCs w:val="0"/>
      <w:i w:val="0"/>
      <w:iCs w:val="0"/>
      <w:smallCaps w:val="0"/>
      <w:strike w:val="0"/>
      <w:color w:val="6F6F6F"/>
      <w:sz w:val="13"/>
      <w:szCs w:val="13"/>
      <w:u w:val="none"/>
      <w:shd w:val="clear" w:color="auto" w:fill="auto"/>
    </w:rPr>
  </w:style>
  <w:style w:type="character" w:customStyle="1" w:styleId="CharStyle54">
    <w:name w:val="正文文本 (5)_"/>
    <w:basedOn w:val="DefaultParagraphFont"/>
    <w:link w:val="Style5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1">
    <w:name w:val="页眉或页脚_"/>
    <w:basedOn w:val="DefaultParagraphFont"/>
    <w:link w:val="Style60"/>
    <w:rPr>
      <w:rFonts w:ascii="SimSun" w:eastAsia="SimSun" w:hAnsi="SimSun" w:cs="SimSun"/>
      <w:b w:val="0"/>
      <w:bCs w:val="0"/>
      <w:i w:val="0"/>
      <w:iCs w:val="0"/>
      <w:smallCaps w:val="0"/>
      <w:strike w:val="0"/>
      <w:sz w:val="18"/>
      <w:szCs w:val="18"/>
      <w:u w:val="none"/>
      <w:shd w:val="clear" w:color="auto" w:fill="auto"/>
    </w:rPr>
  </w:style>
  <w:style w:type="character" w:customStyle="1" w:styleId="CharStyle65">
    <w:name w:val="正文文本 (6)_"/>
    <w:basedOn w:val="DefaultParagraphFont"/>
    <w:link w:val="Style64"/>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9">
    <w:name w:val="正文文本"/>
    <w:basedOn w:val="Normal"/>
    <w:link w:val="CharStyle10"/>
    <w:pPr>
      <w:widowControl w:val="0"/>
      <w:shd w:val="clear" w:color="auto" w:fill="auto"/>
      <w:spacing w:line="360"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9">
    <w:name w:val="标题 #1"/>
    <w:basedOn w:val="Normal"/>
    <w:link w:val="CharStyle20"/>
    <w:pPr>
      <w:widowControl w:val="0"/>
      <w:shd w:val="clear" w:color="auto" w:fill="auto"/>
      <w:spacing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2">
    <w:name w:val="表格标题"/>
    <w:basedOn w:val="Normal"/>
    <w:link w:val="CharStyle2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6">
    <w:name w:val="目录"/>
    <w:basedOn w:val="Normal"/>
    <w:link w:val="CharStyle27"/>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30">
    <w:name w:val="标题 #2"/>
    <w:basedOn w:val="Normal"/>
    <w:link w:val="CharStyle31"/>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35">
    <w:name w:val="标题 #3"/>
    <w:basedOn w:val="Normal"/>
    <w:link w:val="CharStyle36"/>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标题 #4"/>
    <w:basedOn w:val="Normal"/>
    <w:link w:val="CharStyle39"/>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3">
    <w:name w:val="正文文本 (4)"/>
    <w:basedOn w:val="Normal"/>
    <w:link w:val="CharStyle44"/>
    <w:pPr>
      <w:widowControl w:val="0"/>
      <w:shd w:val="clear" w:color="auto" w:fill="auto"/>
      <w:spacing w:after="260"/>
    </w:pPr>
    <w:rPr>
      <w:rFonts w:ascii="SimSun" w:eastAsia="SimSun" w:hAnsi="SimSun" w:cs="SimSun"/>
      <w:b w:val="0"/>
      <w:bCs w:val="0"/>
      <w:i w:val="0"/>
      <w:iCs w:val="0"/>
      <w:smallCaps w:val="0"/>
      <w:strike w:val="0"/>
      <w:u w:val="none"/>
      <w:shd w:val="clear" w:color="auto" w:fill="auto"/>
    </w:rPr>
  </w:style>
  <w:style w:type="paragraph" w:customStyle="1" w:styleId="Style46">
    <w:name w:val="图片标题"/>
    <w:basedOn w:val="Normal"/>
    <w:link w:val="CharStyle47"/>
    <w:pPr>
      <w:widowControl w:val="0"/>
      <w:shd w:val="clear" w:color="auto" w:fill="auto"/>
      <w:jc w:val="right"/>
    </w:pPr>
    <w:rPr>
      <w:rFonts w:ascii="SimHei" w:eastAsia="SimHei" w:hAnsi="SimHei" w:cs="SimHei"/>
      <w:b w:val="0"/>
      <w:bCs w:val="0"/>
      <w:i w:val="0"/>
      <w:iCs w:val="0"/>
      <w:smallCaps w:val="0"/>
      <w:strike w:val="0"/>
      <w:color w:val="6F6F6F"/>
      <w:sz w:val="13"/>
      <w:szCs w:val="13"/>
      <w:u w:val="none"/>
      <w:shd w:val="clear" w:color="auto" w:fill="auto"/>
    </w:rPr>
  </w:style>
  <w:style w:type="paragraph" w:customStyle="1" w:styleId="Style53">
    <w:name w:val="正文文本 (5)"/>
    <w:basedOn w:val="Normal"/>
    <w:link w:val="CharStyle54"/>
    <w:pPr>
      <w:widowControl w:val="0"/>
      <w:shd w:val="clear" w:color="auto" w:fill="auto"/>
      <w:spacing w:line="316"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0">
    <w:name w:val="页眉或页脚"/>
    <w:basedOn w:val="Normal"/>
    <w:link w:val="CharStyle61"/>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64">
    <w:name w:val="正文文本 (6)"/>
    <w:basedOn w:val="Normal"/>
    <w:link w:val="CharStyle65"/>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image" Target="media/image1.jpeg"/><Relationship Id="rId24" Type="http://schemas.openxmlformats.org/officeDocument/2006/relationships/image" Target="media/image1.jpeg" TargetMode="Externa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image" Target="media/image2.jpeg"/><Relationship Id="rId30" Type="http://schemas.openxmlformats.org/officeDocument/2006/relationships/image" Target="media/image2.jpeg" TargetMode="Externa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s>
</file>

<file path=docProps/core.xml><?xml version="1.0" encoding="utf-8"?>
<cp:coreProperties xmlns:cp="http://schemas.openxmlformats.org/package/2006/metadata/core-properties" xmlns:dc="http://purl.org/dc/elements/1.1/">
  <dc:title>任子行网络技术股份有限公司2013年度报告全文</dc:title>
  <dc:subject/>
  <dc:creator>任子行网络技术股份有限公司</dc:creator>
  <cp:keywords/>
</cp:coreProperties>
</file>