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630" w:lineRule="exact"/>
        <w:ind w:left="3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7464" cy="4000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7464"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2602" w:right="2606" w:firstLine="0"/>
        <w:jc w:val="center"/>
        <w:rPr>
          <w:rFonts w:ascii="宋体" w:hAnsi="宋体" w:cs="宋体" w:eastAsia="宋体" w:hint="default"/>
          <w:sz w:val="36"/>
          <w:szCs w:val="36"/>
        </w:rPr>
      </w:pPr>
      <w:r>
        <w:rPr>
          <w:rFonts w:ascii="宋体" w:hAnsi="宋体" w:cs="宋体" w:eastAsia="宋体" w:hint="default"/>
          <w:b/>
          <w:bCs/>
          <w:sz w:val="36"/>
          <w:szCs w:val="36"/>
        </w:rPr>
        <w:t>任子行网络技术股份有限公司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2" w:right="260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602" w:right="26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6"/>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2"/>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06" w:firstLine="561"/>
        <w:jc w:val="left"/>
        <w:rPr>
          <w:rFonts w:ascii="宋体" w:hAnsi="宋体" w:cs="宋体" w:eastAsia="宋体" w:hint="default"/>
          <w:sz w:val="28"/>
          <w:szCs w:val="28"/>
        </w:rPr>
      </w:pPr>
      <w:r>
        <w:rPr>
          <w:rFonts w:ascii="宋体" w:hAnsi="宋体" w:cs="宋体" w:eastAsia="宋体" w:hint="default"/>
          <w:b/>
          <w:bCs/>
          <w:w w:val="95"/>
          <w:sz w:val="28"/>
          <w:szCs w:val="28"/>
        </w:rPr>
        <w:t>公司负责人景晓军、主管会计工作负责人孙文杰及会计机构负责人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李艺声明：保证年度报告中财务报告的真实、准确、完整。</w:t>
      </w:r>
      <w:r>
        <w:rPr>
          <w:rFonts w:ascii="宋体" w:hAnsi="宋体" w:cs="宋体" w:eastAsia="宋体" w:hint="default"/>
          <w:sz w:val="28"/>
          <w:szCs w:val="28"/>
        </w:rPr>
      </w:r>
    </w:p>
    <w:p>
      <w:pPr>
        <w:spacing w:before="148"/>
        <w:ind w:left="714" w:right="10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52" w:right="106" w:firstLine="561"/>
        <w:jc w:val="left"/>
        <w:rPr>
          <w:rFonts w:ascii="宋体" w:hAnsi="宋体" w:cs="宋体" w:eastAsia="宋体" w:hint="default"/>
          <w:sz w:val="28"/>
          <w:szCs w:val="28"/>
        </w:rPr>
      </w:pPr>
      <w:r>
        <w:rPr>
          <w:rFonts w:ascii="宋体" w:hAnsi="宋体" w:cs="宋体" w:eastAsia="宋体" w:hint="default"/>
          <w:b/>
          <w:bCs/>
          <w:spacing w:val="2"/>
          <w:sz w:val="28"/>
          <w:szCs w:val="28"/>
        </w:rPr>
        <w:t>（一）投资并购后的整合风险虽然公司现金及发行股份购买资产并募集配</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套资金已经实施完成，但是本次重组交易事项仍可能存在盈利预测实现风险、</w:t>
      </w:r>
      <w:r>
        <w:rPr>
          <w:rFonts w:ascii="宋体" w:hAnsi="宋体" w:cs="宋体" w:eastAsia="宋体" w:hint="default"/>
          <w:b/>
          <w:bCs/>
          <w:spacing w:val="2"/>
          <w:w w:val="99"/>
          <w:sz w:val="28"/>
          <w:szCs w:val="28"/>
        </w:rPr>
        <w:t> </w:t>
      </w:r>
      <w:r>
        <w:rPr>
          <w:rFonts w:ascii="宋体" w:hAnsi="宋体" w:cs="宋体" w:eastAsia="宋体" w:hint="default"/>
          <w:b/>
          <w:bCs/>
          <w:spacing w:val="-6"/>
          <w:w w:val="99"/>
          <w:sz w:val="28"/>
          <w:szCs w:val="28"/>
        </w:rPr>
        <w:t>商誉减值风险、标的资产经营风险等多项风险因素。（二）人力资源风险我国的</w:t>
      </w:r>
      <w:r>
        <w:rPr>
          <w:rFonts w:ascii="宋体" w:hAnsi="宋体" w:cs="宋体" w:eastAsia="宋体" w:hint="default"/>
          <w:b/>
          <w:bCs/>
          <w:spacing w:val="-124"/>
          <w:w w:val="99"/>
          <w:sz w:val="28"/>
          <w:szCs w:val="28"/>
        </w:rPr>
        <w:t> </w:t>
      </w:r>
      <w:r>
        <w:rPr>
          <w:rFonts w:ascii="宋体" w:hAnsi="宋体" w:cs="宋体" w:eastAsia="宋体" w:hint="default"/>
          <w:b/>
          <w:bCs/>
          <w:spacing w:val="-124"/>
          <w:w w:val="99"/>
          <w:sz w:val="28"/>
          <w:szCs w:val="28"/>
        </w:rPr>
      </w:r>
      <w:r>
        <w:rPr>
          <w:rFonts w:ascii="宋体" w:hAnsi="宋体" w:cs="宋体" w:eastAsia="宋体" w:hint="default"/>
          <w:b/>
          <w:bCs/>
          <w:spacing w:val="-2"/>
          <w:sz w:val="28"/>
          <w:szCs w:val="28"/>
        </w:rPr>
        <w:t>网络和信息安全行业正在迎来新的发展机遇，当前公司在经营管理、市场营销、</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技术研发、项目管理、投资管理等方面的中高级人才还相对缺乏，不能满足公</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司快速发展的需要，公司需要不断增强企业凝聚力，引进、培养、留住、储备</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一批中高级人才。同时，由于公司属技术密集型行业，核心技术人员是公司未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来持续发展的重要保障，如果公司不能及时有效地优化和完善员工薪酬福利制</w:t>
      </w:r>
      <w:r>
        <w:rPr>
          <w:rFonts w:ascii="宋体" w:hAnsi="宋体" w:cs="宋体" w:eastAsia="宋体" w:hint="default"/>
          <w:b/>
          <w:bCs/>
          <w:spacing w:val="2"/>
          <w:w w:val="99"/>
          <w:sz w:val="28"/>
          <w:szCs w:val="28"/>
        </w:rPr>
        <w:t> </w:t>
      </w:r>
      <w:r>
        <w:rPr>
          <w:rFonts w:ascii="宋体" w:hAnsi="宋体" w:cs="宋体" w:eastAsia="宋体" w:hint="default"/>
          <w:b/>
          <w:bCs/>
          <w:spacing w:val="-6"/>
          <w:w w:val="99"/>
          <w:sz w:val="28"/>
          <w:szCs w:val="28"/>
        </w:rPr>
        <w:t>度、企业文化环境等激励措施，还存在核心人员流失的风险。（三）技术进步和</w:t>
      </w:r>
      <w:r>
        <w:rPr>
          <w:rFonts w:ascii="宋体" w:hAnsi="宋体" w:cs="宋体" w:eastAsia="宋体" w:hint="default"/>
          <w:b/>
          <w:bCs/>
          <w:spacing w:val="-125"/>
          <w:w w:val="99"/>
          <w:sz w:val="28"/>
          <w:szCs w:val="28"/>
        </w:rPr>
        <w:t> </w:t>
      </w:r>
      <w:r>
        <w:rPr>
          <w:rFonts w:ascii="宋体" w:hAnsi="宋体" w:cs="宋体" w:eastAsia="宋体" w:hint="default"/>
          <w:b/>
          <w:bCs/>
          <w:spacing w:val="-125"/>
          <w:w w:val="99"/>
          <w:sz w:val="28"/>
          <w:szCs w:val="28"/>
        </w:rPr>
      </w:r>
      <w:r>
        <w:rPr>
          <w:rFonts w:ascii="宋体" w:hAnsi="宋体" w:cs="宋体" w:eastAsia="宋体" w:hint="default"/>
          <w:b/>
          <w:bCs/>
          <w:sz w:val="28"/>
          <w:szCs w:val="28"/>
        </w:rPr>
        <w:t>创新风险</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环境日趋复杂和新技术的不断涌现对信息安全提出了更高的要求。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大数据、云计算、物联网、移动互联网等的不断涌现，使得信息的获取方式、</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存储形态、传输渠道和处理方式都发生了变化。用户的爆炸性增长、数据的快</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速膨胀不断增加了信息安全保护的难度，也要求信息安全产品具备更高的性能、</w:t>
      </w:r>
      <w:r>
        <w:rPr>
          <w:rFonts w:ascii="宋体" w:hAnsi="宋体" w:cs="宋体" w:eastAsia="宋体" w:hint="default"/>
          <w:spacing w:val="-2"/>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82" w:header="745" w:top="1060" w:bottom="118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153" w:firstLine="0"/>
        <w:jc w:val="both"/>
        <w:rPr>
          <w:rFonts w:ascii="宋体" w:hAnsi="宋体" w:cs="宋体" w:eastAsia="宋体" w:hint="default"/>
          <w:sz w:val="28"/>
          <w:szCs w:val="28"/>
        </w:rPr>
      </w:pPr>
      <w:r>
        <w:rPr>
          <w:rFonts w:ascii="宋体" w:hAnsi="宋体" w:cs="宋体" w:eastAsia="宋体" w:hint="default"/>
          <w:b/>
          <w:bCs/>
          <w:spacing w:val="2"/>
          <w:sz w:val="28"/>
          <w:szCs w:val="28"/>
        </w:rPr>
        <w:t>更丰富的功能和更高的智能化。信息安全产品的形态不断发生变化，信息安全</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产品和设备之间加快融合，都带来了信息安全产业的重大变革。如果公司不能</w:t>
      </w:r>
      <w:r>
        <w:rPr>
          <w:rFonts w:ascii="宋体" w:hAnsi="宋体" w:cs="宋体" w:eastAsia="宋体" w:hint="default"/>
          <w:b/>
          <w:bCs/>
          <w:w w:val="99"/>
          <w:sz w:val="28"/>
          <w:szCs w:val="28"/>
        </w:rPr>
        <w:t> </w:t>
      </w:r>
      <w:r>
        <w:rPr>
          <w:rFonts w:ascii="宋体" w:hAnsi="宋体" w:cs="宋体" w:eastAsia="宋体" w:hint="default"/>
          <w:b/>
          <w:bCs/>
          <w:spacing w:val="2"/>
          <w:sz w:val="28"/>
          <w:szCs w:val="28"/>
        </w:rPr>
        <w:t>准确地把握行业的发展趋势，在技术开发方向的战略决策上发生失误，或者未</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能及时进行产品升级和新技术的运用，将可能丧失目前的技术优势，面临技术</w:t>
      </w:r>
      <w:r>
        <w:rPr>
          <w:rFonts w:ascii="宋体" w:hAnsi="宋体" w:cs="宋体" w:eastAsia="宋体" w:hint="default"/>
          <w:b/>
          <w:bCs/>
          <w:spacing w:val="2"/>
          <w:w w:val="99"/>
          <w:sz w:val="28"/>
          <w:szCs w:val="28"/>
        </w:rPr>
        <w:t> </w:t>
      </w:r>
      <w:r>
        <w:rPr>
          <w:rFonts w:ascii="宋体" w:hAnsi="宋体" w:cs="宋体" w:eastAsia="宋体" w:hint="default"/>
          <w:b/>
          <w:bCs/>
          <w:spacing w:val="-6"/>
          <w:w w:val="99"/>
          <w:sz w:val="28"/>
          <w:szCs w:val="28"/>
        </w:rPr>
        <w:t>与产品升级的双重风险。（四）固定资产折旧、摊销费用增加影响未来经营成果</w:t>
      </w:r>
      <w:r>
        <w:rPr>
          <w:rFonts w:ascii="宋体" w:hAnsi="宋体" w:cs="宋体" w:eastAsia="宋体" w:hint="default"/>
          <w:b/>
          <w:bCs/>
          <w:spacing w:val="-124"/>
          <w:w w:val="99"/>
          <w:sz w:val="28"/>
          <w:szCs w:val="28"/>
        </w:rPr>
        <w:t> </w:t>
      </w:r>
      <w:r>
        <w:rPr>
          <w:rFonts w:ascii="宋体" w:hAnsi="宋体" w:cs="宋体" w:eastAsia="宋体" w:hint="default"/>
          <w:b/>
          <w:bCs/>
          <w:spacing w:val="-124"/>
          <w:w w:val="99"/>
          <w:sz w:val="28"/>
          <w:szCs w:val="28"/>
        </w:rPr>
      </w:r>
      <w:r>
        <w:rPr>
          <w:rFonts w:ascii="宋体" w:hAnsi="宋体" w:cs="宋体" w:eastAsia="宋体" w:hint="default"/>
          <w:b/>
          <w:bCs/>
          <w:spacing w:val="2"/>
          <w:sz w:val="28"/>
          <w:szCs w:val="28"/>
        </w:rPr>
        <w:t>的风险随着募集资金项目建成投产后陆续产生效益，公司销售收入和盈利水平</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将大幅提高，新增折旧、摊销费用所增加的生产成本将会被募集资金投资项目</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新增的销售收入消化。虽然公司在对项目进行可行性研究时，已经充分考虑了</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折旧、摊销费用等因素，但如果募投项目完成后，不能如期产生效益或实际收</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益低于盈亏平衡点的收益，则新增的折旧、摊销费用将对公司的经营业绩造成</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不利影响。与此同时，公司限制性股票已经授予完成，因此产生的股权激励费</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用将分摊至股权激励存续期间的各个报告期，虽然在制订股权激励计划时已经</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充分考虑了股权激励费用对未来经营业绩的影响，但如果公司及激励对象不能</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完成预设的考核目标，公司的经营业绩将因此受到不利影响，限制性股票也将</w:t>
      </w:r>
      <w:r>
        <w:rPr>
          <w:rFonts w:ascii="宋体" w:hAnsi="宋体" w:cs="宋体" w:eastAsia="宋体" w:hint="default"/>
          <w:b/>
          <w:bCs/>
          <w:spacing w:val="2"/>
          <w:w w:val="99"/>
          <w:sz w:val="28"/>
          <w:szCs w:val="28"/>
        </w:rPr>
        <w:t> </w:t>
      </w:r>
      <w:r>
        <w:rPr>
          <w:rFonts w:ascii="宋体" w:hAnsi="宋体" w:cs="宋体" w:eastAsia="宋体" w:hint="default"/>
          <w:b/>
          <w:bCs/>
          <w:sz w:val="28"/>
          <w:szCs w:val="28"/>
        </w:rPr>
        <w:t>面临在未来无法解锁的风险。</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298958771</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spacing w:val="-1"/>
          <w:w w:val="99"/>
          <w:sz w:val="28"/>
          <w:szCs w:val="28"/>
        </w:rPr>
        <w:t>（</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2602" w:right="26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71" w:val="right" w:leader="dot"/>
            </w:tabs>
            <w:spacing w:line="240" w:lineRule="auto" w:before="0"/>
            <w:ind w:left="152"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71" w:val="right" w:leader="dot"/>
            </w:tabs>
            <w:spacing w:line="240" w:lineRule="auto"/>
            <w:ind w:left="152"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hyperlink>
        </w:p>
        <w:p>
          <w:pPr>
            <w:pStyle w:val="TOC1"/>
            <w:tabs>
              <w:tab w:pos="9777" w:val="right" w:leader="dot"/>
            </w:tabs>
            <w:spacing w:line="240" w:lineRule="auto" w:before="101"/>
            <w:ind w:left="152"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rPr>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15</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hyperlink>
        </w:p>
        <w:p>
          <w:pPr>
            <w:pStyle w:val="TOC1"/>
            <w:tabs>
              <w:tab w:pos="9784"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44</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51</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52</w:t>
            </w:r>
          </w:hyperlink>
        </w:p>
        <w:p>
          <w:pPr>
            <w:pStyle w:val="TOC1"/>
            <w:tabs>
              <w:tab w:pos="9784"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57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财务报告</w:t>
            </w:r>
            <w:r>
              <w:rPr>
                <w:rFonts w:ascii="Times New Roman" w:hAnsi="Times New Roman" w:cs="Times New Roman" w:eastAsia="Times New Roman" w:hint="default"/>
              </w:rPr>
              <w:tab/>
              <w:t>62</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144</w:t>
            </w:r>
          </w:hyperlink>
        </w:p>
        <w:p>
          <w:pPr/>
          <w:r>
            <w:fldChar w:fldCharType="end"/>
          </w:r>
        </w:p>
      </w:sdtContent>
    </w:sdt>
    <w:p>
      <w:pPr>
        <w:spacing w:after="0"/>
        <w:sectPr>
          <w:pgSz w:w="11910" w:h="16840"/>
          <w:pgMar w:header="745" w:footer="982" w:top="1060" w:bottom="1180" w:left="980" w:right="980"/>
        </w:sectPr>
      </w:pPr>
    </w:p>
    <w:p>
      <w:pPr>
        <w:spacing w:before="944"/>
        <w:ind w:left="2602" w:right="260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41"/>
        <w:gridCol w:w="593"/>
        <w:gridCol w:w="5435"/>
      </w:tblGrid>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任子行、公司或本公司</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任子行、公司或本公司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公司全资子公司深圳市任网游科技发展有限公司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公司全资子公司深圳市任子行科技开发有限公司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博海通讯</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公司控股子深圳市博海通讯技术有限公司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中天信安、北京中天信安</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公司参股子公司北京中天信安科技有限责任公司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网娱互动、成都网娱互动</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公司全资子公司成都网娱互动网络科技有限公司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武汉任子行、武汉任子行软件</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公司全资子公司武汉市任子行软件技术有限公司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亚鸿世纪、北京亚鸿世纪</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公司控股子公司北京亚鸿世纪科技发展有限公司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公司全资子公司苏州唐人数码科技有限公司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富海永成</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扬州市富海永成股权投资合伙企业（有限合伙）</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创稷投资</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上海创稷投资中心（有限合伙）</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深圳云安宝科技有限公司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三思网安</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北京三思网安科技有限公司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任子行网络技术股份有限公司股东大会</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任子行网络技术股份有限公司董事会</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任子行网络技术股份有限公司监事会</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任子行网络技术股份有限公司章程</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中华人民共和国国家税务总局</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保荐机构、国信证券</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CCID</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赛迪顾问</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CNNIC</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中国互联网信息中心（</w:t>
            </w:r>
            <w:r>
              <w:rPr>
                <w:rFonts w:ascii="Times New Roman" w:hAnsi="Times New Roman" w:cs="Times New Roman" w:eastAsia="Times New Roman" w:hint="default"/>
                <w:sz w:val="18"/>
                <w:szCs w:val="18"/>
              </w:rPr>
              <w:t>China Internet Network Information</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w:t>
            </w:r>
          </w:p>
        </w:tc>
      </w:tr>
      <w:tr>
        <w:trPr>
          <w:trHeight w:val="161" w:hRule="exact"/>
        </w:trPr>
        <w:tc>
          <w:tcPr>
            <w:tcW w:w="3541" w:type="dxa"/>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593"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 </w:t>
            </w:r>
            <w:r>
              <w:rPr>
                <w:rFonts w:ascii="宋体" w:hAnsi="宋体" w:cs="宋体" w:eastAsia="宋体" w:hint="default"/>
                <w:sz w:val="18"/>
                <w:szCs w:val="18"/>
              </w:rPr>
              <w:t>市场研究公司</w:t>
            </w:r>
            <w:r>
              <w:rPr>
                <w:rFonts w:ascii="Times New Roman" w:hAnsi="Times New Roman" w:cs="Times New Roman" w:eastAsia="Times New Roman" w:hint="default"/>
                <w:sz w:val="18"/>
                <w:szCs w:val="18"/>
              </w:rPr>
              <w:t>(International Data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或互联网数据中心</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Internet Data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Center)</w:t>
            </w:r>
          </w:p>
        </w:tc>
      </w:tr>
      <w:tr>
        <w:trPr>
          <w:trHeight w:val="391" w:hRule="exact"/>
        </w:trPr>
        <w:tc>
          <w:tcPr>
            <w:tcW w:w="3541" w:type="dxa"/>
            <w:vMerge/>
            <w:tcBorders>
              <w:left w:val="single" w:sz="4" w:space="0" w:color="000000"/>
              <w:right w:val="single" w:sz="9" w:space="0" w:color="D4D4D4"/>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9" w:space="0" w:color="D4D4D4"/>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527"/>
        <w:gridCol w:w="610"/>
        <w:gridCol w:w="5435"/>
      </w:tblGrid>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1"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1.119995pt;margin-top:114.075615pt;width:362.65pt;height:20.9pt;mso-position-horizontal-relative:page;mso-position-vertical-relative:paragraph;z-index:-848320" coordorigin="3422,2282" coordsize="7253,418">
            <v:group style="position:absolute;left:3434;top:2294;width:2;height:394" coordorigin="3434,2294" coordsize="2,394">
              <v:shape style="position:absolute;left:3434;top:2294;width:2;height:394" coordorigin="3434,2294" coordsize="0,394" path="m3434,2294l3434,2687e" filled="false" stroked="true" strokeweight="1.2pt" strokecolor="#ffffff">
                <v:path arrowok="t"/>
              </v:shape>
            </v:group>
            <v:group style="position:absolute;left:3446;top:2294;width:7229;height:394" coordorigin="3446,2294" coordsize="7229,394">
              <v:shape style="position:absolute;left:3446;top:2294;width:7229;height:394" coordorigin="3446,2294" coordsize="7229,394" path="m3446,2687l10675,2687,10675,2294,3446,2294,3446,2687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32"/>
        <w:gridCol w:w="2188"/>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300311</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任子行</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Surfilter Network Technology</w:t>
            </w:r>
            <w:r>
              <w:rPr>
                <w:rFonts w:ascii="Times New Roman"/>
                <w:spacing w:val="-29"/>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Surfilter</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www.1218.com.cn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5"/>
        <w:gridCol w:w="7242"/>
      </w:tblGrid>
      <w:tr>
        <w:trPr>
          <w:trHeight w:val="401"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3"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24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张冰</w:t>
            </w:r>
          </w:p>
        </w:tc>
      </w:tr>
      <w:tr>
        <w:trPr>
          <w:trHeight w:val="401"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724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724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0755-86156779</w:t>
            </w:r>
          </w:p>
        </w:tc>
      </w:tr>
      <w:tr>
        <w:trPr>
          <w:trHeight w:val="401"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724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0755-86168355</w:t>
            </w:r>
          </w:p>
        </w:tc>
      </w:tr>
      <w:tr>
        <w:trPr>
          <w:trHeight w:val="403"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4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zhangbing@1218.com.cn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北京市朝阳区关东店北街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层</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吕润波、黄冠伟</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 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刘文宁、何雨华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 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马华锋、姚焕军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359,912,426.63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296,780,115.60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245,386,180.86</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65,371,071.24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41,356,224.36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25,140,974.57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55,805,689.87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34,603,508.98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21,256,983.47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75,167,993.08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31,302,727.51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35,821,429.72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1,585,379,830.21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628,105,029.18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546,858,985.47</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1,117,709,700.20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456,421,703.20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418,499,478.84</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53,450,300.13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66,534,919.42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86,944,425.91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152,982,781.17</w:t>
            </w:r>
            <w:r>
              <w:rPr>
                <w:rFonts w:ascii="Times New Roman"/>
                <w:sz w:val="18"/>
              </w:rPr>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4,053,583.97</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9,341,717.72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15,485,232.26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36,490,537.28</w:t>
            </w:r>
          </w:p>
        </w:tc>
      </w:tr>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487,356.16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7,822,589.58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13,646,937.56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33,848,806.56</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-30,292,767.41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-4,304,252.54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-16,126,509.74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125,891,522.77</w:t>
            </w:r>
            <w:r>
              <w:rPr>
                <w:rFonts w:ascii="Times New Roman"/>
                <w:sz w:val="18"/>
              </w:rPr>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2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6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-344,682.98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-271,122.38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-68,305.01</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8,279,700.00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7,924,600.00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8,788,600.00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-11,577.24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3,010,746.70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-302,338.33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-1,093,521.49</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-2,759,611.73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1,670,018.01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821,793.32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927,407.83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210,364.34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-223,369.41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44,185.60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9,565,381.37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6,752,715.38</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3,883,991.10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71"/>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 w:firstLine="336"/>
        <w:jc w:val="left"/>
      </w:pPr>
      <w:r>
        <w:rPr/>
        <w:t>公司成立于</w:t>
      </w:r>
      <w:r>
        <w:rPr>
          <w:rFonts w:ascii="Times New Roman" w:hAnsi="Times New Roman" w:cs="Times New Roman" w:eastAsia="Times New Roman" w:hint="default"/>
        </w:rPr>
        <w:t>2000</w:t>
      </w:r>
      <w:r>
        <w:rPr/>
        <w:t>年，自设立以来一直专注于网络信息安全领域，致力于成为中国最卓越的网络信息安全专家。公司所属 </w:t>
      </w:r>
      <w:r>
        <w:rPr>
          <w:spacing w:val="-2"/>
        </w:rPr>
        <w:t>行业和主要产品：本公司所属行业为软件和信息技术服务业。主要产品为网络内容与行为审计系列产品、网络内容与行为监</w:t>
      </w:r>
      <w:r>
        <w:rPr>
          <w:spacing w:val="-63"/>
        </w:rPr>
        <w:t> </w:t>
      </w:r>
      <w:r>
        <w:rPr>
          <w:spacing w:val="-63"/>
        </w:rPr>
      </w:r>
      <w:r>
        <w:rPr>
          <w:spacing w:val="-2"/>
        </w:rPr>
        <w:t>管系列产品，其中网络内容与行为审计产品包括专用安全审计产品和通用安全审计产品；网络游戏软件。公司主要经营活动</w:t>
      </w:r>
      <w:r>
        <w:rPr>
          <w:spacing w:val="-63"/>
        </w:rPr>
        <w:t> </w:t>
      </w:r>
      <w:r>
        <w:rPr>
          <w:spacing w:val="-63"/>
        </w:rPr>
      </w:r>
      <w:r>
        <w:rPr>
          <w:spacing w:val="-4"/>
        </w:rPr>
        <w:t>为：公司系网络内容与行为审计和监管整体解决方案提供商，主要从事网络内容与行为审计和监管产品的研发、生产和销售，</w:t>
      </w:r>
      <w:r>
        <w:rPr>
          <w:spacing w:val="-44"/>
        </w:rPr>
        <w:t> </w:t>
      </w:r>
      <w:r>
        <w:rPr>
          <w:spacing w:val="-44"/>
        </w:rPr>
      </w:r>
      <w:r>
        <w:rPr>
          <w:spacing w:val="-2"/>
        </w:rPr>
        <w:t>并提供安全集成、安全审计相关服务，形成从计算机终端到网络在线分析等全面的网络内容与行为审计产品线，以及网络游</w:t>
      </w:r>
      <w:r>
        <w:rPr>
          <w:spacing w:val="-63"/>
        </w:rPr>
        <w:t> </w:t>
      </w:r>
      <w:r>
        <w:rPr>
          <w:spacing w:val="-63"/>
        </w:rPr>
      </w:r>
      <w:r>
        <w:rPr>
          <w:spacing w:val="-4"/>
        </w:rPr>
        <w:t>戏软件的开发、销售、维护。公司网络内容和行为审计监管产品销售至国内外军工、教育、医疗、金融、企业、文化、能源、</w:t>
      </w:r>
      <w:r>
        <w:rPr>
          <w:spacing w:val="-50"/>
        </w:rPr>
        <w:t> </w:t>
      </w:r>
      <w:r>
        <w:rPr>
          <w:spacing w:val="-50"/>
        </w:rPr>
      </w:r>
      <w:r>
        <w:rPr>
          <w:spacing w:val="-2"/>
        </w:rPr>
        <w:t>运营商等领域客户。截止目前，公司网络内容和行为审计监管产品形成了专用安全审计、通用安全审计以及网络监管等几大</w:t>
      </w:r>
      <w:r>
        <w:rPr>
          <w:spacing w:val="-63"/>
        </w:rPr>
        <w:t> </w:t>
      </w:r>
      <w:r>
        <w:rPr>
          <w:spacing w:val="-63"/>
        </w:rPr>
      </w:r>
      <w:r>
        <w:rPr>
          <w:spacing w:val="-2"/>
        </w:rPr>
        <w:t>业务系列产品，其中专用安全审计产品主要应用于网吧、宾馆、休闲娱乐场所等公共上网服务场所，通用安全审计产品主要</w:t>
      </w:r>
      <w:r>
        <w:rPr>
          <w:spacing w:val="-65"/>
        </w:rPr>
        <w:t> </w:t>
      </w:r>
      <w:r>
        <w:rPr>
          <w:spacing w:val="-65"/>
        </w:rPr>
      </w:r>
      <w:r>
        <w:rPr>
          <w:spacing w:val="-2"/>
        </w:rPr>
        <w:t>应用于企事业单位、政府、学校等互联网接入单位，网络监管产品则主要是为满足政府机构及具有监管责任的企事业单位基</w:t>
      </w:r>
      <w:r>
        <w:rPr>
          <w:spacing w:val="-66"/>
        </w:rPr>
        <w:t> </w:t>
      </w:r>
      <w:r>
        <w:rPr>
          <w:spacing w:val="-66"/>
        </w:rPr>
      </w:r>
      <w:r>
        <w:rPr/>
        <w:t>于互联网监管需求而开发的应用系统。</w:t>
      </w:r>
    </w:p>
    <w:p>
      <w:pPr>
        <w:pStyle w:val="BodyText"/>
        <w:spacing w:line="240" w:lineRule="auto" w:before="18"/>
        <w:ind w:left="440" w:right="98"/>
        <w:jc w:val="left"/>
      </w:pPr>
      <w:r>
        <w:rPr/>
        <w:t>报告期内公司的主营业务未发生重大变化，主要产品和服务主要涉及以下几个方面：</w:t>
      </w:r>
    </w:p>
    <w:p>
      <w:pPr>
        <w:pStyle w:val="BodyText"/>
        <w:spacing w:line="312" w:lineRule="auto" w:before="76"/>
        <w:ind w:right="98"/>
        <w:jc w:val="left"/>
      </w:pPr>
      <w:r>
        <w:rPr/>
        <w:t>（一）公共安全产品方面，主要有以下产品：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NET110</w:t>
      </w:r>
      <w:r>
        <w:rPr>
          <w:spacing w:val="-2"/>
        </w:rPr>
        <w:t>网络安全审计系统。该产品为网络内容与行为审计专用安全审计产品，分为网吧版和公共安全上网场所版，网吧</w:t>
      </w:r>
      <w:r>
        <w:rPr>
          <w:spacing w:val="-49"/>
        </w:rPr>
        <w:t> </w:t>
      </w:r>
      <w:r>
        <w:rPr>
          <w:spacing w:val="-49"/>
        </w:rPr>
      </w:r>
      <w:r>
        <w:rPr/>
        <w:t>版专供网吧专用，公共上网场所版供酒店宾馆等非经营性场所专用。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NET110</w:t>
      </w:r>
      <w:r>
        <w:rPr>
          <w:spacing w:val="-3"/>
        </w:rPr>
        <w:t>公共场所无线上网信息安全系统。该系统通过对网民的真实身份信息进行登记备案，结合网民上机的地点、时间、</w:t>
      </w:r>
      <w:r>
        <w:rPr>
          <w:spacing w:val="-82"/>
        </w:rPr>
        <w:t> </w:t>
      </w:r>
      <w:r>
        <w:rPr>
          <w:spacing w:val="-82"/>
        </w:rPr>
      </w:r>
      <w:r>
        <w:rPr/>
        <w:t>位置等详细信息，对上网场所的当前活动人员进行直观和完备的监管。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NET110</w:t>
      </w:r>
      <w:r>
        <w:rPr>
          <w:spacing w:val="-1"/>
        </w:rPr>
        <w:t>实名认证登记系统。改产品为适合中小型上网场所的无线安全审计产品，提供</w:t>
      </w:r>
      <w:r>
        <w:rPr>
          <w:rFonts w:ascii="Times New Roman" w:hAnsi="Times New Roman" w:cs="Times New Roman" w:eastAsia="Times New Roman" w:hint="default"/>
          <w:spacing w:val="-1"/>
        </w:rPr>
        <w:t>WIFI</w:t>
      </w:r>
      <w:r>
        <w:rPr>
          <w:spacing w:val="-1"/>
        </w:rPr>
        <w:t>覆盖、安全审计二合一产品。</w:t>
      </w:r>
    </w:p>
    <w:p>
      <w:pPr>
        <w:pStyle w:val="BodyText"/>
        <w:spacing w:line="307" w:lineRule="auto" w:before="3"/>
        <w:ind w:right="184"/>
        <w:jc w:val="left"/>
      </w:pPr>
      <w:r>
        <w:rPr/>
        <w:t>（二）网络信息安全产品方面，主要有以下产品： </w:t>
      </w:r>
      <w:r>
        <w:rPr>
          <w:rFonts w:ascii="Times New Roman" w:hAnsi="Times New Roman" w:cs="Times New Roman" w:eastAsia="Times New Roman" w:hint="default"/>
        </w:rPr>
        <w:t>1</w:t>
      </w:r>
      <w:r>
        <w:rPr/>
        <w:t>、网络安全管理系统。该系统能为用户提供专业的应用控制、流量管理、上网认证、流量分析、用户管理等功能，能有效</w:t>
      </w:r>
      <w:r>
        <w:rPr>
          <w:spacing w:val="-84"/>
        </w:rPr>
        <w:t> </w:t>
      </w:r>
      <w:r>
        <w:rPr>
          <w:spacing w:val="-84"/>
        </w:rPr>
      </w:r>
      <w:r>
        <w:rPr/>
        <w:t>预防非法信息传播、敏感信息泄露等不良事件。 </w:t>
      </w:r>
      <w:r>
        <w:rPr>
          <w:rFonts w:ascii="Times New Roman" w:hAnsi="Times New Roman" w:cs="Times New Roman" w:eastAsia="Times New Roman" w:hint="default"/>
        </w:rPr>
        <w:t>2</w:t>
      </w:r>
      <w:r>
        <w:rPr/>
        <w:t>、运维安全审计系统。该系统将运维审计由事件审计提升为内容审计，并将身份认证、授权、管理、审计有机地结合，保</w:t>
      </w:r>
      <w:r>
        <w:rPr>
          <w:spacing w:val="-84"/>
        </w:rPr>
        <w:t> </w:t>
      </w:r>
      <w:r>
        <w:rPr>
          <w:spacing w:val="-84"/>
        </w:rPr>
      </w:r>
      <w:r>
        <w:rPr/>
        <w:t>证只有合法用户才能使用其拥有运维权限的关键资源。 </w:t>
      </w:r>
      <w:r>
        <w:rPr>
          <w:rFonts w:ascii="Times New Roman" w:hAnsi="Times New Roman" w:cs="Times New Roman" w:eastAsia="Times New Roman" w:hint="default"/>
        </w:rPr>
        <w:t>3</w:t>
      </w:r>
      <w:r>
        <w:rPr/>
        <w:t>、应用交付系统。该系统能同时提供服务器负载均衡、链路负载均衡、流量负载均衡、全局负载均衡、</w:t>
      </w:r>
      <w:r>
        <w:rPr>
          <w:rFonts w:ascii="Times New Roman" w:hAnsi="Times New Roman" w:cs="Times New Roman" w:eastAsia="Times New Roman" w:hint="default"/>
        </w:rPr>
        <w:t>VPN</w:t>
      </w:r>
      <w:r>
        <w:rPr/>
        <w:t>负载均衡、防</w:t>
      </w:r>
      <w:r>
        <w:rPr>
          <w:spacing w:val="-85"/>
        </w:rPr>
        <w:t> </w:t>
      </w:r>
      <w:r>
        <w:rPr/>
        <w:t>火墙负载均衡等功能。 </w:t>
      </w:r>
      <w:r>
        <w:rPr>
          <w:rFonts w:ascii="Times New Roman" w:hAnsi="Times New Roman" w:cs="Times New Roman" w:eastAsia="Times New Roman" w:hint="default"/>
        </w:rPr>
        <w:t>4</w:t>
      </w:r>
      <w:r>
        <w:rPr/>
        <w:t>、下一代防火墙。该产品面向应用层设计，能够精准识别用户、应用和内容，具备完整安全防护能力，具有强劲应用层处</w:t>
      </w:r>
      <w:r>
        <w:rPr>
          <w:spacing w:val="-84"/>
        </w:rPr>
        <w:t> </w:t>
      </w:r>
      <w:r>
        <w:rPr>
          <w:spacing w:val="-84"/>
        </w:rPr>
      </w:r>
      <w:r>
        <w:rPr/>
        <w:t>理能力。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WEB</w:t>
      </w:r>
      <w:r>
        <w:rPr>
          <w:spacing w:val="-2"/>
        </w:rPr>
        <w:t>应用防火墙。该产品除了常用的防护功能外，还能为用户提供包含</w:t>
      </w:r>
      <w:r>
        <w:rPr>
          <w:rFonts w:ascii="Times New Roman" w:hAnsi="Times New Roman" w:cs="Times New Roman" w:eastAsia="Times New Roman" w:hint="default"/>
          <w:spacing w:val="-2"/>
        </w:rPr>
        <w:t>WEB</w:t>
      </w:r>
      <w:r>
        <w:rPr>
          <w:spacing w:val="-2"/>
        </w:rPr>
        <w:t>漏洞扫描、应用加速和负载均衡等功能，协</w:t>
      </w:r>
      <w:r>
        <w:rPr>
          <w:spacing w:val="-54"/>
        </w:rPr>
        <w:t> </w:t>
      </w:r>
      <w:r>
        <w:rPr>
          <w:spacing w:val="-54"/>
        </w:rPr>
      </w:r>
      <w:r>
        <w:rPr/>
        <w:t>助用户符合各种信息监管法规和公司内部数据保护规定的网络建设和加固，为各种企事业客户提供了综合的</w:t>
      </w:r>
      <w:r>
        <w:rPr>
          <w:rFonts w:ascii="Times New Roman" w:hAnsi="Times New Roman" w:cs="Times New Roman" w:eastAsia="Times New Roman" w:hint="default"/>
        </w:rPr>
        <w:t>WEB</w:t>
      </w:r>
      <w:r>
        <w:rPr/>
        <w:t>应用安全</w:t>
      </w:r>
      <w:r>
        <w:rPr>
          <w:spacing w:val="-42"/>
        </w:rPr>
        <w:t> </w:t>
      </w:r>
      <w:r>
        <w:rPr>
          <w:spacing w:val="-42"/>
        </w:rPr>
      </w:r>
      <w:r>
        <w:rPr/>
        <w:t>解决方案。</w:t>
      </w:r>
    </w:p>
    <w:p>
      <w:pPr>
        <w:pStyle w:val="BodyText"/>
        <w:spacing w:line="307" w:lineRule="auto" w:before="26"/>
        <w:ind w:right="98"/>
        <w:jc w:val="left"/>
      </w:pPr>
      <w:r>
        <w:rPr/>
        <w:t>（三）运营商产品方面，主要有以下产品： </w:t>
      </w:r>
      <w:r>
        <w:rPr>
          <w:rFonts w:ascii="Times New Roman" w:hAnsi="Times New Roman" w:cs="Times New Roman" w:eastAsia="Times New Roman" w:hint="default"/>
        </w:rPr>
        <w:t>1</w:t>
      </w:r>
      <w:r>
        <w:rPr/>
        <w:t>、任子行</w:t>
      </w:r>
      <w:r>
        <w:rPr>
          <w:rFonts w:ascii="Times New Roman" w:hAnsi="Times New Roman" w:cs="Times New Roman" w:eastAsia="Times New Roman" w:hint="default"/>
        </w:rPr>
        <w:t>IDC/ISP</w:t>
      </w:r>
      <w:r>
        <w:rPr/>
        <w:t>接入资源管理系统。该系统能为</w:t>
      </w:r>
      <w:r>
        <w:rPr>
          <w:rFonts w:ascii="Times New Roman" w:hAnsi="Times New Roman" w:cs="Times New Roman" w:eastAsia="Times New Roman" w:hint="default"/>
        </w:rPr>
        <w:t>IDC/ISP</w:t>
      </w:r>
      <w:r>
        <w:rPr/>
        <w:t>用户提供优质经济的专业服务，减少企业的建设和维护成本，提</w:t>
      </w:r>
      <w:r>
        <w:rPr>
          <w:spacing w:val="-70"/>
        </w:rPr>
        <w:t> </w:t>
      </w:r>
      <w:r>
        <w:rPr>
          <w:spacing w:val="-70"/>
        </w:rPr>
      </w:r>
      <w:r>
        <w:rPr/>
        <w:t>升基础资源管理的准确性，为实现</w:t>
      </w:r>
      <w:r>
        <w:rPr>
          <w:rFonts w:ascii="Times New Roman" w:hAnsi="Times New Roman" w:cs="Times New Roman" w:eastAsia="Times New Roman" w:hint="default"/>
        </w:rPr>
        <w:t>IDC/ISP</w:t>
      </w:r>
      <w:r>
        <w:rPr/>
        <w:t>机房信息科学管理提供技术支持和管理的支撑。 </w:t>
      </w:r>
      <w:r>
        <w:rPr>
          <w:rFonts w:ascii="Times New Roman" w:hAnsi="Times New Roman" w:cs="Times New Roman" w:eastAsia="Times New Roman" w:hint="default"/>
        </w:rPr>
        <w:t>2</w:t>
      </w:r>
      <w:r>
        <w:rPr/>
        <w:t>、任子行</w:t>
      </w:r>
      <w:r>
        <w:rPr>
          <w:rFonts w:ascii="Times New Roman" w:hAnsi="Times New Roman" w:cs="Times New Roman" w:eastAsia="Times New Roman" w:hint="default"/>
        </w:rPr>
        <w:t>IDC/ISP</w:t>
      </w:r>
      <w:r>
        <w:rPr/>
        <w:t>企业侧备案管理系统。该系统采用先进成熟的云计算技术，为</w:t>
      </w:r>
      <w:r>
        <w:rPr>
          <w:rFonts w:ascii="Times New Roman" w:hAnsi="Times New Roman" w:cs="Times New Roman" w:eastAsia="Times New Roman" w:hint="default"/>
        </w:rPr>
        <w:t>IDC/ISP</w:t>
      </w:r>
      <w:r>
        <w:rPr/>
        <w:t>用户提供优质经济的备案服务，提</w:t>
      </w:r>
      <w:r>
        <w:rPr>
          <w:spacing w:val="-70"/>
        </w:rPr>
        <w:t> </w:t>
      </w:r>
      <w:r>
        <w:rPr>
          <w:spacing w:val="-70"/>
        </w:rPr>
      </w:r>
      <w:r>
        <w:rPr/>
        <w:t>升备案管理者的工作效率。 </w:t>
      </w:r>
      <w:r>
        <w:rPr>
          <w:rFonts w:ascii="Times New Roman" w:hAnsi="Times New Roman" w:cs="Times New Roman" w:eastAsia="Times New Roman" w:hint="default"/>
          <w:spacing w:val="-2"/>
        </w:rPr>
        <w:t>3</w:t>
      </w:r>
      <w:r>
        <w:rPr>
          <w:spacing w:val="-2"/>
        </w:rPr>
        <w:t>、任子行</w:t>
      </w:r>
      <w:r>
        <w:rPr>
          <w:rFonts w:ascii="Times New Roman" w:hAnsi="Times New Roman" w:cs="Times New Roman" w:eastAsia="Times New Roman" w:hint="default"/>
          <w:spacing w:val="-2"/>
        </w:rPr>
        <w:t>IDC/ISP</w:t>
      </w:r>
      <w:r>
        <w:rPr>
          <w:spacing w:val="-2"/>
        </w:rPr>
        <w:t>信息安全管理系统。该系统可实现对运营商和接入商的互联网数据中心的基础资源管理、信息监测、信息</w:t>
      </w:r>
      <w:r>
        <w:rPr>
          <w:spacing w:val="-52"/>
        </w:rPr>
        <w:t> </w:t>
      </w:r>
      <w:r>
        <w:rPr>
          <w:spacing w:val="-52"/>
        </w:rPr>
      </w:r>
      <w:r>
        <w:rPr/>
        <w:t>过滤、网上行为管理、黑名单监测处理、行为分类功能，实现对各地互联网数据中心的统一监督管理。</w:t>
      </w:r>
    </w:p>
    <w:p>
      <w:pPr>
        <w:pStyle w:val="BodyText"/>
        <w:spacing w:line="240" w:lineRule="auto" w:before="26"/>
        <w:ind w:right="98"/>
        <w:jc w:val="left"/>
      </w:pPr>
      <w:r>
        <w:rPr/>
        <w:t>（四）舆情产品方面，主要有以下产品：</w:t>
      </w:r>
    </w:p>
    <w:p>
      <w:pPr>
        <w:pStyle w:val="BodyText"/>
        <w:spacing w:line="240" w:lineRule="auto" w:before="76"/>
        <w:ind w:right="98"/>
        <w:jc w:val="left"/>
      </w:pPr>
      <w:r>
        <w:rPr>
          <w:rFonts w:ascii="Times New Roman" w:hAnsi="Times New Roman" w:cs="Times New Roman" w:eastAsia="Times New Roman" w:hint="default"/>
        </w:rPr>
        <w:t>1</w:t>
      </w:r>
      <w:r>
        <w:rPr/>
        <w:t>、天虎。该产品聚焦用户关注课题，基于超算数据中心，激励信息分析系统，依托自身服务团队，提供专业分析报告。</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98"/>
        <w:jc w:val="left"/>
      </w:pPr>
      <w:r>
        <w:rPr>
          <w:rFonts w:ascii="Times New Roman" w:hAnsi="Times New Roman" w:cs="Times New Roman" w:eastAsia="Times New Roman" w:hint="default"/>
          <w:spacing w:val="-2"/>
        </w:rPr>
        <w:t>2</w:t>
      </w:r>
      <w:r>
        <w:rPr>
          <w:spacing w:val="-2"/>
        </w:rPr>
        <w:t>、天鹰。该产品基于关键字及语义进行预警，快速发现关注网络信息，通过特殊技术手段实现对互联网数据的整理、跟踪、</w:t>
      </w:r>
      <w:r>
        <w:rPr>
          <w:spacing w:val="-64"/>
        </w:rPr>
        <w:t> </w:t>
      </w:r>
      <w:r>
        <w:rPr>
          <w:spacing w:val="-64"/>
        </w:rPr>
      </w:r>
      <w:r>
        <w:rPr/>
        <w:t>分析，准确把握网络热点事件及关注事件的脉络。</w:t>
      </w:r>
    </w:p>
    <w:p>
      <w:pPr>
        <w:pStyle w:val="BodyText"/>
        <w:spacing w:line="240" w:lineRule="auto" w:before="31"/>
        <w:ind w:right="98"/>
        <w:jc w:val="left"/>
      </w:pPr>
      <w:r>
        <w:rPr>
          <w:rFonts w:ascii="Times New Roman" w:hAnsi="Times New Roman" w:cs="Times New Roman" w:eastAsia="Times New Roman" w:hint="default"/>
        </w:rPr>
        <w:t>3</w:t>
      </w:r>
      <w:r>
        <w:rPr/>
        <w:t>、天眼。该产品专业针对微博进行重点监测、预警、研判及分析。</w:t>
      </w:r>
    </w:p>
    <w:p>
      <w:pPr>
        <w:spacing w:line="240" w:lineRule="auto" w:before="3"/>
        <w:rPr>
          <w:rFonts w:ascii="宋体" w:hAnsi="宋体" w:cs="宋体" w:eastAsia="宋体" w:hint="default"/>
          <w:sz w:val="24"/>
          <w:szCs w:val="24"/>
        </w:rPr>
      </w:pPr>
    </w:p>
    <w:p>
      <w:pPr>
        <w:pStyle w:val="Heading2"/>
        <w:spacing w:line="240" w:lineRule="auto"/>
        <w:ind w:right="98"/>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8"/>
        <w:gridCol w:w="6518"/>
      </w:tblGrid>
      <w:tr>
        <w:trPr>
          <w:trHeight w:val="187"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报告期内，公司实施了现金及发行股份购买资产的重大资产重组实施完成</w:t>
            </w:r>
          </w:p>
        </w:tc>
      </w:tr>
      <w:tr>
        <w:trPr>
          <w:trHeight w:val="715" w:hRule="exact"/>
        </w:trPr>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报告期购买苏州唐人数码科技有限公司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股权及收购北京亚鸿世纪科技发展有 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股权形成商誉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b/>
          <w:bCs/>
          <w:sz w:val="19"/>
          <w:szCs w:val="19"/>
        </w:rPr>
      </w:pPr>
    </w:p>
    <w:p>
      <w:pPr>
        <w:pStyle w:val="Heading4"/>
        <w:spacing w:line="240" w:lineRule="auto" w:before="36"/>
        <w:ind w:right="98"/>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2" w:right="98"/>
        <w:jc w:val="left"/>
      </w:pPr>
      <w:r>
        <w:rPr/>
        <w:t>（一）领先的行业地位 </w:t>
      </w:r>
      <w:r>
        <w:rPr>
          <w:spacing w:val="-2"/>
        </w:rPr>
        <w:t>公司致力于创建</w:t>
      </w:r>
      <w:r>
        <w:rPr>
          <w:rFonts w:ascii="Times New Roman" w:hAnsi="Times New Roman" w:cs="Times New Roman" w:eastAsia="Times New Roman" w:hint="default"/>
          <w:spacing w:val="-2"/>
        </w:rPr>
        <w:t>“</w:t>
      </w:r>
      <w:r>
        <w:rPr>
          <w:spacing w:val="-2"/>
        </w:rPr>
        <w:t>绿色、高效、安全</w:t>
      </w:r>
      <w:r>
        <w:rPr>
          <w:rFonts w:ascii="Times New Roman" w:hAnsi="Times New Roman" w:cs="Times New Roman" w:eastAsia="Times New Roman" w:hint="default"/>
          <w:spacing w:val="-2"/>
        </w:rPr>
        <w:t>”</w:t>
      </w:r>
      <w:r>
        <w:rPr>
          <w:spacing w:val="-2"/>
        </w:rPr>
        <w:t>的互联网络。经过</w:t>
      </w:r>
      <w:r>
        <w:rPr>
          <w:rFonts w:ascii="Times New Roman" w:hAnsi="Times New Roman" w:cs="Times New Roman" w:eastAsia="Times New Roman" w:hint="default"/>
          <w:spacing w:val="-2"/>
        </w:rPr>
        <w:t>16</w:t>
      </w:r>
      <w:r>
        <w:rPr>
          <w:spacing w:val="-2"/>
        </w:rPr>
        <w:t>年的努力，公司现已成为国内技术最为全面的大规模网络空间</w:t>
      </w:r>
    </w:p>
    <w:p>
      <w:pPr>
        <w:pStyle w:val="BodyText"/>
        <w:spacing w:line="316" w:lineRule="auto"/>
        <w:ind w:right="114"/>
        <w:jc w:val="left"/>
      </w:pPr>
      <w:r>
        <w:rPr>
          <w:spacing w:val="-2"/>
        </w:rPr>
        <w:t>安全防护解决方案提供商，参与了国家多部委重大网络安全工程建设，配合政府制定了多项网络安全行业标准，是国家互联</w:t>
      </w:r>
      <w:r>
        <w:rPr>
          <w:spacing w:val="-63"/>
        </w:rPr>
        <w:t> </w:t>
      </w:r>
      <w:r>
        <w:rPr>
          <w:spacing w:val="-63"/>
        </w:rPr>
      </w:r>
      <w:r>
        <w:rPr/>
        <w:t>网安全工程建设援助核心支撑团队，并在公共网络安全审计领域始终保持领军地位，被业界誉为</w:t>
      </w:r>
      <w:r>
        <w:rPr>
          <w:rFonts w:ascii="Times New Roman" w:hAnsi="Times New Roman" w:cs="Times New Roman" w:eastAsia="Times New Roman" w:hint="default"/>
        </w:rPr>
        <w:t>“</w:t>
      </w:r>
      <w:r>
        <w:rPr/>
        <w:t>网络安全应用审计专家</w:t>
      </w:r>
      <w:r>
        <w:rPr>
          <w:rFonts w:ascii="Times New Roman" w:hAnsi="Times New Roman" w:cs="Times New Roman" w:eastAsia="Times New Roman" w:hint="default"/>
        </w:rPr>
        <w:t>”</w:t>
      </w:r>
      <w:r>
        <w:rPr/>
        <w:t>。</w:t>
      </w:r>
    </w:p>
    <w:p>
      <w:pPr>
        <w:pStyle w:val="BodyText"/>
        <w:spacing w:line="316" w:lineRule="auto"/>
        <w:ind w:left="512" w:right="244"/>
        <w:jc w:val="left"/>
      </w:pPr>
      <w:r>
        <w:rPr/>
        <w:t>（二）优秀的核心团队 截止到本报告期末，公司共有员工</w:t>
      </w:r>
      <w:r>
        <w:rPr>
          <w:rFonts w:ascii="Times New Roman" w:hAnsi="Times New Roman" w:cs="Times New Roman" w:eastAsia="Times New Roman" w:hint="default"/>
        </w:rPr>
        <w:t>871</w:t>
      </w:r>
      <w:r>
        <w:rPr/>
        <w:t>人，其中</w:t>
      </w:r>
      <w:r>
        <w:rPr>
          <w:rFonts w:ascii="Times New Roman" w:hAnsi="Times New Roman" w:cs="Times New Roman" w:eastAsia="Times New Roman" w:hint="default"/>
        </w:rPr>
        <w:t>55%</w:t>
      </w:r>
      <w:r>
        <w:rPr/>
        <w:t>以上为研发人员，近</w:t>
      </w:r>
      <w:r>
        <w:rPr>
          <w:rFonts w:ascii="Times New Roman" w:hAnsi="Times New Roman" w:cs="Times New Roman" w:eastAsia="Times New Roman" w:hint="default"/>
        </w:rPr>
        <w:t>60%</w:t>
      </w:r>
      <w:r>
        <w:rPr/>
        <w:t>具有本科及以上学历。公司拥有一支由国</w:t>
      </w:r>
    </w:p>
    <w:p>
      <w:pPr>
        <w:pStyle w:val="BodyText"/>
        <w:spacing w:line="316" w:lineRule="auto"/>
        <w:ind w:right="94"/>
        <w:jc w:val="left"/>
      </w:pPr>
      <w:r>
        <w:rPr/>
        <w:t>内外网络安全领域专家、中青年核心骨干、海归、硕士、博士等组成的骨干研发队伍。能够充分发挥高端人才的引进优势， 引领科技创新、将产学研工作有机结合，有助于培养创新人才，增强企业自主创新能力和市场竞争力。</w:t>
      </w:r>
    </w:p>
    <w:p>
      <w:pPr>
        <w:pStyle w:val="BodyText"/>
        <w:spacing w:line="316" w:lineRule="auto" w:before="18"/>
        <w:ind w:left="512" w:right="98"/>
        <w:jc w:val="left"/>
      </w:pPr>
      <w:r>
        <w:rPr/>
        <w:t>（三）便捷高效的销售服务体系 </w:t>
      </w:r>
      <w:r>
        <w:rPr>
          <w:spacing w:val="-2"/>
        </w:rPr>
        <w:t>公司以深圳总部为中心，任子行将全国分为北方区、华北华东区、西北区、河南区、华中区、华南区、贵州区以及广东</w:t>
      </w:r>
    </w:p>
    <w:p>
      <w:pPr>
        <w:pStyle w:val="BodyText"/>
        <w:spacing w:line="300" w:lineRule="auto" w:before="18"/>
        <w:ind w:right="184"/>
        <w:jc w:val="left"/>
      </w:pPr>
      <w:r>
        <w:rPr/>
        <w:t>区等八大销售区域，建立了完善的产品和服务输出体系，在深圳、北京、武汉、成都成立了</w:t>
      </w:r>
      <w:r>
        <w:rPr>
          <w:rFonts w:ascii="Times New Roman" w:hAnsi="Times New Roman" w:cs="Times New Roman" w:eastAsia="Times New Roman" w:hint="default"/>
        </w:rPr>
        <w:t>4</w:t>
      </w:r>
      <w:r>
        <w:rPr/>
        <w:t>大研发基地，在北京、上海、 哈尔滨、贵阳、佛山设立</w:t>
      </w:r>
      <w:r>
        <w:rPr>
          <w:rFonts w:ascii="Times New Roman" w:hAnsi="Times New Roman" w:cs="Times New Roman" w:eastAsia="Times New Roman" w:hint="default"/>
        </w:rPr>
        <w:t>5</w:t>
      </w:r>
      <w:r>
        <w:rPr/>
        <w:t>家分公司，全国</w:t>
      </w:r>
      <w:r>
        <w:rPr>
          <w:rFonts w:ascii="Times New Roman" w:hAnsi="Times New Roman" w:cs="Times New Roman" w:eastAsia="Times New Roman" w:hint="default"/>
        </w:rPr>
        <w:t>29</w:t>
      </w:r>
      <w:r>
        <w:rPr/>
        <w:t>个分支机构，能为客户提供及时、便捷、专业、高效的服务。</w:t>
      </w:r>
    </w:p>
    <w:p>
      <w:pPr>
        <w:pStyle w:val="BodyText"/>
        <w:spacing w:line="316" w:lineRule="auto" w:before="13"/>
        <w:ind w:left="512" w:right="98"/>
        <w:jc w:val="left"/>
        <w:rPr>
          <w:rFonts w:ascii="Times New Roman" w:hAnsi="Times New Roman" w:cs="Times New Roman" w:eastAsia="Times New Roman" w:hint="default"/>
        </w:rPr>
      </w:pPr>
      <w:r>
        <w:rPr/>
        <w:t>（四）稳固牢靠的客户基础 </w:t>
      </w:r>
      <w:r>
        <w:rPr>
          <w:spacing w:val="-5"/>
        </w:rPr>
        <w:t>目前，在运营商业务方面，任子行已经为</w:t>
      </w:r>
      <w:r>
        <w:rPr>
          <w:rFonts w:ascii="Times New Roman" w:hAnsi="Times New Roman" w:cs="Times New Roman" w:eastAsia="Times New Roman" w:hint="default"/>
          <w:spacing w:val="-5"/>
        </w:rPr>
        <w:t>25</w:t>
      </w:r>
      <w:r>
        <w:rPr>
          <w:spacing w:val="-5"/>
        </w:rPr>
        <w:t>省的通信管理局、</w:t>
      </w:r>
      <w:r>
        <w:rPr>
          <w:rFonts w:ascii="Times New Roman" w:hAnsi="Times New Roman" w:cs="Times New Roman" w:eastAsia="Times New Roman" w:hint="default"/>
          <w:spacing w:val="-5"/>
        </w:rPr>
        <w:t>16</w:t>
      </w:r>
      <w:r>
        <w:rPr>
          <w:spacing w:val="-5"/>
        </w:rPr>
        <w:t>省联通、</w:t>
      </w:r>
      <w:r>
        <w:rPr>
          <w:rFonts w:ascii="Times New Roman" w:hAnsi="Times New Roman" w:cs="Times New Roman" w:eastAsia="Times New Roman" w:hint="default"/>
          <w:spacing w:val="-5"/>
        </w:rPr>
        <w:t>15</w:t>
      </w:r>
      <w:r>
        <w:rPr>
          <w:spacing w:val="-5"/>
        </w:rPr>
        <w:t>省移动、</w:t>
      </w:r>
      <w:r>
        <w:rPr>
          <w:rFonts w:ascii="Times New Roman" w:hAnsi="Times New Roman" w:cs="Times New Roman" w:eastAsia="Times New Roman" w:hint="default"/>
          <w:spacing w:val="-5"/>
        </w:rPr>
        <w:t>4</w:t>
      </w:r>
      <w:r>
        <w:rPr>
          <w:spacing w:val="-5"/>
        </w:rPr>
        <w:t>省电信、</w:t>
      </w:r>
      <w:r>
        <w:rPr>
          <w:rFonts w:ascii="Times New Roman" w:hAnsi="Times New Roman" w:cs="Times New Roman" w:eastAsia="Times New Roman" w:hint="default"/>
          <w:spacing w:val="-5"/>
        </w:rPr>
        <w:t>9</w:t>
      </w:r>
      <w:r>
        <w:rPr>
          <w:spacing w:val="-5"/>
        </w:rPr>
        <w:t>省铁通、</w:t>
      </w:r>
      <w:r>
        <w:rPr>
          <w:rFonts w:ascii="Times New Roman" w:hAnsi="Times New Roman" w:cs="Times New Roman" w:eastAsia="Times New Roman" w:hint="default"/>
          <w:spacing w:val="-5"/>
        </w:rPr>
        <w:t>750</w:t>
      </w:r>
      <w:r>
        <w:rPr>
          <w:spacing w:val="-5"/>
        </w:rPr>
        <w:t>多家</w:t>
      </w:r>
      <w:r>
        <w:rPr>
          <w:rFonts w:ascii="Times New Roman" w:hAnsi="Times New Roman" w:cs="Times New Roman" w:eastAsia="Times New Roman" w:hint="default"/>
          <w:spacing w:val="-5"/>
        </w:rPr>
        <w:t>IDC/ISP</w:t>
      </w:r>
    </w:p>
    <w:p>
      <w:pPr>
        <w:pStyle w:val="BodyText"/>
        <w:spacing w:line="316" w:lineRule="auto"/>
        <w:ind w:left="153" w:right="98"/>
        <w:jc w:val="left"/>
      </w:pPr>
      <w:r>
        <w:rPr>
          <w:spacing w:val="-4"/>
        </w:rPr>
        <w:t>企业提供互联网信息安全综合管理解决方案；在网络安全业务方面，公司的网络安全解决方案覆盖的行业包括运营商、广电、</w:t>
      </w:r>
      <w:r>
        <w:rPr>
          <w:spacing w:val="-44"/>
        </w:rPr>
        <w:t> </w:t>
      </w:r>
      <w:r>
        <w:rPr>
          <w:spacing w:val="-44"/>
        </w:rPr>
      </w:r>
      <w:r>
        <w:rPr>
          <w:spacing w:val="-2"/>
        </w:rPr>
        <w:t>普教、职专、高校、医疗卫生、政府、金融、能源、企业等众多领域；在公安业务方面，公司的公共网络安全解决方案的系</w:t>
      </w:r>
      <w:r>
        <w:rPr>
          <w:spacing w:val="-68"/>
        </w:rPr>
        <w:t> </w:t>
      </w:r>
      <w:r>
        <w:rPr>
          <w:spacing w:val="-68"/>
        </w:rPr>
      </w:r>
      <w:r>
        <w:rPr/>
        <w:t>列产品目前已经覆盖</w:t>
      </w:r>
      <w:r>
        <w:rPr>
          <w:rFonts w:ascii="Times New Roman" w:hAnsi="Times New Roman" w:cs="Times New Roman" w:eastAsia="Times New Roman" w:hint="default"/>
        </w:rPr>
        <w:t>22</w:t>
      </w:r>
      <w:r>
        <w:rPr/>
        <w:t>个省的</w:t>
      </w:r>
      <w:r>
        <w:rPr>
          <w:rFonts w:ascii="Times New Roman" w:hAnsi="Times New Roman" w:cs="Times New Roman" w:eastAsia="Times New Roman" w:hint="default"/>
        </w:rPr>
        <w:t>170</w:t>
      </w:r>
      <w:r>
        <w:rPr/>
        <w:t>余个地市，</w:t>
      </w:r>
      <w:r>
        <w:rPr>
          <w:rFonts w:ascii="Times New Roman" w:hAnsi="Times New Roman" w:cs="Times New Roman" w:eastAsia="Times New Roman" w:hint="default"/>
        </w:rPr>
        <w:t>7</w:t>
      </w:r>
      <w:r>
        <w:rPr/>
        <w:t>万家上网场所，将近</w:t>
      </w:r>
      <w:r>
        <w:rPr>
          <w:rFonts w:ascii="Times New Roman" w:hAnsi="Times New Roman" w:cs="Times New Roman" w:eastAsia="Times New Roman" w:hint="default"/>
        </w:rPr>
        <w:t>500</w:t>
      </w:r>
      <w:r>
        <w:rPr/>
        <w:t>万终端用户，市场占有率排名第一。</w:t>
      </w:r>
    </w:p>
    <w:p>
      <w:pPr>
        <w:pStyle w:val="BodyText"/>
        <w:spacing w:line="316" w:lineRule="auto"/>
        <w:ind w:left="513" w:right="176"/>
        <w:jc w:val="left"/>
      </w:pPr>
      <w:r>
        <w:rPr/>
        <w:t>（五）持续稳定的研发能力 </w:t>
      </w:r>
      <w:r>
        <w:rPr>
          <w:spacing w:val="-1"/>
        </w:rPr>
        <w:t>任子行坚持自主创新，不断增强研发实力，近三年的研发投入占公司的销售收入的比例均在</w:t>
      </w:r>
      <w:r>
        <w:rPr>
          <w:rFonts w:ascii="Times New Roman" w:hAnsi="Times New Roman" w:cs="Times New Roman" w:eastAsia="Times New Roman" w:hint="default"/>
          <w:spacing w:val="-1"/>
        </w:rPr>
        <w:t>10%</w:t>
      </w:r>
      <w:r>
        <w:rPr>
          <w:spacing w:val="-1"/>
        </w:rPr>
        <w:t>以上。截止目前，公司</w:t>
      </w:r>
    </w:p>
    <w:p>
      <w:pPr>
        <w:pStyle w:val="BodyText"/>
        <w:spacing w:line="300" w:lineRule="auto"/>
        <w:ind w:left="153" w:right="190"/>
        <w:jc w:val="both"/>
      </w:pPr>
      <w:r>
        <w:rPr>
          <w:spacing w:val="-2"/>
        </w:rPr>
        <w:t>拥有</w:t>
      </w:r>
      <w:r>
        <w:rPr>
          <w:rFonts w:ascii="Times New Roman" w:hAnsi="Times New Roman" w:cs="Times New Roman" w:eastAsia="Times New Roman" w:hint="default"/>
          <w:spacing w:val="-2"/>
        </w:rPr>
        <w:t>40</w:t>
      </w:r>
      <w:r>
        <w:rPr>
          <w:spacing w:val="-2"/>
        </w:rPr>
        <w:t>余项国家级核心技术，</w:t>
      </w:r>
      <w:r>
        <w:rPr>
          <w:rFonts w:ascii="Times New Roman" w:hAnsi="Times New Roman" w:cs="Times New Roman" w:eastAsia="Times New Roman" w:hint="default"/>
          <w:spacing w:val="-2"/>
        </w:rPr>
        <w:t>30</w:t>
      </w:r>
      <w:r>
        <w:rPr>
          <w:spacing w:val="-2"/>
        </w:rPr>
        <w:t>多项国家级重大课题研发，</w:t>
      </w:r>
      <w:r>
        <w:rPr>
          <w:rFonts w:ascii="Times New Roman" w:hAnsi="Times New Roman" w:cs="Times New Roman" w:eastAsia="Times New Roman" w:hint="default"/>
          <w:spacing w:val="-2"/>
        </w:rPr>
        <w:t>130</w:t>
      </w:r>
      <w:r>
        <w:rPr>
          <w:spacing w:val="-2"/>
        </w:rPr>
        <w:t>多样行业准入资质，</w:t>
      </w:r>
      <w:r>
        <w:rPr>
          <w:rFonts w:ascii="Times New Roman" w:hAnsi="Times New Roman" w:cs="Times New Roman" w:eastAsia="Times New Roman" w:hint="default"/>
          <w:spacing w:val="-2"/>
        </w:rPr>
        <w:t>200</w:t>
      </w:r>
      <w:r>
        <w:rPr>
          <w:spacing w:val="-2"/>
        </w:rPr>
        <w:t>多项国家级和省市级重大荣誉。已拥</w:t>
      </w:r>
      <w:r>
        <w:rPr>
          <w:spacing w:val="-57"/>
        </w:rPr>
        <w:t> </w:t>
      </w:r>
      <w:r>
        <w:rPr>
          <w:spacing w:val="-57"/>
        </w:rPr>
      </w:r>
      <w:r>
        <w:rPr/>
        <w:t>有计算机软件著作权登记证书</w:t>
      </w:r>
      <w:r>
        <w:rPr>
          <w:rFonts w:ascii="Times New Roman" w:hAnsi="Times New Roman" w:cs="Times New Roman" w:eastAsia="Times New Roman" w:hint="default"/>
        </w:rPr>
        <w:t>191</w:t>
      </w:r>
      <w:r>
        <w:rPr/>
        <w:t>件，申请专利</w:t>
      </w:r>
      <w:r>
        <w:rPr>
          <w:rFonts w:ascii="Times New Roman" w:hAnsi="Times New Roman" w:cs="Times New Roman" w:eastAsia="Times New Roman" w:hint="default"/>
        </w:rPr>
        <w:t>70</w:t>
      </w:r>
      <w:r>
        <w:rPr/>
        <w:t>件，获得已授权专利</w:t>
      </w:r>
      <w:r>
        <w:rPr>
          <w:rFonts w:ascii="Times New Roman" w:hAnsi="Times New Roman" w:cs="Times New Roman" w:eastAsia="Times New Roman" w:hint="default"/>
        </w:rPr>
        <w:t>12</w:t>
      </w:r>
      <w:r>
        <w:rPr/>
        <w:t>件，其中发明</w:t>
      </w:r>
      <w:r>
        <w:rPr>
          <w:rFonts w:ascii="Times New Roman" w:hAnsi="Times New Roman" w:cs="Times New Roman" w:eastAsia="Times New Roman" w:hint="default"/>
        </w:rPr>
        <w:t>5</w:t>
      </w:r>
      <w:r>
        <w:rPr/>
        <w:t>件，外观设计</w:t>
      </w:r>
      <w:r>
        <w:rPr>
          <w:rFonts w:ascii="Times New Roman" w:hAnsi="Times New Roman" w:cs="Times New Roman" w:eastAsia="Times New Roman" w:hint="default"/>
        </w:rPr>
        <w:t>7</w:t>
      </w:r>
      <w:r>
        <w:rPr/>
        <w:t>件。报告期内，公司 及控股子公司获得的专利授权</w:t>
      </w:r>
      <w:r>
        <w:rPr>
          <w:rFonts w:ascii="Times New Roman" w:hAnsi="Times New Roman" w:cs="Times New Roman" w:eastAsia="Times New Roman" w:hint="default"/>
        </w:rPr>
        <w:t>2</w:t>
      </w:r>
      <w:r>
        <w:rPr/>
        <w:t>件，均为外观设计专利，获得著作权登记证书</w:t>
      </w:r>
      <w:r>
        <w:rPr>
          <w:rFonts w:ascii="Times New Roman" w:hAnsi="Times New Roman" w:cs="Times New Roman" w:eastAsia="Times New Roman" w:hint="default"/>
        </w:rPr>
        <w:t>34</w:t>
      </w:r>
      <w:r>
        <w:rPr/>
        <w:t>件。公司新增专利及著作权情况如下：</w:t>
      </w:r>
    </w:p>
    <w:tbl>
      <w:tblPr>
        <w:tblW w:w="0" w:type="auto"/>
        <w:jc w:val="left"/>
        <w:tblInd w:w="155" w:type="dxa"/>
        <w:tblLayout w:type="fixed"/>
        <w:tblCellMar>
          <w:top w:w="0" w:type="dxa"/>
          <w:left w:w="0" w:type="dxa"/>
          <w:bottom w:w="0" w:type="dxa"/>
          <w:right w:w="0" w:type="dxa"/>
        </w:tblCellMar>
        <w:tblLook w:val="01E0"/>
      </w:tblPr>
      <w:tblGrid>
        <w:gridCol w:w="511"/>
        <w:gridCol w:w="1255"/>
        <w:gridCol w:w="2748"/>
        <w:gridCol w:w="1848"/>
        <w:gridCol w:w="938"/>
        <w:gridCol w:w="1116"/>
      </w:tblGrid>
      <w:tr>
        <w:trPr>
          <w:trHeight w:val="341" w:hRule="exact"/>
        </w:trPr>
        <w:tc>
          <w:tcPr>
            <w:tcW w:w="511" w:type="dxa"/>
            <w:tcBorders>
              <w:top w:val="nil" w:sz="6" w:space="0" w:color="auto"/>
              <w:left w:val="nil" w:sz="6" w:space="0" w:color="auto"/>
              <w:bottom w:val="single" w:sz="8" w:space="0" w:color="000000"/>
              <w:right w:val="single" w:sz="8" w:space="0" w:color="000000"/>
            </w:tcBorders>
            <w:shd w:val="clear" w:color="auto" w:fill="DBE5F1"/>
          </w:tcPr>
          <w:p>
            <w:pPr>
              <w:pStyle w:val="TableParagraph"/>
              <w:spacing w:line="240" w:lineRule="auto" w:before="14"/>
              <w:ind w:left="69"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255" w:type="dxa"/>
            <w:tcBorders>
              <w:top w:val="nil" w:sz="6" w:space="0" w:color="auto"/>
              <w:left w:val="single" w:sz="8" w:space="0" w:color="000000"/>
              <w:bottom w:val="single" w:sz="8" w:space="0" w:color="000000"/>
              <w:right w:val="single" w:sz="8" w:space="0" w:color="000000"/>
            </w:tcBorders>
            <w:shd w:val="clear" w:color="auto" w:fill="DBE5F1"/>
          </w:tcPr>
          <w:p>
            <w:pPr>
              <w:pStyle w:val="TableParagraph"/>
              <w:spacing w:line="240" w:lineRule="auto" w:before="14"/>
              <w:ind w:left="348" w:right="0"/>
              <w:jc w:val="left"/>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2748" w:type="dxa"/>
            <w:tcBorders>
              <w:top w:val="nil" w:sz="6" w:space="0" w:color="auto"/>
              <w:left w:val="single" w:sz="8" w:space="0" w:color="000000"/>
              <w:bottom w:val="single" w:sz="8" w:space="0" w:color="000000"/>
              <w:right w:val="single" w:sz="8" w:space="0" w:color="000000"/>
            </w:tcBorders>
            <w:shd w:val="clear" w:color="auto" w:fill="DBE5F1"/>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48" w:type="dxa"/>
            <w:tcBorders>
              <w:top w:val="nil" w:sz="6" w:space="0" w:color="auto"/>
              <w:left w:val="single" w:sz="8" w:space="0" w:color="000000"/>
              <w:bottom w:val="single" w:sz="8" w:space="0" w:color="000000"/>
              <w:right w:val="single" w:sz="8" w:space="0" w:color="000000"/>
            </w:tcBorders>
            <w:shd w:val="clear" w:color="auto" w:fill="DBE5F1"/>
          </w:tcPr>
          <w:p>
            <w:pPr>
              <w:pStyle w:val="TableParagraph"/>
              <w:spacing w:line="240" w:lineRule="auto" w:before="14"/>
              <w:ind w:left="52" w:right="0"/>
              <w:jc w:val="left"/>
              <w:rPr>
                <w:rFonts w:ascii="宋体" w:hAnsi="宋体" w:cs="宋体" w:eastAsia="宋体" w:hint="default"/>
                <w:sz w:val="18"/>
                <w:szCs w:val="18"/>
              </w:rPr>
            </w:pPr>
            <w:r>
              <w:rPr>
                <w:rFonts w:ascii="宋体" w:hAnsi="宋体" w:cs="宋体" w:eastAsia="宋体" w:hint="default"/>
                <w:b/>
                <w:bCs/>
                <w:sz w:val="18"/>
                <w:szCs w:val="18"/>
              </w:rPr>
              <w:t>申请号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专利号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著作权</w:t>
            </w:r>
            <w:r>
              <w:rPr>
                <w:rFonts w:ascii="宋体" w:hAnsi="宋体" w:cs="宋体" w:eastAsia="宋体" w:hint="default"/>
                <w:sz w:val="18"/>
                <w:szCs w:val="18"/>
              </w:rPr>
            </w:r>
          </w:p>
        </w:tc>
        <w:tc>
          <w:tcPr>
            <w:tcW w:w="938" w:type="dxa"/>
            <w:tcBorders>
              <w:top w:val="nil" w:sz="6" w:space="0" w:color="auto"/>
              <w:left w:val="single" w:sz="8" w:space="0" w:color="000000"/>
              <w:bottom w:val="single" w:sz="8" w:space="0" w:color="000000"/>
              <w:right w:val="single" w:sz="8" w:space="0" w:color="000000"/>
            </w:tcBorders>
            <w:shd w:val="clear" w:color="auto" w:fill="DBE5F1"/>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116" w:type="dxa"/>
            <w:tcBorders>
              <w:top w:val="nil" w:sz="6" w:space="0" w:color="auto"/>
              <w:left w:val="single" w:sz="8" w:space="0" w:color="000000"/>
              <w:bottom w:val="single" w:sz="8" w:space="0" w:color="000000"/>
              <w:right w:val="single" w:sz="8" w:space="0" w:color="000000"/>
            </w:tcBorders>
            <w:shd w:val="clear" w:color="auto" w:fill="DBE5F1"/>
          </w:tcPr>
          <w:p>
            <w:pPr>
              <w:pStyle w:val="TableParagraph"/>
              <w:spacing w:line="240" w:lineRule="auto" w:before="14"/>
              <w:ind w:left="187" w:right="0"/>
              <w:jc w:val="left"/>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523"/>
        <w:gridCol w:w="1255"/>
        <w:gridCol w:w="2748"/>
        <w:gridCol w:w="1848"/>
        <w:gridCol w:w="938"/>
        <w:gridCol w:w="1116"/>
      </w:tblGrid>
      <w:tr>
        <w:trPr>
          <w:trHeight w:val="341" w:hRule="exact"/>
        </w:trPr>
        <w:tc>
          <w:tcPr>
            <w:tcW w:w="523" w:type="dxa"/>
            <w:tcBorders>
              <w:top w:val="nil" w:sz="6" w:space="0" w:color="auto"/>
              <w:left w:val="nil" w:sz="6" w:space="0" w:color="auto"/>
              <w:bottom w:val="single" w:sz="8" w:space="0" w:color="000000"/>
              <w:right w:val="single" w:sz="8" w:space="0" w:color="000000"/>
            </w:tcBorders>
            <w:shd w:val="clear" w:color="auto" w:fill="DBE5F1"/>
          </w:tcPr>
          <w:p>
            <w:pPr/>
          </w:p>
        </w:tc>
        <w:tc>
          <w:tcPr>
            <w:tcW w:w="1255" w:type="dxa"/>
            <w:tcBorders>
              <w:top w:val="nil" w:sz="6" w:space="0" w:color="auto"/>
              <w:left w:val="single" w:sz="8" w:space="0" w:color="000000"/>
              <w:bottom w:val="single" w:sz="8" w:space="0" w:color="000000"/>
              <w:right w:val="single" w:sz="8" w:space="0" w:color="000000"/>
            </w:tcBorders>
            <w:shd w:val="clear" w:color="auto" w:fill="DBE5F1"/>
          </w:tcPr>
          <w:p>
            <w:pPr/>
          </w:p>
        </w:tc>
        <w:tc>
          <w:tcPr>
            <w:tcW w:w="2748" w:type="dxa"/>
            <w:tcBorders>
              <w:top w:val="nil" w:sz="6" w:space="0" w:color="auto"/>
              <w:left w:val="single" w:sz="8" w:space="0" w:color="000000"/>
              <w:bottom w:val="single" w:sz="8" w:space="0" w:color="000000"/>
              <w:right w:val="single" w:sz="8" w:space="0" w:color="000000"/>
            </w:tcBorders>
            <w:shd w:val="clear" w:color="auto" w:fill="DBE5F1"/>
          </w:tcPr>
          <w:p>
            <w:pPr/>
          </w:p>
        </w:tc>
        <w:tc>
          <w:tcPr>
            <w:tcW w:w="1848" w:type="dxa"/>
            <w:tcBorders>
              <w:top w:val="nil" w:sz="6" w:space="0" w:color="auto"/>
              <w:left w:val="single" w:sz="8" w:space="0" w:color="000000"/>
              <w:bottom w:val="single" w:sz="8" w:space="0" w:color="000000"/>
              <w:right w:val="single" w:sz="8" w:space="0" w:color="000000"/>
            </w:tcBorders>
            <w:shd w:val="clear" w:color="auto" w:fill="DBE5F1"/>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w w:val="99"/>
                <w:sz w:val="18"/>
                <w:szCs w:val="18"/>
              </w:rPr>
              <w:t>号</w:t>
            </w:r>
            <w:r>
              <w:rPr>
                <w:rFonts w:ascii="宋体" w:hAnsi="宋体" w:cs="宋体" w:eastAsia="宋体" w:hint="default"/>
                <w:sz w:val="18"/>
                <w:szCs w:val="18"/>
              </w:rPr>
            </w:r>
          </w:p>
        </w:tc>
        <w:tc>
          <w:tcPr>
            <w:tcW w:w="938" w:type="dxa"/>
            <w:tcBorders>
              <w:top w:val="nil" w:sz="6" w:space="0" w:color="auto"/>
              <w:left w:val="single" w:sz="8" w:space="0" w:color="000000"/>
              <w:bottom w:val="single" w:sz="8" w:space="0" w:color="000000"/>
              <w:right w:val="single" w:sz="8" w:space="0" w:color="000000"/>
            </w:tcBorders>
            <w:shd w:val="clear" w:color="auto" w:fill="DBE5F1"/>
          </w:tcPr>
          <w:p>
            <w:pPr/>
          </w:p>
        </w:tc>
        <w:tc>
          <w:tcPr>
            <w:tcW w:w="1116" w:type="dxa"/>
            <w:tcBorders>
              <w:top w:val="nil" w:sz="6" w:space="0" w:color="auto"/>
              <w:left w:val="single" w:sz="8" w:space="0" w:color="000000"/>
              <w:bottom w:val="single" w:sz="8" w:space="0" w:color="000000"/>
              <w:right w:val="single" w:sz="8" w:space="0" w:color="000000"/>
            </w:tcBorders>
            <w:shd w:val="clear" w:color="auto" w:fill="DBE5F1"/>
          </w:tcPr>
          <w:p>
            <w:pP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3413587</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094" w:right="12" w:hanging="1080"/>
              <w:jc w:val="left"/>
              <w:rPr>
                <w:rFonts w:ascii="宋体" w:hAnsi="宋体" w:cs="宋体" w:eastAsia="宋体" w:hint="default"/>
                <w:sz w:val="18"/>
                <w:szCs w:val="18"/>
              </w:rPr>
            </w:pPr>
            <w:r>
              <w:rPr>
                <w:rFonts w:ascii="宋体" w:hAnsi="宋体" w:cs="宋体" w:eastAsia="宋体" w:hint="default"/>
                <w:sz w:val="18"/>
                <w:szCs w:val="18"/>
              </w:rPr>
              <w:t>电脑客户端的网站分类分部统计界 面设计</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ZL201530128087.6</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2015/5/5</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2015/10/7</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3413855</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914" w:right="12" w:hanging="900"/>
              <w:jc w:val="left"/>
              <w:rPr>
                <w:rFonts w:ascii="宋体" w:hAnsi="宋体" w:cs="宋体" w:eastAsia="宋体" w:hint="default"/>
                <w:sz w:val="18"/>
                <w:szCs w:val="18"/>
              </w:rPr>
            </w:pPr>
            <w:r>
              <w:rPr>
                <w:rFonts w:ascii="宋体" w:hAnsi="宋体" w:cs="宋体" w:eastAsia="宋体" w:hint="default"/>
                <w:sz w:val="18"/>
                <w:szCs w:val="18"/>
              </w:rPr>
              <w:t>带图形用户界面的网络信息安全技 术管控平台</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ZL201530128051.8</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2015/5/5</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2015/10/7</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0951141</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任子行不良信息安全监控系统</w:t>
            </w:r>
            <w:r>
              <w:rPr>
                <w:rFonts w:ascii="Times New Roman" w:hAnsi="Times New Roman" w:cs="Times New Roman" w:eastAsia="Times New Roman" w:hint="default"/>
                <w:sz w:val="18"/>
                <w:szCs w:val="18"/>
              </w:rPr>
              <w:t>V1.0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2015SR064055</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2015/4/16</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1056156</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任子行</w:t>
            </w:r>
            <w:r>
              <w:rPr>
                <w:rFonts w:ascii="Times New Roman" w:hAnsi="Times New Roman" w:cs="Times New Roman" w:eastAsia="Times New Roman" w:hint="default"/>
                <w:sz w:val="18"/>
                <w:szCs w:val="18"/>
              </w:rPr>
              <w:t>WiFi</w:t>
            </w:r>
            <w:r>
              <w:rPr>
                <w:rFonts w:ascii="宋体" w:hAnsi="宋体" w:cs="宋体" w:eastAsia="宋体" w:hint="default"/>
                <w:sz w:val="18"/>
                <w:szCs w:val="18"/>
              </w:rPr>
              <w:t>数据网络取证定位系统</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V1.0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2015SR169070</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2015/8/31</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1056355</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任子行异常流量清洗系统</w:t>
            </w:r>
            <w:r>
              <w:rPr>
                <w:rFonts w:ascii="Times New Roman" w:hAnsi="Times New Roman" w:cs="Times New Roman" w:eastAsia="Times New Roman" w:hint="default"/>
                <w:sz w:val="18"/>
                <w:szCs w:val="18"/>
              </w:rPr>
              <w:t>V10.0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2015SR169269</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2015/8/31</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1056847</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NET110</w:t>
            </w:r>
            <w:r>
              <w:rPr>
                <w:rFonts w:ascii="宋体" w:hAnsi="宋体" w:cs="宋体" w:eastAsia="宋体" w:hint="default"/>
                <w:sz w:val="18"/>
                <w:szCs w:val="18"/>
              </w:rPr>
              <w:t>终端特征采集系统</w:t>
            </w:r>
            <w:r>
              <w:rPr>
                <w:rFonts w:ascii="Times New Roman" w:hAnsi="Times New Roman" w:cs="Times New Roman" w:eastAsia="Times New Roman" w:hint="default"/>
                <w:sz w:val="18"/>
                <w:szCs w:val="18"/>
              </w:rPr>
              <w:t>V1.0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2015SR169761</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4"/>
              <w:jc w:val="right"/>
              <w:rPr>
                <w:rFonts w:ascii="Times New Roman" w:hAnsi="Times New Roman" w:cs="Times New Roman" w:eastAsia="Times New Roman" w:hint="default"/>
                <w:sz w:val="18"/>
                <w:szCs w:val="18"/>
              </w:rPr>
            </w:pPr>
            <w:r>
              <w:rPr>
                <w:rFonts w:ascii="Times New Roman"/>
                <w:sz w:val="18"/>
              </w:rPr>
              <w:t>2015/9/1</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1056891</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任子行运维安全审计系统</w:t>
            </w:r>
            <w:r>
              <w:rPr>
                <w:rFonts w:ascii="Times New Roman" w:hAnsi="Times New Roman" w:cs="Times New Roman" w:eastAsia="Times New Roman" w:hint="default"/>
                <w:sz w:val="18"/>
                <w:szCs w:val="18"/>
              </w:rPr>
              <w:t>V10.0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2015SR169805</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2015/9/1</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1057367</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任子行入侵防御系统</w:t>
            </w:r>
            <w:r>
              <w:rPr>
                <w:rFonts w:ascii="Times New Roman" w:hAnsi="Times New Roman" w:cs="Times New Roman" w:eastAsia="Times New Roman" w:hint="default"/>
                <w:sz w:val="18"/>
                <w:szCs w:val="18"/>
              </w:rPr>
              <w:t>V10.0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2015SR170281</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4"/>
              <w:jc w:val="right"/>
              <w:rPr>
                <w:rFonts w:ascii="Times New Roman" w:hAnsi="Times New Roman" w:cs="Times New Roman" w:eastAsia="Times New Roman" w:hint="default"/>
                <w:sz w:val="18"/>
                <w:szCs w:val="18"/>
              </w:rPr>
            </w:pPr>
            <w:r>
              <w:rPr>
                <w:rFonts w:ascii="Times New Roman"/>
                <w:sz w:val="18"/>
              </w:rPr>
              <w:t>2015/9/1</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1057540</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任子行终端安全管理系统</w:t>
            </w:r>
            <w:r>
              <w:rPr>
                <w:rFonts w:ascii="Times New Roman" w:hAnsi="Times New Roman" w:cs="Times New Roman" w:eastAsia="Times New Roman" w:hint="default"/>
                <w:sz w:val="18"/>
                <w:szCs w:val="18"/>
              </w:rPr>
              <w:t>V10.0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2015SR170454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2015/9/1</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1069678</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8"/>
              <w:ind w:left="1005" w:right="16" w:hanging="98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Net110</w:t>
            </w:r>
            <w:r>
              <w:rPr>
                <w:rFonts w:ascii="宋体" w:hAnsi="宋体" w:cs="宋体" w:eastAsia="宋体" w:hint="default"/>
                <w:sz w:val="18"/>
                <w:szCs w:val="18"/>
              </w:rPr>
              <w:t>公共场所无线上网信息安全 系统</w:t>
            </w:r>
            <w:r>
              <w:rPr>
                <w:rFonts w:ascii="Times New Roman" w:hAnsi="Times New Roman" w:cs="Times New Roman" w:eastAsia="Times New Roman" w:hint="default"/>
                <w:sz w:val="18"/>
                <w:szCs w:val="18"/>
              </w:rPr>
              <w:t>V2.0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2015SR182592</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2015/9/18</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1069679</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任子行病毒监测管理系统</w:t>
            </w:r>
            <w:r>
              <w:rPr>
                <w:rFonts w:ascii="Times New Roman" w:hAnsi="Times New Roman" w:cs="Times New Roman" w:eastAsia="Times New Roman" w:hint="default"/>
                <w:sz w:val="18"/>
                <w:szCs w:val="18"/>
              </w:rPr>
              <w:t>V1.0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2015SR182593</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2015/9/18</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1069680</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任子行入侵监测管理系统</w:t>
            </w:r>
            <w:r>
              <w:rPr>
                <w:rFonts w:ascii="Times New Roman" w:hAnsi="Times New Roman" w:cs="Times New Roman" w:eastAsia="Times New Roman" w:hint="default"/>
                <w:sz w:val="18"/>
                <w:szCs w:val="18"/>
              </w:rPr>
              <w:t>V1.0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2015SR182594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2015/9/18</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1101938</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任子行网站安全监控系统</w:t>
            </w:r>
            <w:r>
              <w:rPr>
                <w:rFonts w:ascii="Times New Roman" w:hAnsi="Times New Roman" w:cs="Times New Roman" w:eastAsia="Times New Roman" w:hint="default"/>
                <w:sz w:val="18"/>
                <w:szCs w:val="18"/>
              </w:rPr>
              <w:t>V10.0</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2015SR214852</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2015/11/6</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1108694</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任网游网民系统</w:t>
            </w:r>
            <w:r>
              <w:rPr>
                <w:rFonts w:ascii="Times New Roman" w:hAnsi="Times New Roman" w:cs="Times New Roman" w:eastAsia="Times New Roman" w:hint="default"/>
                <w:sz w:val="18"/>
                <w:szCs w:val="18"/>
              </w:rPr>
              <w:t>V7.3.3.1055</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2015SR221608</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2015/11/13</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1108014</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任网游云中心平台系统</w:t>
            </w:r>
            <w:r>
              <w:rPr>
                <w:rFonts w:ascii="Times New Roman" w:hAnsi="Times New Roman" w:cs="Times New Roman" w:eastAsia="Times New Roman" w:hint="default"/>
                <w:sz w:val="18"/>
                <w:szCs w:val="18"/>
              </w:rPr>
              <w:t>V7.4.3.1024</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2015SR220928</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34"/>
              <w:jc w:val="right"/>
              <w:rPr>
                <w:rFonts w:ascii="Times New Roman" w:hAnsi="Times New Roman" w:cs="Times New Roman" w:eastAsia="Times New Roman" w:hint="default"/>
                <w:sz w:val="18"/>
                <w:szCs w:val="18"/>
              </w:rPr>
            </w:pPr>
            <w:r>
              <w:rPr>
                <w:rFonts w:ascii="Times New Roman"/>
                <w:sz w:val="18"/>
              </w:rPr>
              <w:t>2015/11/13</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0978681</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唐人棋牌手机常州麻将游戏软件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2015SR091595</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2015/5/27</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0981740</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唐人棋牌手机兴化麻将游戏软件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2015SR094654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2015/6/1</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0980410</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唐人棋牌手机苏州麻将游戏软件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2015SR093324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2015/5/29</w:t>
            </w:r>
          </w:p>
        </w:tc>
      </w:tr>
      <w:tr>
        <w:trPr>
          <w:trHeight w:val="655"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0980425</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唐人棋牌手机马鞍山麻将游戏软件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2015SR093339</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2015/5/29</w:t>
            </w:r>
          </w:p>
        </w:tc>
      </w:tr>
      <w:tr>
        <w:trPr>
          <w:trHeight w:val="65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72"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0989015</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唐人棋牌手机牛牛游戏软件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2015SR101929</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4"/>
              <w:jc w:val="right"/>
              <w:rPr>
                <w:rFonts w:ascii="Times New Roman" w:hAnsi="Times New Roman" w:cs="Times New Roman" w:eastAsia="Times New Roman" w:hint="default"/>
                <w:sz w:val="18"/>
                <w:szCs w:val="18"/>
              </w:rPr>
            </w:pPr>
            <w:r>
              <w:rPr>
                <w:rFonts w:ascii="Times New Roman"/>
                <w:sz w:val="18"/>
              </w:rPr>
              <w:t>2015/6/9</w:t>
            </w:r>
          </w:p>
        </w:tc>
      </w:tr>
      <w:tr>
        <w:trPr>
          <w:trHeight w:val="343" w:hRule="exact"/>
        </w:trPr>
        <w:tc>
          <w:tcPr>
            <w:tcW w:w="5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著作</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唐人棋牌手机德州扑克游戏软件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2015SR100994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2015/6/8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538"/>
        <w:gridCol w:w="1255"/>
        <w:gridCol w:w="2748"/>
        <w:gridCol w:w="1848"/>
        <w:gridCol w:w="938"/>
        <w:gridCol w:w="1116"/>
      </w:tblGrid>
      <w:tr>
        <w:trPr>
          <w:trHeight w:val="336" w:hRule="exact"/>
        </w:trPr>
        <w:tc>
          <w:tcPr>
            <w:tcW w:w="538" w:type="dxa"/>
            <w:tcBorders>
              <w:top w:val="nil" w:sz="6" w:space="0" w:color="auto"/>
              <w:left w:val="nil" w:sz="6" w:space="0" w:color="auto"/>
              <w:bottom w:val="single" w:sz="8" w:space="0" w:color="000000"/>
              <w:right w:val="single" w:sz="8" w:space="0" w:color="000000"/>
            </w:tcBorders>
          </w:tcPr>
          <w:p>
            <w:pPr>
              <w:pStyle w:val="TableParagraph"/>
              <w:spacing w:line="240" w:lineRule="auto" w:before="13"/>
              <w:ind w:left="187"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255"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0988080</w:t>
            </w:r>
            <w:r>
              <w:rPr>
                <w:rFonts w:ascii="宋体" w:hAnsi="宋体" w:cs="宋体" w:eastAsia="宋体" w:hint="default"/>
                <w:sz w:val="18"/>
                <w:szCs w:val="18"/>
              </w:rPr>
              <w:t>号</w:t>
            </w:r>
          </w:p>
        </w:tc>
        <w:tc>
          <w:tcPr>
            <w:tcW w:w="2748" w:type="dxa"/>
            <w:tcBorders>
              <w:top w:val="single" w:sz="4" w:space="0" w:color="FFFFFF"/>
              <w:left w:val="single" w:sz="8" w:space="0" w:color="000000"/>
              <w:bottom w:val="single" w:sz="8" w:space="0" w:color="000000"/>
              <w:right w:val="single" w:sz="8" w:space="0" w:color="000000"/>
            </w:tcBorders>
          </w:tcPr>
          <w:p>
            <w:pPr/>
          </w:p>
        </w:tc>
        <w:tc>
          <w:tcPr>
            <w:tcW w:w="1848" w:type="dxa"/>
            <w:tcBorders>
              <w:top w:val="single" w:sz="4" w:space="0" w:color="FFFFFF"/>
              <w:left w:val="single" w:sz="8" w:space="0" w:color="000000"/>
              <w:bottom w:val="single" w:sz="8" w:space="0" w:color="000000"/>
              <w:right w:val="single" w:sz="8" w:space="0" w:color="000000"/>
            </w:tcBorders>
          </w:tcPr>
          <w:p>
            <w:pPr/>
          </w:p>
        </w:tc>
        <w:tc>
          <w:tcPr>
            <w:tcW w:w="938" w:type="dxa"/>
            <w:tcBorders>
              <w:top w:val="single" w:sz="4" w:space="0" w:color="FFFFFF"/>
              <w:left w:val="single" w:sz="8" w:space="0" w:color="000000"/>
              <w:bottom w:val="single" w:sz="8" w:space="0" w:color="000000"/>
              <w:right w:val="single" w:sz="8" w:space="0" w:color="000000"/>
            </w:tcBorders>
          </w:tcPr>
          <w:p>
            <w:pPr/>
          </w:p>
        </w:tc>
        <w:tc>
          <w:tcPr>
            <w:tcW w:w="1116" w:type="dxa"/>
            <w:tcBorders>
              <w:top w:val="single" w:sz="4" w:space="0" w:color="FFFFFF"/>
              <w:left w:val="single" w:sz="8" w:space="0" w:color="000000"/>
              <w:bottom w:val="single" w:sz="8" w:space="0" w:color="000000"/>
              <w:right w:val="single" w:sz="8" w:space="0" w:color="000000"/>
            </w:tcBorders>
          </w:tcPr>
          <w:p>
            <w:pP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0986774</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唐人棋牌镇江麻将游戏软件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2015SR099688</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2015/6/5</w:t>
            </w:r>
          </w:p>
        </w:tc>
      </w:tr>
      <w:tr>
        <w:trPr>
          <w:trHeight w:val="65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0984536</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唐人棋牌手机泰州麻将游戏软件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2015SR097450</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4"/>
              <w:jc w:val="right"/>
              <w:rPr>
                <w:rFonts w:ascii="Times New Roman" w:hAnsi="Times New Roman" w:cs="Times New Roman" w:eastAsia="Times New Roman" w:hint="default"/>
                <w:sz w:val="18"/>
                <w:szCs w:val="18"/>
              </w:rPr>
            </w:pPr>
            <w:r>
              <w:rPr>
                <w:rFonts w:ascii="Times New Roman"/>
                <w:sz w:val="18"/>
              </w:rPr>
              <w:t>2015/6/3</w:t>
            </w: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0984538</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唐人棋牌手机合肥麻将游戏软件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2015SR097452</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2015/6/3</w:t>
            </w:r>
          </w:p>
        </w:tc>
      </w:tr>
      <w:tr>
        <w:trPr>
          <w:trHeight w:val="65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0982801</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唐人棋牌手机二人麻将游戏软件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2015SR095715</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4"/>
              <w:jc w:val="right"/>
              <w:rPr>
                <w:rFonts w:ascii="Times New Roman" w:hAnsi="Times New Roman" w:cs="Times New Roman" w:eastAsia="Times New Roman" w:hint="default"/>
                <w:sz w:val="18"/>
                <w:szCs w:val="18"/>
              </w:rPr>
            </w:pPr>
            <w:r>
              <w:rPr>
                <w:rFonts w:ascii="Times New Roman"/>
                <w:sz w:val="18"/>
              </w:rPr>
              <w:t>2015/6/2</w:t>
            </w: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1014117</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唐人棋牌无锡麻将游戏软件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2015SR127031</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24"/>
              <w:jc w:val="right"/>
              <w:rPr>
                <w:rFonts w:ascii="Times New Roman" w:hAnsi="Times New Roman" w:cs="Times New Roman" w:eastAsia="Times New Roman" w:hint="default"/>
                <w:sz w:val="18"/>
                <w:szCs w:val="18"/>
              </w:rPr>
            </w:pPr>
            <w:r>
              <w:rPr>
                <w:rFonts w:ascii="Times New Roman"/>
                <w:sz w:val="18"/>
              </w:rPr>
              <w:t>2015/7/8</w:t>
            </w:r>
          </w:p>
        </w:tc>
      </w:tr>
      <w:tr>
        <w:trPr>
          <w:trHeight w:val="65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1017982</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唐人棋牌徐州麻将游戏软件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2015SR130896</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2015/7/13</w:t>
            </w: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1021086</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唐人棋牌昆山麻将游戏软件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2015SR134000</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2015/7/15</w:t>
            </w:r>
          </w:p>
        </w:tc>
      </w:tr>
      <w:tr>
        <w:trPr>
          <w:trHeight w:val="65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0992507</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武圣传网络游戏软件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2015SR105421</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2015/6/12</w:t>
            </w: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1089441</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三国武神</w:t>
            </w:r>
            <w:r>
              <w:rPr>
                <w:rFonts w:ascii="Times New Roman" w:hAnsi="Times New Roman" w:cs="Times New Roman" w:eastAsia="Times New Roman" w:hint="default"/>
                <w:sz w:val="18"/>
                <w:szCs w:val="18"/>
              </w:rPr>
              <w:t>3D</w:t>
            </w:r>
            <w:r>
              <w:rPr>
                <w:rFonts w:ascii="宋体" w:hAnsi="宋体" w:cs="宋体" w:eastAsia="宋体" w:hint="default"/>
                <w:sz w:val="18"/>
                <w:szCs w:val="18"/>
              </w:rPr>
              <w:t>游戏引擎软件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2015SR202355</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34"/>
              <w:jc w:val="right"/>
              <w:rPr>
                <w:rFonts w:ascii="Times New Roman" w:hAnsi="Times New Roman" w:cs="Times New Roman" w:eastAsia="Times New Roman" w:hint="default"/>
                <w:sz w:val="18"/>
                <w:szCs w:val="18"/>
              </w:rPr>
            </w:pPr>
            <w:r>
              <w:rPr>
                <w:rFonts w:ascii="Times New Roman"/>
                <w:sz w:val="18"/>
              </w:rPr>
              <w:t>2015/10/21</w:t>
            </w:r>
          </w:p>
        </w:tc>
      </w:tr>
      <w:tr>
        <w:trPr>
          <w:trHeight w:val="65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1109858</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争渡</w:t>
            </w:r>
            <w:r>
              <w:rPr>
                <w:rFonts w:ascii="Times New Roman" w:hAnsi="Times New Roman" w:cs="Times New Roman" w:eastAsia="Times New Roman" w:hint="default"/>
                <w:sz w:val="18"/>
                <w:szCs w:val="18"/>
              </w:rPr>
              <w:t>3D</w:t>
            </w:r>
            <w:r>
              <w:rPr>
                <w:rFonts w:ascii="宋体" w:hAnsi="宋体" w:cs="宋体" w:eastAsia="宋体" w:hint="default"/>
                <w:sz w:val="18"/>
                <w:szCs w:val="18"/>
              </w:rPr>
              <w:t>游戏插件软件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2015SR222772</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2015/11/14</w:t>
            </w: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1176629</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争渡德州扑克游戏软件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2015SR289543</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34"/>
              <w:jc w:val="right"/>
              <w:rPr>
                <w:rFonts w:ascii="Times New Roman" w:hAnsi="Times New Roman" w:cs="Times New Roman" w:eastAsia="Times New Roman" w:hint="default"/>
                <w:sz w:val="18"/>
                <w:szCs w:val="18"/>
              </w:rPr>
            </w:pPr>
            <w:r>
              <w:rPr>
                <w:rFonts w:ascii="Times New Roman"/>
                <w:sz w:val="18"/>
              </w:rPr>
              <w:t>2015/12/30</w:t>
            </w:r>
          </w:p>
        </w:tc>
      </w:tr>
      <w:tr>
        <w:trPr>
          <w:trHeight w:val="65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1147525</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争渡二人麻将游戏软件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2015SR260439</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2015/12/15</w:t>
            </w: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1144980</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争渡南京麻将游戏软件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2015SR257894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34"/>
              <w:jc w:val="right"/>
              <w:rPr>
                <w:rFonts w:ascii="Times New Roman" w:hAnsi="Times New Roman" w:cs="Times New Roman" w:eastAsia="Times New Roman" w:hint="default"/>
                <w:sz w:val="18"/>
                <w:szCs w:val="18"/>
              </w:rPr>
            </w:pPr>
            <w:r>
              <w:rPr>
                <w:rFonts w:ascii="Times New Roman"/>
                <w:sz w:val="18"/>
              </w:rPr>
              <w:t>2015/12/14</w:t>
            </w:r>
          </w:p>
        </w:tc>
      </w:tr>
      <w:tr>
        <w:trPr>
          <w:trHeight w:val="653"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8"/>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1138240</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争渡手机游戏平台软件</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2015SR251154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81"/>
              <w:jc w:val="right"/>
              <w:rPr>
                <w:rFonts w:ascii="Times New Roman" w:hAnsi="Times New Roman" w:cs="Times New Roman" w:eastAsia="Times New Roman" w:hint="default"/>
                <w:sz w:val="18"/>
                <w:szCs w:val="18"/>
              </w:rPr>
            </w:pPr>
            <w:r>
              <w:rPr>
                <w:rFonts w:ascii="Times New Roman"/>
                <w:spacing w:val="-1"/>
                <w:sz w:val="18"/>
              </w:rPr>
              <w:t>2015/12/9</w:t>
            </w:r>
          </w:p>
        </w:tc>
      </w:tr>
      <w:tr>
        <w:trPr>
          <w:trHeight w:val="655" w:hRule="exact"/>
        </w:trPr>
        <w:tc>
          <w:tcPr>
            <w:tcW w:w="538"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0"/>
              <w:ind w:left="187" w:right="67" w:hanging="89"/>
              <w:jc w:val="left"/>
              <w:rPr>
                <w:rFonts w:ascii="宋体" w:hAnsi="宋体" w:cs="宋体" w:eastAsia="宋体" w:hint="default"/>
                <w:sz w:val="18"/>
                <w:szCs w:val="18"/>
              </w:rPr>
            </w:pPr>
            <w:r>
              <w:rPr>
                <w:rFonts w:ascii="宋体" w:hAnsi="宋体" w:cs="宋体" w:eastAsia="宋体" w:hint="default"/>
                <w:sz w:val="18"/>
                <w:szCs w:val="18"/>
              </w:rPr>
              <w:t>著作 权</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1122870</w:t>
            </w:r>
            <w:r>
              <w:rPr>
                <w:rFonts w:ascii="宋体" w:hAnsi="宋体" w:cs="宋体" w:eastAsia="宋体" w:hint="default"/>
                <w:sz w:val="18"/>
                <w:szCs w:val="18"/>
              </w:rPr>
              <w:t>号</w:t>
            </w:r>
          </w:p>
        </w:tc>
        <w:tc>
          <w:tcPr>
            <w:tcW w:w="274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
              <w:ind w:left="95" w:right="62" w:hanging="32"/>
              <w:jc w:val="left"/>
              <w:rPr>
                <w:rFonts w:ascii="Times New Roman" w:hAnsi="Times New Roman" w:cs="Times New Roman" w:eastAsia="Times New Roman" w:hint="default"/>
                <w:sz w:val="18"/>
                <w:szCs w:val="18"/>
              </w:rPr>
            </w:pPr>
            <w:r>
              <w:rPr>
                <w:rFonts w:ascii="宋体" w:hAnsi="宋体" w:cs="宋体" w:eastAsia="宋体" w:hint="default"/>
                <w:sz w:val="18"/>
                <w:szCs w:val="18"/>
              </w:rPr>
              <w:t>亚鸿世纪</w:t>
            </w:r>
            <w:r>
              <w:rPr>
                <w:rFonts w:ascii="Times New Roman" w:hAnsi="Times New Roman" w:cs="Times New Roman" w:eastAsia="Times New Roman" w:hint="default"/>
                <w:sz w:val="18"/>
                <w:szCs w:val="18"/>
              </w:rPr>
              <w:t>IDC/ISP</w:t>
            </w:r>
            <w:r>
              <w:rPr>
                <w:rFonts w:ascii="宋体" w:hAnsi="宋体" w:cs="宋体" w:eastAsia="宋体" w:hint="default"/>
                <w:sz w:val="18"/>
                <w:szCs w:val="18"/>
              </w:rPr>
              <w:t>信息安全管理系 统</w:t>
            </w:r>
            <w:r>
              <w:rPr>
                <w:rFonts w:ascii="Times New Roman" w:hAnsi="Times New Roman" w:cs="Times New Roman" w:eastAsia="Times New Roman" w:hint="default"/>
                <w:sz w:val="18"/>
                <w:szCs w:val="18"/>
              </w:rPr>
              <w:t>V5.0[</w:t>
            </w:r>
            <w:r>
              <w:rPr>
                <w:rFonts w:ascii="宋体" w:hAnsi="宋体" w:cs="宋体" w:eastAsia="宋体" w:hint="default"/>
                <w:sz w:val="18"/>
                <w:szCs w:val="18"/>
              </w:rPr>
              <w:t>简称：</w:t>
            </w:r>
            <w:r>
              <w:rPr>
                <w:rFonts w:ascii="Times New Roman" w:hAnsi="Times New Roman" w:cs="Times New Roman" w:eastAsia="Times New Roman" w:hint="default"/>
                <w:sz w:val="18"/>
                <w:szCs w:val="18"/>
              </w:rPr>
              <w:t>IDC/ISP</w:t>
            </w:r>
            <w:r>
              <w:rPr>
                <w:rFonts w:ascii="宋体" w:hAnsi="宋体" w:cs="宋体" w:eastAsia="宋体" w:hint="default"/>
                <w:sz w:val="18"/>
                <w:szCs w:val="18"/>
              </w:rPr>
              <w:t>信安系统</w:t>
            </w:r>
            <w:r>
              <w:rPr>
                <w:rFonts w:ascii="Times New Roman" w:hAnsi="Times New Roman" w:cs="Times New Roman" w:eastAsia="Times New Roman" w:hint="default"/>
                <w:sz w:val="18"/>
                <w:szCs w:val="18"/>
              </w:rPr>
              <w:t>]</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2015SR235784</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81"/>
              <w:jc w:val="right"/>
              <w:rPr>
                <w:rFonts w:ascii="Times New Roman" w:hAnsi="Times New Roman" w:cs="Times New Roman" w:eastAsia="Times New Roman" w:hint="default"/>
                <w:sz w:val="18"/>
                <w:szCs w:val="18"/>
              </w:rPr>
            </w:pPr>
            <w:r>
              <w:rPr>
                <w:rFonts w:ascii="Times New Roman"/>
                <w:spacing w:val="-1"/>
                <w:sz w:val="18"/>
              </w:rPr>
              <w:t>2015/4/30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124" w:right="98"/>
        <w:jc w:val="left"/>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90" w:firstLine="288"/>
        <w:jc w:val="both"/>
      </w:pPr>
      <w:r>
        <w:rPr>
          <w:rFonts w:ascii="Times New Roman" w:hAnsi="Times New Roman" w:cs="Times New Roman" w:eastAsia="Times New Roman" w:hint="default"/>
        </w:rPr>
        <w:t>2015</w:t>
      </w:r>
      <w:r>
        <w:rPr/>
        <w:t>年，公司秉承</w:t>
      </w:r>
      <w:r>
        <w:rPr>
          <w:rFonts w:ascii="Times New Roman" w:hAnsi="Times New Roman" w:cs="Times New Roman" w:eastAsia="Times New Roman" w:hint="default"/>
        </w:rPr>
        <w:t>“</w:t>
      </w:r>
      <w:r>
        <w:rPr/>
        <w:t>诚信、敬业、协同、创新</w:t>
      </w:r>
      <w:r>
        <w:rPr>
          <w:rFonts w:ascii="Times New Roman" w:hAnsi="Times New Roman" w:cs="Times New Roman" w:eastAsia="Times New Roman" w:hint="default"/>
        </w:rPr>
        <w:t>”</w:t>
      </w:r>
      <w:r>
        <w:rPr/>
        <w:t>的经营发展理念，抓住国家重视网络信息安全战略的发展机遇，在巩固原 </w:t>
      </w:r>
      <w:r>
        <w:rPr>
          <w:spacing w:val="-2"/>
        </w:rPr>
        <w:t>有市场的同时，积极开辟新市场领域，有效的实施了经营管理层制定的公司年度经营计划，实现了销售收入和经营业绩的稳</w:t>
      </w:r>
      <w:r>
        <w:rPr>
          <w:spacing w:val="-63"/>
        </w:rPr>
        <w:t> </w:t>
      </w:r>
      <w:r>
        <w:rPr>
          <w:spacing w:val="-63"/>
        </w:rPr>
      </w:r>
      <w:r>
        <w:rPr>
          <w:spacing w:val="-2"/>
        </w:rPr>
        <w:t>定增长。公司不断完善内控体系的建设，通过健全管理制度，完善员工激励机制，深度推进企业治理，提高了公司整体运营</w:t>
      </w:r>
      <w:r>
        <w:rPr>
          <w:spacing w:val="-67"/>
        </w:rPr>
        <w:t> </w:t>
      </w:r>
      <w:r>
        <w:rPr>
          <w:spacing w:val="-67"/>
        </w:rPr>
      </w:r>
      <w:r>
        <w:rPr/>
        <w:t>效率和经营风险管控能力。公司严格落实</w:t>
      </w:r>
      <w:r>
        <w:rPr>
          <w:rFonts w:ascii="Times New Roman" w:hAnsi="Times New Roman" w:cs="Times New Roman" w:eastAsia="Times New Roman" w:hint="default"/>
        </w:rPr>
        <w:t>“</w:t>
      </w:r>
      <w:r>
        <w:rPr/>
        <w:t>内生发展</w:t>
      </w:r>
      <w:r>
        <w:rPr>
          <w:rFonts w:ascii="Times New Roman" w:hAnsi="Times New Roman" w:cs="Times New Roman" w:eastAsia="Times New Roman" w:hint="default"/>
        </w:rPr>
        <w:t>”+“</w:t>
      </w:r>
      <w:r>
        <w:rPr/>
        <w:t>外延扩张</w:t>
      </w:r>
      <w:r>
        <w:rPr>
          <w:rFonts w:ascii="Times New Roman" w:hAnsi="Times New Roman" w:cs="Times New Roman" w:eastAsia="Times New Roman" w:hint="default"/>
        </w:rPr>
        <w:t>”</w:t>
      </w:r>
      <w:r>
        <w:rPr/>
        <w:t>双管齐抓的发展战略，完成了现金及发行股份购买资产并 </w:t>
      </w:r>
      <w:r>
        <w:rPr>
          <w:spacing w:val="-2"/>
        </w:rPr>
        <w:t>募集配套资金的重大资产重组事项。公司主动布局未来发展，加大研发创新的投入，致力于将公司打造为网络应用审计专家</w:t>
      </w:r>
      <w:r>
        <w:rPr>
          <w:spacing w:val="-66"/>
        </w:rPr>
        <w:t> </w:t>
      </w:r>
      <w:r>
        <w:rPr>
          <w:spacing w:val="-66"/>
        </w:rPr>
      </w:r>
      <w:r>
        <w:rPr/>
        <w:t>型企业。报告期内，公司开展的工作和取得的成绩主要有以下几方面：</w:t>
      </w:r>
    </w:p>
    <w:p>
      <w:pPr>
        <w:pStyle w:val="BodyText"/>
        <w:spacing w:line="316" w:lineRule="auto" w:before="22"/>
        <w:ind w:left="512" w:right="98"/>
        <w:jc w:val="left"/>
      </w:pPr>
      <w:r>
        <w:rPr/>
        <w:t>（一）经营业绩方面 </w:t>
      </w:r>
      <w:r>
        <w:rPr>
          <w:spacing w:val="-2"/>
        </w:rPr>
        <w:t>在公司董事会的领导和管理层及全体员工的努力拼搏下，顺利完成了</w:t>
      </w:r>
      <w:r>
        <w:rPr>
          <w:rFonts w:ascii="Times New Roman" w:hAnsi="Times New Roman" w:cs="Times New Roman" w:eastAsia="Times New Roman" w:hint="default"/>
          <w:spacing w:val="-2"/>
        </w:rPr>
        <w:t>2015</w:t>
      </w:r>
      <w:r>
        <w:rPr>
          <w:spacing w:val="-2"/>
        </w:rPr>
        <w:t>年度的主要经营计划，并对亚鸿世纪、唐人数</w:t>
      </w:r>
    </w:p>
    <w:p>
      <w:pPr>
        <w:pStyle w:val="BodyText"/>
        <w:spacing w:line="316" w:lineRule="auto"/>
        <w:ind w:left="512" w:right="98" w:hanging="360"/>
        <w:jc w:val="left"/>
      </w:pPr>
      <w:r>
        <w:rPr/>
        <w:t>码完成了并表，公司业绩实现快速增长，网络应用审计专家的品牌形象得到进一步强化。 </w:t>
      </w:r>
      <w:r>
        <w:rPr>
          <w:spacing w:val="-1"/>
        </w:rPr>
        <w:t>报告期内，公司实现营业总收入</w:t>
      </w:r>
      <w:r>
        <w:rPr>
          <w:rFonts w:ascii="Times New Roman" w:hAnsi="Times New Roman" w:cs="Times New Roman" w:eastAsia="Times New Roman" w:hint="default"/>
          <w:spacing w:val="-1"/>
        </w:rPr>
        <w:t>35,991.24</w:t>
      </w:r>
      <w:r>
        <w:rPr>
          <w:spacing w:val="-1"/>
        </w:rPr>
        <w:t>万元，较去年同期增长了</w:t>
      </w:r>
      <w:r>
        <w:rPr>
          <w:rFonts w:ascii="Times New Roman" w:hAnsi="Times New Roman" w:cs="Times New Roman" w:eastAsia="Times New Roman" w:hint="default"/>
          <w:spacing w:val="-1"/>
        </w:rPr>
        <w:t>21.27%</w:t>
      </w:r>
      <w:r>
        <w:rPr>
          <w:spacing w:val="-1"/>
        </w:rPr>
        <w:t>；实现营业利润</w:t>
      </w:r>
      <w:r>
        <w:rPr>
          <w:rFonts w:ascii="Times New Roman" w:hAnsi="Times New Roman" w:cs="Times New Roman" w:eastAsia="Times New Roman" w:hint="default"/>
          <w:spacing w:val="-1"/>
        </w:rPr>
        <w:t>46,39.86</w:t>
      </w:r>
      <w:r>
        <w:rPr>
          <w:spacing w:val="-1"/>
        </w:rPr>
        <w:t>万元，较上年同期增</w:t>
      </w:r>
    </w:p>
    <w:p>
      <w:pPr>
        <w:pStyle w:val="BodyText"/>
        <w:spacing w:line="248" w:lineRule="exact"/>
        <w:ind w:right="98"/>
        <w:jc w:val="left"/>
      </w:pPr>
      <w:r>
        <w:rPr/>
        <w:t>长</w:t>
      </w:r>
      <w:r>
        <w:rPr>
          <w:rFonts w:ascii="Times New Roman" w:hAnsi="Times New Roman" w:cs="Times New Roman" w:eastAsia="Times New Roman" w:hint="default"/>
        </w:rPr>
        <w:t>49.67%</w:t>
      </w:r>
      <w:r>
        <w:rPr/>
        <w:t>；实现归属母公司股东净利润</w:t>
      </w:r>
      <w:r>
        <w:rPr>
          <w:rFonts w:ascii="Times New Roman" w:hAnsi="Times New Roman" w:cs="Times New Roman" w:eastAsia="Times New Roman" w:hint="default"/>
        </w:rPr>
        <w:t>6,537.11</w:t>
      </w:r>
      <w:r>
        <w:rPr/>
        <w:t>万元，同比上升</w:t>
      </w:r>
      <w:r>
        <w:rPr>
          <w:rFonts w:ascii="Times New Roman" w:hAnsi="Times New Roman" w:cs="Times New Roman" w:eastAsia="Times New Roman" w:hint="default"/>
        </w:rPr>
        <w:t>58.07%</w:t>
      </w:r>
      <w:r>
        <w:rPr/>
        <w:t>。</w:t>
      </w:r>
    </w:p>
    <w:p>
      <w:pPr>
        <w:pStyle w:val="BodyText"/>
        <w:spacing w:line="316" w:lineRule="auto" w:before="62"/>
        <w:ind w:left="512" w:right="5134"/>
        <w:jc w:val="left"/>
      </w:pPr>
      <w:r>
        <w:rPr/>
        <w:t>（二）投资并购方面 报告期内，公司在投资并购方面主要进行了以下工作： </w:t>
      </w:r>
      <w:r>
        <w:rPr>
          <w:rFonts w:ascii="Times New Roman" w:hAnsi="Times New Roman" w:cs="Times New Roman" w:eastAsia="Times New Roman" w:hint="default"/>
        </w:rPr>
        <w:t>1</w:t>
      </w:r>
      <w:r>
        <w:rPr/>
        <w:t>、收购亚鸿世纪</w:t>
      </w:r>
    </w:p>
    <w:p>
      <w:pPr>
        <w:pStyle w:val="BodyText"/>
        <w:spacing w:line="300" w:lineRule="auto"/>
        <w:ind w:right="19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日，公司第二届董事会第十八次会议同意了公司以自有资金人民币</w:t>
      </w:r>
      <w:r>
        <w:rPr>
          <w:rFonts w:ascii="Times New Roman" w:hAnsi="Times New Roman" w:cs="Times New Roman" w:eastAsia="Times New Roman" w:hint="default"/>
        </w:rPr>
        <w:t>1500</w:t>
      </w:r>
      <w:r>
        <w:rPr/>
        <w:t>万元收购深圳市中科新业信息科技 发展有限公司持有的北京亚鸿世纪科技发展有限公司（以下简称</w:t>
      </w:r>
      <w:r>
        <w:rPr>
          <w:rFonts w:ascii="Times New Roman" w:hAnsi="Times New Roman" w:cs="Times New Roman" w:eastAsia="Times New Roman" w:hint="default"/>
        </w:rPr>
        <w:t>“</w:t>
      </w:r>
      <w:r>
        <w:rPr/>
        <w:t>亚鸿世纪</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日，亚鸿世纪完成了 </w:t>
      </w:r>
      <w:r>
        <w:rPr>
          <w:spacing w:val="-2"/>
        </w:rPr>
        <w:t>工商变更登记手续；</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日，前述股权收购相关款项已完成支付。公司在北京亚鸿董事会合计</w:t>
      </w:r>
      <w:r>
        <w:rPr>
          <w:rFonts w:ascii="Times New Roman" w:hAnsi="Times New Roman" w:cs="Times New Roman" w:eastAsia="Times New Roman" w:hint="default"/>
          <w:spacing w:val="-2"/>
        </w:rPr>
        <w:t>3</w:t>
      </w:r>
      <w:r>
        <w:rPr>
          <w:spacing w:val="-2"/>
        </w:rPr>
        <w:t>名董事会成员中，占</w:t>
      </w:r>
      <w:r>
        <w:rPr>
          <w:spacing w:val="-58"/>
        </w:rPr>
        <w:t> </w:t>
      </w:r>
      <w:r>
        <w:rPr>
          <w:spacing w:val="-58"/>
        </w:rPr>
      </w:r>
      <w:r>
        <w:rPr/>
        <w:t>据</w:t>
      </w:r>
      <w:r>
        <w:rPr>
          <w:rFonts w:ascii="Times New Roman" w:hAnsi="Times New Roman" w:cs="Times New Roman" w:eastAsia="Times New Roman" w:hint="default"/>
        </w:rPr>
        <w:t>2</w:t>
      </w:r>
      <w:r>
        <w:rPr/>
        <w:t>席，并委派了总经理和财务负责人。自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月，公司将北京亚鸿纳入合并报表范围。</w:t>
      </w:r>
    </w:p>
    <w:p>
      <w:pPr>
        <w:pStyle w:val="BodyText"/>
        <w:spacing w:line="240" w:lineRule="auto" w:before="13"/>
        <w:ind w:left="512" w:right="98"/>
        <w:jc w:val="left"/>
      </w:pPr>
      <w:r>
        <w:rPr>
          <w:rFonts w:ascii="Times New Roman" w:hAnsi="Times New Roman" w:cs="Times New Roman" w:eastAsia="Times New Roman" w:hint="default"/>
        </w:rPr>
        <w:t>2</w:t>
      </w:r>
      <w:r>
        <w:rPr/>
        <w:t>、投资中新赛克</w:t>
      </w:r>
    </w:p>
    <w:p>
      <w:pPr>
        <w:pStyle w:val="BodyText"/>
        <w:spacing w:line="300" w:lineRule="auto" w:before="62"/>
        <w:ind w:right="193"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日，公司第二届董事会第二十三次会议同意了公司以自有资金人民币</w:t>
      </w:r>
      <w:r>
        <w:rPr>
          <w:rFonts w:ascii="Times New Roman" w:hAnsi="Times New Roman" w:cs="Times New Roman" w:eastAsia="Times New Roman" w:hint="default"/>
          <w:spacing w:val="-2"/>
        </w:rPr>
        <w:t>4,898.135</w:t>
      </w:r>
      <w:r>
        <w:rPr>
          <w:rFonts w:ascii="Times New Roman" w:hAnsi="Times New Roman" w:cs="Times New Roman" w:eastAsia="Times New Roman" w:hint="default"/>
          <w:spacing w:val="2"/>
        </w:rPr>
        <w:t> </w:t>
      </w:r>
      <w:r>
        <w:rPr/>
        <w:t>万元向深圳市中新赛克科技 </w:t>
      </w:r>
      <w:r>
        <w:rPr>
          <w:spacing w:val="-2"/>
        </w:rPr>
        <w:t>股份有限公司（下称</w:t>
      </w:r>
      <w:r>
        <w:rPr>
          <w:rFonts w:ascii="Times New Roman" w:hAnsi="Times New Roman" w:cs="Times New Roman" w:eastAsia="Times New Roman" w:hint="default"/>
          <w:spacing w:val="-2"/>
        </w:rPr>
        <w:t>“</w:t>
      </w:r>
      <w:r>
        <w:rPr>
          <w:spacing w:val="-2"/>
        </w:rPr>
        <w:t>中新赛克</w:t>
      </w:r>
      <w:r>
        <w:rPr>
          <w:rFonts w:ascii="Times New Roman" w:hAnsi="Times New Roman" w:cs="Times New Roman" w:eastAsia="Times New Roman" w:hint="default"/>
          <w:spacing w:val="-2"/>
        </w:rPr>
        <w:t>”</w:t>
      </w:r>
      <w:r>
        <w:rPr>
          <w:spacing w:val="-2"/>
        </w:rPr>
        <w:t>）增资，增资完成后，公司将获得中新赛克</w:t>
      </w:r>
      <w:r>
        <w:rPr>
          <w:rFonts w:ascii="Times New Roman" w:hAnsi="Times New Roman" w:cs="Times New Roman" w:eastAsia="Times New Roman" w:hint="default"/>
          <w:spacing w:val="-2"/>
        </w:rPr>
        <w:t>4.10%</w:t>
      </w:r>
      <w:r>
        <w:rPr>
          <w:spacing w:val="-2"/>
        </w:rPr>
        <w:t>的股权；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日，公司与相关权益</w:t>
      </w:r>
      <w:r>
        <w:rPr>
          <w:spacing w:val="-58"/>
        </w:rPr>
        <w:t> </w:t>
      </w:r>
      <w:r>
        <w:rPr>
          <w:spacing w:val="-58"/>
        </w:rPr>
      </w:r>
      <w:r>
        <w:rPr/>
        <w:t>方签署了公司向中新赛克增资的协议；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日，公司向中新赛克支付了前述增资款。</w:t>
      </w:r>
    </w:p>
    <w:p>
      <w:pPr>
        <w:pStyle w:val="BodyText"/>
        <w:spacing w:line="240" w:lineRule="auto" w:before="13"/>
        <w:ind w:left="512" w:right="98"/>
        <w:jc w:val="left"/>
      </w:pPr>
      <w:r>
        <w:rPr>
          <w:rFonts w:ascii="Times New Roman" w:hAnsi="Times New Roman" w:cs="Times New Roman" w:eastAsia="Times New Roman" w:hint="default"/>
        </w:rPr>
        <w:t>3</w:t>
      </w:r>
      <w:r>
        <w:rPr/>
        <w:t>、入伙创稷投资</w:t>
      </w:r>
    </w:p>
    <w:p>
      <w:pPr>
        <w:pStyle w:val="BodyText"/>
        <w:spacing w:line="300" w:lineRule="auto" w:before="62"/>
        <w:ind w:right="190" w:firstLine="36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日，公司第二届董事会第二十三次会议同意了公司作为有限合伙人，以自有资金</w:t>
      </w:r>
      <w:r>
        <w:rPr>
          <w:rFonts w:ascii="Times New Roman" w:hAnsi="Times New Roman" w:cs="Times New Roman" w:eastAsia="Times New Roman" w:hint="default"/>
          <w:spacing w:val="-1"/>
        </w:rPr>
        <w:t>5,000</w:t>
      </w:r>
      <w:r>
        <w:rPr>
          <w:spacing w:val="-1"/>
        </w:rPr>
        <w:t>万元人民币参与投资</w:t>
      </w:r>
      <w:r>
        <w:rPr/>
        <w:t> </w:t>
      </w:r>
      <w:r>
        <w:rPr>
          <w:spacing w:val="-1"/>
        </w:rPr>
        <w:t>上海创稷投资中心（有限合伙）（下称</w:t>
      </w:r>
      <w:r>
        <w:rPr>
          <w:rFonts w:ascii="Times New Roman" w:hAnsi="Times New Roman" w:cs="Times New Roman" w:eastAsia="Times New Roman" w:hint="default"/>
          <w:spacing w:val="-1"/>
        </w:rPr>
        <w:t>“</w:t>
      </w:r>
      <w:r>
        <w:rPr>
          <w:spacing w:val="-1"/>
        </w:rPr>
        <w:t>创稷投资</w:t>
      </w:r>
      <w:r>
        <w:rPr>
          <w:rFonts w:ascii="Times New Roman" w:hAnsi="Times New Roman" w:cs="Times New Roman" w:eastAsia="Times New Roman" w:hint="default"/>
          <w:spacing w:val="-1"/>
        </w:rPr>
        <w:t>”</w:t>
      </w:r>
      <w:r>
        <w:rPr>
          <w:spacing w:val="-1"/>
        </w:rPr>
        <w:t>），出资在两年内分两期缴付，其中首期缴付认缴出资总额的</w:t>
      </w:r>
      <w:r>
        <w:rPr>
          <w:rFonts w:ascii="Times New Roman" w:hAnsi="Times New Roman" w:cs="Times New Roman" w:eastAsia="Times New Roman" w:hint="default"/>
          <w:spacing w:val="-1"/>
        </w:rPr>
        <w:t>50%</w:t>
      </w:r>
      <w:r>
        <w:rPr>
          <w:spacing w:val="-1"/>
        </w:rPr>
        <w:t>，二期</w:t>
      </w:r>
      <w:r>
        <w:rPr>
          <w:spacing w:val="-69"/>
        </w:rPr>
        <w:t> </w:t>
      </w:r>
      <w:r>
        <w:rPr>
          <w:spacing w:val="-69"/>
        </w:rPr>
      </w:r>
      <w:r>
        <w:rPr/>
        <w:t>缴付认缴出资总额的</w:t>
      </w:r>
      <w:r>
        <w:rPr>
          <w:rFonts w:ascii="Times New Roman" w:hAnsi="Times New Roman" w:cs="Times New Roman" w:eastAsia="Times New Roman" w:hint="default"/>
        </w:rPr>
        <w:t>50%</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日收到了缴付出资款的通知书；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日向创稷投资缴付了第一期出资款</w:t>
      </w:r>
      <w:r>
        <w:rPr>
          <w:rFonts w:ascii="Times New Roman" w:hAnsi="Times New Roman" w:cs="Times New Roman" w:eastAsia="Times New Roman" w:hint="default"/>
        </w:rPr>
        <w:t>2500 </w:t>
      </w:r>
      <w:r>
        <w:rPr/>
        <w:t>万，获得了创稷投资</w:t>
      </w:r>
      <w:r>
        <w:rPr>
          <w:rFonts w:ascii="Times New Roman" w:hAnsi="Times New Roman" w:cs="Times New Roman" w:eastAsia="Times New Roman" w:hint="default"/>
        </w:rPr>
        <w:t>2.38%</w:t>
      </w:r>
      <w:r>
        <w:rPr/>
        <w:t>的出资份额。</w:t>
      </w:r>
    </w:p>
    <w:p>
      <w:pPr>
        <w:pStyle w:val="BodyText"/>
        <w:spacing w:line="240" w:lineRule="auto" w:before="13"/>
        <w:ind w:left="512" w:right="98"/>
        <w:jc w:val="left"/>
      </w:pPr>
      <w:r>
        <w:rPr>
          <w:rFonts w:ascii="Times New Roman" w:hAnsi="Times New Roman" w:cs="Times New Roman" w:eastAsia="Times New Roman" w:hint="default"/>
        </w:rPr>
        <w:t>4</w:t>
      </w:r>
      <w:r>
        <w:rPr/>
        <w:t>、并购唐人数码</w:t>
      </w:r>
    </w:p>
    <w:p>
      <w:pPr>
        <w:pStyle w:val="BodyText"/>
        <w:spacing w:line="240" w:lineRule="auto" w:before="62"/>
        <w:ind w:left="512"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日，公司召开了第二届董事会第十二次会议，通过了公司重大资产重组方案。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日，公司召开了</w:t>
      </w:r>
    </w:p>
    <w:p>
      <w:pPr>
        <w:pStyle w:val="BodyText"/>
        <w:spacing w:line="300" w:lineRule="auto" w:before="62"/>
        <w:ind w:right="94"/>
        <w:jc w:val="left"/>
      </w:pPr>
      <w:r>
        <w:rPr>
          <w:rFonts w:ascii="Times New Roman" w:hAnsi="Times New Roman" w:cs="Times New Roman" w:eastAsia="Times New Roman" w:hint="default"/>
        </w:rPr>
        <w:t>2014</w:t>
      </w:r>
      <w:r>
        <w:rPr/>
        <w:t>年第二次临时股东大会，通过了上述方案，并授权董事会办理相关重大资产重组事宜。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日，中国证监会下 </w:t>
      </w:r>
      <w:r>
        <w:rPr>
          <w:spacing w:val="-2"/>
        </w:rPr>
        <w:t>发了证监许可</w:t>
      </w:r>
      <w:r>
        <w:rPr>
          <w:rFonts w:ascii="Times New Roman" w:hAnsi="Times New Roman" w:cs="Times New Roman" w:eastAsia="Times New Roman" w:hint="default"/>
          <w:spacing w:val="-2"/>
        </w:rPr>
        <w:t>[2015]1913</w:t>
      </w:r>
      <w:r>
        <w:rPr>
          <w:spacing w:val="-2"/>
        </w:rPr>
        <w:t>号《关于核准任子行网络技术股份有限公司向丁伟国等发行股份购买资产并募集配套资金的批复》，</w:t>
      </w:r>
      <w:r>
        <w:rPr>
          <w:spacing w:val="-88"/>
        </w:rPr>
        <w:t> </w:t>
      </w:r>
      <w:r>
        <w:rPr>
          <w:spacing w:val="-88"/>
        </w:rPr>
      </w:r>
      <w:r>
        <w:rPr>
          <w:spacing w:val="-2"/>
        </w:rPr>
        <w:t>核准公司向丁伟国等发行</w:t>
      </w:r>
      <w:r>
        <w:rPr>
          <w:rFonts w:ascii="Times New Roman" w:hAnsi="Times New Roman" w:cs="Times New Roman" w:eastAsia="Times New Roman" w:hint="default"/>
          <w:spacing w:val="-2"/>
        </w:rPr>
        <w:t>43,189,366</w:t>
      </w:r>
      <w:r>
        <w:rPr>
          <w:spacing w:val="-2"/>
        </w:rPr>
        <w:t>股股份购买相关资产，核准公司非公开发行不超过</w:t>
      </w:r>
      <w:r>
        <w:rPr>
          <w:rFonts w:ascii="Times New Roman" w:hAnsi="Times New Roman" w:cs="Times New Roman" w:eastAsia="Times New Roman" w:hint="default"/>
          <w:spacing w:val="-2"/>
        </w:rPr>
        <w:t>22,242,522</w:t>
      </w:r>
      <w:r>
        <w:rPr>
          <w:spacing w:val="-2"/>
        </w:rPr>
        <w:t>股新股募集本次发行股份购</w:t>
      </w:r>
      <w:r>
        <w:rPr>
          <w:spacing w:val="-48"/>
        </w:rPr>
        <w:t> </w:t>
      </w:r>
      <w:r>
        <w:rPr>
          <w:spacing w:val="-48"/>
        </w:rPr>
      </w:r>
      <w:r>
        <w:rPr/>
        <w:t>买资产的配套资金。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日，唐人数码完成了工商变更登记手续；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月，公司将唐人数码纳入合并报表范围；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日，公司完成了发行股份购买资产并募集配套资金的新增股份发行登记工作。</w:t>
      </w:r>
    </w:p>
    <w:p>
      <w:pPr>
        <w:pStyle w:val="BodyText"/>
        <w:spacing w:line="309" w:lineRule="auto" w:before="13"/>
        <w:ind w:left="153" w:right="98" w:firstLine="359"/>
        <w:jc w:val="left"/>
      </w:pPr>
      <w:r>
        <w:rPr>
          <w:spacing w:val="-4"/>
        </w:rPr>
        <w:t>唐人数码所属行业为：网络游戏业；主要产品是：网络游戏软件；主要经营活动为：网络游戏软件的开发、销售、维护。</w:t>
      </w:r>
      <w:r>
        <w:rPr/>
        <w:t> 报告期内，唐人数码新增运营游戏</w:t>
      </w:r>
      <w:r>
        <w:rPr>
          <w:rFonts w:ascii="Times New Roman" w:hAnsi="Times New Roman" w:cs="Times New Roman" w:eastAsia="Times New Roman" w:hint="default"/>
        </w:rPr>
        <w:t>4</w:t>
      </w:r>
      <w:r>
        <w:rPr/>
        <w:t>款，截止到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日，唐人数码运营游戏共计</w:t>
      </w:r>
      <w:r>
        <w:rPr>
          <w:rFonts w:ascii="Times New Roman" w:hAnsi="Times New Roman" w:cs="Times New Roman" w:eastAsia="Times New Roman" w:hint="default"/>
        </w:rPr>
        <w:t>13</w:t>
      </w:r>
      <w:r>
        <w:rPr/>
        <w:t>款。唐人数码所处游戏行业所面 临的主要风险有：市场竞争加剧风险、技术更新换代过快风险、核心技术人员流失风险、互联网系统安全性风险等风险。</w:t>
      </w:r>
    </w:p>
    <w:p>
      <w:pPr>
        <w:pStyle w:val="BodyText"/>
        <w:spacing w:line="240" w:lineRule="auto" w:before="24"/>
        <w:ind w:left="513" w:right="98"/>
        <w:jc w:val="left"/>
      </w:pPr>
      <w:r>
        <w:rPr>
          <w:rFonts w:ascii="Times New Roman" w:hAnsi="Times New Roman" w:cs="Times New Roman" w:eastAsia="Times New Roman" w:hint="default"/>
        </w:rPr>
        <w:t>5</w:t>
      </w:r>
      <w:r>
        <w:rPr/>
        <w:t>、其他投资</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4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日，第二届董事会第二十六次会议同意公司使用自有资金人民币</w:t>
      </w:r>
      <w:r>
        <w:rPr>
          <w:rFonts w:ascii="Times New Roman" w:hAnsi="Times New Roman" w:cs="Times New Roman" w:eastAsia="Times New Roman" w:hint="default"/>
        </w:rPr>
        <w:t>500</w:t>
      </w:r>
      <w:r>
        <w:rPr/>
        <w:t>万元向深圳云安宝科技有限公司（下称 </w:t>
      </w:r>
      <w:r>
        <w:rPr>
          <w:rFonts w:ascii="Times New Roman" w:hAnsi="Times New Roman" w:cs="Times New Roman" w:eastAsia="Times New Roman" w:hint="default"/>
        </w:rPr>
        <w:t>“</w:t>
      </w:r>
      <w:r>
        <w:rPr/>
        <w:t>云安宝</w:t>
      </w:r>
      <w:r>
        <w:rPr>
          <w:rFonts w:ascii="Times New Roman" w:hAnsi="Times New Roman" w:cs="Times New Roman" w:eastAsia="Times New Roman" w:hint="default"/>
        </w:rPr>
        <w:t>”</w:t>
      </w:r>
      <w:r>
        <w:rPr/>
        <w:t>）增资，其中</w:t>
      </w:r>
      <w:r>
        <w:rPr>
          <w:rFonts w:ascii="Times New Roman" w:hAnsi="Times New Roman" w:cs="Times New Roman" w:eastAsia="Times New Roman" w:hint="default"/>
        </w:rPr>
        <w:t>111.11</w:t>
      </w:r>
      <w:r>
        <w:rPr/>
        <w:t>万元作为新增注册资本，剩余</w:t>
      </w:r>
      <w:r>
        <w:rPr>
          <w:rFonts w:ascii="Times New Roman" w:hAnsi="Times New Roman" w:cs="Times New Roman" w:eastAsia="Times New Roman" w:hint="default"/>
        </w:rPr>
        <w:t>388.89</w:t>
      </w:r>
      <w:r>
        <w:rPr/>
        <w:t>万元进入资本公积，本次增资完成后，公司将持有其</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的股权。同意公司使用自有资金人民币</w:t>
      </w:r>
      <w:r>
        <w:rPr>
          <w:rFonts w:ascii="Times New Roman" w:hAnsi="Times New Roman" w:cs="Times New Roman" w:eastAsia="Times New Roman" w:hint="default"/>
          <w:spacing w:val="-1"/>
        </w:rPr>
        <w:t>500</w:t>
      </w:r>
      <w:r>
        <w:rPr>
          <w:spacing w:val="-1"/>
        </w:rPr>
        <w:t>万元向北京三思网安科技有限公司（下称</w:t>
      </w:r>
      <w:r>
        <w:rPr>
          <w:rFonts w:ascii="Times New Roman" w:hAnsi="Times New Roman" w:cs="Times New Roman" w:eastAsia="Times New Roman" w:hint="default"/>
          <w:spacing w:val="-1"/>
        </w:rPr>
        <w:t>“</w:t>
      </w:r>
      <w:r>
        <w:rPr>
          <w:spacing w:val="-1"/>
        </w:rPr>
        <w:t>三思网安</w:t>
      </w:r>
      <w:r>
        <w:rPr>
          <w:rFonts w:ascii="Times New Roman" w:hAnsi="Times New Roman" w:cs="Times New Roman" w:eastAsia="Times New Roman" w:hint="default"/>
          <w:spacing w:val="-1"/>
        </w:rPr>
        <w:t>”</w:t>
      </w:r>
      <w:r>
        <w:rPr>
          <w:spacing w:val="-1"/>
        </w:rPr>
        <w:t>）增资，其中</w:t>
      </w:r>
      <w:r>
        <w:rPr>
          <w:rFonts w:ascii="Times New Roman" w:hAnsi="Times New Roman" w:cs="Times New Roman" w:eastAsia="Times New Roman" w:hint="default"/>
          <w:spacing w:val="-1"/>
        </w:rPr>
        <w:t>42.86</w:t>
      </w:r>
      <w:r>
        <w:rPr>
          <w:spacing w:val="-1"/>
        </w:rPr>
        <w:t>万元作为</w:t>
      </w:r>
      <w:r>
        <w:rPr>
          <w:spacing w:val="-50"/>
        </w:rPr>
        <w:t> </w:t>
      </w:r>
      <w:r>
        <w:rPr>
          <w:spacing w:val="-50"/>
        </w:rPr>
      </w:r>
      <w:r>
        <w:rPr/>
        <w:t>新增注册资本，剩余</w:t>
      </w:r>
      <w:r>
        <w:rPr>
          <w:rFonts w:ascii="Times New Roman" w:hAnsi="Times New Roman" w:cs="Times New Roman" w:eastAsia="Times New Roman" w:hint="default"/>
        </w:rPr>
        <w:t>457.14</w:t>
      </w:r>
      <w:r>
        <w:rPr/>
        <w:t>万元进入资本公积，本次增资完成后，公司将持有其</w:t>
      </w:r>
      <w:r>
        <w:rPr>
          <w:rFonts w:ascii="Times New Roman" w:hAnsi="Times New Roman" w:cs="Times New Roman" w:eastAsia="Times New Roman" w:hint="default"/>
        </w:rPr>
        <w:t>30%</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日，公司与云安 宝及相关股东前述了增资协议并支付了相关增资款，获得了云安宝</w:t>
      </w:r>
      <w:r>
        <w:rPr>
          <w:rFonts w:ascii="Times New Roman" w:hAnsi="Times New Roman" w:cs="Times New Roman" w:eastAsia="Times New Roman" w:hint="default"/>
        </w:rPr>
        <w:t>10%</w:t>
      </w:r>
      <w:r>
        <w:rPr/>
        <w:t>的股权。</w:t>
      </w:r>
    </w:p>
    <w:p>
      <w:pPr>
        <w:pStyle w:val="BodyText"/>
        <w:spacing w:line="316" w:lineRule="auto" w:before="13"/>
        <w:ind w:left="512" w:right="0"/>
        <w:jc w:val="left"/>
      </w:pPr>
      <w:r>
        <w:rPr/>
        <w:t>（三）科技创新方面 </w:t>
      </w:r>
      <w:r>
        <w:rPr>
          <w:spacing w:val="-2"/>
        </w:rPr>
        <w:t>技术创新是公司未来发展的核心战略之一。公司自成立以来，重视人才的培养和引进，一直致力于成为技术领先的科技</w:t>
      </w:r>
    </w:p>
    <w:p>
      <w:pPr>
        <w:pStyle w:val="BodyText"/>
        <w:spacing w:line="312" w:lineRule="auto" w:before="18"/>
        <w:ind w:right="151"/>
        <w:jc w:val="both"/>
      </w:pPr>
      <w:r>
        <w:rPr>
          <w:spacing w:val="-1"/>
        </w:rPr>
        <w:t>公司，坚持自主创新，不断增强研发实力。截止到本报告期末，公司研发人员占公司员工总人数</w:t>
      </w:r>
      <w:r>
        <w:rPr>
          <w:rFonts w:ascii="Times New Roman" w:hAnsi="Times New Roman" w:cs="Times New Roman" w:eastAsia="Times New Roman" w:hint="default"/>
          <w:spacing w:val="-1"/>
        </w:rPr>
        <w:t>55%</w:t>
      </w:r>
      <w:r>
        <w:rPr>
          <w:spacing w:val="-1"/>
        </w:rPr>
        <w:t>以上，近</w:t>
      </w:r>
      <w:r>
        <w:rPr>
          <w:rFonts w:ascii="Times New Roman" w:hAnsi="Times New Roman" w:cs="Times New Roman" w:eastAsia="Times New Roman" w:hint="default"/>
          <w:spacing w:val="-1"/>
        </w:rPr>
        <w:t>60%</w:t>
      </w:r>
      <w:r>
        <w:rPr>
          <w:spacing w:val="-1"/>
        </w:rPr>
        <w:t>具有本科</w:t>
      </w:r>
      <w:r>
        <w:rPr>
          <w:spacing w:val="-62"/>
        </w:rPr>
        <w:t> </w:t>
      </w:r>
      <w:r>
        <w:rPr>
          <w:spacing w:val="-62"/>
        </w:rPr>
      </w:r>
      <w:r>
        <w:rPr>
          <w:spacing w:val="-2"/>
        </w:rPr>
        <w:t>及以上学历。公司拥有一支由国内外网络安全领域专家，中青年核心骨干，海归、硕士，博士等组成的骨干研发队伍，进一</w:t>
      </w:r>
      <w:r>
        <w:rPr>
          <w:spacing w:val="-70"/>
        </w:rPr>
        <w:t> </w:t>
      </w:r>
      <w:r>
        <w:rPr>
          <w:spacing w:val="-70"/>
        </w:rPr>
      </w:r>
      <w:r>
        <w:rPr>
          <w:spacing w:val="-2"/>
        </w:rPr>
        <w:t>步促进公司发挥高端人才优势，引领科技创新、将产学研工作有机结合，有助于培养创新人才，增强企业自主创新能力和市</w:t>
      </w:r>
      <w:r>
        <w:rPr>
          <w:spacing w:val="-64"/>
        </w:rPr>
        <w:t> </w:t>
      </w:r>
      <w:r>
        <w:rPr>
          <w:spacing w:val="-64"/>
        </w:rPr>
      </w:r>
      <w:r>
        <w:rPr/>
        <w:t>场竞争力。</w:t>
      </w:r>
    </w:p>
    <w:p>
      <w:pPr>
        <w:pStyle w:val="BodyText"/>
        <w:spacing w:line="300" w:lineRule="auto" w:before="22"/>
        <w:ind w:right="153" w:firstLine="360"/>
        <w:jc w:val="both"/>
      </w:pPr>
      <w:r>
        <w:rPr/>
        <w:t>任子行坚持自主创新，不断增强研发实力，</w:t>
      </w:r>
      <w:r>
        <w:rPr>
          <w:rFonts w:ascii="Times New Roman" w:hAnsi="Times New Roman" w:cs="Times New Roman" w:eastAsia="Times New Roman" w:hint="default"/>
        </w:rPr>
        <w:t>2015</w:t>
      </w:r>
      <w:r>
        <w:rPr/>
        <w:t>年，公司研发投入为</w:t>
      </w:r>
      <w:r>
        <w:rPr>
          <w:rFonts w:ascii="Times New Roman" w:hAnsi="Times New Roman" w:cs="Times New Roman" w:eastAsia="Times New Roman" w:hint="default"/>
        </w:rPr>
        <w:t>5333.35</w:t>
      </w:r>
      <w:r>
        <w:rPr/>
        <w:t>万元，占营业收入的比重为</w:t>
      </w:r>
      <w:r>
        <w:rPr>
          <w:rFonts w:ascii="Times New Roman" w:hAnsi="Times New Roman" w:cs="Times New Roman" w:eastAsia="Times New Roman" w:hint="default"/>
        </w:rPr>
        <w:t>14.82%</w:t>
      </w:r>
      <w:r>
        <w:rPr/>
        <w:t>，主要 用于专业领域的自主知识产权软硬件产品的研发。报告期内，公司获得专利授权</w:t>
      </w:r>
      <w:r>
        <w:rPr>
          <w:rFonts w:ascii="Times New Roman" w:hAnsi="Times New Roman" w:cs="Times New Roman" w:eastAsia="Times New Roman" w:hint="default"/>
        </w:rPr>
        <w:t>2</w:t>
      </w:r>
      <w:r>
        <w:rPr/>
        <w:t>件，均为外观设计专利，获得著作权登记 </w:t>
      </w:r>
      <w:r>
        <w:rPr>
          <w:spacing w:val="-2"/>
        </w:rPr>
        <w:t>证书</w:t>
      </w:r>
      <w:r>
        <w:rPr>
          <w:rFonts w:ascii="Times New Roman" w:hAnsi="Times New Roman" w:cs="Times New Roman" w:eastAsia="Times New Roman" w:hint="default"/>
          <w:spacing w:val="-2"/>
        </w:rPr>
        <w:t>34</w:t>
      </w:r>
      <w:r>
        <w:rPr>
          <w:spacing w:val="-2"/>
        </w:rPr>
        <w:t>件。截止目前，公司拥有</w:t>
      </w:r>
      <w:r>
        <w:rPr>
          <w:rFonts w:ascii="Times New Roman" w:hAnsi="Times New Roman" w:cs="Times New Roman" w:eastAsia="Times New Roman" w:hint="default"/>
          <w:spacing w:val="-2"/>
        </w:rPr>
        <w:t>40</w:t>
      </w:r>
      <w:r>
        <w:rPr>
          <w:spacing w:val="-2"/>
        </w:rPr>
        <w:t>余项国家级核心技术，</w:t>
      </w:r>
      <w:r>
        <w:rPr>
          <w:rFonts w:ascii="Times New Roman" w:hAnsi="Times New Roman" w:cs="Times New Roman" w:eastAsia="Times New Roman" w:hint="default"/>
          <w:spacing w:val="-2"/>
        </w:rPr>
        <w:t>30</w:t>
      </w:r>
      <w:r>
        <w:rPr>
          <w:spacing w:val="-2"/>
        </w:rPr>
        <w:t>多项国家级重大课题研发，</w:t>
      </w:r>
      <w:r>
        <w:rPr>
          <w:rFonts w:ascii="Times New Roman" w:hAnsi="Times New Roman" w:cs="Times New Roman" w:eastAsia="Times New Roman" w:hint="default"/>
          <w:spacing w:val="-2"/>
        </w:rPr>
        <w:t>130</w:t>
      </w:r>
      <w:r>
        <w:rPr>
          <w:spacing w:val="-2"/>
        </w:rPr>
        <w:t>多项行业准入资质，</w:t>
      </w:r>
      <w:r>
        <w:rPr>
          <w:rFonts w:ascii="Times New Roman" w:hAnsi="Times New Roman" w:cs="Times New Roman" w:eastAsia="Times New Roman" w:hint="default"/>
          <w:spacing w:val="-2"/>
        </w:rPr>
        <w:t>200</w:t>
      </w:r>
      <w:r>
        <w:rPr>
          <w:spacing w:val="-2"/>
        </w:rPr>
        <w:t>多项国家</w:t>
      </w:r>
      <w:r>
        <w:rPr>
          <w:spacing w:val="-59"/>
        </w:rPr>
        <w:t> </w:t>
      </w:r>
      <w:r>
        <w:rPr>
          <w:spacing w:val="-59"/>
        </w:rPr>
      </w:r>
      <w:r>
        <w:rPr>
          <w:spacing w:val="-2"/>
        </w:rPr>
        <w:t>级和省市级重大荣誉。已拥有计算机软件著作权登记证书</w:t>
      </w:r>
      <w:r>
        <w:rPr>
          <w:rFonts w:ascii="Times New Roman" w:hAnsi="Times New Roman" w:cs="Times New Roman" w:eastAsia="Times New Roman" w:hint="default"/>
          <w:spacing w:val="-2"/>
        </w:rPr>
        <w:t>191</w:t>
      </w:r>
      <w:r>
        <w:rPr>
          <w:spacing w:val="-2"/>
        </w:rPr>
        <w:t>件，申请专利</w:t>
      </w:r>
      <w:r>
        <w:rPr>
          <w:rFonts w:ascii="Times New Roman" w:hAnsi="Times New Roman" w:cs="Times New Roman" w:eastAsia="Times New Roman" w:hint="default"/>
          <w:spacing w:val="-2"/>
        </w:rPr>
        <w:t>70</w:t>
      </w:r>
      <w:r>
        <w:rPr>
          <w:spacing w:val="-2"/>
        </w:rPr>
        <w:t>件，获得已授权专利</w:t>
      </w:r>
      <w:r>
        <w:rPr>
          <w:rFonts w:ascii="Times New Roman" w:hAnsi="Times New Roman" w:cs="Times New Roman" w:eastAsia="Times New Roman" w:hint="default"/>
          <w:spacing w:val="-2"/>
        </w:rPr>
        <w:t>12</w:t>
      </w:r>
      <w:r>
        <w:rPr>
          <w:spacing w:val="-2"/>
        </w:rPr>
        <w:t>件，其中发明</w:t>
      </w:r>
      <w:r>
        <w:rPr>
          <w:rFonts w:ascii="Times New Roman" w:hAnsi="Times New Roman" w:cs="Times New Roman" w:eastAsia="Times New Roman" w:hint="default"/>
          <w:spacing w:val="-2"/>
        </w:rPr>
        <w:t>5</w:t>
      </w:r>
      <w:r>
        <w:rPr>
          <w:spacing w:val="-2"/>
        </w:rPr>
        <w:t>件，外观</w:t>
      </w:r>
      <w:r>
        <w:rPr>
          <w:spacing w:val="-61"/>
        </w:rPr>
        <w:t> </w:t>
      </w:r>
      <w:r>
        <w:rPr>
          <w:spacing w:val="-61"/>
        </w:rPr>
      </w:r>
      <w:r>
        <w:rPr/>
        <w:t>设计</w:t>
      </w:r>
      <w:r>
        <w:rPr>
          <w:rFonts w:ascii="Times New Roman" w:hAnsi="Times New Roman" w:cs="Times New Roman" w:eastAsia="Times New Roman" w:hint="default"/>
        </w:rPr>
        <w:t>7</w:t>
      </w:r>
      <w:r>
        <w:rPr/>
        <w:t>件。</w:t>
      </w:r>
    </w:p>
    <w:p>
      <w:pPr>
        <w:pStyle w:val="BodyText"/>
        <w:spacing w:line="240" w:lineRule="auto" w:before="13"/>
        <w:ind w:left="512" w:right="0"/>
        <w:jc w:val="left"/>
      </w:pPr>
      <w:r>
        <w:rPr/>
        <w:t>（四）股权激励方面</w:t>
      </w:r>
    </w:p>
    <w:p>
      <w:pPr>
        <w:pStyle w:val="BodyText"/>
        <w:spacing w:line="240" w:lineRule="auto" w:before="117"/>
        <w:ind w:left="512"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日，公司召开了第二届董事会第二十二次会议，通过了向</w:t>
      </w:r>
      <w:r>
        <w:rPr>
          <w:rFonts w:ascii="Times New Roman" w:hAnsi="Times New Roman" w:cs="Times New Roman" w:eastAsia="Times New Roman" w:hint="default"/>
        </w:rPr>
        <w:t>87</w:t>
      </w:r>
      <w:r>
        <w:rPr/>
        <w:t>名激励对象授予</w:t>
      </w:r>
      <w:r>
        <w:rPr>
          <w:rFonts w:ascii="Times New Roman" w:hAnsi="Times New Roman" w:cs="Times New Roman" w:eastAsia="Times New Roman" w:hint="default"/>
        </w:rPr>
        <w:t>896,120</w:t>
      </w:r>
      <w:r>
        <w:rPr/>
        <w:t>股限制性股票的议案；</w:t>
      </w:r>
    </w:p>
    <w:p>
      <w:pPr>
        <w:pStyle w:val="BodyText"/>
        <w:spacing w:line="300" w:lineRule="auto" w:before="62"/>
        <w:ind w:left="153" w:right="159" w:hanging="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日，公司召开了第二届董事会第二十四次会议，调整了预留限制性股票授予方案，向</w:t>
      </w:r>
      <w:r>
        <w:rPr>
          <w:rFonts w:ascii="Times New Roman" w:hAnsi="Times New Roman" w:cs="Times New Roman" w:eastAsia="Times New Roman" w:hint="default"/>
        </w:rPr>
        <w:t>82</w:t>
      </w:r>
      <w:r>
        <w:rPr/>
        <w:t>名激励对象授予</w:t>
      </w:r>
      <w:r>
        <w:rPr>
          <w:rFonts w:ascii="Times New Roman" w:hAnsi="Times New Roman" w:cs="Times New Roman" w:eastAsia="Times New Roman" w:hint="default"/>
        </w:rPr>
        <w:t>703,785 </w:t>
      </w:r>
      <w:r>
        <w:rPr/>
        <w:t>股限制性股票。限制性股票授予日为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日，上市日为</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日，公司办理了预留限制性股票登记 手续，向</w:t>
      </w:r>
      <w:r>
        <w:rPr>
          <w:rFonts w:ascii="Times New Roman" w:hAnsi="Times New Roman" w:cs="Times New Roman" w:eastAsia="Times New Roman" w:hint="default"/>
        </w:rPr>
        <w:t>82</w:t>
      </w:r>
      <w:r>
        <w:rPr/>
        <w:t>名激励对象授予了</w:t>
      </w:r>
      <w:r>
        <w:rPr>
          <w:rFonts w:ascii="Times New Roman" w:hAnsi="Times New Roman" w:cs="Times New Roman" w:eastAsia="Times New Roman" w:hint="default"/>
        </w:rPr>
        <w:t>703,785</w:t>
      </w:r>
      <w:r>
        <w:rPr/>
        <w:t>股限制性股票。员工股权激励计划的实施有助于完善公司的治理结构，健全有效的激 励机制，充分调动员工工作积极性，提升整体竞争力，实现企业长期稳定的发展。</w:t>
      </w:r>
    </w:p>
    <w:p>
      <w:pPr>
        <w:pStyle w:val="BodyText"/>
        <w:spacing w:line="300" w:lineRule="auto" w:before="70"/>
        <w:ind w:left="153" w:right="15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日，《股权激励计划》所规定的首次授予的限制性股票第一个锁定期已届满，解锁条件成就，首次授予限 制性股票的</w:t>
      </w:r>
      <w:r>
        <w:rPr>
          <w:rFonts w:ascii="Times New Roman" w:hAnsi="Times New Roman" w:cs="Times New Roman" w:eastAsia="Times New Roman" w:hint="default"/>
        </w:rPr>
        <w:t>64</w:t>
      </w:r>
      <w:r>
        <w:rPr/>
        <w:t>名激励对象在锁定期内考核均为合格及以上，符合解锁条件。</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日，公司召开了第二届董事会第二 十七次会议，同意将向</w:t>
      </w:r>
      <w:r>
        <w:rPr>
          <w:rFonts w:ascii="Times New Roman" w:hAnsi="Times New Roman" w:cs="Times New Roman" w:eastAsia="Times New Roman" w:hint="default"/>
        </w:rPr>
        <w:t>64</w:t>
      </w:r>
      <w:r>
        <w:rPr/>
        <w:t>名激励对象首次授予的</w:t>
      </w:r>
      <w:r>
        <w:rPr>
          <w:rFonts w:ascii="Times New Roman" w:hAnsi="Times New Roman" w:cs="Times New Roman" w:eastAsia="Times New Roman" w:hint="default"/>
        </w:rPr>
        <w:t>1,974,929</w:t>
      </w:r>
      <w:r>
        <w:rPr/>
        <w:t>股限制性股票解锁并上市流通；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日，公司办理了前述 限制性股票的流通手续。限制性股票的解锁上市流通使得激励对象切实的感受到了公司发展的同时给员工带来的收益。</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6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0"/>
        <w:gridCol w:w="1594"/>
        <w:gridCol w:w="1588"/>
        <w:gridCol w:w="1601"/>
        <w:gridCol w:w="1582"/>
        <w:gridCol w:w="1600"/>
      </w:tblGrid>
      <w:tr>
        <w:trPr>
          <w:trHeight w:val="206" w:hRule="exact"/>
        </w:trPr>
        <w:tc>
          <w:tcPr>
            <w:tcW w:w="15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590" w:type="dxa"/>
            <w:vMerge w:val="restart"/>
            <w:tcBorders>
              <w:top w:val="nil" w:sz="6" w:space="0" w:color="auto"/>
              <w:left w:val="single" w:sz="4" w:space="0" w:color="000000"/>
              <w:right w:val="single" w:sz="4" w:space="0" w:color="000000"/>
            </w:tcBorders>
            <w:shd w:val="clear" w:color="auto" w:fill="D4D4D4"/>
          </w:tcPr>
          <w:p>
            <w:pPr/>
          </w:p>
        </w:tc>
        <w:tc>
          <w:tcPr>
            <w:tcW w:w="3182" w:type="dxa"/>
            <w:gridSpan w:val="2"/>
            <w:vMerge/>
            <w:tcBorders>
              <w:left w:val="single" w:sz="4" w:space="0" w:color="000000"/>
              <w:bottom w:val="single" w:sz="4" w:space="0" w:color="000000"/>
              <w:right w:val="single" w:sz="4" w:space="0" w:color="000000"/>
            </w:tcBorders>
            <w:shd w:val="clear" w:color="auto" w:fill="D4D4D4"/>
          </w:tcPr>
          <w:p>
            <w:pPr/>
          </w:p>
        </w:tc>
        <w:tc>
          <w:tcPr>
            <w:tcW w:w="3183" w:type="dxa"/>
            <w:gridSpan w:val="2"/>
            <w:vMerge/>
            <w:tcBorders>
              <w:left w:val="single" w:sz="4" w:space="0" w:color="000000"/>
              <w:bottom w:val="single" w:sz="4" w:space="0" w:color="000000"/>
              <w:right w:val="single" w:sz="4" w:space="0" w:color="000000"/>
            </w:tcBorders>
            <w:shd w:val="clear" w:color="auto" w:fill="D4D4D4"/>
          </w:tcPr>
          <w:p>
            <w:pPr/>
          </w:p>
        </w:tc>
        <w:tc>
          <w:tcPr>
            <w:tcW w:w="16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590"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601" w:type="dxa"/>
            <w:vMerge/>
            <w:tcBorders>
              <w:left w:val="single" w:sz="4" w:space="0" w:color="000000"/>
              <w:bottom w:val="single" w:sz="4" w:space="0" w:color="000000"/>
              <w:right w:val="single" w:sz="4" w:space="0" w:color="000000"/>
            </w:tcBorders>
            <w:shd w:val="clear" w:color="auto" w:fill="D4D4D4"/>
          </w:tcPr>
          <w:p>
            <w:pPr/>
          </w:p>
        </w:tc>
        <w:tc>
          <w:tcPr>
            <w:tcW w:w="1582" w:type="dxa"/>
            <w:vMerge/>
            <w:tcBorders>
              <w:left w:val="single" w:sz="4" w:space="0" w:color="000000"/>
              <w:bottom w:val="single" w:sz="4" w:space="0" w:color="000000"/>
              <w:right w:val="single" w:sz="4" w:space="0" w:color="000000"/>
            </w:tcBorders>
            <w:shd w:val="clear" w:color="auto" w:fill="D4D4D4"/>
          </w:tcPr>
          <w:p>
            <w:pPr/>
          </w:p>
        </w:tc>
        <w:tc>
          <w:tcPr>
            <w:tcW w:w="160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8" w:hRule="exact"/>
        </w:trPr>
        <w:tc>
          <w:tcPr>
            <w:tcW w:w="1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359,912,426.63</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1"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296,780,115.60</w:t>
            </w:r>
          </w:p>
        </w:tc>
        <w:tc>
          <w:tcPr>
            <w:tcW w:w="1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21.27%</w:t>
            </w:r>
          </w:p>
        </w:tc>
      </w:tr>
      <w:tr>
        <w:trPr>
          <w:trHeight w:val="396"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专用安全审计产品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52,102,381.09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14.48%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51,274,194.15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17.28%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通用安全审计产品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118,872,936.95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105,359,709.46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网络监管产品及安 全集成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142,067,822.01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138,311,152.45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1,197,533.51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1,145,656.42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网络游戏运营</w:t>
            </w:r>
            <w:r>
              <w:rPr>
                <w:rFonts w:ascii="Times New Roman" w:hAnsi="Times New Roman" w:cs="Times New Roman" w:eastAsia="Times New Roman" w:hint="default"/>
                <w:sz w:val="18"/>
                <w:szCs w:val="18"/>
              </w:rPr>
              <w:t>-</w:t>
            </w:r>
            <w:r>
              <w:rPr>
                <w:rFonts w:ascii="宋体" w:hAnsi="宋体" w:cs="宋体" w:eastAsia="宋体" w:hint="default"/>
                <w:sz w:val="18"/>
                <w:szCs w:val="18"/>
              </w:rPr>
              <w:t>麻将 类游戏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19,921,749.01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网络游戏运营</w:t>
            </w:r>
            <w:r>
              <w:rPr>
                <w:rFonts w:ascii="Times New Roman" w:hAnsi="Times New Roman" w:cs="Times New Roman" w:eastAsia="Times New Roman" w:hint="default"/>
                <w:sz w:val="18"/>
                <w:szCs w:val="18"/>
              </w:rPr>
              <w:t>-</w:t>
            </w:r>
            <w:r>
              <w:rPr>
                <w:rFonts w:ascii="宋体" w:hAnsi="宋体" w:cs="宋体" w:eastAsia="宋体" w:hint="default"/>
                <w:sz w:val="18"/>
                <w:szCs w:val="18"/>
              </w:rPr>
              <w:t>牌类 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18,825,668.80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其他游戏收入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5,190,601.44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559,709.95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1,733,733.82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136,078,424.77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91,314,151.40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128,674,960.53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169,172,831.03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-21.25%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服务类收入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49,487,288.26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35,603,730.05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43,938,019.25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559,709.95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1,733,733.82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85,972,899.45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82,907,634.88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10,104,382.76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29,390,534.62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87,766,636.53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49,374,656.10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64,458,420.40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22,463,350.00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44,455,617.55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52,761,990.21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34,472,346.03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29,176,443.79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13,275,887.21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17,572,117.20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17,672,502.88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13,003,695.63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1,733,733.82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8"/>
        <w:gridCol w:w="1360"/>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0" w:right="37"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专用安全审计产 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52,102,381.09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15,398,792.86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-34.97%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4" w:right="0"/>
              <w:jc w:val="left"/>
              <w:rPr>
                <w:rFonts w:ascii="Times New Roman" w:hAnsi="Times New Roman" w:cs="Times New Roman" w:eastAsia="Times New Roman" w:hint="default"/>
                <w:sz w:val="18"/>
                <w:szCs w:val="18"/>
              </w:rPr>
            </w:pPr>
            <w:r>
              <w:rPr>
                <w:rFonts w:ascii="Times New Roman"/>
                <w:sz w:val="18"/>
              </w:rPr>
              <w:t>16.62%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通用安全审计产 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118,872,936.95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18,057,438.96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网络监管产品及 安全集成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142,067,822.01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86,509,874.78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39.11%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-6.96%</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136,078,424.77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10,021,801.61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128,674,960.53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98,887,975.37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服务类收入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49,487,288.26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14,571,207.91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11.06%</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43,938,019.25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603,917.93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7,750.14%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40.87%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85,972,899.45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8,096,445.27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87,766,636.53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47,835,106.25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124.59%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-11.37%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64,458,420.40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12,700,893.04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44,455,617.55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21,372,083.17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11.12%</w:t>
            </w:r>
            <w:r>
              <w:rPr>
                <w:rFonts w:ascii="Times New Roman"/>
                <w:sz w:val="18"/>
              </w:rPr>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产品分类</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3,235,309.65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5,102,841.12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10,853,155.14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8,439,313.20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482,743.12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877,264.32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hanging="1"/>
        <w:jc w:val="left"/>
      </w:pPr>
      <w:bookmarkStart w:name="（6）报告期内合并范围是否发生变动" w:id="33"/>
      <w:bookmarkEnd w:id="33"/>
      <w:r>
        <w:rPr/>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详见第十节财务报告第八项合并范围的变更。</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145,072,232.41</w:t>
            </w:r>
            <w:r>
              <w:rPr>
                <w:rFonts w:ascii="Times New Roman"/>
                <w:sz w:val="18"/>
              </w:rPr>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40.31%</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85,972,899.45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22,485,956.96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16,658,717.95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9,997,764.00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9,956,894.05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145,072,232.41</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40.31%</w:t>
            </w:r>
          </w:p>
        </w:tc>
      </w:tr>
    </w:tbl>
    <w:p>
      <w:pPr>
        <w:pStyle w:val="BodyText"/>
        <w:spacing w:line="240" w:lineRule="auto" w:before="4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78,671,461.77</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46.31%</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30,009,648.46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17.66%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15,053,334.57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18,126,585.09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10.67%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8,699,977.21</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6,781,916.44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78,671,461.77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8"/>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8"/>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43,320,060.59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33,181,237.40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主要系报告期因业务拓展需要，销售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人员增加导致人力成本及相关费用 增加</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137,661,472.71</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99,851,238.51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主要系合并范围增加导致管理费用 增加所致</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-8,487,502.05</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-3,512,708.44</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主要系外币结汇形成汇兑收益及利 息收入增加所致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报告期内，研发投入为</w:t>
      </w:r>
      <w:r>
        <w:rPr>
          <w:rFonts w:ascii="Times New Roman" w:hAnsi="Times New Roman" w:cs="Times New Roman" w:eastAsia="Times New Roman" w:hint="default"/>
          <w:spacing w:val="-2"/>
        </w:rPr>
        <w:t>53,333,511.83</w:t>
      </w:r>
      <w:r>
        <w:rPr>
          <w:spacing w:val="-2"/>
        </w:rPr>
        <w:t>元，占公司营业收入的</w:t>
      </w:r>
      <w:r>
        <w:rPr>
          <w:rFonts w:ascii="Times New Roman" w:hAnsi="Times New Roman" w:cs="Times New Roman" w:eastAsia="Times New Roman" w:hint="default"/>
          <w:spacing w:val="-2"/>
        </w:rPr>
        <w:t>14.82%</w:t>
      </w:r>
      <w:r>
        <w:rPr>
          <w:spacing w:val="-2"/>
        </w:rPr>
        <w:t>，较去年增长</w:t>
      </w:r>
      <w:r>
        <w:rPr>
          <w:rFonts w:ascii="Times New Roman" w:hAnsi="Times New Roman" w:cs="Times New Roman" w:eastAsia="Times New Roman" w:hint="default"/>
          <w:spacing w:val="-2"/>
        </w:rPr>
        <w:t>78.21%</w:t>
      </w:r>
      <w:r>
        <w:rPr>
          <w:spacing w:val="-2"/>
        </w:rPr>
        <w:t>。近三年来的研发投入情况请参见下</w:t>
      </w:r>
      <w:r>
        <w:rPr>
          <w:spacing w:val="-32"/>
        </w:rPr>
        <w:t> </w:t>
      </w:r>
      <w:r>
        <w:rPr>
          <w:spacing w:val="-32"/>
        </w:rPr>
      </w:r>
      <w:r>
        <w:rPr/>
        <w:t>表。</w:t>
      </w:r>
    </w:p>
    <w:p>
      <w:pPr>
        <w:pStyle w:val="BodyText"/>
        <w:spacing w:line="240" w:lineRule="auto" w:before="58"/>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55.11%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43.36%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53,333,511.83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29,927,935.31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37,311,497.86</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251,393.40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517,632.72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38" w:lineRule="auto" w:before="117"/>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435,361,361.98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304,693,941.70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360,193,368.90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273,391,214.19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75,167,993.08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31,302,727.51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140.13%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20,733,723.33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14,604.77%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212,938,589.21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122,208,616.09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74.24%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-192,204,865.88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-122,067,616.09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-57.46%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214,782,419.29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615.49%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12,523,195.03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7,288,148.35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71.83%</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202,259,224.26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22,730,796.45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789.80%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85,222,351.46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-68,034,092.13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225.26%</w:t>
            </w:r>
          </w:p>
        </w:tc>
      </w:tr>
    </w:tbl>
    <w:p>
      <w:pPr>
        <w:pStyle w:val="BodyText"/>
        <w:spacing w:line="240" w:lineRule="auto" w:before="49"/>
        <w:ind w:right="0"/>
        <w:jc w:val="left"/>
      </w:pPr>
      <w:r>
        <w:rPr/>
        <w:t>相关数据同比发生重大变动的主要影响因素说明</w:t>
      </w:r>
    </w:p>
    <w:p>
      <w:pPr>
        <w:pStyle w:val="BodyText"/>
        <w:spacing w:line="319" w:lineRule="auto" w:before="115"/>
        <w:ind w:right="1299"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经营活动现金流入同比增加</w:t>
      </w:r>
      <w:r>
        <w:rPr>
          <w:rFonts w:ascii="Times New Roman" w:hAnsi="Times New Roman" w:cs="Times New Roman" w:eastAsia="Times New Roman" w:hint="default"/>
        </w:rPr>
        <w:t>42.88%</w:t>
      </w:r>
      <w:r>
        <w:rPr/>
        <w:t>，主要系报告期公安、运营商因业务拓展回款增加及合并范围变化所致。 经营活动现金流出同比增加</w:t>
      </w:r>
      <w:r>
        <w:rPr>
          <w:rFonts w:ascii="Times New Roman" w:hAnsi="Times New Roman" w:cs="Times New Roman" w:eastAsia="Times New Roman" w:hint="default"/>
        </w:rPr>
        <w:t>31.75%</w:t>
      </w:r>
      <w:r>
        <w:rPr/>
        <w:t>，主要系人员费用增加及合并范围变化所致。</w:t>
      </w:r>
    </w:p>
    <w:p>
      <w:pPr>
        <w:pStyle w:val="BodyText"/>
        <w:spacing w:line="300" w:lineRule="auto"/>
        <w:ind w:right="1209"/>
        <w:jc w:val="left"/>
      </w:pPr>
      <w:r>
        <w:rPr/>
        <w:t>投资活动现金流入增加</w:t>
      </w:r>
      <w:r>
        <w:rPr>
          <w:rFonts w:ascii="Times New Roman" w:hAnsi="Times New Roman" w:cs="Times New Roman" w:eastAsia="Times New Roman" w:hint="default"/>
        </w:rPr>
        <w:t>14604.77%</w:t>
      </w:r>
      <w:r>
        <w:rPr/>
        <w:t>，主要系购买苏州唐人数码科技有限公司定金收回所致。 投资活动现金流出增加</w:t>
      </w:r>
      <w:r>
        <w:rPr>
          <w:rFonts w:ascii="Times New Roman" w:hAnsi="Times New Roman" w:cs="Times New Roman" w:eastAsia="Times New Roman" w:hint="default"/>
        </w:rPr>
        <w:t>74.24%</w:t>
      </w:r>
      <w:r>
        <w:rPr/>
        <w:t>，主要系并购苏州唐人数码科技有限公司支付现金所致。 筹资活动现金流入增加</w:t>
      </w:r>
      <w:r>
        <w:rPr>
          <w:rFonts w:ascii="Times New Roman" w:hAnsi="Times New Roman" w:cs="Times New Roman" w:eastAsia="Times New Roman" w:hint="default"/>
        </w:rPr>
        <w:t>615.49%</w:t>
      </w:r>
      <w:r>
        <w:rPr/>
        <w:t>，主要系现金与发行股票并购苏州唐人数码科技有限公司募集配套资金所致。 筹资活动现金流出增加</w:t>
      </w:r>
      <w:r>
        <w:rPr>
          <w:rFonts w:ascii="Times New Roman" w:hAnsi="Times New Roman" w:cs="Times New Roman" w:eastAsia="Times New Roman" w:hint="default"/>
        </w:rPr>
        <w:t>71.83%</w:t>
      </w:r>
      <w:r>
        <w:rPr/>
        <w:t>，主要系现金与发行股票并购苏州唐人数码科技有限公司支付发行费用所致。</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175"/>
        <w:gridCol w:w="1063"/>
        <w:gridCol w:w="1195"/>
        <w:gridCol w:w="1063"/>
        <w:gridCol w:w="797"/>
        <w:gridCol w:w="2918"/>
      </w:tblGrid>
      <w:tr>
        <w:trPr>
          <w:trHeight w:val="380" w:hRule="exact"/>
        </w:trPr>
        <w:tc>
          <w:tcPr>
            <w:tcW w:w="1345"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238"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4D4D4"/>
          </w:tcPr>
          <w:p>
            <w:pPr/>
          </w:p>
        </w:tc>
      </w:tr>
      <w:tr>
        <w:trPr>
          <w:trHeight w:val="184" w:hRule="exact"/>
        </w:trPr>
        <w:tc>
          <w:tcPr>
            <w:tcW w:w="1345" w:type="dxa"/>
            <w:vMerge w:val="restart"/>
            <w:tcBorders>
              <w:top w:val="single" w:sz="14" w:space="0" w:color="FFFFFF"/>
              <w:left w:val="single" w:sz="4" w:space="0" w:color="000000"/>
              <w:right w:val="single" w:sz="4" w:space="0" w:color="000000"/>
            </w:tcBorders>
            <w:shd w:val="clear" w:color="auto" w:fill="D4D4D4"/>
          </w:tcPr>
          <w:p>
            <w:pPr/>
          </w:p>
        </w:tc>
        <w:tc>
          <w:tcPr>
            <w:tcW w:w="1175"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17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345" w:type="dxa"/>
            <w:vMerge w:val="restart"/>
            <w:tcBorders>
              <w:top w:val="nil" w:sz="6" w:space="0" w:color="auto"/>
              <w:left w:val="single" w:sz="4" w:space="0" w:color="000000"/>
              <w:right w:val="single" w:sz="4" w:space="0" w:color="000000"/>
            </w:tcBorders>
            <w:shd w:val="clear" w:color="auto" w:fill="D4D4D4"/>
          </w:tcPr>
          <w:p>
            <w:pPr/>
          </w:p>
        </w:tc>
        <w:tc>
          <w:tcPr>
            <w:tcW w:w="117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4D4D4"/>
          </w:tcPr>
          <w:p>
            <w:pPr/>
          </w:p>
        </w:tc>
        <w:tc>
          <w:tcPr>
            <w:tcW w:w="117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5" w:type="dxa"/>
            <w:vMerge w:val="restart"/>
            <w:tcBorders>
              <w:top w:val="single" w:sz="4" w:space="0" w:color="000000"/>
              <w:left w:val="single" w:sz="9"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345,247,620.7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21.78%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262,791,873.40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41.84%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-20.06%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5"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5"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121,662,141.0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7.67%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65,405,800.53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-2.74%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5"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62,051,601.78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37,437,936.39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40,004,871.01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528,285.72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8,073,701.22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33,614,177.52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5"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147,136,237.9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9.28%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153,513,674.29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24.44%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-15.16%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5"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98,981,350.00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报告期投资加大</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707,679,949.7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44.64%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44.64%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主要系报告期公司并购业务形成较 </w:t>
            </w:r>
            <w:r>
              <w:rPr>
                <w:rFonts w:ascii="宋体" w:hAnsi="宋体" w:cs="宋体" w:eastAsia="宋体" w:hint="default"/>
                <w:spacing w:val="-2"/>
                <w:sz w:val="18"/>
                <w:szCs w:val="18"/>
              </w:rPr>
              <w:t>大商誉，使公司资产结构发生了重大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变化。</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726,541,350.00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2,643.68%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1025"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亚鸿世 纪</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107"/>
              <w:jc w:val="both"/>
              <w:rPr>
                <w:rFonts w:ascii="宋体" w:hAnsi="宋体" w:cs="宋体" w:eastAsia="宋体" w:hint="default"/>
                <w:sz w:val="18"/>
                <w:szCs w:val="18"/>
              </w:rPr>
            </w:pPr>
            <w:r>
              <w:rPr>
                <w:rFonts w:ascii="宋体" w:hAnsi="宋体" w:cs="宋体" w:eastAsia="宋体" w:hint="default"/>
                <w:sz w:val="18"/>
                <w:szCs w:val="18"/>
              </w:rPr>
              <w:t>运营商 相关业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天津亚 鸿科技 信息咨 询有限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07"/>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20"/>
              <w:ind w:left="26" w:right="21"/>
              <w:jc w:val="both"/>
              <w:rPr>
                <w:rFonts w:ascii="宋体" w:hAnsi="宋体" w:cs="宋体" w:eastAsia="宋体" w:hint="default"/>
                <w:sz w:val="18"/>
                <w:szCs w:val="18"/>
              </w:rPr>
            </w:pPr>
            <w:r>
              <w:rPr>
                <w:rFonts w:ascii="宋体" w:hAnsi="宋体" w:cs="宋体" w:eastAsia="宋体" w:hint="default"/>
                <w:spacing w:val="-4"/>
                <w:sz w:val="18"/>
                <w:szCs w:val="18"/>
              </w:rPr>
              <w:t>（</w:t>
            </w:r>
            <w:hyperlink r:id="rId13">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tc>
      </w:tr>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08"/>
              <w:jc w:val="left"/>
              <w:rPr>
                <w:rFonts w:ascii="宋体" w:hAnsi="宋体" w:cs="宋体" w:eastAsia="宋体" w:hint="default"/>
                <w:sz w:val="18"/>
                <w:szCs w:val="18"/>
              </w:rPr>
            </w:pPr>
            <w:r>
              <w:rPr>
                <w:rFonts w:ascii="宋体" w:hAnsi="宋体" w:cs="宋体" w:eastAsia="宋体" w:hint="default"/>
                <w:sz w:val="18"/>
                <w:szCs w:val="18"/>
              </w:rPr>
              <w:t>中新赛 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通讯产 品的技 术开 发、服 务、咨 询、购 销等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48,981,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深圳市 创新投 资集团 有限公 司等其 他股东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7"/>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19"/>
              <w:ind w:left="26" w:right="21"/>
              <w:jc w:val="both"/>
              <w:rPr>
                <w:rFonts w:ascii="宋体" w:hAnsi="宋体" w:cs="宋体" w:eastAsia="宋体" w:hint="default"/>
                <w:sz w:val="18"/>
                <w:szCs w:val="18"/>
              </w:rPr>
            </w:pPr>
            <w:r>
              <w:rPr>
                <w:rFonts w:ascii="宋体" w:hAnsi="宋体" w:cs="宋体" w:eastAsia="宋体" w:hint="default"/>
                <w:spacing w:val="-4"/>
                <w:sz w:val="18"/>
                <w:szCs w:val="18"/>
              </w:rPr>
              <w:t>（</w:t>
            </w:r>
            <w:hyperlink r:id="rId13">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tc>
      </w:tr>
      <w:tr>
        <w:trPr>
          <w:trHeight w:val="227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108"/>
              <w:jc w:val="left"/>
              <w:rPr>
                <w:rFonts w:ascii="宋体" w:hAnsi="宋体" w:cs="宋体" w:eastAsia="宋体" w:hint="default"/>
                <w:sz w:val="18"/>
                <w:szCs w:val="18"/>
              </w:rPr>
            </w:pPr>
            <w:r>
              <w:rPr>
                <w:rFonts w:ascii="宋体" w:hAnsi="宋体" w:cs="宋体" w:eastAsia="宋体" w:hint="default"/>
                <w:sz w:val="18"/>
                <w:szCs w:val="18"/>
              </w:rPr>
              <w:t>唐人数 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107"/>
              <w:jc w:val="left"/>
              <w:rPr>
                <w:rFonts w:ascii="宋体" w:hAnsi="宋体" w:cs="宋体" w:eastAsia="宋体" w:hint="default"/>
                <w:sz w:val="18"/>
                <w:szCs w:val="18"/>
              </w:rPr>
            </w:pPr>
            <w:r>
              <w:rPr>
                <w:rFonts w:ascii="宋体" w:hAnsi="宋体" w:cs="宋体" w:eastAsia="宋体" w:hint="default"/>
                <w:sz w:val="18"/>
                <w:szCs w:val="18"/>
              </w:rPr>
              <w:t>网络游 戏软件 的开 发、销 售、维 护</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602,560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现金及 发行股 份购买 资产并 募集配 套资金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丁伟 国、蒋 利琴、 刘泉、 朱瑶等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位交 易对方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0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107"/>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20"/>
              <w:ind w:left="26" w:right="21"/>
              <w:jc w:val="both"/>
              <w:rPr>
                <w:rFonts w:ascii="宋体" w:hAnsi="宋体" w:cs="宋体" w:eastAsia="宋体" w:hint="default"/>
                <w:sz w:val="18"/>
                <w:szCs w:val="18"/>
              </w:rPr>
            </w:pPr>
            <w:r>
              <w:rPr>
                <w:rFonts w:ascii="宋体" w:hAnsi="宋体" w:cs="宋体" w:eastAsia="宋体" w:hint="default"/>
                <w:spacing w:val="-4"/>
                <w:sz w:val="18"/>
                <w:szCs w:val="18"/>
              </w:rPr>
              <w:t>（</w:t>
            </w:r>
            <w:hyperlink r:id="rId13">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w:t>
            </w:r>
          </w:p>
        </w:tc>
      </w:tr>
    </w:tbl>
    <w:p>
      <w:pPr>
        <w:spacing w:after="0" w:line="32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3"/>
        <w:gridCol w:w="683"/>
        <w:gridCol w:w="682"/>
        <w:gridCol w:w="684"/>
        <w:gridCol w:w="684"/>
        <w:gridCol w:w="682"/>
        <w:gridCol w:w="684"/>
        <w:gridCol w:w="683"/>
        <w:gridCol w:w="683"/>
        <w:gridCol w:w="682"/>
        <w:gridCol w:w="684"/>
      </w:tblGrid>
      <w:tr>
        <w:trPr>
          <w:trHeight w:val="715"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666,541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,350.00</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富海永 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处于投 资期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19"/>
              <w:ind w:left="23" w:right="25"/>
              <w:jc w:val="left"/>
              <w:rPr>
                <w:rFonts w:ascii="宋体" w:hAnsi="宋体" w:cs="宋体" w:eastAsia="宋体" w:hint="default"/>
                <w:sz w:val="18"/>
                <w:szCs w:val="18"/>
              </w:rPr>
            </w:pPr>
            <w:r>
              <w:rPr>
                <w:rFonts w:ascii="宋体" w:hAnsi="宋体" w:cs="宋体" w:eastAsia="宋体" w:hint="default"/>
                <w:spacing w:val="-4"/>
                <w:sz w:val="18"/>
                <w:szCs w:val="18"/>
              </w:rPr>
              <w:t>（</w:t>
            </w:r>
            <w:hyperlink r:id="rId13">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56"/>
              <w:jc w:val="left"/>
              <w:rPr>
                <w:rFonts w:ascii="宋体" w:hAnsi="宋体" w:cs="宋体" w:eastAsia="宋体" w:hint="default"/>
                <w:sz w:val="18"/>
                <w:szCs w:val="18"/>
              </w:rPr>
            </w:pPr>
            <w:r>
              <w:rPr>
                <w:rFonts w:ascii="宋体" w:hAnsi="宋体" w:cs="宋体" w:eastAsia="宋体" w:hint="default"/>
                <w:sz w:val="18"/>
                <w:szCs w:val="18"/>
              </w:rPr>
              <w:t>创稷投 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处于投 资期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20"/>
              <w:ind w:left="23" w:right="25"/>
              <w:jc w:val="left"/>
              <w:rPr>
                <w:rFonts w:ascii="宋体" w:hAnsi="宋体" w:cs="宋体" w:eastAsia="宋体" w:hint="default"/>
                <w:sz w:val="18"/>
                <w:szCs w:val="18"/>
              </w:rPr>
            </w:pPr>
            <w:r>
              <w:rPr>
                <w:rFonts w:ascii="宋体" w:hAnsi="宋体" w:cs="宋体" w:eastAsia="宋体" w:hint="default"/>
                <w:spacing w:val="-4"/>
                <w:sz w:val="18"/>
                <w:szCs w:val="18"/>
              </w:rPr>
              <w:t>（</w:t>
            </w:r>
            <w:hyperlink r:id="rId13">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862"/>
        <w:gridCol w:w="878"/>
        <w:gridCol w:w="869"/>
        <w:gridCol w:w="871"/>
        <w:gridCol w:w="869"/>
        <w:gridCol w:w="869"/>
        <w:gridCol w:w="871"/>
        <w:gridCol w:w="869"/>
        <w:gridCol w:w="871"/>
        <w:gridCol w:w="869"/>
      </w:tblGrid>
      <w:tr>
        <w:trPr>
          <w:trHeight w:val="1337" w:hRule="exact"/>
        </w:trPr>
        <w:tc>
          <w:tcPr>
            <w:tcW w:w="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3"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23,108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21,186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2,221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存放公司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2,221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674"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87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募集资金 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募集资金 专用账户 已注销</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2,221</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421" w:right="0"/>
              <w:jc w:val="left"/>
              <w:rPr>
                <w:rFonts w:ascii="Times New Roman" w:hAnsi="Times New Roman" w:cs="Times New Roman" w:eastAsia="Times New Roman" w:hint="default"/>
                <w:sz w:val="18"/>
                <w:szCs w:val="18"/>
              </w:rPr>
            </w:pPr>
            <w:r>
              <w:rPr>
                <w:rFonts w:ascii="Times New Roman"/>
                <w:sz w:val="18"/>
              </w:rPr>
              <w:t>2,221</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5"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[2012]411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号文核准，并经深圳证券交易所同意，由承销商国信证券股份有限公司于</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1,770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元。截至</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日止，本公司共募集资金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265,500,000.00 </w:t>
            </w:r>
            <w:r>
              <w:rPr>
                <w:rFonts w:ascii="宋体" w:hAnsi="宋体" w:cs="宋体" w:eastAsia="宋体" w:hint="default"/>
                <w:spacing w:val="-8"/>
                <w:sz w:val="18"/>
                <w:szCs w:val="18"/>
              </w:rPr>
              <w:t>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34,420,013.00 </w:t>
            </w:r>
            <w:r>
              <w:rPr>
                <w:rFonts w:ascii="宋体" w:hAnsi="宋体" w:cs="宋体" w:eastAsia="宋体" w:hint="default"/>
                <w:spacing w:val="-8"/>
                <w:sz w:val="18"/>
                <w:szCs w:val="18"/>
              </w:rPr>
              <w:t>元，募集资金净额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231,079,987.00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元，业经北京永拓会计师事务所有限责任公司以</w:t>
            </w:r>
            <w:r>
              <w:rPr>
                <w:rFonts w:ascii="Times New Roman" w:hAnsi="Times New Roman" w:cs="Times New Roman" w:eastAsia="Times New Roman" w:hint="default"/>
                <w:sz w:val="18"/>
                <w:szCs w:val="18"/>
              </w:rPr>
              <w:t>“</w:t>
            </w:r>
            <w:r>
              <w:rPr>
                <w:rFonts w:ascii="宋体" w:hAnsi="宋体" w:cs="宋体" w:eastAsia="宋体" w:hint="default"/>
                <w:sz w:val="18"/>
                <w:szCs w:val="18"/>
              </w:rPr>
              <w:t>京永验字（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验资报告验证确认，本公司上述发行募集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的资金已经全部到位。截至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215,555,639.99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元，募集资金余额为人民币</w:t>
            </w:r>
          </w:p>
          <w:p>
            <w:pPr>
              <w:pStyle w:val="TableParagraph"/>
              <w:spacing w:line="300"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15,524,347.01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元，加上累计银行存款利息收入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6,682,249.05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元，募集资金存储专户实际余额为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22,206,596.06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元。经中国证</w:t>
            </w:r>
            <w:r>
              <w:rPr>
                <w:rFonts w:ascii="宋体" w:hAnsi="宋体" w:cs="宋体" w:eastAsia="宋体" w:hint="default"/>
                <w:spacing w:val="-3"/>
                <w:sz w:val="18"/>
                <w:szCs w:val="18"/>
              </w:rPr>
              <w:t> </w:t>
            </w:r>
            <w:r>
              <w:rPr>
                <w:rFonts w:ascii="宋体" w:hAnsi="宋体" w:cs="宋体" w:eastAsia="宋体" w:hint="default"/>
                <w:sz w:val="18"/>
                <w:szCs w:val="18"/>
              </w:rPr>
              <w:t>券监督管理委员会证监许可</w:t>
            </w:r>
            <w:r>
              <w:rPr>
                <w:rFonts w:ascii="Times New Roman" w:hAnsi="Times New Roman" w:cs="Times New Roman" w:eastAsia="Times New Roman" w:hint="default"/>
                <w:sz w:val="18"/>
                <w:szCs w:val="18"/>
              </w:rPr>
              <w:t>[2015]1913 </w:t>
            </w:r>
            <w:r>
              <w:rPr>
                <w:rFonts w:ascii="宋体" w:hAnsi="宋体" w:cs="宋体" w:eastAsia="宋体" w:hint="default"/>
                <w:sz w:val="18"/>
                <w:szCs w:val="18"/>
              </w:rPr>
              <w:t>号文核准，同意公司非公开发行人民币普通股（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22,242,522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股募集本次发行 股份购买资产的配套资金。公司向配售对象定价发行人民币普通股（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22,242,522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 格为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200,849,977.49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元，扣除与券商相关的发行交易费用人民币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4,000,000.00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元后募</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196,849,977.49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日，上述募集资金全部到位，业经北京永拓会计师事务所</w:t>
            </w:r>
          </w:p>
          <w:p>
            <w:pPr>
              <w:pStyle w:val="TableParagraph"/>
              <w:spacing w:line="300" w:lineRule="auto" w:before="63"/>
              <w:ind w:left="24" w:right="98"/>
              <w:jc w:val="both"/>
              <w:rPr>
                <w:rFonts w:ascii="宋体" w:hAnsi="宋体" w:cs="宋体" w:eastAsia="宋体" w:hint="default"/>
                <w:sz w:val="18"/>
                <w:szCs w:val="18"/>
              </w:rPr>
            </w:pPr>
            <w:r>
              <w:rPr>
                <w:rFonts w:ascii="宋体" w:hAnsi="宋体" w:cs="宋体" w:eastAsia="宋体" w:hint="default"/>
                <w:sz w:val="18"/>
                <w:szCs w:val="18"/>
              </w:rPr>
              <w:t>（有限合伙）以</w:t>
            </w:r>
            <w:r>
              <w:rPr>
                <w:rFonts w:ascii="Times New Roman" w:hAnsi="Times New Roman" w:cs="Times New Roman" w:eastAsia="Times New Roman" w:hint="default"/>
                <w:sz w:val="18"/>
                <w:szCs w:val="18"/>
              </w:rPr>
              <w:t>“</w:t>
            </w:r>
            <w:r>
              <w:rPr>
                <w:rFonts w:ascii="宋体" w:hAnsi="宋体" w:cs="宋体" w:eastAsia="宋体" w:hint="default"/>
                <w:sz w:val="18"/>
                <w:szCs w:val="18"/>
              </w:rPr>
              <w:t>京永验字（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日，本公司向特定投资者非公 开发行股份募集资金已按照规定全部使用完毕。</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1"/>
        <w:gridCol w:w="737"/>
        <w:gridCol w:w="724"/>
        <w:gridCol w:w="716"/>
        <w:gridCol w:w="716"/>
        <w:gridCol w:w="719"/>
        <w:gridCol w:w="718"/>
        <w:gridCol w:w="718"/>
        <w:gridCol w:w="718"/>
        <w:gridCol w:w="719"/>
        <w:gridCol w:w="718"/>
        <w:gridCol w:w="709"/>
      </w:tblGrid>
      <w:tr>
        <w:trPr>
          <w:trHeight w:val="1649"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9"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85"/>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0"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1"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89"/>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网络内容与行为审 计产品升级优化项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7,532.45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7,532.45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449.77</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7,533.89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2,553.64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3,955.91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75"/>
              <w:jc w:val="left"/>
              <w:rPr>
                <w:rFonts w:ascii="宋体" w:hAnsi="宋体" w:cs="宋体" w:eastAsia="宋体" w:hint="default"/>
                <w:sz w:val="18"/>
                <w:szCs w:val="18"/>
              </w:rPr>
            </w:pPr>
            <w:r>
              <w:rPr>
                <w:rFonts w:ascii="宋体" w:hAnsi="宋体" w:cs="宋体" w:eastAsia="宋体" w:hint="default"/>
                <w:sz w:val="18"/>
                <w:szCs w:val="18"/>
              </w:rPr>
              <w:t>网络信息安全监管 平台建设项目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5,652.47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5,652.47</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5,651.11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99.98%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2,011.91</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3,364.38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3,299.55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3,299.55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3,220.01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97.59%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收购苏州唐人数码 科技有限公司支付</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19,685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19,685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19,685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19,685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7pt;margin-top:71.998985pt;width:478.2pt;height:694.9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9"/>
                    <w:gridCol w:w="737"/>
                    <w:gridCol w:w="724"/>
                    <w:gridCol w:w="716"/>
                    <w:gridCol w:w="716"/>
                    <w:gridCol w:w="700"/>
                    <w:gridCol w:w="737"/>
                    <w:gridCol w:w="718"/>
                    <w:gridCol w:w="718"/>
                    <w:gridCol w:w="719"/>
                    <w:gridCol w:w="718"/>
                    <w:gridCol w:w="709"/>
                  </w:tblGrid>
                  <w:tr>
                    <w:trPr>
                      <w:trHeight w:val="362"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现金对价</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9"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36,169.4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36,169.4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20,134.7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w:t>
                        </w:r>
                      </w:p>
                    </w:tc>
                    <w:tc>
                      <w:tcPr>
                        <w:tcW w:w="700" w:type="dxa"/>
                        <w:vMerge w:val="restart"/>
                        <w:tcBorders>
                          <w:top w:val="single" w:sz="4" w:space="0" w:color="000000"/>
                          <w:left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36,090.0</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4,565.55</w:t>
                        </w:r>
                      </w:p>
                    </w:tc>
                    <w:tc>
                      <w:tcPr>
                        <w:tcW w:w="719" w:type="dxa"/>
                        <w:vMerge w:val="restart"/>
                        <w:tcBorders>
                          <w:top w:val="single" w:sz="4" w:space="0" w:color="000000"/>
                          <w:left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7,320.29</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10" w:space="0" w:color="D4D4D4"/>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19"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1"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9"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10" w:space="0" w:color="D4D4D4"/>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8" w:hRule="exact"/>
                    </w:trPr>
                    <w:tc>
                      <w:tcPr>
                        <w:tcW w:w="955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1"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购置固定资产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pacing w:val="-1"/>
                            <w:sz w:val="18"/>
                          </w:rPr>
                          <w:t>4,281.5</w:t>
                        </w:r>
                      </w:p>
                      <w:p>
                        <w:pPr>
                          <w:pStyle w:val="TableParagraph"/>
                          <w:spacing w:line="240" w:lineRule="auto" w:before="105"/>
                          <w:ind w:right="56"/>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17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372.3</w:t>
                        </w: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372.3</w:t>
                        </w:r>
                      </w:p>
                    </w:tc>
                    <w:tc>
                      <w:tcPr>
                        <w:tcW w:w="737" w:type="dxa"/>
                        <w:vMerge w:val="restart"/>
                        <w:tcBorders>
                          <w:top w:val="single" w:sz="4" w:space="0" w:color="000000"/>
                          <w:left w:val="single" w:sz="4" w:space="0" w:color="000000"/>
                          <w:right w:val="single" w:sz="10" w:space="0" w:color="D4D4D4"/>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39" w:type="dxa"/>
                        <w:vMerge/>
                        <w:tcBorders>
                          <w:left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4" w:space="0" w:color="000000"/>
                        </w:tcBorders>
                      </w:tcPr>
                      <w:p>
                        <w:pPr/>
                      </w:p>
                    </w:tc>
                    <w:tc>
                      <w:tcPr>
                        <w:tcW w:w="737"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vMerge/>
                        <w:tcBorders>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9"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639"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372.3</w:t>
                        </w:r>
                      </w:p>
                    </w:tc>
                    <w:tc>
                      <w:tcPr>
                        <w:tcW w:w="700" w:type="dxa"/>
                        <w:vMerge w:val="restart"/>
                        <w:tcBorders>
                          <w:top w:val="single" w:sz="4" w:space="0" w:color="000000"/>
                          <w:left w:val="single" w:sz="4" w:space="0" w:color="000000"/>
                          <w:right w:val="single" w:sz="10" w:space="0" w:color="D4D4D4"/>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5,153.8</w:t>
                        </w:r>
                      </w:p>
                      <w:p>
                        <w:pPr>
                          <w:pStyle w:val="TableParagraph"/>
                          <w:spacing w:line="240" w:lineRule="auto" w:before="105"/>
                          <w:ind w:right="49"/>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
                    </w:tc>
                    <w:tc>
                      <w:tcPr>
                        <w:tcW w:w="719" w:type="dxa"/>
                        <w:vMerge w:val="restart"/>
                        <w:tcBorders>
                          <w:top w:val="single" w:sz="4" w:space="0" w:color="000000"/>
                          <w:left w:val="single" w:sz="4" w:space="0" w:color="000000"/>
                          <w:right w:val="single" w:sz="10" w:space="0" w:color="D4D4D4"/>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6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10" w:space="0" w:color="D4D4D4"/>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19"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10" w:space="0" w:color="D4D4D4"/>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639"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36,169.4</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36,169.4</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20,507.0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7</w:t>
                        </w:r>
                      </w:p>
                    </w:tc>
                    <w:tc>
                      <w:tcPr>
                        <w:tcW w:w="700" w:type="dxa"/>
                        <w:vMerge w:val="restart"/>
                        <w:tcBorders>
                          <w:top w:val="single" w:sz="4" w:space="0" w:color="000000"/>
                          <w:left w:val="single" w:sz="4" w:space="0" w:color="000000"/>
                          <w:right w:val="single" w:sz="10" w:space="0" w:color="D4D4D4"/>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41,243.</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4,565.55</w:t>
                        </w:r>
                      </w:p>
                    </w:tc>
                    <w:tc>
                      <w:tcPr>
                        <w:tcW w:w="719" w:type="dxa"/>
                        <w:vMerge w:val="restart"/>
                        <w:tcBorders>
                          <w:top w:val="single" w:sz="4" w:space="0" w:color="000000"/>
                          <w:left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7,320.29</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10" w:space="0" w:color="D4D4D4"/>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19"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10" w:space="0" w:color="D4D4D4"/>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027" w:hRule="exact"/>
                    </w:trPr>
                    <w:tc>
                      <w:tcPr>
                        <w:tcW w:w="1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0"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0"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9" w:type="dxa"/>
                        <w:vMerge w:val="restart"/>
                        <w:tcBorders>
                          <w:top w:val="single" w:sz="4" w:space="0" w:color="000000"/>
                          <w:left w:val="single" w:sz="4" w:space="0" w:color="000000"/>
                          <w:right w:val="single" w:sz="4" w:space="0" w:color="000000"/>
                        </w:tcBorders>
                        <w:shd w:val="clear" w:color="auto" w:fill="D4D4D4"/>
                      </w:tcPr>
                      <w:p>
                        <w:pP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63" w:hRule="exact"/>
                    </w:trPr>
                    <w:tc>
                      <w:tcPr>
                        <w:tcW w:w="1639" w:type="dxa"/>
                        <w:vMerge/>
                        <w:tcBorders>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公司首次公开发行股票实际募集资金净额人民币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23,108.00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万元，其中超额募集资金为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6,623.53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年第三次临时股东大会审议通过了关于使用超募资金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万元向北</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京中天信安科技有限责任公司（以下简称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中天信安</w:t>
                        </w:r>
                        <w:r>
                          <w:rPr>
                            <w:rFonts w:ascii="Times New Roman" w:hAnsi="Times New Roman" w:cs="Times New Roman" w:eastAsia="Times New Roman" w:hint="default"/>
                            <w:sz w:val="18"/>
                            <w:szCs w:val="18"/>
                          </w:rPr>
                          <w:t>”</w:t>
                        </w:r>
                        <w:r>
                          <w:rPr>
                            <w:rFonts w:ascii="宋体" w:hAnsi="宋体" w:cs="宋体" w:eastAsia="宋体" w:hint="default"/>
                            <w:sz w:val="18"/>
                            <w:szCs w:val="18"/>
                          </w:rPr>
                          <w:t>）增资的议案。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日，本公司与中</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pacing w:val="-2"/>
                            <w:sz w:val="18"/>
                            <w:szCs w:val="18"/>
                          </w:rPr>
                          <w:t>天信安及其股东刘宏伟、刘健签订增资扩股协议，以人民币</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万元向中天信安增资，增资完成后本</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公司占中天信安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的股权比例，中天信安的注册资本由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万变为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1250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完成了相关的工商变更登记手续。</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日，本公司第二届董事会第二次会议审批通过《关</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于对外投资设立武汉子公司的议案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万元在武汉设立全资子公</w:t>
                        </w:r>
                        <w:r>
                          <w:rPr>
                            <w:rFonts w:ascii="宋体" w:hAnsi="宋体" w:cs="宋体" w:eastAsia="宋体" w:hint="default"/>
                            <w:spacing w:val="-3"/>
                            <w:sz w:val="18"/>
                            <w:szCs w:val="18"/>
                          </w:rPr>
                          <w:t>司</w:t>
                        </w:r>
                        <w:r>
                          <w:rPr>
                            <w:rFonts w:ascii="宋体" w:hAnsi="宋体" w:cs="宋体" w:eastAsia="宋体" w:hint="default"/>
                            <w:sz w:val="18"/>
                            <w:szCs w:val="18"/>
                          </w:rPr>
                          <w:t>武汉任子</w:t>
                        </w:r>
                      </w:p>
                      <w:p>
                        <w:pPr>
                          <w:pStyle w:val="TableParagraph"/>
                          <w:spacing w:line="307" w:lineRule="auto" w:before="62"/>
                          <w:ind w:left="16" w:right="-49"/>
                          <w:jc w:val="left"/>
                          <w:rPr>
                            <w:rFonts w:ascii="宋体" w:hAnsi="宋体" w:cs="宋体" w:eastAsia="宋体" w:hint="default"/>
                            <w:sz w:val="18"/>
                            <w:szCs w:val="18"/>
                          </w:rPr>
                        </w:pPr>
                        <w:r>
                          <w:rPr>
                            <w:rFonts w:ascii="宋体" w:hAnsi="宋体" w:cs="宋体" w:eastAsia="宋体" w:hint="default"/>
                            <w:sz w:val="18"/>
                            <w:szCs w:val="18"/>
                          </w:rPr>
                          <w:t>行，注册资本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日，完成了相关的工商注册登记手续。</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 </w:t>
                        </w:r>
                        <w:r>
                          <w:rPr>
                            <w:rFonts w:ascii="宋体" w:hAnsi="宋体" w:cs="宋体" w:eastAsia="宋体" w:hint="default"/>
                            <w:spacing w:val="-3"/>
                            <w:sz w:val="18"/>
                            <w:szCs w:val="18"/>
                          </w:rPr>
                          <w:t>本公司第二届董事会第六次会议审批通过《关于使用超募资金购置办公场所的议案》，同意公司使用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超募资金认购位于武汉市东湖开发区关山大道以西、南湖南路以南的光谷软件园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层、</w:t>
                        </w:r>
                        <w:r>
                          <w:rPr>
                            <w:rFonts w:ascii="Times New Roman" w:hAnsi="Times New Roman" w:cs="Times New Roman" w:eastAsia="Times New Roman" w:hint="default"/>
                            <w:spacing w:val="-7"/>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 和</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层房产，以满足公司在华中地区开展业务和全资子公司武汉市任子行软件技术有限公司办公使</w:t>
                        </w:r>
                      </w:p>
                      <w:p>
                        <w:pPr>
                          <w:pStyle w:val="TableParagraph"/>
                          <w:spacing w:line="240" w:lineRule="auto" w:before="7"/>
                          <w:ind w:left="16" w:right="0"/>
                          <w:jc w:val="left"/>
                          <w:rPr>
                            <w:rFonts w:ascii="宋体" w:hAnsi="宋体" w:cs="宋体" w:eastAsia="宋体" w:hint="default"/>
                            <w:sz w:val="18"/>
                            <w:szCs w:val="18"/>
                          </w:rPr>
                        </w:pPr>
                        <w:r>
                          <w:rPr>
                            <w:rFonts w:ascii="宋体" w:hAnsi="宋体" w:cs="宋体" w:eastAsia="宋体" w:hint="default"/>
                            <w:sz w:val="18"/>
                            <w:szCs w:val="18"/>
                          </w:rPr>
                          <w:t>用，该项房产已于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月完工并投入使用。</w:t>
                        </w:r>
                      </w:p>
                    </w:tc>
                  </w:tr>
                  <w:tr>
                    <w:trPr>
                      <w:trHeight w:val="706" w:hRule="exact"/>
                    </w:trPr>
                    <w:tc>
                      <w:tcPr>
                        <w:tcW w:w="16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0" w:type="dxa"/>
                        <w:gridSpan w:val="11"/>
                        <w:vMerge/>
                        <w:tcBorders>
                          <w:left w:val="single" w:sz="10" w:space="0" w:color="D4D4D4"/>
                          <w:right w:val="single" w:sz="4" w:space="0" w:color="000000"/>
                        </w:tcBorders>
                      </w:tcPr>
                      <w:p>
                        <w:pPr/>
                      </w:p>
                    </w:tc>
                  </w:tr>
                  <w:tr>
                    <w:trPr>
                      <w:trHeight w:val="1764" w:hRule="exact"/>
                    </w:trPr>
                    <w:tc>
                      <w:tcPr>
                        <w:tcW w:w="163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r>
                    <w:trPr>
                      <w:trHeight w:val="252" w:hRule="exact"/>
                    </w:trPr>
                    <w:tc>
                      <w:tcPr>
                        <w:tcW w:w="163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3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0" w:type="dxa"/>
                        <w:gridSpan w:val="11"/>
                        <w:vMerge/>
                        <w:tcBorders>
                          <w:left w:val="single" w:sz="10" w:space="0" w:color="D4D4D4"/>
                          <w:bottom w:val="single" w:sz="4" w:space="0" w:color="000000"/>
                          <w:right w:val="single" w:sz="4" w:space="0" w:color="000000"/>
                        </w:tcBorders>
                      </w:tcPr>
                      <w:p>
                        <w:pPr/>
                      </w:p>
                    </w:tc>
                  </w:tr>
                  <w:tr>
                    <w:trPr>
                      <w:trHeight w:val="401" w:hRule="exact"/>
                    </w:trPr>
                    <w:tc>
                      <w:tcPr>
                        <w:tcW w:w="1639" w:type="dxa"/>
                        <w:vMerge/>
                        <w:tcBorders>
                          <w:left w:val="single" w:sz="4" w:space="0" w:color="000000"/>
                          <w:right w:val="single" w:sz="4" w:space="0" w:color="000000"/>
                        </w:tcBorders>
                        <w:shd w:val="clear" w:color="auto" w:fill="D4D4D4"/>
                      </w:tcPr>
                      <w:p>
                        <w:pPr/>
                      </w:p>
                    </w:tc>
                    <w:tc>
                      <w:tcPr>
                        <w:tcW w:w="7910" w:type="dxa"/>
                        <w:gridSpan w:val="11"/>
                        <w:tcBorders>
                          <w:top w:val="single" w:sz="4" w:space="0" w:color="000000"/>
                          <w:left w:val="single" w:sz="13" w:space="0" w:color="D4D4D4"/>
                          <w:bottom w:val="single" w:sz="4" w:space="0" w:color="000000"/>
                          <w:right w:val="single" w:sz="4" w:space="0" w:color="000000"/>
                        </w:tcBorders>
                      </w:tcPr>
                      <w:p>
                        <w:pPr/>
                      </w:p>
                    </w:tc>
                  </w:tr>
                  <w:tr>
                    <w:trPr>
                      <w:trHeight w:val="151" w:hRule="exact"/>
                    </w:trPr>
                    <w:tc>
                      <w:tcPr>
                        <w:tcW w:w="1639" w:type="dxa"/>
                        <w:vMerge/>
                        <w:tcBorders>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
                    </w:tc>
                  </w:tr>
                  <w:tr>
                    <w:trPr>
                      <w:trHeight w:val="252" w:hRule="exact"/>
                    </w:trPr>
                    <w:tc>
                      <w:tcPr>
                        <w:tcW w:w="163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r>
                    <w:trPr>
                      <w:trHeight w:val="250" w:hRule="exact"/>
                    </w:trPr>
                    <w:tc>
                      <w:tcPr>
                        <w:tcW w:w="163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3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0" w:type="dxa"/>
                        <w:gridSpan w:val="11"/>
                        <w:vMerge/>
                        <w:tcBorders>
                          <w:left w:val="single" w:sz="10" w:space="0" w:color="D4D4D4"/>
                          <w:bottom w:val="single" w:sz="4" w:space="0" w:color="000000"/>
                          <w:right w:val="single" w:sz="4" w:space="0" w:color="000000"/>
                        </w:tcBorders>
                      </w:tcPr>
                      <w:p>
                        <w:pPr/>
                      </w:p>
                    </w:tc>
                  </w:tr>
                  <w:tr>
                    <w:trPr>
                      <w:trHeight w:val="403" w:hRule="exact"/>
                    </w:trPr>
                    <w:tc>
                      <w:tcPr>
                        <w:tcW w:w="1639" w:type="dxa"/>
                        <w:vMerge/>
                        <w:tcBorders>
                          <w:left w:val="single" w:sz="4" w:space="0" w:color="000000"/>
                          <w:right w:val="single" w:sz="4" w:space="0" w:color="000000"/>
                        </w:tcBorders>
                        <w:shd w:val="clear" w:color="auto" w:fill="D4D4D4"/>
                      </w:tcPr>
                      <w:p>
                        <w:pPr/>
                      </w:p>
                    </w:tc>
                    <w:tc>
                      <w:tcPr>
                        <w:tcW w:w="7910" w:type="dxa"/>
                        <w:gridSpan w:val="11"/>
                        <w:tcBorders>
                          <w:top w:val="single" w:sz="4" w:space="0" w:color="000000"/>
                          <w:left w:val="single" w:sz="13" w:space="0" w:color="D4D4D4"/>
                          <w:bottom w:val="single" w:sz="4" w:space="0" w:color="000000"/>
                          <w:right w:val="single" w:sz="4" w:space="0" w:color="000000"/>
                        </w:tcBorders>
                      </w:tcPr>
                      <w:p>
                        <w:pPr/>
                      </w:p>
                    </w:tc>
                  </w:tr>
                  <w:tr>
                    <w:trPr>
                      <w:trHeight w:val="151" w:hRule="exact"/>
                    </w:trPr>
                    <w:tc>
                      <w:tcPr>
                        <w:tcW w:w="1639" w:type="dxa"/>
                        <w:vMerge/>
                        <w:tcBorders>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
                    </w:tc>
                  </w:tr>
                  <w:tr>
                    <w:trPr>
                      <w:trHeight w:val="250" w:hRule="exact"/>
                    </w:trPr>
                    <w:tc>
                      <w:tcPr>
                        <w:tcW w:w="163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r>
                    <w:trPr>
                      <w:trHeight w:val="403" w:hRule="exact"/>
                    </w:trPr>
                    <w:tc>
                      <w:tcPr>
                        <w:tcW w:w="163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2" w:right="175"/>
                          <w:jc w:val="left"/>
                          <w:rPr>
                            <w:rFonts w:ascii="宋体" w:hAnsi="宋体" w:cs="宋体" w:eastAsia="宋体" w:hint="default"/>
                            <w:sz w:val="18"/>
                            <w:szCs w:val="18"/>
                          </w:rPr>
                        </w:pPr>
                        <w:r>
                          <w:rPr>
                            <w:rFonts w:ascii="宋体" w:hAnsi="宋体" w:cs="宋体" w:eastAsia="宋体" w:hint="default"/>
                            <w:sz w:val="18"/>
                            <w:szCs w:val="18"/>
                          </w:rPr>
                          <w:t>募集资金投资项目 先期投入及置换情</w:t>
                        </w:r>
                      </w:p>
                    </w:tc>
                    <w:tc>
                      <w:tcPr>
                        <w:tcW w:w="7910"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639" w:type="dxa"/>
                        <w:vMerge/>
                        <w:tcBorders>
                          <w:left w:val="single" w:sz="4" w:space="0" w:color="000000"/>
                          <w:bottom w:val="single" w:sz="4" w:space="0" w:color="000000"/>
                          <w:right w:val="single" w:sz="4" w:space="0" w:color="000000"/>
                        </w:tcBorders>
                        <w:shd w:val="clear" w:color="auto" w:fill="D4D4D4"/>
                      </w:tcPr>
                      <w:p>
                        <w:pPr/>
                      </w:p>
                    </w:tc>
                    <w:tc>
                      <w:tcPr>
                        <w:tcW w:w="7910"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日，公司募集资金投资项目自筹资金实际已投入的资金总额为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5,380.75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62"/>
        <w:jc w:val="right"/>
      </w:pP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50"/>
        <w:gridCol w:w="7910"/>
      </w:tblGrid>
      <w:tr>
        <w:trPr>
          <w:trHeight w:val="3170"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其中网络内容与行为审计产品升级优化项目先期投入 </w:t>
            </w:r>
            <w:r>
              <w:rPr>
                <w:rFonts w:ascii="Times New Roman" w:hAnsi="Times New Roman" w:cs="Times New Roman" w:eastAsia="Times New Roman" w:hint="default"/>
                <w:sz w:val="18"/>
                <w:szCs w:val="18"/>
              </w:rPr>
              <w:t>2,077.64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万元，网络信息安全监管平台建设项</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目先期投入 </w:t>
            </w:r>
            <w:r>
              <w:rPr>
                <w:rFonts w:ascii="Times New Roman" w:hAnsi="Times New Roman" w:cs="Times New Roman" w:eastAsia="Times New Roman" w:hint="default"/>
                <w:sz w:val="18"/>
                <w:szCs w:val="18"/>
              </w:rPr>
              <w:t>1,954.85 </w:t>
            </w:r>
            <w:r>
              <w:rPr>
                <w:rFonts w:ascii="宋体" w:hAnsi="宋体" w:cs="宋体" w:eastAsia="宋体" w:hint="default"/>
                <w:sz w:val="18"/>
                <w:szCs w:val="18"/>
              </w:rPr>
              <w:t>万元，研发中心扩建项目先期投入 </w:t>
            </w:r>
            <w:r>
              <w:rPr>
                <w:rFonts w:ascii="Times New Roman" w:hAnsi="Times New Roman" w:cs="Times New Roman" w:eastAsia="Times New Roman" w:hint="default"/>
                <w:sz w:val="18"/>
                <w:szCs w:val="18"/>
              </w:rPr>
              <w:t>1,348.26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万元。北京永拓会计师事务所有限</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责任公司对本公司上述募集资金投资项目预先已投入的实际情况进行了审核并于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日出</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具京永专字（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 </w:t>
            </w:r>
            <w:r>
              <w:rPr>
                <w:rFonts w:ascii="Times New Roman" w:hAnsi="Times New Roman" w:cs="Times New Roman" w:eastAsia="Times New Roman" w:hint="default"/>
                <w:sz w:val="18"/>
                <w:szCs w:val="18"/>
              </w:rPr>
              <w:t>31063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号《关于任子行网络技术股份有限公司以募集资金置换预先投入募集</w:t>
            </w:r>
          </w:p>
          <w:p>
            <w:pPr>
              <w:pStyle w:val="TableParagraph"/>
              <w:spacing w:line="307" w:lineRule="auto" w:before="62"/>
              <w:ind w:left="23" w:right="19" w:hanging="1"/>
              <w:jc w:val="left"/>
              <w:rPr>
                <w:rFonts w:ascii="宋体" w:hAnsi="宋体" w:cs="宋体" w:eastAsia="宋体" w:hint="default"/>
                <w:sz w:val="18"/>
                <w:szCs w:val="18"/>
              </w:rPr>
            </w:pPr>
            <w:r>
              <w:rPr>
                <w:rFonts w:ascii="宋体" w:hAnsi="宋体" w:cs="宋体" w:eastAsia="宋体" w:hint="default"/>
                <w:spacing w:val="-5"/>
                <w:sz w:val="18"/>
                <w:szCs w:val="18"/>
              </w:rPr>
              <w:t>资金投资项目的自筹资金的鉴证报告》。</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日，本公司第一届董事会第十四次会议和第</w:t>
            </w:r>
            <w:r>
              <w:rPr>
                <w:rFonts w:ascii="宋体" w:hAnsi="宋体" w:cs="宋体" w:eastAsia="宋体" w:hint="default"/>
                <w:sz w:val="18"/>
                <w:szCs w:val="18"/>
              </w:rPr>
              <w:t> </w:t>
            </w:r>
            <w:r>
              <w:rPr>
                <w:rFonts w:ascii="宋体" w:hAnsi="宋体" w:cs="宋体" w:eastAsia="宋体" w:hint="default"/>
                <w:spacing w:val="-2"/>
                <w:sz w:val="18"/>
                <w:szCs w:val="18"/>
              </w:rPr>
              <w:t>一届监事会第七次会议，审议通过了《关于使用募集资金置换预先已投入募投资项目自筹资金》的议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案，同意公司使用募集资金 </w:t>
            </w:r>
            <w:r>
              <w:rPr>
                <w:rFonts w:ascii="Times New Roman" w:hAnsi="Times New Roman" w:cs="Times New Roman" w:eastAsia="Times New Roman" w:hint="default"/>
                <w:sz w:val="18"/>
                <w:szCs w:val="18"/>
              </w:rPr>
              <w:t>5,380.75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万元置换预先已投入募集资金投资项目的同等金额自筹资金。 </w:t>
            </w:r>
            <w:r>
              <w:rPr>
                <w:rFonts w:ascii="宋体" w:hAnsi="宋体" w:cs="宋体" w:eastAsia="宋体" w:hint="default"/>
                <w:spacing w:val="-2"/>
                <w:sz w:val="18"/>
                <w:szCs w:val="18"/>
              </w:rPr>
              <w:t>保荐机构国信证券股份有限公司进行了核查，对公司本次募集资金置换预先已投入募集资金投资项目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的自筹资金事项发表无异议核查意见。公司已经在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年上半年完成募集资金投资项目先期投入的 置换工作。</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393"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网络信息安全监管平台建设项目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w:t>
            </w:r>
          </w:p>
          <w:p>
            <w:pPr>
              <w:pStyle w:val="TableParagraph"/>
              <w:spacing w:line="309" w:lineRule="auto" w:before="62"/>
              <w:ind w:left="23" w:right="14" w:hanging="1"/>
              <w:jc w:val="left"/>
              <w:rPr>
                <w:rFonts w:ascii="Times New Roman" w:hAnsi="Times New Roman" w:cs="Times New Roman" w:eastAsia="Times New Roman" w:hint="default"/>
                <w:sz w:val="18"/>
                <w:szCs w:val="18"/>
              </w:rPr>
            </w:pPr>
            <w:r>
              <w:rPr>
                <w:rFonts w:ascii="宋体" w:hAnsi="宋体" w:cs="宋体" w:eastAsia="宋体" w:hint="default"/>
                <w:sz w:val="18"/>
                <w:szCs w:val="18"/>
              </w:rPr>
              <w:t>完成投资，累计使用募集资金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8,871.07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万元，募集资金专户节余余额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257.34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万元，募投项目产生节 </w:t>
            </w:r>
            <w:r>
              <w:rPr>
                <w:rFonts w:ascii="宋体" w:hAnsi="宋体" w:cs="宋体" w:eastAsia="宋体" w:hint="default"/>
                <w:spacing w:val="-2"/>
                <w:sz w:val="18"/>
                <w:szCs w:val="18"/>
              </w:rPr>
              <w:t>余资金主要原因是募集资金的利息收入以及募投项目建设过程中，公司坚持谨慎、节约的原则，对部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分设备集中采购，降低了采购成本。</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日，公司第二届董事会第十五次会议审议通过 </w:t>
            </w:r>
            <w:r>
              <w:rPr>
                <w:rFonts w:ascii="宋体" w:hAnsi="宋体" w:cs="宋体" w:eastAsia="宋体" w:hint="default"/>
                <w:spacing w:val="-3"/>
                <w:sz w:val="18"/>
                <w:szCs w:val="18"/>
              </w:rPr>
              <w:t>了《关于使用节余募集资金永久补充流动资金的议案》，全体董事一致同意使用节余募集资金永久补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充流动资金，资金利息永久补充流动资金后，公司将注销相应的募集资金专项账户。详见公司于</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2014</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w:t>
            </w:r>
            <w:r>
              <w:rPr>
                <w:rFonts w:ascii="宋体" w:hAnsi="宋体" w:cs="宋体" w:eastAsia="宋体" w:hint="default"/>
                <w:spacing w:val="-10"/>
                <w:sz w:val="18"/>
                <w:szCs w:val="18"/>
              </w:rPr>
              <w:t>网</w:t>
            </w: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10"/>
                <w:sz w:val="18"/>
                <w:szCs w:val="18"/>
              </w:rPr>
              <w:t>）</w:t>
            </w:r>
            <w:r>
              <w:rPr>
                <w:rFonts w:ascii="宋体" w:hAnsi="宋体" w:cs="宋体" w:eastAsia="宋体" w:hint="default"/>
                <w:sz w:val="18"/>
                <w:szCs w:val="18"/>
              </w:rPr>
              <w:t>披露的</w:t>
            </w:r>
            <w:r>
              <w:rPr>
                <w:rFonts w:ascii="宋体" w:hAnsi="宋体" w:cs="宋体" w:eastAsia="宋体" w:hint="default"/>
                <w:spacing w:val="2"/>
                <w:sz w:val="18"/>
                <w:szCs w:val="18"/>
              </w:rPr>
              <w:t>公</w:t>
            </w:r>
            <w:r>
              <w:rPr>
                <w:rFonts w:ascii="宋体" w:hAnsi="宋体" w:cs="宋体" w:eastAsia="宋体" w:hint="default"/>
                <w:spacing w:val="-10"/>
                <w:sz w:val="18"/>
                <w:szCs w:val="18"/>
              </w:rPr>
              <w:t>告</w:t>
            </w:r>
            <w:r>
              <w:rPr>
                <w:rFonts w:ascii="宋体" w:hAnsi="宋体" w:cs="宋体" w:eastAsia="宋体" w:hint="default"/>
                <w:sz w:val="18"/>
                <w:szCs w:val="18"/>
              </w:rPr>
              <w:t>（公告编码</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84</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pacing w:val="-3"/>
                <w:sz w:val="18"/>
                <w:szCs w:val="18"/>
              </w:rPr>
              <w:t>截</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日，公司募投项目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网络内容与行为审计产品升级优化项目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已经完成投资，累计使用募集资金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7,533.89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万元，募集资金专户节余余额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110.43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万元，募投项目产生节余资金主要原因是募集资金的利</w:t>
            </w:r>
          </w:p>
          <w:p>
            <w:pPr>
              <w:pStyle w:val="TableParagraph"/>
              <w:spacing w:line="309" w:lineRule="auto" w:before="63"/>
              <w:ind w:left="23" w:right="43"/>
              <w:jc w:val="both"/>
              <w:rPr>
                <w:rFonts w:ascii="宋体" w:hAnsi="宋体" w:cs="宋体" w:eastAsia="宋体" w:hint="default"/>
                <w:sz w:val="18"/>
                <w:szCs w:val="18"/>
              </w:rPr>
            </w:pPr>
            <w:r>
              <w:rPr>
                <w:rFonts w:ascii="宋体" w:hAnsi="宋体" w:cs="宋体" w:eastAsia="宋体" w:hint="default"/>
                <w:sz w:val="18"/>
                <w:szCs w:val="18"/>
              </w:rPr>
              <w:t>息收入。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日，公司第二届董事会第二十六次会议审议通过了《关于将节余募集资金永 </w:t>
            </w:r>
            <w:r>
              <w:rPr>
                <w:rFonts w:ascii="宋体" w:hAnsi="宋体" w:cs="宋体" w:eastAsia="宋体" w:hint="default"/>
                <w:spacing w:val="-3"/>
                <w:sz w:val="18"/>
                <w:szCs w:val="18"/>
              </w:rPr>
              <w:t>久补充流动资金的议案》，全体董事一致同意使用上述募投项目节余利息永久补充流动资金，资金利</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息永久补充流动资金后，公司将注销相应的募集资金专项账户。详见公司于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资讯网（</w:t>
            </w:r>
            <w:hyperlink r:id="rId12">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）披露的公告（公告编码：</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057</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司办理了</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三个募集资金账户的销户手续，资金余额合计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369.01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万元已全部转基本户补充流动资金。详见公司</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w:t>
            </w:r>
            <w:r>
              <w:rPr>
                <w:rFonts w:ascii="宋体" w:hAnsi="宋体" w:cs="宋体" w:eastAsia="宋体" w:hint="default"/>
                <w:spacing w:val="-3"/>
                <w:sz w:val="18"/>
                <w:szCs w:val="18"/>
              </w:rPr>
              <w:t>资</w:t>
            </w:r>
            <w:r>
              <w:rPr>
                <w:rFonts w:ascii="宋体" w:hAnsi="宋体" w:cs="宋体" w:eastAsia="宋体" w:hint="default"/>
                <w:sz w:val="18"/>
                <w:szCs w:val="18"/>
              </w:rPr>
              <w:t>讯</w:t>
            </w:r>
            <w:r>
              <w:rPr>
                <w:rFonts w:ascii="宋体" w:hAnsi="宋体" w:cs="宋体" w:eastAsia="宋体" w:hint="default"/>
                <w:spacing w:val="-10"/>
                <w:sz w:val="18"/>
                <w:szCs w:val="18"/>
              </w:rPr>
              <w:t>网</w:t>
            </w:r>
            <w:r>
              <w:rPr>
                <w:rFonts w:ascii="宋体" w:hAnsi="宋体" w:cs="宋体" w:eastAsia="宋体" w:hint="default"/>
                <w:sz w:val="18"/>
                <w:szCs w:val="18"/>
              </w:rPr>
              <w:t>（</w:t>
            </w:r>
            <w:hyperlink r:id="rId12">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10"/>
                <w:sz w:val="18"/>
                <w:szCs w:val="18"/>
              </w:rPr>
              <w:t>）</w:t>
            </w:r>
            <w:r>
              <w:rPr>
                <w:rFonts w:ascii="宋体" w:hAnsi="宋体" w:cs="宋体" w:eastAsia="宋体" w:hint="default"/>
                <w:spacing w:val="2"/>
                <w:sz w:val="18"/>
                <w:szCs w:val="18"/>
              </w:rPr>
              <w:t>披</w:t>
            </w:r>
            <w:r>
              <w:rPr>
                <w:rFonts w:ascii="宋体" w:hAnsi="宋体" w:cs="宋体" w:eastAsia="宋体" w:hint="default"/>
                <w:sz w:val="18"/>
                <w:szCs w:val="18"/>
              </w:rPr>
              <w:t>露的公</w:t>
            </w:r>
            <w:r>
              <w:rPr>
                <w:rFonts w:ascii="宋体" w:hAnsi="宋体" w:cs="宋体" w:eastAsia="宋体" w:hint="default"/>
                <w:spacing w:val="-10"/>
                <w:sz w:val="18"/>
                <w:szCs w:val="18"/>
              </w:rPr>
              <w:t>告</w:t>
            </w:r>
            <w:r>
              <w:rPr>
                <w:rFonts w:ascii="宋体" w:hAnsi="宋体" w:cs="宋体" w:eastAsia="宋体" w:hint="default"/>
                <w:sz w:val="18"/>
                <w:szCs w:val="18"/>
              </w:rPr>
              <w:t>（公告编码</w:t>
            </w:r>
            <w:r>
              <w:rPr>
                <w:rFonts w:ascii="宋体" w:hAnsi="宋体" w:cs="宋体" w:eastAsia="宋体" w:hint="default"/>
                <w:spacing w:val="-1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日，公司办理了收购苏州唐人数码科技有限公司配套募集资金账户的销户手续，资金余额</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万元已全部转基本户补充流动资金。</w:t>
            </w: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尚未使用的超募资金均存放在公司募集资金专户。</w:t>
            </w:r>
          </w:p>
        </w:tc>
      </w:tr>
      <w:tr>
        <w:trPr>
          <w:trHeight w:val="1025"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50" w:space="4068"/>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软件开发及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26,214,472.2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21,618,269.5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8,482,434.53</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3,913,310.38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3,537,850.49</w:t>
            </w:r>
            <w:r>
              <w:rPr>
                <w:rFonts w:ascii="Times New Roman"/>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113,395,060.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92,844,598.7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103,970,771.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24,539,539.6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21,545,152.1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成都网娱互 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477,037.81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238,867.85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218,991.98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-2,860,681.1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-2,740,181.1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软件开发及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10,366,213.0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10,242,810.3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161,322.57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136,440.05</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博海通讯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软件开发及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2,373,744.40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-19,448,507.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1,384,739.49</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-7,162,694.4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-6,969,633.8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亚鸿世纪</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运营商业务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35,981,502.7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-11,472,537.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20,729,676.8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-10,925,658.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-10,669,538.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棋牌游戏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108,257,243.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91,463,626.4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43,783,958.1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34,666,821.8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30,145,566.6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65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23" w:right="79"/>
              <w:jc w:val="left"/>
              <w:rPr>
                <w:rFonts w:ascii="宋体" w:hAnsi="宋体" w:cs="宋体" w:eastAsia="宋体" w:hint="default"/>
                <w:sz w:val="18"/>
                <w:szCs w:val="18"/>
              </w:rPr>
            </w:pPr>
            <w:r>
              <w:rPr>
                <w:rFonts w:ascii="宋体" w:hAnsi="宋体" w:cs="宋体" w:eastAsia="宋体" w:hint="default"/>
                <w:sz w:val="18"/>
                <w:szCs w:val="18"/>
              </w:rPr>
              <w:t>取得方式：支付现金收购，取得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月起，公司将北京亚鸿纳入 合并报表范围，报告期内，亚鸿世纪实 现营业总收入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2,072.97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万元，实现营业 </w:t>
            </w:r>
            <w:r>
              <w:rPr>
                <w:rFonts w:ascii="宋体" w:hAnsi="宋体" w:cs="宋体" w:eastAsia="宋体" w:hint="default"/>
                <w:spacing w:val="-1"/>
                <w:sz w:val="18"/>
                <w:szCs w:val="18"/>
              </w:rPr>
              <w:t>利润</w:t>
            </w:r>
            <w:r>
              <w:rPr>
                <w:rFonts w:ascii="Times New Roman" w:hAnsi="Times New Roman" w:cs="Times New Roman" w:eastAsia="Times New Roman" w:hint="default"/>
                <w:spacing w:val="-1"/>
                <w:sz w:val="18"/>
                <w:szCs w:val="18"/>
              </w:rPr>
              <w:t>-1,092.57</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万元，实现净利润</w:t>
            </w:r>
            <w:r>
              <w:rPr>
                <w:rFonts w:ascii="Times New Roman" w:hAnsi="Times New Roman" w:cs="Times New Roman" w:eastAsia="Times New Roman" w:hint="default"/>
                <w:spacing w:val="-6"/>
                <w:sz w:val="18"/>
                <w:szCs w:val="18"/>
              </w:rPr>
              <w:t>-1,066.95</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z w:val="18"/>
                <w:szCs w:val="18"/>
              </w:rPr>
              <w:t>万元。</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2"/>
              <w:jc w:val="center"/>
              <w:rPr>
                <w:rFonts w:ascii="宋体" w:hAnsi="宋体" w:cs="宋体" w:eastAsia="宋体" w:hint="default"/>
                <w:sz w:val="18"/>
                <w:szCs w:val="18"/>
              </w:rPr>
            </w:pPr>
            <w:r>
              <w:rPr>
                <w:rFonts w:ascii="宋体" w:hAnsi="宋体" w:cs="宋体" w:eastAsia="宋体" w:hint="default"/>
                <w:sz w:val="18"/>
                <w:szCs w:val="18"/>
              </w:rPr>
              <w:t>取得方式：支付现金及发行股份，购买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月起，公司将唐人数码纳入</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44"/>
        <w:ind w:left="0" w:right="197"/>
        <w:jc w:val="right"/>
      </w:pPr>
      <w:r>
        <w:rPr/>
        <w:pict>
          <v:shape style="position:absolute;margin-left:56.400002pt;margin-top:-194.889267pt;width:479.2pt;height:246.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7"/>
                    <w:gridCol w:w="3192"/>
                    <w:gridCol w:w="3190"/>
                  </w:tblGrid>
                  <w:tr>
                    <w:trPr>
                      <w:trHeight w:val="1298"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5"/>
                          <w:jc w:val="left"/>
                          <w:rPr>
                            <w:rFonts w:ascii="宋体" w:hAnsi="宋体" w:cs="宋体" w:eastAsia="宋体" w:hint="default"/>
                            <w:sz w:val="18"/>
                            <w:szCs w:val="18"/>
                          </w:rPr>
                        </w:pPr>
                        <w:r>
                          <w:rPr>
                            <w:rFonts w:ascii="宋体" w:hAnsi="宋体" w:cs="宋体" w:eastAsia="宋体" w:hint="default"/>
                            <w:sz w:val="18"/>
                            <w:szCs w:val="18"/>
                          </w:rPr>
                          <w:t>合并报表范围，报告期内，唐人数码实 现营业总收入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4,378.40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万元，实现营业</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3,466.68</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3,014.57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64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创祀网络科技（上海）有限公司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处置方式：与交易对方协议，出售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日，公司将持有创祀网络</w:t>
                        </w:r>
                        <w:r>
                          <w:rPr>
                            <w:rFonts w:ascii="宋体" w:hAnsi="宋体" w:cs="宋体" w:eastAsia="宋体" w:hint="default"/>
                            <w:sz w:val="18"/>
                            <w:szCs w:val="18"/>
                          </w:rPr>
                          <w:t>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的股权作价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万元出售给上海 新文化传媒集团股份有限公司，报告期 初至出售日，创祀网络共为公司贡献利 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96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深圳云安宝科技有限公司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3" w:right="79"/>
                          <w:jc w:val="left"/>
                          <w:rPr>
                            <w:rFonts w:ascii="宋体" w:hAnsi="宋体" w:cs="宋体" w:eastAsia="宋体" w:hint="default"/>
                            <w:sz w:val="18"/>
                            <w:szCs w:val="18"/>
                          </w:rPr>
                        </w:pPr>
                        <w:r>
                          <w:rPr>
                            <w:rFonts w:ascii="宋体" w:hAnsi="宋体" w:cs="宋体" w:eastAsia="宋体" w:hint="default"/>
                            <w:sz w:val="18"/>
                            <w:szCs w:val="18"/>
                          </w:rPr>
                          <w:t>取得方式：支付现金增资，取得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 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日，公司召开第二届董事 会第二十六次会议，同意公司向深圳云 安宝科技有限公司增资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 完成后，公司持有其</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的股权。目前 公司已支付上述增资款，云安宝亦完成 了工商变更。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right="98"/>
        <w:jc w:val="left"/>
      </w:pPr>
      <w:r>
        <w:rPr/>
        <w:t>主要控股参股公司情况说明</w:t>
      </w:r>
    </w:p>
    <w:p>
      <w:pPr>
        <w:pStyle w:val="BodyText"/>
        <w:spacing w:line="300" w:lineRule="auto" w:before="115"/>
        <w:ind w:right="378"/>
        <w:jc w:val="left"/>
      </w:pPr>
      <w:r>
        <w:rPr>
          <w:rFonts w:ascii="Times New Roman" w:hAnsi="Times New Roman" w:cs="Times New Roman" w:eastAsia="Times New Roman" w:hint="default"/>
        </w:rPr>
        <w:t>1</w:t>
      </w:r>
      <w:r>
        <w:rPr/>
        <w:t>、博海通讯 博海通讯主要业务为通讯产品、计算机软件的开发及销售，注册资本为</w:t>
      </w:r>
      <w:r>
        <w:rPr>
          <w:rFonts w:ascii="Times New Roman" w:hAnsi="Times New Roman" w:cs="Times New Roman" w:eastAsia="Times New Roman" w:hint="default"/>
        </w:rPr>
        <w:t>600</w:t>
      </w:r>
      <w:r>
        <w:rPr/>
        <w:t>万元人民币，截止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日，总资产为 </w:t>
      </w:r>
      <w:r>
        <w:rPr>
          <w:rFonts w:ascii="Times New Roman" w:hAnsi="Times New Roman" w:cs="Times New Roman" w:eastAsia="Times New Roman" w:hint="default"/>
        </w:rPr>
        <w:t>2,373,744.40</w:t>
      </w:r>
      <w:r>
        <w:rPr/>
        <w:t>元，净资产为</w:t>
      </w:r>
      <w:r>
        <w:rPr>
          <w:rFonts w:ascii="Times New Roman" w:hAnsi="Times New Roman" w:cs="Times New Roman" w:eastAsia="Times New Roman" w:hint="default"/>
        </w:rPr>
        <w:t>-19,448,507.21</w:t>
      </w:r>
      <w:r>
        <w:rPr/>
        <w:t>元；</w:t>
      </w:r>
      <w:r>
        <w:rPr>
          <w:rFonts w:ascii="Times New Roman" w:hAnsi="Times New Roman" w:cs="Times New Roman" w:eastAsia="Times New Roman" w:hint="default"/>
        </w:rPr>
        <w:t>2015</w:t>
      </w:r>
      <w:r>
        <w:rPr/>
        <w:t>年度共实现营业收入</w:t>
      </w:r>
      <w:r>
        <w:rPr>
          <w:rFonts w:ascii="Times New Roman" w:hAnsi="Times New Roman" w:cs="Times New Roman" w:eastAsia="Times New Roman" w:hint="default"/>
        </w:rPr>
        <w:t>1,384,739.49</w:t>
      </w:r>
      <w:r>
        <w:rPr/>
        <w:t>元，营业利润</w:t>
      </w:r>
      <w:r>
        <w:rPr>
          <w:rFonts w:ascii="Times New Roman" w:hAnsi="Times New Roman" w:cs="Times New Roman" w:eastAsia="Times New Roman" w:hint="default"/>
        </w:rPr>
        <w:t>-7,162,694.42</w:t>
      </w:r>
      <w:r>
        <w:rPr/>
        <w:t>元，净利润</w:t>
      </w:r>
    </w:p>
    <w:p>
      <w:pPr>
        <w:pStyle w:val="BodyText"/>
        <w:spacing w:line="240" w:lineRule="auto" w:before="13"/>
        <w:ind w:right="98"/>
        <w:jc w:val="left"/>
      </w:pPr>
      <w:r>
        <w:rPr>
          <w:rFonts w:ascii="Times New Roman" w:hAnsi="Times New Roman" w:cs="Times New Roman" w:eastAsia="Times New Roman" w:hint="default"/>
        </w:rPr>
        <w:t>-6,969,633.86</w:t>
      </w:r>
      <w:r>
        <w:rPr/>
        <w:t>元。</w:t>
      </w:r>
    </w:p>
    <w:p>
      <w:pPr>
        <w:pStyle w:val="BodyText"/>
        <w:spacing w:line="300" w:lineRule="auto" w:before="62"/>
        <w:ind w:right="98"/>
        <w:jc w:val="left"/>
      </w:pPr>
      <w:r>
        <w:rPr>
          <w:rFonts w:ascii="Times New Roman" w:hAnsi="Times New Roman" w:cs="Times New Roman" w:eastAsia="Times New Roman" w:hint="default"/>
        </w:rPr>
        <w:t>2</w:t>
      </w:r>
      <w:r>
        <w:rPr/>
        <w:t>、亚鸿世纪 亚鸿世纪主要业务为运营商相关业务，注册资本为</w:t>
      </w:r>
      <w:r>
        <w:rPr>
          <w:rFonts w:ascii="Times New Roman" w:hAnsi="Times New Roman" w:cs="Times New Roman" w:eastAsia="Times New Roman" w:hint="default"/>
        </w:rPr>
        <w:t>1000</w:t>
      </w:r>
      <w:r>
        <w:rPr/>
        <w:t>万元人民币。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日，公司第二届董事会第十八次会议审议 通过了《关于收购北京亚鸿世纪科技发展有限公司</w:t>
      </w:r>
      <w:r>
        <w:rPr>
          <w:rFonts w:ascii="Times New Roman" w:hAnsi="Times New Roman" w:cs="Times New Roman" w:eastAsia="Times New Roman" w:hint="default"/>
        </w:rPr>
        <w:t>51%</w:t>
      </w:r>
      <w:r>
        <w:rPr/>
        <w:t>股权的议案》，同意公司以自有资金</w:t>
      </w:r>
      <w:r>
        <w:rPr>
          <w:rFonts w:ascii="Times New Roman" w:hAnsi="Times New Roman" w:cs="Times New Roman" w:eastAsia="Times New Roman" w:hint="default"/>
        </w:rPr>
        <w:t>1500</w:t>
      </w:r>
      <w:r>
        <w:rPr/>
        <w:t>万元收购深圳市中科新业信 息科技发展有限公司持有的亚鸿世纪</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日，收购亚鸿世纪</w:t>
      </w:r>
      <w:r>
        <w:rPr>
          <w:rFonts w:ascii="Times New Roman" w:hAnsi="Times New Roman" w:cs="Times New Roman" w:eastAsia="Times New Roman" w:hint="default"/>
        </w:rPr>
        <w:t>51%</w:t>
      </w:r>
      <w:r>
        <w:rPr/>
        <w:t>股权相关工商变更登记手续已在北京市工商行 政管理局海淀分局办理完毕，亚鸿世纪取得了新颁发的《企业法人营业执照》。截至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日，前述股权收购相关款 </w:t>
      </w:r>
      <w:r>
        <w:rPr>
          <w:spacing w:val="-2"/>
        </w:rPr>
        <w:t>项已完成支付，公司在亚鸿世纪董事会合计</w:t>
      </w:r>
      <w:r>
        <w:rPr>
          <w:rFonts w:ascii="Times New Roman" w:hAnsi="Times New Roman" w:cs="Times New Roman" w:eastAsia="Times New Roman" w:hint="default"/>
          <w:spacing w:val="-2"/>
        </w:rPr>
        <w:t>3</w:t>
      </w:r>
      <w:r>
        <w:rPr>
          <w:spacing w:val="-2"/>
        </w:rPr>
        <w:t>名董事会成员中，占据</w:t>
      </w:r>
      <w:r>
        <w:rPr>
          <w:rFonts w:ascii="Times New Roman" w:hAnsi="Times New Roman" w:cs="Times New Roman" w:eastAsia="Times New Roman" w:hint="default"/>
          <w:spacing w:val="-2"/>
        </w:rPr>
        <w:t>2</w:t>
      </w:r>
      <w:r>
        <w:rPr>
          <w:spacing w:val="-2"/>
        </w:rPr>
        <w:t>席，并委派了总经理和财务负责人。自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w:t>
      </w:r>
      <w:r>
        <w:rPr>
          <w:spacing w:val="-61"/>
        </w:rPr>
        <w:t> </w:t>
      </w:r>
      <w:r>
        <w:rPr/>
        <w:t>公司将北京亚鸿纳入合并报表范围。</w:t>
      </w:r>
    </w:p>
    <w:p>
      <w:pPr>
        <w:pStyle w:val="BodyText"/>
        <w:spacing w:line="240" w:lineRule="auto" w:before="31"/>
        <w:ind w:right="98"/>
        <w:jc w:val="left"/>
      </w:pPr>
      <w:r>
        <w:rPr>
          <w:rFonts w:ascii="Times New Roman" w:hAnsi="Times New Roman" w:cs="Times New Roman" w:eastAsia="Times New Roman" w:hint="default"/>
        </w:rPr>
        <w:t>3</w:t>
      </w:r>
      <w:r>
        <w:rPr/>
        <w:t>、中新赛克</w:t>
      </w:r>
    </w:p>
    <w:p>
      <w:pPr>
        <w:pStyle w:val="BodyText"/>
        <w:spacing w:line="300" w:lineRule="auto" w:before="62"/>
        <w:ind w:right="19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日，公司第二届董事会第二十三次会议同意了公司以自有资金人民币</w:t>
      </w:r>
      <w:r>
        <w:rPr>
          <w:rFonts w:ascii="Times New Roman" w:hAnsi="Times New Roman" w:cs="Times New Roman" w:eastAsia="Times New Roman" w:hint="default"/>
          <w:spacing w:val="-2"/>
        </w:rPr>
        <w:t>4,898.135</w:t>
      </w:r>
      <w:r>
        <w:rPr>
          <w:rFonts w:ascii="Times New Roman" w:hAnsi="Times New Roman" w:cs="Times New Roman" w:eastAsia="Times New Roman" w:hint="default"/>
        </w:rPr>
        <w:t> </w:t>
      </w:r>
      <w:r>
        <w:rPr/>
        <w:t>万元向深圳市中新赛克科技股份</w:t>
      </w:r>
      <w:r>
        <w:rPr>
          <w:spacing w:val="-83"/>
        </w:rPr>
        <w:t> </w:t>
      </w:r>
      <w:r>
        <w:rPr>
          <w:spacing w:val="-2"/>
        </w:rPr>
        <w:t>有限公司增资；</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日，公司与相关权益方签署了公司向中新赛克增资的协议；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日，公司向中新赛克支</w:t>
      </w:r>
      <w:r>
        <w:rPr>
          <w:spacing w:val="-55"/>
        </w:rPr>
        <w:t> </w:t>
      </w:r>
      <w:r>
        <w:rPr>
          <w:spacing w:val="-55"/>
        </w:rPr>
      </w:r>
      <w:r>
        <w:rPr/>
        <w:t>付了前述增资款，获得中新赛克</w:t>
      </w:r>
      <w:r>
        <w:rPr>
          <w:rFonts w:ascii="Times New Roman" w:hAnsi="Times New Roman" w:cs="Times New Roman" w:eastAsia="Times New Roman" w:hint="default"/>
        </w:rPr>
        <w:t>4.10%</w:t>
      </w:r>
      <w:r>
        <w:rPr/>
        <w:t>的股权。</w:t>
      </w:r>
    </w:p>
    <w:p>
      <w:pPr>
        <w:pStyle w:val="BodyText"/>
        <w:spacing w:line="240" w:lineRule="auto" w:before="13"/>
        <w:ind w:right="98"/>
        <w:jc w:val="left"/>
      </w:pPr>
      <w:r>
        <w:rPr>
          <w:rFonts w:ascii="Times New Roman" w:hAnsi="Times New Roman" w:cs="Times New Roman" w:eastAsia="Times New Roman" w:hint="default"/>
        </w:rPr>
        <w:t>4</w:t>
      </w:r>
      <w:r>
        <w:rPr/>
        <w:t>、中天信安</w:t>
      </w:r>
    </w:p>
    <w:p>
      <w:pPr>
        <w:pStyle w:val="BodyText"/>
        <w:spacing w:line="300" w:lineRule="auto" w:before="62"/>
        <w:ind w:left="153" w:right="192" w:hanging="1"/>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2012</w:t>
      </w:r>
      <w:r>
        <w:rPr/>
        <w:t>年第三次临时股东大会审议通过了关于使用超募资金</w:t>
      </w:r>
      <w:r>
        <w:rPr>
          <w:rFonts w:ascii="Times New Roman" w:hAnsi="Times New Roman" w:cs="Times New Roman" w:eastAsia="Times New Roman" w:hint="default"/>
        </w:rPr>
        <w:t>500</w:t>
      </w:r>
      <w:r>
        <w:rPr/>
        <w:t>万元向北京中天信安科技有限责任公司增 </w:t>
      </w:r>
      <w:r>
        <w:rPr>
          <w:spacing w:val="-2"/>
        </w:rPr>
        <w:t>资的议案；</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日，本公司与中天信安及其股东刘宏伟、刘健签订增资扩股协议，以人民币</w:t>
      </w:r>
      <w:r>
        <w:rPr>
          <w:rFonts w:ascii="Times New Roman" w:hAnsi="Times New Roman" w:cs="Times New Roman" w:eastAsia="Times New Roman" w:hint="default"/>
          <w:spacing w:val="-2"/>
        </w:rPr>
        <w:t>500</w:t>
      </w:r>
      <w:r>
        <w:rPr>
          <w:spacing w:val="-2"/>
        </w:rPr>
        <w:t>万元向中天信安增资，增资</w:t>
      </w:r>
      <w:r>
        <w:rPr>
          <w:spacing w:val="-62"/>
        </w:rPr>
        <w:t> </w:t>
      </w:r>
      <w:r>
        <w:rPr>
          <w:spacing w:val="-62"/>
        </w:rPr>
      </w:r>
      <w:r>
        <w:rPr>
          <w:spacing w:val="-1"/>
        </w:rPr>
        <w:t>完成后本公司占中天信安</w:t>
      </w:r>
      <w:r>
        <w:rPr>
          <w:rFonts w:ascii="Times New Roman" w:hAnsi="Times New Roman" w:cs="Times New Roman" w:eastAsia="Times New Roman" w:hint="default"/>
          <w:spacing w:val="-1"/>
        </w:rPr>
        <w:t>20%</w:t>
      </w:r>
      <w:r>
        <w:rPr>
          <w:spacing w:val="-1"/>
        </w:rPr>
        <w:t>的股权比例，中天信安的注册资本由</w:t>
      </w:r>
      <w:r>
        <w:rPr>
          <w:rFonts w:ascii="Times New Roman" w:hAnsi="Times New Roman" w:cs="Times New Roman" w:eastAsia="Times New Roman" w:hint="default"/>
          <w:spacing w:val="-1"/>
        </w:rPr>
        <w:t>1000</w:t>
      </w:r>
      <w:r>
        <w:rPr>
          <w:spacing w:val="-1"/>
        </w:rPr>
        <w:t>万变为</w:t>
      </w:r>
      <w:r>
        <w:rPr>
          <w:rFonts w:ascii="Times New Roman" w:hAnsi="Times New Roman" w:cs="Times New Roman" w:eastAsia="Times New Roman" w:hint="default"/>
          <w:spacing w:val="-1"/>
        </w:rPr>
        <w:t>1250</w:t>
      </w:r>
      <w:r>
        <w:rPr>
          <w:spacing w:val="-1"/>
        </w:rPr>
        <w:t>万元；</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6</w:t>
      </w:r>
      <w:r>
        <w:rPr>
          <w:spacing w:val="-1"/>
        </w:rPr>
        <w:t>日，完成了相关的工商变更登</w:t>
      </w:r>
      <w:r>
        <w:rPr/>
        <w:t> 记手续。</w:t>
      </w:r>
    </w:p>
    <w:p>
      <w:pPr>
        <w:pStyle w:val="BodyText"/>
        <w:spacing w:line="240" w:lineRule="auto" w:before="31"/>
        <w:ind w:left="153" w:right="98"/>
        <w:jc w:val="left"/>
      </w:pPr>
      <w:r>
        <w:rPr>
          <w:rFonts w:ascii="Times New Roman" w:hAnsi="Times New Roman" w:cs="Times New Roman" w:eastAsia="Times New Roman" w:hint="default"/>
        </w:rPr>
        <w:t>5</w:t>
      </w:r>
      <w:r>
        <w:rPr/>
        <w:t>、富海永成</w:t>
      </w:r>
    </w:p>
    <w:p>
      <w:pPr>
        <w:pStyle w:val="BodyText"/>
        <w:spacing w:line="300" w:lineRule="auto" w:before="62"/>
        <w:ind w:left="153" w:right="9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日，公司第二届董事会第十六次会议同意了公司作为有限合伙人，以自有资金</w:t>
      </w:r>
      <w:r>
        <w:rPr>
          <w:rFonts w:ascii="Times New Roman" w:hAnsi="Times New Roman" w:cs="Times New Roman" w:eastAsia="Times New Roman" w:hint="default"/>
        </w:rPr>
        <w:t>5,000</w:t>
      </w:r>
      <w:r>
        <w:rPr/>
        <w:t>万元人民币参与投资扬州市 </w:t>
      </w:r>
      <w:r>
        <w:rPr>
          <w:spacing w:val="-3"/>
        </w:rPr>
        <w:t>富海永成股权投资合伙企业（有限合伙），出资在两年内分两期缴付，</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日，公司缴付了第一期出资额</w:t>
      </w:r>
      <w:r>
        <w:rPr>
          <w:rFonts w:ascii="Times New Roman" w:hAnsi="Times New Roman" w:cs="Times New Roman" w:eastAsia="Times New Roman" w:hint="default"/>
          <w:spacing w:val="-3"/>
        </w:rPr>
        <w:t>2500</w:t>
      </w:r>
      <w:r>
        <w:rPr>
          <w:spacing w:val="-3"/>
        </w:rPr>
        <w:t>万元；</w:t>
      </w:r>
      <w:r>
        <w:rPr>
          <w:spacing w:val="-86"/>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日，公司收到第二期出资缴款通知书，要求公司缴付第二期出资款</w:t>
      </w:r>
      <w:r>
        <w:rPr>
          <w:rFonts w:ascii="Times New Roman" w:hAnsi="Times New Roman" w:cs="Times New Roman" w:eastAsia="Times New Roman" w:hint="default"/>
        </w:rPr>
        <w:t>2500</w:t>
      </w:r>
      <w:r>
        <w:rPr/>
        <w:t>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日，公司召开第二届董 事会第二十七次会议，决定不再向扬州市富海永成股权投资合伙企业（有限合伙）进行第二期出资。</w:t>
      </w:r>
    </w:p>
    <w:p>
      <w:pPr>
        <w:pStyle w:val="BodyText"/>
        <w:spacing w:line="240" w:lineRule="auto" w:before="31"/>
        <w:ind w:left="153" w:right="98"/>
        <w:jc w:val="left"/>
      </w:pPr>
      <w:r>
        <w:rPr>
          <w:rFonts w:ascii="Times New Roman" w:hAnsi="Times New Roman" w:cs="Times New Roman" w:eastAsia="Times New Roman" w:hint="default"/>
        </w:rPr>
        <w:t>6</w:t>
      </w:r>
      <w:r>
        <w:rPr/>
        <w:t>、创稷投资</w:t>
      </w:r>
    </w:p>
    <w:p>
      <w:pPr>
        <w:pStyle w:val="BodyText"/>
        <w:spacing w:line="240" w:lineRule="auto" w:before="62"/>
        <w:ind w:left="153" w:right="9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日，公司第二届董事会第二十三次会议同意了公司作为有限合伙人，以自有资金</w:t>
      </w:r>
      <w:r>
        <w:rPr>
          <w:rFonts w:ascii="Times New Roman" w:hAnsi="Times New Roman" w:cs="Times New Roman" w:eastAsia="Times New Roman" w:hint="default"/>
        </w:rPr>
        <w:t>5,000</w:t>
      </w:r>
      <w:r>
        <w:rPr/>
        <w:t>万元人民币参与投资上海</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8"/>
        <w:jc w:val="left"/>
      </w:pPr>
      <w:r>
        <w:rPr>
          <w:spacing w:val="-3"/>
        </w:rPr>
        <w:t>创稷投资中心（有限合伙），出资在两年内分两期缴付，其中首期缴付认缴出资总额的</w:t>
      </w:r>
      <w:r>
        <w:rPr>
          <w:rFonts w:ascii="Times New Roman" w:hAnsi="Times New Roman" w:cs="Times New Roman" w:eastAsia="Times New Roman" w:hint="default"/>
          <w:spacing w:val="-3"/>
        </w:rPr>
        <w:t>50%</w:t>
      </w:r>
      <w:r>
        <w:rPr>
          <w:spacing w:val="-3"/>
        </w:rPr>
        <w:t>，二期缴付认缴出资总额的</w:t>
      </w:r>
      <w:r>
        <w:rPr>
          <w:rFonts w:ascii="Times New Roman" w:hAnsi="Times New Roman" w:cs="Times New Roman" w:eastAsia="Times New Roman" w:hint="default"/>
          <w:spacing w:val="-3"/>
        </w:rPr>
        <w:t>50%</w:t>
      </w:r>
      <w:r>
        <w:rPr>
          <w:spacing w:val="-3"/>
        </w:rPr>
        <w:t>；</w:t>
      </w:r>
    </w:p>
    <w:p>
      <w:pPr>
        <w:pStyle w:val="BodyText"/>
        <w:spacing w:line="240" w:lineRule="auto" w:before="62"/>
        <w:ind w:right="9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日，公司收到了缴付出资款的通知书；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日，公司向创稷投资缴付了第一期出资款</w:t>
      </w:r>
      <w:r>
        <w:rPr>
          <w:rFonts w:ascii="Times New Roman" w:hAnsi="Times New Roman" w:cs="Times New Roman" w:eastAsia="Times New Roman" w:hint="default"/>
        </w:rPr>
        <w:t>2500</w:t>
      </w:r>
      <w:r>
        <w:rPr/>
        <w:t>万。</w:t>
      </w:r>
    </w:p>
    <w:p>
      <w:pPr>
        <w:spacing w:line="240" w:lineRule="auto" w:before="3"/>
        <w:rPr>
          <w:rFonts w:ascii="宋体" w:hAnsi="宋体" w:cs="宋体" w:eastAsia="宋体" w:hint="default"/>
          <w:sz w:val="24"/>
          <w:szCs w:val="24"/>
        </w:rPr>
      </w:pPr>
    </w:p>
    <w:p>
      <w:pPr>
        <w:pStyle w:val="Heading2"/>
        <w:spacing w:line="240" w:lineRule="auto"/>
        <w:ind w:right="98"/>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98"/>
        <w:jc w:val="left"/>
      </w:pPr>
      <w:r>
        <w:rPr/>
        <w:t>（一）公司未来发展展望</w:t>
      </w:r>
    </w:p>
    <w:p>
      <w:pPr>
        <w:pStyle w:val="BodyText"/>
        <w:spacing w:line="300" w:lineRule="auto" w:before="76"/>
        <w:ind w:left="512" w:right="184"/>
        <w:jc w:val="left"/>
      </w:pPr>
      <w:r>
        <w:rPr>
          <w:rFonts w:ascii="Times New Roman" w:hAnsi="Times New Roman" w:cs="Times New Roman" w:eastAsia="Times New Roman" w:hint="default"/>
        </w:rPr>
        <w:t>1</w:t>
      </w:r>
      <w:r>
        <w:rPr/>
        <w:t>、行业发展趋势 近年来，随着世界互联网的快速发展，全球网络安全事件呈快速上升趋势。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月，日本的国家养老金服务系统遭</w:t>
      </w:r>
    </w:p>
    <w:p>
      <w:pPr>
        <w:pStyle w:val="BodyText"/>
        <w:spacing w:line="300" w:lineRule="auto" w:before="13"/>
        <w:ind w:right="104" w:hanging="1"/>
        <w:jc w:val="both"/>
      </w:pPr>
      <w:r>
        <w:rPr/>
        <w:t>到了黑客的攻击，受到此次事件影响的人数大约为一百二十五万左右；</w:t>
      </w:r>
      <w:r>
        <w:rPr>
          <w:rFonts w:ascii="Times New Roman" w:hAnsi="Times New Roman" w:cs="Times New Roman" w:eastAsia="Times New Roman" w:hint="default"/>
        </w:rPr>
        <w:t>6</w:t>
      </w:r>
      <w:r>
        <w:rPr/>
        <w:t>月，臭名昭著的</w:t>
      </w:r>
      <w:r>
        <w:rPr>
          <w:rFonts w:ascii="Times New Roman" w:hAnsi="Times New Roman" w:cs="Times New Roman" w:eastAsia="Times New Roman" w:hint="default"/>
        </w:rPr>
        <w:t>Hacking</w:t>
      </w:r>
      <w:r>
        <w:rPr>
          <w:rFonts w:ascii="Times New Roman" w:hAnsi="Times New Roman" w:cs="Times New Roman" w:eastAsia="Times New Roman" w:hint="default"/>
          <w:spacing w:val="21"/>
        </w:rPr>
        <w:t> </w:t>
      </w:r>
      <w:r>
        <w:rPr>
          <w:rFonts w:ascii="Times New Roman" w:hAnsi="Times New Roman" w:cs="Times New Roman" w:eastAsia="Times New Roman" w:hint="default"/>
        </w:rPr>
        <w:t>Team</w:t>
      </w:r>
      <w:r>
        <w:rPr/>
        <w:t>发生了一起严重的数 </w:t>
      </w:r>
      <w:r>
        <w:rPr>
          <w:spacing w:val="-4"/>
        </w:rPr>
        <w:t>据泄漏事件；</w:t>
      </w:r>
      <w:r>
        <w:rPr>
          <w:rFonts w:ascii="Times New Roman" w:hAnsi="Times New Roman" w:cs="Times New Roman" w:eastAsia="Times New Roman" w:hint="default"/>
          <w:spacing w:val="-4"/>
        </w:rPr>
        <w:t>7</w:t>
      </w:r>
      <w:r>
        <w:rPr>
          <w:spacing w:val="-4"/>
        </w:rPr>
        <w:t>月，黑客成功入侵了网络约会交友的门户网站</w:t>
      </w:r>
      <w:r>
        <w:rPr>
          <w:rFonts w:ascii="Times New Roman" w:hAnsi="Times New Roman" w:cs="Times New Roman" w:eastAsia="Times New Roman" w:hint="default"/>
          <w:spacing w:val="-4"/>
        </w:rPr>
        <w:t>“Ashley</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Madison”</w:t>
      </w:r>
      <w:r>
        <w:rPr>
          <w:spacing w:val="-3"/>
        </w:rPr>
        <w:t>等。而根据</w:t>
      </w:r>
      <w:r>
        <w:rPr>
          <w:color w:val="202020"/>
          <w:spacing w:val="-3"/>
        </w:rPr>
        <w:t>中国互联网络信息中心</w:t>
      </w:r>
      <w:r>
        <w:rPr>
          <w:color w:val="202020"/>
          <w:spacing w:val="-12"/>
        </w:rPr>
        <w:t> </w:t>
      </w:r>
      <w:r>
        <w:rPr>
          <w:rFonts w:ascii="Times New Roman" w:hAnsi="Times New Roman" w:cs="Times New Roman" w:eastAsia="Times New Roman" w:hint="default"/>
          <w:color w:val="202020"/>
        </w:rPr>
        <w:t>(CNNIC)</w:t>
      </w:r>
      <w:r>
        <w:rPr>
          <w:rFonts w:ascii="Times New Roman" w:hAnsi="Times New Roman" w:cs="Times New Roman" w:eastAsia="Times New Roman" w:hint="default"/>
          <w:color w:val="202020"/>
          <w:spacing w:val="35"/>
        </w:rPr>
        <w:t> </w:t>
      </w:r>
      <w:r>
        <w:rPr>
          <w:color w:val="202020"/>
        </w:rPr>
        <w:t>发</w:t>
      </w:r>
      <w:r>
        <w:rPr>
          <w:color w:val="202020"/>
          <w:spacing w:val="-83"/>
        </w:rPr>
        <w:t> </w:t>
      </w:r>
      <w:r>
        <w:rPr>
          <w:color w:val="202020"/>
        </w:rPr>
        <w:t>布的《第</w:t>
      </w:r>
      <w:r>
        <w:rPr>
          <w:rFonts w:ascii="Times New Roman" w:hAnsi="Times New Roman" w:cs="Times New Roman" w:eastAsia="Times New Roman" w:hint="default"/>
          <w:color w:val="202020"/>
        </w:rPr>
        <w:t>37</w:t>
      </w:r>
      <w:r>
        <w:rPr>
          <w:color w:val="202020"/>
        </w:rPr>
        <w:t>次中国互联网络发展状况统计报告》显示，截至</w:t>
      </w:r>
      <w:r>
        <w:rPr>
          <w:rFonts w:ascii="Times New Roman" w:hAnsi="Times New Roman" w:cs="Times New Roman" w:eastAsia="Times New Roman" w:hint="default"/>
          <w:color w:val="202020"/>
        </w:rPr>
        <w:t>2015</w:t>
      </w:r>
      <w:r>
        <w:rPr>
          <w:color w:val="202020"/>
        </w:rPr>
        <w:t>年</w:t>
      </w:r>
      <w:r>
        <w:rPr>
          <w:rFonts w:ascii="Times New Roman" w:hAnsi="Times New Roman" w:cs="Times New Roman" w:eastAsia="Times New Roman" w:hint="default"/>
          <w:color w:val="202020"/>
        </w:rPr>
        <w:t>12</w:t>
      </w:r>
      <w:r>
        <w:rPr>
          <w:color w:val="202020"/>
        </w:rPr>
        <w:t>月，中国网民规模达</w:t>
      </w:r>
      <w:r>
        <w:rPr>
          <w:rFonts w:ascii="Times New Roman" w:hAnsi="Times New Roman" w:cs="Times New Roman" w:eastAsia="Times New Roman" w:hint="default"/>
          <w:color w:val="202020"/>
        </w:rPr>
        <w:t>6.88</w:t>
      </w:r>
      <w:r>
        <w:rPr>
          <w:color w:val="202020"/>
        </w:rPr>
        <w:t>亿，互联网普及率为</w:t>
      </w:r>
      <w:r>
        <w:rPr>
          <w:rFonts w:ascii="Times New Roman" w:hAnsi="Times New Roman" w:cs="Times New Roman" w:eastAsia="Times New Roman" w:hint="default"/>
          <w:color w:val="202020"/>
        </w:rPr>
        <w:t>50.3%</w:t>
      </w:r>
      <w:r>
        <w:rPr>
          <w:color w:val="202020"/>
        </w:rPr>
        <w:t>；</w:t>
      </w:r>
      <w:r>
        <w:rPr>
          <w:color w:val="202020"/>
          <w:spacing w:val="-62"/>
        </w:rPr>
        <w:t> </w:t>
      </w:r>
      <w:r>
        <w:rPr/>
        <w:t>固定宽带覆盖到全国所有城市、乡镇和</w:t>
      </w:r>
      <w:r>
        <w:rPr>
          <w:rFonts w:ascii="Times New Roman" w:hAnsi="Times New Roman" w:cs="Times New Roman" w:eastAsia="Times New Roman" w:hint="default"/>
        </w:rPr>
        <w:t>90%</w:t>
      </w:r>
      <w:r>
        <w:rPr/>
        <w:t>以上的行政村；</w:t>
      </w:r>
      <w:r>
        <w:rPr>
          <w:color w:val="202020"/>
        </w:rPr>
        <w:t>手机网民规模达</w:t>
      </w:r>
      <w:r>
        <w:rPr>
          <w:rFonts w:ascii="Times New Roman" w:hAnsi="Times New Roman" w:cs="Times New Roman" w:eastAsia="Times New Roman" w:hint="default"/>
          <w:color w:val="202020"/>
        </w:rPr>
        <w:t>6.2</w:t>
      </w:r>
      <w:r>
        <w:rPr>
          <w:color w:val="202020"/>
        </w:rPr>
        <w:t>亿，占比提升至</w:t>
      </w:r>
      <w:r>
        <w:rPr>
          <w:rFonts w:ascii="Times New Roman" w:hAnsi="Times New Roman" w:cs="Times New Roman" w:eastAsia="Times New Roman" w:hint="default"/>
          <w:color w:val="202020"/>
        </w:rPr>
        <w:t>90.1%</w:t>
      </w:r>
      <w:r>
        <w:rPr>
          <w:color w:val="202020"/>
        </w:rPr>
        <w:t>，无线网络覆盖明显提</w:t>
      </w:r>
      <w:r>
        <w:rPr>
          <w:color w:val="202020"/>
          <w:w w:val="99"/>
        </w:rPr>
        <w:t> </w:t>
      </w:r>
      <w:r>
        <w:rPr>
          <w:color w:val="202020"/>
          <w:spacing w:val="-3"/>
        </w:rPr>
        <w:t>升，网民</w:t>
      </w:r>
      <w:r>
        <w:rPr>
          <w:rFonts w:ascii="Times New Roman" w:hAnsi="Times New Roman" w:cs="Times New Roman" w:eastAsia="Times New Roman" w:hint="default"/>
          <w:color w:val="202020"/>
          <w:spacing w:val="-3"/>
        </w:rPr>
        <w:t>Wi-Fi</w:t>
      </w:r>
      <w:r>
        <w:rPr>
          <w:color w:val="202020"/>
          <w:spacing w:val="-3"/>
        </w:rPr>
        <w:t>使用率达到</w:t>
      </w:r>
      <w:r>
        <w:rPr>
          <w:rFonts w:ascii="Times New Roman" w:hAnsi="Times New Roman" w:cs="Times New Roman" w:eastAsia="Times New Roman" w:hint="default"/>
          <w:color w:val="202020"/>
          <w:spacing w:val="-3"/>
        </w:rPr>
        <w:t>91.8%</w:t>
      </w:r>
      <w:r>
        <w:rPr>
          <w:spacing w:val="-3"/>
        </w:rPr>
        <w:t>。如此庞大的网名数量及网络覆盖率，也使得中国面临了日益严峻的国际国内网络安全形势。</w:t>
      </w:r>
    </w:p>
    <w:p>
      <w:pPr>
        <w:pStyle w:val="BodyText"/>
        <w:spacing w:line="316" w:lineRule="auto" w:before="13"/>
        <w:ind w:right="190" w:firstLine="360"/>
        <w:jc w:val="both"/>
      </w:pPr>
      <w:r>
        <w:rPr>
          <w:spacing w:val="-2"/>
        </w:rPr>
        <w:t>面对严峻的网络安全形势，党中央提出了网络空间安全的概念，使得网络空间安全成为继陆、海、空、天之后的第五大</w:t>
      </w:r>
      <w:r>
        <w:rPr/>
        <w:t> </w:t>
      </w:r>
      <w:r>
        <w:rPr>
          <w:spacing w:val="-2"/>
        </w:rPr>
        <w:t>主权领域空间；国家积极出台各项支持网络安全产业发展政策，高度重视国内网络安全市场的发展；习近平总书记在世界互</w:t>
      </w:r>
      <w:r>
        <w:rPr>
          <w:spacing w:val="-63"/>
        </w:rPr>
        <w:t> </w:t>
      </w:r>
      <w:r>
        <w:rPr>
          <w:spacing w:val="-63"/>
        </w:rPr>
      </w:r>
      <w:r>
        <w:rPr>
          <w:spacing w:val="-2"/>
        </w:rPr>
        <w:t>联网大会上提出了共同构建和平、安全、开放、合作的网络空间，建立多边、民主、透明的全球互联网治理体系。受益于国</w:t>
      </w:r>
      <w:r>
        <w:rPr>
          <w:spacing w:val="-73"/>
        </w:rPr>
        <w:t> </w:t>
      </w:r>
      <w:r>
        <w:rPr>
          <w:spacing w:val="-73"/>
        </w:rPr>
      </w:r>
      <w:r>
        <w:rPr/>
        <w:t>内政策的影响，网络信息安全行业的发展趋势将主要有以下几方面。</w:t>
      </w:r>
    </w:p>
    <w:p>
      <w:pPr>
        <w:pStyle w:val="BodyText"/>
        <w:spacing w:line="240" w:lineRule="auto" w:before="18"/>
        <w:ind w:left="512" w:right="98"/>
        <w:jc w:val="left"/>
      </w:pPr>
      <w:r>
        <w:rPr/>
        <w:t>（</w:t>
      </w:r>
      <w:r>
        <w:rPr>
          <w:rFonts w:ascii="Times New Roman" w:hAnsi="Times New Roman" w:cs="Times New Roman" w:eastAsia="Times New Roman" w:hint="default"/>
        </w:rPr>
        <w:t>1</w:t>
      </w:r>
      <w:r>
        <w:rPr/>
        <w:t>）网络安全行业迎来爆发式增长机遇</w:t>
      </w:r>
    </w:p>
    <w:p>
      <w:pPr>
        <w:pStyle w:val="BodyText"/>
        <w:spacing w:line="309" w:lineRule="auto" w:before="62"/>
        <w:ind w:right="92" w:firstLine="359"/>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日，《中华人民共和国国家安全法》首次提出网络空间主权这一概念，是国家安全法的一大创新。第二十五</w:t>
      </w:r>
      <w:r>
        <w:rPr/>
        <w:t> 条规定：加强网络管理，防范、制止和依法惩治网络攻击、网络入侵、网络窃密、散布违法有害信息等网络违法犯罪行为， </w:t>
      </w:r>
      <w:r>
        <w:rPr>
          <w:spacing w:val="-2"/>
        </w:rPr>
        <w:t>维护国家网络空间主权、安全和发展利益。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日，《中华人民共和国网络安全法</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》正式向社会公开征求意见，</w:t>
      </w:r>
      <w:r>
        <w:rPr>
          <w:spacing w:val="-88"/>
        </w:rPr>
        <w:t> </w:t>
      </w:r>
      <w:r>
        <w:rPr>
          <w:spacing w:val="-88"/>
        </w:rPr>
      </w:r>
      <w:r>
        <w:rPr>
          <w:spacing w:val="-2"/>
        </w:rPr>
        <w:t>规定了对关键信息基础设施的安全供应商进行安全审查的条件；要求网络运营者应当建立健全用户信息保护制度，加强对用</w:t>
      </w:r>
      <w:r>
        <w:rPr>
          <w:spacing w:val="-64"/>
        </w:rPr>
        <w:t> </w:t>
      </w:r>
      <w:r>
        <w:rPr>
          <w:spacing w:val="-64"/>
        </w:rPr>
      </w:r>
      <w:r>
        <w:rPr/>
        <w:t>户个人信息、隐私和商业秘密的保护；明确指出了网络安全监测预警与应急处置的条款。</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规划提出，统筹网络安全 和信息化发展，完善国家网络安全保障体系，强化重要信息系统和数据资源保护，提高网络治理能力，保障国家信息安全； </w:t>
      </w:r>
      <w:r>
        <w:rPr>
          <w:spacing w:val="-2"/>
        </w:rPr>
        <w:t>制定实施政治、国土、经济、社会、资源、网络等重点领域国家安全政策，加强国家安全科技和装备建设，建立健全国家安</w:t>
      </w:r>
      <w:r>
        <w:rPr>
          <w:spacing w:val="-73"/>
        </w:rPr>
        <w:t> </w:t>
      </w:r>
      <w:r>
        <w:rPr>
          <w:spacing w:val="-73"/>
        </w:rPr>
      </w:r>
      <w:r>
        <w:rPr/>
        <w:t>全监测预警体系，强化不同领域监测预警系统的高效整合，提升安全信息搜集分析和处理能力，网络强国战略</w:t>
      </w:r>
      <w:r>
        <w:rPr>
          <w:rFonts w:ascii="Times New Roman" w:hAnsi="Times New Roman" w:cs="Times New Roman" w:eastAsia="Times New Roman" w:hint="default"/>
        </w:rPr>
        <w:t>”</w:t>
      </w:r>
      <w:r>
        <w:rPr/>
        <w:t>被纳入</w:t>
      </w:r>
      <w:r>
        <w:rPr>
          <w:rFonts w:ascii="Times New Roman" w:hAnsi="Times New Roman" w:cs="Times New Roman" w:eastAsia="Times New Roman" w:hint="default"/>
        </w:rPr>
        <w:t>“</w:t>
      </w:r>
      <w:r>
        <w:rPr/>
        <w:t>十三 五</w:t>
      </w:r>
      <w:r>
        <w:rPr>
          <w:rFonts w:ascii="Times New Roman" w:hAnsi="Times New Roman" w:cs="Times New Roman" w:eastAsia="Times New Roman" w:hint="default"/>
        </w:rPr>
        <w:t>”</w:t>
      </w:r>
      <w:r>
        <w:rPr/>
        <w:t>规划。</w:t>
      </w:r>
    </w:p>
    <w:p>
      <w:pPr>
        <w:pStyle w:val="BodyText"/>
        <w:spacing w:line="300" w:lineRule="auto" w:before="5"/>
        <w:ind w:left="513" w:right="98"/>
        <w:jc w:val="left"/>
      </w:pPr>
      <w:r>
        <w:rPr/>
        <w:t>（</w:t>
      </w:r>
      <w:r>
        <w:rPr>
          <w:rFonts w:ascii="Times New Roman" w:hAnsi="Times New Roman" w:cs="Times New Roman" w:eastAsia="Times New Roman" w:hint="default"/>
        </w:rPr>
        <w:t>2</w:t>
      </w:r>
      <w:r>
        <w:rPr/>
        <w:t>）网络安全产品种类不断丰富 </w:t>
      </w:r>
      <w:r>
        <w:rPr>
          <w:spacing w:val="-2"/>
        </w:rPr>
        <w:t>近年来，国内安全产业规模和企业数量持续增长，产品种类不断丰富，我国网络与信息安全产业规模持续增长，年增长</w:t>
      </w:r>
    </w:p>
    <w:p>
      <w:pPr>
        <w:pStyle w:val="BodyText"/>
        <w:spacing w:line="309" w:lineRule="auto" w:before="31"/>
        <w:ind w:left="153" w:right="98"/>
        <w:jc w:val="left"/>
      </w:pPr>
      <w:r>
        <w:rPr>
          <w:spacing w:val="-3"/>
        </w:rPr>
        <w:t>率均超过</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2014</w:t>
      </w:r>
      <w:r>
        <w:rPr>
          <w:spacing w:val="-3"/>
        </w:rPr>
        <w:t>年已升至约</w:t>
      </w:r>
      <w:r>
        <w:rPr>
          <w:rFonts w:ascii="Times New Roman" w:hAnsi="Times New Roman" w:cs="Times New Roman" w:eastAsia="Times New Roman" w:hint="default"/>
          <w:spacing w:val="-3"/>
        </w:rPr>
        <w:t>50</w:t>
      </w:r>
      <w:r>
        <w:rPr>
          <w:spacing w:val="-3"/>
        </w:rPr>
        <w:t>亿美元。在国内注册的安全相关企业数量已超过</w:t>
      </w:r>
      <w:r>
        <w:rPr>
          <w:rFonts w:ascii="Times New Roman" w:hAnsi="Times New Roman" w:cs="Times New Roman" w:eastAsia="Times New Roman" w:hint="default"/>
          <w:spacing w:val="-3"/>
        </w:rPr>
        <w:t>1000</w:t>
      </w:r>
      <w:r>
        <w:rPr>
          <w:spacing w:val="-3"/>
        </w:rPr>
        <w:t>家，业务年收人超亿元的企业</w:t>
      </w:r>
      <w:r>
        <w:rPr>
          <w:rFonts w:ascii="Times New Roman" w:hAnsi="Times New Roman" w:cs="Times New Roman" w:eastAsia="Times New Roman" w:hint="default"/>
          <w:spacing w:val="-3"/>
        </w:rPr>
        <w:t>20</w:t>
      </w:r>
      <w:r>
        <w:rPr>
          <w:spacing w:val="-3"/>
        </w:rPr>
        <w:t>余家，</w:t>
      </w:r>
      <w:r>
        <w:rPr>
          <w:spacing w:val="-56"/>
        </w:rPr>
        <w:t> </w:t>
      </w:r>
      <w:r>
        <w:rPr>
          <w:spacing w:val="-56"/>
        </w:rPr>
      </w:r>
      <w:r>
        <w:rPr>
          <w:spacing w:val="-2"/>
        </w:rPr>
        <w:t>并出现多家优质上市企业。同时，安全产品种类不断丰富，密码产品、防火墙、病毒防护、网络隔离、安全审计、备份恢复</w:t>
      </w:r>
      <w:r>
        <w:rPr>
          <w:spacing w:val="-65"/>
        </w:rPr>
        <w:t> </w:t>
      </w:r>
      <w:r>
        <w:rPr>
          <w:spacing w:val="-65"/>
        </w:rPr>
      </w:r>
      <w:r>
        <w:rPr/>
        <w:t>等技术领域产品研发取得明显进展，产品功能趋向集成化、系统化。</w:t>
      </w:r>
    </w:p>
    <w:p>
      <w:pPr>
        <w:pStyle w:val="BodyText"/>
        <w:spacing w:line="300" w:lineRule="auto" w:before="24"/>
        <w:ind w:left="513" w:right="98"/>
        <w:jc w:val="left"/>
      </w:pPr>
      <w:r>
        <w:rPr/>
        <w:t>（</w:t>
      </w:r>
      <w:r>
        <w:rPr>
          <w:rFonts w:ascii="Times New Roman" w:hAnsi="Times New Roman" w:cs="Times New Roman" w:eastAsia="Times New Roman" w:hint="default"/>
        </w:rPr>
        <w:t>3</w:t>
      </w:r>
      <w:r>
        <w:rPr/>
        <w:t>）网络安全产业和市场呈现快速发展趋势 </w:t>
      </w:r>
      <w:r>
        <w:rPr>
          <w:spacing w:val="-2"/>
        </w:rPr>
        <w:t>国际上，将网络与信息安全产业分为安全硬件、安全软件和安全服务三部分。我国安全产业结构较为完整，安全硬件占</w:t>
      </w:r>
    </w:p>
    <w:p>
      <w:pPr>
        <w:pStyle w:val="BodyText"/>
        <w:spacing w:line="304" w:lineRule="auto" w:before="31"/>
        <w:ind w:left="153" w:right="92"/>
        <w:jc w:val="left"/>
      </w:pPr>
      <w:r>
        <w:rPr>
          <w:spacing w:val="-2"/>
        </w:rPr>
        <w:t>据半壁江山，安全服务市场份额趋于上升，安全软件略有下降，国内信息安全市场仍然以安全硬件为主导，随着未来用户防</w:t>
      </w:r>
      <w:r>
        <w:rPr>
          <w:spacing w:val="-65"/>
        </w:rPr>
        <w:t> </w:t>
      </w:r>
      <w:r>
        <w:rPr>
          <w:spacing w:val="-65"/>
        </w:rPr>
      </w:r>
      <w:r>
        <w:rPr>
          <w:spacing w:val="-4"/>
        </w:rPr>
        <w:t>御水平的提高，产品服务化趋势的形成，将给行业带来更大的发展空间。截至</w:t>
      </w:r>
      <w:r>
        <w:rPr>
          <w:rFonts w:ascii="Times New Roman" w:hAnsi="Times New Roman" w:cs="Times New Roman" w:eastAsia="Times New Roman" w:hint="default"/>
          <w:spacing w:val="-4"/>
        </w:rPr>
        <w:t>2014</w:t>
      </w:r>
      <w:r>
        <w:rPr>
          <w:spacing w:val="-4"/>
        </w:rPr>
        <w:t>年，国内市场中三类产品的占比约为</w:t>
      </w:r>
      <w:r>
        <w:rPr>
          <w:spacing w:val="-23"/>
        </w:rPr>
        <w:t> </w:t>
      </w:r>
      <w:r>
        <w:rPr>
          <w:rFonts w:ascii="Times New Roman" w:hAnsi="Times New Roman" w:cs="Times New Roman" w:eastAsia="Times New Roman" w:hint="default"/>
        </w:rPr>
        <w:t>53%</w:t>
      </w:r>
      <w:r>
        <w:rPr/>
        <w:t>、 </w:t>
      </w:r>
      <w:r>
        <w:rPr>
          <w:rFonts w:ascii="Times New Roman" w:hAnsi="Times New Roman" w:cs="Times New Roman" w:eastAsia="Times New Roman" w:hint="default"/>
        </w:rPr>
        <w:t>25%</w:t>
      </w:r>
      <w:r>
        <w:rPr/>
        <w:t>和</w:t>
      </w:r>
      <w:r>
        <w:rPr>
          <w:rFonts w:ascii="Times New Roman" w:hAnsi="Times New Roman" w:cs="Times New Roman" w:eastAsia="Times New Roman" w:hint="default"/>
        </w:rPr>
        <w:t>22%</w:t>
      </w:r>
      <w:r>
        <w:rPr/>
        <w:t>，而全球来看这一产品比例分别为</w:t>
      </w:r>
      <w:r>
        <w:rPr>
          <w:rFonts w:ascii="Times New Roman" w:hAnsi="Times New Roman" w:cs="Times New Roman" w:eastAsia="Times New Roman" w:hint="default"/>
        </w:rPr>
        <w:t>16%</w:t>
      </w:r>
      <w:r>
        <w:rPr/>
        <w:t>、</w:t>
      </w:r>
      <w:r>
        <w:rPr>
          <w:rFonts w:ascii="Times New Roman" w:hAnsi="Times New Roman" w:cs="Times New Roman" w:eastAsia="Times New Roman" w:hint="default"/>
        </w:rPr>
        <w:t>57%</w:t>
      </w:r>
      <w:r>
        <w:rPr/>
        <w:t>、</w:t>
      </w:r>
      <w:r>
        <w:rPr>
          <w:rFonts w:ascii="Times New Roman" w:hAnsi="Times New Roman" w:cs="Times New Roman" w:eastAsia="Times New Roman" w:hint="default"/>
        </w:rPr>
        <w:t>27%</w:t>
      </w:r>
      <w:r>
        <w:rPr/>
        <w:t>，预计未来安全软件与安全服务将迎来更广阔的发展空间。 据预计，</w:t>
      </w:r>
      <w:r>
        <w:rPr>
          <w:rFonts w:ascii="Times New Roman" w:hAnsi="Times New Roman" w:cs="Times New Roman" w:eastAsia="Times New Roman" w:hint="default"/>
        </w:rPr>
        <w:t>2015</w:t>
      </w:r>
      <w:r>
        <w:rPr/>
        <w:t>年我国网络安全产业规模增长超过</w:t>
      </w:r>
      <w:r>
        <w:rPr>
          <w:rFonts w:ascii="Times New Roman" w:hAnsi="Times New Roman" w:cs="Times New Roman" w:eastAsia="Times New Roman" w:hint="default"/>
        </w:rPr>
        <w:t>30%</w:t>
      </w:r>
      <w:r>
        <w:rPr/>
        <w:t>，产业规模突破</w:t>
      </w:r>
      <w:r>
        <w:rPr>
          <w:rFonts w:ascii="Times New Roman" w:hAnsi="Times New Roman" w:cs="Times New Roman" w:eastAsia="Times New Roman" w:hint="default"/>
        </w:rPr>
        <w:t>670</w:t>
      </w:r>
      <w:r>
        <w:rPr/>
        <w:t>亿元。而市场调研机构</w:t>
      </w:r>
      <w:r>
        <w:rPr>
          <w:rFonts w:ascii="Times New Roman" w:hAnsi="Times New Roman" w:cs="Times New Roman" w:eastAsia="Times New Roman" w:hint="default"/>
        </w:rPr>
        <w:t>Gartner</w:t>
      </w:r>
      <w:r>
        <w:rPr/>
        <w:t>最新的一份预测报告</w:t>
      </w:r>
      <w:r>
        <w:rPr>
          <w:w w:val="99"/>
        </w:rPr>
        <w:t> </w:t>
      </w:r>
      <w:r>
        <w:rPr/>
        <w:t>称，</w:t>
      </w:r>
      <w:r>
        <w:rPr>
          <w:rFonts w:ascii="Times New Roman" w:hAnsi="Times New Roman" w:cs="Times New Roman" w:eastAsia="Times New Roman" w:hint="default"/>
        </w:rPr>
        <w:t>2015</w:t>
      </w:r>
      <w:r>
        <w:rPr/>
        <w:t>年全球信息安全支出将达到</w:t>
      </w:r>
      <w:r>
        <w:rPr>
          <w:rFonts w:ascii="Times New Roman" w:hAnsi="Times New Roman" w:cs="Times New Roman" w:eastAsia="Times New Roman" w:hint="default"/>
        </w:rPr>
        <w:t>750</w:t>
      </w:r>
      <w:r>
        <w:rPr/>
        <w:t>亿美，较</w:t>
      </w:r>
      <w:r>
        <w:rPr>
          <w:rFonts w:ascii="Times New Roman" w:hAnsi="Times New Roman" w:cs="Times New Roman" w:eastAsia="Times New Roman" w:hint="default"/>
        </w:rPr>
        <w:t>2014</w:t>
      </w:r>
      <w:r>
        <w:rPr/>
        <w:t>年增长</w:t>
      </w:r>
      <w:r>
        <w:rPr>
          <w:rFonts w:ascii="Times New Roman" w:hAnsi="Times New Roman" w:cs="Times New Roman" w:eastAsia="Times New Roman" w:hint="default"/>
        </w:rPr>
        <w:t>4.7%</w:t>
      </w:r>
      <w:r>
        <w:rPr/>
        <w:t>。安全咨询机构</w:t>
      </w:r>
      <w:r>
        <w:rPr>
          <w:rFonts w:ascii="Times New Roman" w:hAnsi="Times New Roman" w:cs="Times New Roman" w:eastAsia="Times New Roman" w:hint="default"/>
        </w:rPr>
        <w:t>SSP</w:t>
      </w:r>
      <w:r>
        <w:rPr>
          <w:rFonts w:ascii="Times New Roman" w:hAnsi="Times New Roman" w:cs="Times New Roman" w:eastAsia="Times New Roman" w:hint="default"/>
          <w:spacing w:val="-2"/>
        </w:rPr>
        <w:t> </w:t>
      </w:r>
      <w:r>
        <w:rPr>
          <w:rFonts w:ascii="Times New Roman" w:hAnsi="Times New Roman" w:cs="Times New Roman" w:eastAsia="Times New Roman" w:hint="default"/>
        </w:rPr>
        <w:t>Blue</w:t>
      </w:r>
      <w:r>
        <w:rPr/>
        <w:t>公司则预测，到</w:t>
      </w:r>
      <w:r>
        <w:rPr>
          <w:rFonts w:ascii="Times New Roman" w:hAnsi="Times New Roman" w:cs="Times New Roman" w:eastAsia="Times New Roman" w:hint="default"/>
        </w:rPr>
        <w:t>2020</w:t>
      </w:r>
      <w:r>
        <w:rPr/>
        <w:t>年，全球网 络安全市场规模将达</w:t>
      </w:r>
      <w:r>
        <w:rPr>
          <w:rFonts w:ascii="Times New Roman" w:hAnsi="Times New Roman" w:cs="Times New Roman" w:eastAsia="Times New Roman" w:hint="default"/>
        </w:rPr>
        <w:t>1700</w:t>
      </w:r>
      <w:r>
        <w:rPr/>
        <w:t>亿美元。</w:t>
      </w:r>
    </w:p>
    <w:p>
      <w:pPr>
        <w:pStyle w:val="BodyText"/>
        <w:spacing w:line="240" w:lineRule="auto" w:before="9"/>
        <w:ind w:left="513" w:right="0"/>
        <w:jc w:val="left"/>
      </w:pPr>
      <w:r>
        <w:rPr/>
        <w:t>综上所述，随着国内网络安全产业政策环境不断改善，</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规划的逐步落实，国家网络安全政策的利好刺激，以及</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1"/>
        <w:jc w:val="both"/>
      </w:pPr>
      <w:r>
        <w:rPr>
          <w:spacing w:val="-2"/>
        </w:rPr>
        <w:t>国内网络安全需求的持续推动，网络安全产品竞争力将得到逐步提升，网络安全产业将呈现出快速发展趋势，网络安全产业</w:t>
      </w:r>
      <w:r>
        <w:rPr>
          <w:spacing w:val="-63"/>
        </w:rPr>
        <w:t> </w:t>
      </w:r>
      <w:r>
        <w:rPr>
          <w:spacing w:val="-63"/>
        </w:rPr>
      </w:r>
      <w:r>
        <w:rPr/>
        <w:t>必将迎来更大的发展契机。未来几年，我国网络安全行业有望迎来爆发式增长机遇。</w:t>
      </w:r>
    </w:p>
    <w:p>
      <w:pPr>
        <w:pStyle w:val="BodyText"/>
        <w:spacing w:line="300" w:lineRule="auto" w:before="18"/>
        <w:ind w:left="512" w:right="94"/>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年度发展计划 面临新的机遇及挑战，公司将继续致力于打造网络应用审计专家型企业，巩固现有市场优势，同时不断开拓新的领域，</w:t>
      </w:r>
    </w:p>
    <w:p>
      <w:pPr>
        <w:pStyle w:val="BodyText"/>
        <w:spacing w:line="240" w:lineRule="auto" w:before="31"/>
        <w:ind w:right="0"/>
        <w:jc w:val="both"/>
      </w:pPr>
      <w:r>
        <w:rPr/>
        <w:t>通过不断自主创新的技术、产品、方案及服务，继续保持业内优势地位。</w:t>
      </w:r>
      <w:r>
        <w:rPr>
          <w:rFonts w:ascii="Times New Roman" w:hAnsi="Times New Roman" w:cs="Times New Roman" w:eastAsia="Times New Roman" w:hint="default"/>
        </w:rPr>
        <w:t>2016</w:t>
      </w:r>
      <w:r>
        <w:rPr/>
        <w:t>年，公司将着重做好以下经营工作：</w:t>
      </w:r>
    </w:p>
    <w:p>
      <w:pPr>
        <w:pStyle w:val="BodyText"/>
        <w:spacing w:line="240" w:lineRule="auto" w:before="62"/>
        <w:ind w:left="512" w:right="98"/>
        <w:jc w:val="left"/>
      </w:pPr>
      <w:r>
        <w:rPr/>
        <w:t>（</w:t>
      </w:r>
      <w:r>
        <w:rPr>
          <w:rFonts w:ascii="Times New Roman" w:hAnsi="Times New Roman" w:cs="Times New Roman" w:eastAsia="Times New Roman" w:hint="default"/>
        </w:rPr>
        <w:t>1</w:t>
      </w:r>
      <w:r>
        <w:rPr/>
        <w:t>）巩固现有市场地位，积极开拓新市场</w:t>
      </w:r>
    </w:p>
    <w:p>
      <w:pPr>
        <w:pStyle w:val="BodyText"/>
        <w:spacing w:line="240" w:lineRule="auto" w:before="62"/>
        <w:ind w:left="512" w:right="98"/>
        <w:jc w:val="left"/>
      </w:pPr>
      <w:r>
        <w:rPr>
          <w:rFonts w:ascii="Times New Roman" w:hAnsi="Times New Roman" w:cs="Times New Roman" w:eastAsia="Times New Roman" w:hint="default"/>
        </w:rPr>
        <w:t>2015</w:t>
      </w:r>
      <w:r>
        <w:rPr/>
        <w:t>年，公司业绩实现快速增长，网络应用审计专家的品牌形象得到进一步强化。报告期内，公司实现营业总收入</w:t>
      </w:r>
    </w:p>
    <w:p>
      <w:pPr>
        <w:pStyle w:val="BodyText"/>
        <w:spacing w:line="307" w:lineRule="auto" w:before="62"/>
        <w:ind w:right="191"/>
        <w:jc w:val="both"/>
      </w:pPr>
      <w:r>
        <w:rPr>
          <w:rFonts w:ascii="Times New Roman" w:hAnsi="Times New Roman" w:cs="Times New Roman" w:eastAsia="Times New Roman" w:hint="default"/>
          <w:spacing w:val="-1"/>
        </w:rPr>
        <w:t>35,991.24</w:t>
      </w:r>
      <w:r>
        <w:rPr>
          <w:spacing w:val="-1"/>
        </w:rPr>
        <w:t>万元，较去年同期增长了</w:t>
      </w:r>
      <w:r>
        <w:rPr>
          <w:rFonts w:ascii="Times New Roman" w:hAnsi="Times New Roman" w:cs="Times New Roman" w:eastAsia="Times New Roman" w:hint="default"/>
          <w:spacing w:val="-1"/>
        </w:rPr>
        <w:t>21.27%</w:t>
      </w:r>
      <w:r>
        <w:rPr>
          <w:spacing w:val="-1"/>
        </w:rPr>
        <w:t>；实现营业利润</w:t>
      </w:r>
      <w:r>
        <w:rPr>
          <w:rFonts w:ascii="Times New Roman" w:hAnsi="Times New Roman" w:cs="Times New Roman" w:eastAsia="Times New Roman" w:hint="default"/>
          <w:spacing w:val="-1"/>
        </w:rPr>
        <w:t>46,39.86</w:t>
      </w:r>
      <w:r>
        <w:rPr>
          <w:spacing w:val="-1"/>
        </w:rPr>
        <w:t>万元，较上年同期增长</w:t>
      </w:r>
      <w:r>
        <w:rPr>
          <w:rFonts w:ascii="Times New Roman" w:hAnsi="Times New Roman" w:cs="Times New Roman" w:eastAsia="Times New Roman" w:hint="default"/>
          <w:spacing w:val="-1"/>
        </w:rPr>
        <w:t>49.67%</w:t>
      </w:r>
      <w:r>
        <w:rPr>
          <w:spacing w:val="-1"/>
        </w:rPr>
        <w:t>；实现归属母公司股东净利</w:t>
      </w:r>
      <w:r>
        <w:rPr>
          <w:spacing w:val="-55"/>
        </w:rPr>
        <w:t> </w:t>
      </w:r>
      <w:r>
        <w:rPr>
          <w:spacing w:val="-55"/>
        </w:rPr>
      </w:r>
      <w:r>
        <w:rPr>
          <w:spacing w:val="-1"/>
        </w:rPr>
        <w:t>润</w:t>
      </w:r>
      <w:r>
        <w:rPr>
          <w:rFonts w:ascii="Times New Roman" w:hAnsi="Times New Roman" w:cs="Times New Roman" w:eastAsia="Times New Roman" w:hint="default"/>
          <w:spacing w:val="-1"/>
        </w:rPr>
        <w:t>6,537.11</w:t>
      </w:r>
      <w:r>
        <w:rPr>
          <w:spacing w:val="-1"/>
        </w:rPr>
        <w:t>万元，同比上升</w:t>
      </w:r>
      <w:r>
        <w:rPr>
          <w:rFonts w:ascii="Times New Roman" w:hAnsi="Times New Roman" w:cs="Times New Roman" w:eastAsia="Times New Roman" w:hint="default"/>
          <w:spacing w:val="-1"/>
        </w:rPr>
        <w:t>58.07%</w:t>
      </w:r>
      <w:r>
        <w:rPr>
          <w:spacing w:val="-1"/>
        </w:rPr>
        <w:t>。</w:t>
      </w:r>
      <w:r>
        <w:rPr>
          <w:rFonts w:ascii="Times New Roman" w:hAnsi="Times New Roman" w:cs="Times New Roman" w:eastAsia="Times New Roman" w:hint="default"/>
          <w:spacing w:val="-1"/>
        </w:rPr>
        <w:t>2016</w:t>
      </w:r>
      <w:r>
        <w:rPr>
          <w:spacing w:val="-1"/>
        </w:rPr>
        <w:t>年，公司将积极巩固现有市场地位，在公安、网络资源管理业务现有基础上进一步</w:t>
      </w:r>
      <w:r>
        <w:rPr>
          <w:spacing w:val="-44"/>
        </w:rPr>
        <w:t> </w:t>
      </w:r>
      <w:r>
        <w:rPr>
          <w:spacing w:val="-44"/>
        </w:rPr>
      </w:r>
      <w:r>
        <w:rPr>
          <w:spacing w:val="-2"/>
        </w:rPr>
        <w:t>扩大产品和市场优势，继续重点培育网安业务；同时，积极推动公共场所无线网络的安全管理业务的推广和部署。目前，任</w:t>
      </w:r>
      <w:r>
        <w:rPr>
          <w:spacing w:val="-67"/>
        </w:rPr>
        <w:t> </w:t>
      </w:r>
      <w:r>
        <w:rPr>
          <w:spacing w:val="-67"/>
        </w:rPr>
      </w:r>
      <w:r>
        <w:rPr>
          <w:spacing w:val="-2"/>
        </w:rPr>
        <w:t>子行全面启动了</w:t>
      </w:r>
      <w:r>
        <w:rPr>
          <w:rFonts w:ascii="Times New Roman" w:hAnsi="Times New Roman" w:cs="Times New Roman" w:eastAsia="Times New Roman" w:hint="default"/>
          <w:spacing w:val="-2"/>
        </w:rPr>
        <w:t>“</w:t>
      </w:r>
      <w:r>
        <w:rPr>
          <w:spacing w:val="-2"/>
        </w:rPr>
        <w:t>扩大市场份额、提高研发能力、完善服务体系、打造强势品牌</w:t>
      </w:r>
      <w:r>
        <w:rPr>
          <w:rFonts w:ascii="Times New Roman" w:hAnsi="Times New Roman" w:cs="Times New Roman" w:eastAsia="Times New Roman" w:hint="default"/>
          <w:spacing w:val="-2"/>
        </w:rPr>
        <w:t>”</w:t>
      </w:r>
      <w:r>
        <w:rPr>
          <w:spacing w:val="-2"/>
        </w:rPr>
        <w:t>的四大战略。凭借先进的设计思路、领先的</w:t>
      </w:r>
      <w:r>
        <w:rPr>
          <w:spacing w:val="-47"/>
        </w:rPr>
        <w:t> </w:t>
      </w:r>
      <w:r>
        <w:rPr>
          <w:spacing w:val="-47"/>
        </w:rPr>
      </w:r>
      <w:r>
        <w:rPr>
          <w:spacing w:val="-2"/>
        </w:rPr>
        <w:t>技术、丰富的渠道资源和专业的解决方案，不断完善全国省市渠道体系的建设。为渠道和用户提供专业的优质的服务，与合</w:t>
      </w:r>
      <w:r>
        <w:rPr>
          <w:spacing w:val="-65"/>
        </w:rPr>
        <w:t> </w:t>
      </w:r>
      <w:r>
        <w:rPr>
          <w:spacing w:val="-65"/>
        </w:rPr>
      </w:r>
      <w:r>
        <w:rPr/>
        <w:t>作方实现共赢。</w:t>
      </w:r>
    </w:p>
    <w:p>
      <w:pPr>
        <w:pStyle w:val="BodyText"/>
        <w:spacing w:line="240" w:lineRule="auto" w:before="26"/>
        <w:ind w:left="512" w:right="98"/>
        <w:jc w:val="left"/>
      </w:pPr>
      <w:r>
        <w:rPr/>
        <w:t>（</w:t>
      </w:r>
      <w:r>
        <w:rPr>
          <w:rFonts w:ascii="Times New Roman" w:hAnsi="Times New Roman" w:cs="Times New Roman" w:eastAsia="Times New Roman" w:hint="default"/>
        </w:rPr>
        <w:t>2</w:t>
      </w:r>
      <w:r>
        <w:rPr/>
        <w:t>）重新整合公司业务线，根据实际调整发展战略</w:t>
      </w:r>
    </w:p>
    <w:p>
      <w:pPr>
        <w:pStyle w:val="BodyText"/>
        <w:spacing w:line="304" w:lineRule="auto" w:before="62"/>
        <w:ind w:right="195" w:firstLine="360"/>
        <w:jc w:val="both"/>
      </w:pPr>
      <w:r>
        <w:rPr>
          <w:rFonts w:ascii="Times New Roman" w:hAnsi="Times New Roman" w:cs="Times New Roman" w:eastAsia="Times New Roman" w:hint="default"/>
          <w:spacing w:val="-2"/>
        </w:rPr>
        <w:t>2016</w:t>
      </w:r>
      <w:r>
        <w:rPr>
          <w:spacing w:val="-2"/>
        </w:rPr>
        <w:t>年，公司从战略发展角度出发，将原有业务线进行重新整合与定位，具体包括公安业务线、网络安全业务线、信息</w:t>
      </w:r>
      <w:r>
        <w:rPr/>
        <w:t> 安全业务线、网络资源管理业务线、泛娱乐业务线。其中，公安业务线主要是</w:t>
      </w:r>
      <w:r>
        <w:rPr>
          <w:rFonts w:ascii="Times New Roman" w:hAnsi="Times New Roman" w:cs="Times New Roman" w:eastAsia="Times New Roman" w:hint="default"/>
        </w:rPr>
        <w:t>NET110</w:t>
      </w:r>
      <w:r>
        <w:rPr/>
        <w:t>系列专用安全审计产品，侧重于公安 </w:t>
      </w:r>
      <w:r>
        <w:rPr>
          <w:spacing w:val="-2"/>
        </w:rPr>
        <w:t>客户；网络安全业务线产品包括边界安全、内网安全、数据安全以及云安全产品，侧重公共网络安全市场；网络资源管理业</w:t>
      </w:r>
      <w:r>
        <w:rPr>
          <w:spacing w:val="-67"/>
        </w:rPr>
        <w:t> </w:t>
      </w:r>
      <w:r>
        <w:rPr>
          <w:spacing w:val="-67"/>
        </w:rPr>
      </w:r>
      <w:r>
        <w:rPr/>
        <w:t>务线主要是针对通信管理局、运营商，中小</w:t>
      </w:r>
      <w:r>
        <w:rPr>
          <w:rFonts w:ascii="Times New Roman" w:hAnsi="Times New Roman" w:cs="Times New Roman" w:eastAsia="Times New Roman" w:hint="default"/>
        </w:rPr>
        <w:t>IDC/ISP</w:t>
      </w:r>
      <w:r>
        <w:rPr/>
        <w:t>的信息安全产品；信息安全业务线主要是信息安全类和舆情类业务；子 公司唐人数码与任网游组成公司的泛娱乐业务。</w:t>
      </w:r>
    </w:p>
    <w:p>
      <w:pPr>
        <w:pStyle w:val="BodyText"/>
        <w:spacing w:line="300" w:lineRule="auto" w:before="27"/>
        <w:ind w:left="512" w:right="98"/>
        <w:jc w:val="left"/>
      </w:pPr>
      <w:r>
        <w:rPr/>
        <w:t>（</w:t>
      </w:r>
      <w:r>
        <w:rPr>
          <w:rFonts w:ascii="Times New Roman" w:hAnsi="Times New Roman" w:cs="Times New Roman" w:eastAsia="Times New Roman" w:hint="default"/>
        </w:rPr>
        <w:t>3</w:t>
      </w:r>
      <w:r>
        <w:rPr/>
        <w:t>）严格落实</w:t>
      </w:r>
      <w:r>
        <w:rPr>
          <w:rFonts w:ascii="Times New Roman" w:hAnsi="Times New Roman" w:cs="Times New Roman" w:eastAsia="Times New Roman" w:hint="default"/>
        </w:rPr>
        <w:t>“</w:t>
      </w:r>
      <w:r>
        <w:rPr/>
        <w:t>内生</w:t>
      </w:r>
      <w:r>
        <w:rPr>
          <w:rFonts w:ascii="Times New Roman" w:hAnsi="Times New Roman" w:cs="Times New Roman" w:eastAsia="Times New Roman" w:hint="default"/>
        </w:rPr>
        <w:t>+</w:t>
      </w:r>
      <w:r>
        <w:rPr/>
        <w:t>外延</w:t>
      </w:r>
      <w:r>
        <w:rPr>
          <w:rFonts w:ascii="Times New Roman" w:hAnsi="Times New Roman" w:cs="Times New Roman" w:eastAsia="Times New Roman" w:hint="default"/>
        </w:rPr>
        <w:t>”</w:t>
      </w:r>
      <w:r>
        <w:rPr/>
        <w:t>发展战略，适时进行外延式投资并购 </w:t>
      </w:r>
      <w:r>
        <w:rPr>
          <w:spacing w:val="-2"/>
        </w:rPr>
        <w:t>上市公司并购重组已经成为资本市场配置资源的重要手段，是上市公司增强竞争力、提升公司价值的有效方式，但也蕴</w:t>
      </w:r>
    </w:p>
    <w:p>
      <w:pPr>
        <w:pStyle w:val="BodyText"/>
        <w:spacing w:line="307" w:lineRule="auto" w:before="31"/>
        <w:ind w:right="191"/>
        <w:jc w:val="both"/>
      </w:pPr>
      <w:r>
        <w:rPr>
          <w:spacing w:val="-2"/>
        </w:rPr>
        <w:t>藏着巨大的风险，一旦并购重组失败，会扰乱公司之前的发展战略实施，导致业绩下滑，市场价格波动也会损害部分投资者</w:t>
      </w:r>
      <w:r>
        <w:rPr>
          <w:spacing w:val="-64"/>
        </w:rPr>
        <w:t> </w:t>
      </w:r>
      <w:r>
        <w:rPr>
          <w:spacing w:val="-64"/>
        </w:rPr>
      </w:r>
      <w:r>
        <w:rPr/>
        <w:t>的利益。</w:t>
      </w:r>
      <w:r>
        <w:rPr>
          <w:rFonts w:ascii="Times New Roman" w:hAnsi="Times New Roman" w:cs="Times New Roman" w:eastAsia="Times New Roman" w:hint="default"/>
        </w:rPr>
        <w:t>2015</w:t>
      </w:r>
      <w:r>
        <w:rPr/>
        <w:t>年，公司完成了现金及发行股份购买唐人数码</w:t>
      </w:r>
      <w:r>
        <w:rPr>
          <w:rFonts w:ascii="Times New Roman" w:hAnsi="Times New Roman" w:cs="Times New Roman" w:eastAsia="Times New Roman" w:hint="default"/>
        </w:rPr>
        <w:t>100%</w:t>
      </w:r>
      <w:r>
        <w:rPr/>
        <w:t>股权的重大资产重组，公司将进行积极的资源整合，发挥</w:t>
      </w:r>
      <w:r>
        <w:rPr>
          <w:spacing w:val="-60"/>
        </w:rPr>
        <w:t> </w:t>
      </w:r>
      <w:r>
        <w:rPr>
          <w:spacing w:val="-60"/>
        </w:rPr>
      </w:r>
      <w:r>
        <w:rPr/>
        <w:t>公司与唐人数码的协同效应。</w:t>
      </w:r>
      <w:r>
        <w:rPr>
          <w:rFonts w:ascii="Times New Roman" w:hAnsi="Times New Roman" w:cs="Times New Roman" w:eastAsia="Times New Roman" w:hint="default"/>
        </w:rPr>
        <w:t>2016</w:t>
      </w:r>
      <w:r>
        <w:rPr/>
        <w:t>年公司将继续实施</w:t>
      </w:r>
      <w:r>
        <w:rPr>
          <w:rFonts w:ascii="Times New Roman" w:hAnsi="Times New Roman" w:cs="Times New Roman" w:eastAsia="Times New Roman" w:hint="default"/>
        </w:rPr>
        <w:t>“</w:t>
      </w:r>
      <w:r>
        <w:rPr/>
        <w:t>内生</w:t>
      </w:r>
      <w:r>
        <w:rPr>
          <w:rFonts w:ascii="Times New Roman" w:hAnsi="Times New Roman" w:cs="Times New Roman" w:eastAsia="Times New Roman" w:hint="default"/>
        </w:rPr>
        <w:t>+</w:t>
      </w:r>
      <w:r>
        <w:rPr/>
        <w:t>外延</w:t>
      </w:r>
      <w:r>
        <w:rPr>
          <w:rFonts w:ascii="Times New Roman" w:hAnsi="Times New Roman" w:cs="Times New Roman" w:eastAsia="Times New Roman" w:hint="default"/>
        </w:rPr>
        <w:t>”</w:t>
      </w:r>
      <w:r>
        <w:rPr/>
        <w:t>式发展战略，综合考虑与公司主业配套、产生协同效应等</w:t>
      </w:r>
      <w:r>
        <w:rPr>
          <w:spacing w:val="-80"/>
        </w:rPr>
        <w:t> </w:t>
      </w:r>
      <w:r>
        <w:rPr>
          <w:spacing w:val="-80"/>
        </w:rPr>
      </w:r>
      <w:r>
        <w:rPr/>
        <w:t>因素，适时进行外延式投资并购，在投资并购标的选择上，会首选网络和信息安全相关行业。</w:t>
      </w:r>
    </w:p>
    <w:p>
      <w:pPr>
        <w:pStyle w:val="BodyText"/>
        <w:spacing w:line="300" w:lineRule="auto" w:before="26"/>
        <w:ind w:left="512" w:right="98"/>
        <w:jc w:val="left"/>
      </w:pPr>
      <w:r>
        <w:rPr/>
        <w:t>（</w:t>
      </w:r>
      <w:r>
        <w:rPr>
          <w:rFonts w:ascii="Times New Roman" w:hAnsi="Times New Roman" w:cs="Times New Roman" w:eastAsia="Times New Roman" w:hint="default"/>
        </w:rPr>
        <w:t>4</w:t>
      </w:r>
      <w:r>
        <w:rPr/>
        <w:t>）加大研发和科技创新的投入，提升公司核心竞争力 </w:t>
      </w:r>
      <w:r>
        <w:rPr>
          <w:spacing w:val="-4"/>
        </w:rPr>
        <w:t>随着网络与信息安全产业的高速发展，不断涌现出新的技术，公司将紧盯市场与技术前沿，加大研发和科技创新的投入，</w:t>
      </w:r>
    </w:p>
    <w:p>
      <w:pPr>
        <w:pStyle w:val="BodyText"/>
        <w:spacing w:line="316" w:lineRule="auto" w:before="31"/>
        <w:ind w:right="111"/>
        <w:jc w:val="both"/>
      </w:pPr>
      <w:r>
        <w:rPr/>
        <w:t>做好技术创新与储备。此外，公司还将充分利用成熟的先进技术，促进公司新产品的开发，降低成本，扩大产品应用范围， 不断提升科技创新的能力和公司的核心竞争力，实现可持续发展。</w:t>
      </w:r>
    </w:p>
    <w:p>
      <w:pPr>
        <w:pStyle w:val="BodyText"/>
        <w:spacing w:line="300" w:lineRule="auto" w:before="18"/>
        <w:ind w:left="512" w:right="98"/>
        <w:jc w:val="left"/>
      </w:pPr>
      <w:r>
        <w:rPr/>
        <w:t>（</w:t>
      </w:r>
      <w:r>
        <w:rPr>
          <w:rFonts w:ascii="Times New Roman" w:hAnsi="Times New Roman" w:cs="Times New Roman" w:eastAsia="Times New Roman" w:hint="default"/>
        </w:rPr>
        <w:t>5</w:t>
      </w:r>
      <w:r>
        <w:rPr/>
        <w:t>）加大对人才的培养力度，实施可持续人才战略 </w:t>
      </w:r>
      <w:r>
        <w:rPr>
          <w:spacing w:val="-2"/>
        </w:rPr>
        <w:t>公司通过外部招聘和内部培养等方式充实员工队伍，加大人才培育力度，实现公司对人才资源的整合，充分发挥员工的</w:t>
      </w:r>
    </w:p>
    <w:p>
      <w:pPr>
        <w:pStyle w:val="BodyText"/>
        <w:spacing w:line="316" w:lineRule="auto" w:before="31"/>
        <w:ind w:right="191"/>
        <w:jc w:val="both"/>
      </w:pPr>
      <w:r>
        <w:rPr>
          <w:spacing w:val="-2"/>
        </w:rPr>
        <w:t>主观能动性和创造性；加强对各岗位人才的专项培养及优化，不断增强员工的专业能力、提升团队凝聚力，为公司创造更多</w:t>
      </w:r>
      <w:r>
        <w:rPr>
          <w:spacing w:val="-64"/>
        </w:rPr>
        <w:t> </w:t>
      </w:r>
      <w:r>
        <w:rPr>
          <w:spacing w:val="-64"/>
        </w:rPr>
      </w:r>
      <w:r>
        <w:rPr/>
        <w:t>的价值。</w:t>
      </w:r>
    </w:p>
    <w:p>
      <w:pPr>
        <w:pStyle w:val="BodyText"/>
        <w:spacing w:line="240" w:lineRule="auto" w:before="18"/>
        <w:ind w:left="512" w:right="98"/>
        <w:jc w:val="left"/>
      </w:pPr>
      <w:r>
        <w:rPr/>
        <w:t>（二）公司面临的风险</w:t>
      </w:r>
    </w:p>
    <w:p>
      <w:pPr>
        <w:pStyle w:val="BodyText"/>
        <w:spacing w:line="300" w:lineRule="auto" w:before="76"/>
        <w:ind w:left="512" w:right="98"/>
        <w:jc w:val="left"/>
      </w:pPr>
      <w:r>
        <w:rPr>
          <w:rFonts w:ascii="Times New Roman" w:hAnsi="Times New Roman" w:cs="Times New Roman" w:eastAsia="Times New Roman" w:hint="default"/>
        </w:rPr>
        <w:t>1</w:t>
      </w:r>
      <w:r>
        <w:rPr/>
        <w:t>、投资并购后的整合风险 虽然公司现金及发行股份购买资产并募集配套资金已经实施完成，但是本次重组交易事项仍可能存在盈利预测实现风</w:t>
      </w:r>
    </w:p>
    <w:p>
      <w:pPr>
        <w:pStyle w:val="BodyText"/>
        <w:spacing w:line="240" w:lineRule="auto" w:before="31"/>
        <w:ind w:right="0"/>
        <w:jc w:val="both"/>
      </w:pPr>
      <w:r>
        <w:rPr/>
        <w:t>险、商誉减值风险、标的资产经营风险等多项风险因素。</w:t>
      </w:r>
    </w:p>
    <w:p>
      <w:pPr>
        <w:pStyle w:val="BodyText"/>
        <w:spacing w:line="300" w:lineRule="auto" w:before="76"/>
        <w:ind w:left="512" w:right="98"/>
        <w:jc w:val="left"/>
      </w:pPr>
      <w:r>
        <w:rPr>
          <w:rFonts w:ascii="Times New Roman" w:hAnsi="Times New Roman" w:cs="Times New Roman" w:eastAsia="Times New Roman" w:hint="default"/>
        </w:rPr>
        <w:t>2</w:t>
      </w:r>
      <w:r>
        <w:rPr/>
        <w:t>、人力资源及管理风险 </w:t>
      </w:r>
      <w:r>
        <w:rPr>
          <w:spacing w:val="-2"/>
        </w:rPr>
        <w:t>我国的网络和信息安全行业正在迎来新的发展机遇，当前公司在经营管理、市场营销、技术研发、项目管理、投资管理</w:t>
      </w:r>
    </w:p>
    <w:p>
      <w:pPr>
        <w:pStyle w:val="BodyText"/>
        <w:spacing w:line="316" w:lineRule="auto" w:before="31"/>
        <w:ind w:right="191"/>
        <w:jc w:val="both"/>
      </w:pPr>
      <w:r>
        <w:rPr>
          <w:spacing w:val="-2"/>
        </w:rPr>
        <w:t>等方面的中高级人才还相对缺乏，不能满足公司快速发展的需要，公司需要不断增强企业凝聚力，引进、培养、留住、储备</w:t>
      </w:r>
      <w:r>
        <w:rPr>
          <w:spacing w:val="-70"/>
        </w:rPr>
        <w:t> </w:t>
      </w:r>
      <w:r>
        <w:rPr>
          <w:spacing w:val="-70"/>
        </w:rPr>
      </w:r>
      <w:r>
        <w:rPr>
          <w:spacing w:val="-2"/>
        </w:rPr>
        <w:t>一批中高级人才。同时，由于公司属技术密集型行业，核心技术人员是公司未来持续发展的重要保障，如果公司不能及时有</w:t>
      </w:r>
      <w:r>
        <w:rPr>
          <w:spacing w:val="-64"/>
        </w:rPr>
        <w:t> </w:t>
      </w:r>
      <w:r>
        <w:rPr>
          <w:spacing w:val="-64"/>
        </w:rPr>
      </w:r>
      <w:r>
        <w:rPr/>
        <w:t>效地优化和完善员工薪酬福利制度、企业文化环境等激励措施，还存在核心人员流失的风险。</w:t>
      </w:r>
    </w:p>
    <w:p>
      <w:pPr>
        <w:pStyle w:val="BodyText"/>
        <w:spacing w:line="300" w:lineRule="auto" w:before="18"/>
        <w:ind w:left="512" w:right="98"/>
        <w:jc w:val="left"/>
      </w:pPr>
      <w:r>
        <w:rPr>
          <w:rFonts w:ascii="Times New Roman" w:hAnsi="Times New Roman" w:cs="Times New Roman" w:eastAsia="Times New Roman" w:hint="default"/>
        </w:rPr>
        <w:t>3</w:t>
      </w:r>
      <w:r>
        <w:rPr/>
        <w:t>、技术进步和创新风险 </w:t>
      </w:r>
      <w:r>
        <w:rPr>
          <w:rFonts w:ascii="Times New Roman" w:hAnsi="Times New Roman" w:cs="Times New Roman" w:eastAsia="Times New Roman" w:hint="default"/>
          <w:spacing w:val="-2"/>
        </w:rPr>
        <w:t>IT</w:t>
      </w:r>
      <w:r>
        <w:rPr>
          <w:spacing w:val="-2"/>
        </w:rPr>
        <w:t>环境日趋复杂和新技术的不断涌现对信息安全提出了更高的要求。大数据、云计算、物联网、移动互联网等的不断涌</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spacing w:val="-2"/>
        </w:rPr>
        <w:t>现，使得信息的获取方式、存储形态、传输渠道和处理方式都发生了变化。用户的爆炸性增长、数据的快速膨胀不断增加了</w:t>
      </w:r>
      <w:r>
        <w:rPr>
          <w:spacing w:val="-67"/>
        </w:rPr>
        <w:t> </w:t>
      </w:r>
      <w:r>
        <w:rPr>
          <w:spacing w:val="-67"/>
        </w:rPr>
      </w:r>
      <w:r>
        <w:rPr>
          <w:spacing w:val="-2"/>
        </w:rPr>
        <w:t>信息安全保护的难度，也要求信息安全产品具备更高的性能、更丰富的功能和更高的智能化。信息安全产品的形态不断发生</w:t>
      </w:r>
      <w:r>
        <w:rPr>
          <w:spacing w:val="-63"/>
        </w:rPr>
        <w:t> </w:t>
      </w:r>
      <w:r>
        <w:rPr>
          <w:spacing w:val="-63"/>
        </w:rPr>
      </w:r>
      <w:r>
        <w:rPr/>
        <w:t>变化，信息安全产品和设备之间加快融合，都带来了信息安全产业的重大变革。如果公司不能准确地把握行业的发展趋势， </w:t>
      </w:r>
      <w:r>
        <w:rPr>
          <w:spacing w:val="-2"/>
        </w:rPr>
        <w:t>在技术开发方向的战略决策上发生失误，或者未能及时进行产品升级和新技术的运用，将可能丧失目前的技术优势，面临技</w:t>
      </w:r>
      <w:r>
        <w:rPr>
          <w:spacing w:val="-63"/>
        </w:rPr>
        <w:t> </w:t>
      </w:r>
      <w:r>
        <w:rPr>
          <w:spacing w:val="-63"/>
        </w:rPr>
      </w:r>
      <w:r>
        <w:rPr/>
        <w:t>术与产品升级的双重风险。</w:t>
      </w:r>
    </w:p>
    <w:p>
      <w:pPr>
        <w:pStyle w:val="BodyText"/>
        <w:spacing w:line="300" w:lineRule="auto" w:before="18"/>
        <w:ind w:left="512" w:right="98"/>
        <w:jc w:val="left"/>
      </w:pPr>
      <w:r>
        <w:rPr>
          <w:rFonts w:ascii="Times New Roman" w:hAnsi="Times New Roman" w:cs="Times New Roman" w:eastAsia="Times New Roman" w:hint="default"/>
        </w:rPr>
        <w:t>4</w:t>
      </w:r>
      <w:r>
        <w:rPr/>
        <w:t>、折旧、摊销费用增加风险 </w:t>
      </w:r>
      <w:r>
        <w:rPr>
          <w:spacing w:val="-2"/>
        </w:rPr>
        <w:t>随着募集资金项目建成投产后陆续产生效益，公司销售收入和盈利水平将大幅提高，新增折旧、摊销费用所增加的生产</w:t>
      </w:r>
    </w:p>
    <w:p>
      <w:pPr>
        <w:pStyle w:val="BodyText"/>
        <w:spacing w:line="316" w:lineRule="auto" w:before="31"/>
        <w:ind w:right="191"/>
        <w:jc w:val="both"/>
      </w:pPr>
      <w:r>
        <w:rPr>
          <w:spacing w:val="-2"/>
        </w:rPr>
        <w:t>成本将会被募集资金投资项目新增的销售收入消化。虽然公司在对项目进行可行性研究时，已经充分考虑了折旧、摊销费用</w:t>
      </w:r>
      <w:r>
        <w:rPr>
          <w:spacing w:val="-66"/>
        </w:rPr>
        <w:t> </w:t>
      </w:r>
      <w:r>
        <w:rPr>
          <w:spacing w:val="-66"/>
        </w:rPr>
      </w:r>
      <w:r>
        <w:rPr>
          <w:spacing w:val="-2"/>
        </w:rPr>
        <w:t>等因素，但如果募投项目完成后，不能如期产生效益或实际收益低于盈亏平衡点的收益，则新增的折旧、摊销费用将对公司</w:t>
      </w:r>
      <w:r>
        <w:rPr>
          <w:spacing w:val="-65"/>
        </w:rPr>
        <w:t> </w:t>
      </w:r>
      <w:r>
        <w:rPr>
          <w:spacing w:val="-65"/>
        </w:rPr>
      </w:r>
      <w:r>
        <w:rPr>
          <w:spacing w:val="-2"/>
        </w:rPr>
        <w:t>的经营业绩造成不利影响。与此同时，公司限制性股票已经授予完成，因此产生的股权激励费用将分摊至股权激励存续期间</w:t>
      </w:r>
      <w:r>
        <w:rPr>
          <w:spacing w:val="-63"/>
        </w:rPr>
        <w:t> </w:t>
      </w:r>
      <w:r>
        <w:rPr>
          <w:spacing w:val="-63"/>
        </w:rPr>
      </w:r>
      <w:r>
        <w:rPr>
          <w:spacing w:val="-2"/>
        </w:rPr>
        <w:t>的各个报告期，虽然在制订股权激励计划时已经充分考虑了股权激励费用对未来经营业绩的影响，但如果公司及激励对象不</w:t>
      </w:r>
      <w:r>
        <w:rPr>
          <w:spacing w:val="-64"/>
        </w:rPr>
        <w:t> </w:t>
      </w:r>
      <w:r>
        <w:rPr>
          <w:spacing w:val="-64"/>
        </w:rPr>
      </w:r>
      <w:r>
        <w:rPr/>
        <w:t>能完成预设的考核目标，公司的经营业绩将因此受到不利影响，限制性股票也将面临在未来无法解锁的风险。</w:t>
      </w:r>
    </w:p>
    <w:p>
      <w:pPr>
        <w:spacing w:line="240" w:lineRule="auto" w:before="12"/>
        <w:rPr>
          <w:rFonts w:ascii="宋体" w:hAnsi="宋体" w:cs="宋体" w:eastAsia="宋体" w:hint="default"/>
          <w:sz w:val="20"/>
          <w:szCs w:val="20"/>
        </w:rPr>
      </w:pPr>
    </w:p>
    <w:p>
      <w:pPr>
        <w:pStyle w:val="Heading2"/>
        <w:spacing w:line="240" w:lineRule="auto"/>
        <w:ind w:right="98"/>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8"/>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报告期内普通股利润分配政策，特别是现金分红政策的制定、执行或调整情况</w:t>
      </w:r>
    </w:p>
    <w:p>
      <w:pPr>
        <w:pStyle w:val="BodyText"/>
        <w:spacing w:line="319" w:lineRule="auto" w:before="117"/>
        <w:ind w:right="98"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报告期内，公司严格按照《公司章程》相关利润分配政策和审议程序实施利润分配方案，分红标准和分红比例明确清晰，相</w:t>
      </w:r>
      <w:r>
        <w:rPr>
          <w:spacing w:val="-68"/>
        </w:rPr>
        <w:t> </w:t>
      </w:r>
      <w:r>
        <w:rPr>
          <w:spacing w:val="-68"/>
        </w:rPr>
      </w:r>
      <w:r>
        <w:rPr>
          <w:spacing w:val="-4"/>
        </w:rPr>
        <w:t>关的决策程序和机制完备。公司利润分配方案经由董事会、监事会审议过后提交股东大会审议，并由独立董事发表独立意见，</w:t>
      </w:r>
      <w:r>
        <w:rPr>
          <w:spacing w:val="-45"/>
        </w:rPr>
        <w:t> </w:t>
      </w:r>
      <w:r>
        <w:rPr>
          <w:spacing w:val="-45"/>
        </w:rPr>
      </w:r>
      <w:r>
        <w:rPr/>
        <w:t>审议通过后在规定时间内进行实施，切实保证了全体股东的利益。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2014</w:t>
      </w:r>
      <w:r>
        <w:rPr/>
        <w:t>年年度股东大会审议通过</w:t>
      </w:r>
      <w:r>
        <w:rPr>
          <w:rFonts w:ascii="Times New Roman" w:hAnsi="Times New Roman" w:cs="Times New Roman" w:eastAsia="Times New Roman" w:hint="default"/>
        </w:rPr>
        <w:t>2014</w:t>
      </w:r>
      <w:r>
        <w:rPr/>
        <w:t>年度利润分配方案：以截至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116,411,549</w:t>
      </w:r>
      <w:r>
        <w:rPr>
          <w:rFonts w:ascii="Times New Roman" w:hAnsi="Times New Roman" w:cs="Times New Roman" w:eastAsia="Times New Roman" w:hint="default"/>
          <w:spacing w:val="1"/>
        </w:rPr>
        <w:t> </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0.55</w:t>
      </w:r>
      <w:r>
        <w:rPr/>
        <w:t>元人民币（含税），同时进行资本公积金转增股本，以</w:t>
      </w:r>
      <w:r>
        <w:rPr>
          <w:rFonts w:ascii="Times New Roman" w:hAnsi="Times New Roman" w:cs="Times New Roman" w:eastAsia="Times New Roman" w:hint="default"/>
        </w:rPr>
        <w:t>116,411,549</w:t>
      </w:r>
      <w:r>
        <w:rPr/>
        <w:t>股为基数向</w:t>
      </w:r>
    </w:p>
    <w:p>
      <w:pPr>
        <w:pStyle w:val="BodyText"/>
        <w:spacing w:line="300" w:lineRule="auto"/>
        <w:ind w:right="184"/>
        <w:jc w:val="left"/>
      </w:pP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116,411,549</w:t>
      </w:r>
      <w:r>
        <w:rPr/>
        <w:t>股，转增后公司总股本将增加至</w:t>
      </w:r>
      <w:r>
        <w:rPr>
          <w:rFonts w:ascii="Times New Roman" w:hAnsi="Times New Roman" w:cs="Times New Roman" w:eastAsia="Times New Roman" w:hint="default"/>
        </w:rPr>
        <w:t>232,823,098</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日，公司在中 国证监会指定媒体巨潮网发布权益分派公告，本次权益分派股权登记日为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w:t>
      </w: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5"/>
        <w:ind w:right="98"/>
        <w:jc w:val="left"/>
      </w:pPr>
      <w:r>
        <w:rPr/>
        <w:t>公司报告期利润分配预案及资本公积金转增股本预案与公司章程和分红管理办法等的相关规定一致</w:t>
      </w:r>
    </w:p>
    <w:p>
      <w:pPr>
        <w:pStyle w:val="BodyText"/>
        <w:spacing w:line="350" w:lineRule="auto" w:before="115"/>
        <w:ind w:left="153" w:right="33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0.35</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298,958,771</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10,463,556.99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165,971,080.74</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11"/>
        <w:rPr>
          <w:rFonts w:ascii="宋体" w:hAnsi="宋体" w:cs="宋体" w:eastAsia="宋体" w:hint="default"/>
          <w:sz w:val="28"/>
          <w:szCs w:val="28"/>
        </w:rPr>
      </w:pPr>
      <w:r>
        <w:rPr/>
        <w:pict>
          <v:shape style="position:absolute;margin-left:442.079987pt;margin-top:741.839966pt;width:35.65pt;height:14.65pt;mso-position-horizontal-relative:page;mso-position-vertical-relative:page;z-index:-848224" type="#_x0000_t202" filled="false" stroked="false">
            <v:textbox inset="0,0,0,0">
              <w:txbxContent>
                <w:p>
                  <w:pPr>
                    <w:pStyle w:val="BodyText"/>
                    <w:spacing w:line="225" w:lineRule="exact"/>
                    <w:ind w:left="0" w:right="0"/>
                    <w:jc w:val="left"/>
                  </w:pPr>
                  <w:r>
                    <w:rPr/>
                    <w:t>）</w:t>
                  </w:r>
                </w:p>
              </w:txbxContent>
            </v:textbox>
            <w10:wrap type="none"/>
          </v:shape>
        </w:pict>
      </w:r>
      <w:r>
        <w:rPr/>
        <w:pict>
          <v:group style="position:absolute;margin-left:448.079987pt;margin-top:741.839966pt;width:29.65pt;height:14.65pt;mso-position-horizontal-relative:page;mso-position-vertical-relative:page;z-index:-848200" coordorigin="8962,14837" coordsize="593,293">
            <v:shape style="position:absolute;left:8962;top:14837;width:593;height:293" coordorigin="8962,14837" coordsize="593,293" path="m8962,15130l9554,15130,9554,14837,8962,14837,8962,15130xe" filled="true" fillcolor="#ffffff" stroked="false">
              <v:path arrowok="t"/>
              <v:fill type="solid"/>
            </v:shape>
            <w10:wrap type="none"/>
          </v:group>
        </w:pict>
      </w:r>
    </w:p>
    <w:p>
      <w:pPr>
        <w:spacing w:line="1963" w:lineRule="exact"/>
        <w:ind w:left="152" w:right="0" w:firstLine="0"/>
        <w:rPr>
          <w:rFonts w:ascii="宋体" w:hAnsi="宋体" w:cs="宋体" w:eastAsia="宋体" w:hint="default"/>
          <w:sz w:val="20"/>
          <w:szCs w:val="20"/>
        </w:rPr>
      </w:pPr>
      <w:r>
        <w:rPr>
          <w:rFonts w:ascii="宋体" w:hAnsi="宋体" w:cs="宋体" w:eastAsia="宋体" w:hint="default"/>
          <w:position w:val="-38"/>
          <w:sz w:val="20"/>
          <w:szCs w:val="20"/>
        </w:rPr>
        <w:pict>
          <v:shape style="width:478.45pt;height:98.2pt;mso-position-horizontal-relative:char;mso-position-vertical-relative:line" type="#_x0000_t202" filled="false" stroked="true" strokeweight=".48pt" strokecolor="#000000">
            <w10:anchorlock/>
            <v:textbox inset="0,0,0,0">
              <w:txbxContent>
                <w:p>
                  <w:pPr>
                    <w:pStyle w:val="BodyText"/>
                    <w:spacing w:line="240" w:lineRule="auto" w:before="49"/>
                    <w:ind w:left="23" w:right="0"/>
                    <w:jc w:val="left"/>
                  </w:pPr>
                  <w:r>
                    <w:rPr/>
                    <w:t>经北京永拓会计师事务所（特殊普通合伙）审计，公司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年实现归属于公司股东的净利润为</w:t>
                  </w:r>
                  <w:r>
                    <w:rPr>
                      <w:spacing w:val="-53"/>
                    </w:rPr>
                    <w:t> </w:t>
                  </w:r>
                  <w:r>
                    <w:rPr>
                      <w:rFonts w:ascii="Times New Roman" w:hAnsi="Times New Roman" w:cs="Times New Roman" w:eastAsia="Times New Roman" w:hint="default"/>
                    </w:rPr>
                    <w:t>65,371,071.24</w:t>
                  </w:r>
                  <w:r>
                    <w:rPr>
                      <w:rFonts w:ascii="Times New Roman" w:hAnsi="Times New Roman" w:cs="Times New Roman" w:eastAsia="Times New Roman" w:hint="default"/>
                      <w:spacing w:val="32"/>
                    </w:rPr>
                    <w:t> </w:t>
                  </w:r>
                  <w:r>
                    <w:rPr/>
                    <w:t>元，母公司</w:t>
                  </w:r>
                </w:p>
                <w:p>
                  <w:pPr>
                    <w:pStyle w:val="BodyText"/>
                    <w:spacing w:line="240" w:lineRule="auto" w:before="63"/>
                    <w:ind w:left="23" w:right="0"/>
                    <w:jc w:val="left"/>
                  </w:pPr>
                  <w:r>
                    <w:rPr/>
                    <w:t>实现的净利润为</w:t>
                  </w:r>
                  <w:r>
                    <w:rPr>
                      <w:spacing w:val="-47"/>
                    </w:rPr>
                    <w:t> </w:t>
                  </w:r>
                  <w:r>
                    <w:rPr>
                      <w:rFonts w:ascii="Times New Roman" w:hAnsi="Times New Roman" w:cs="Times New Roman" w:eastAsia="Times New Roman" w:hint="default"/>
                    </w:rPr>
                    <w:t>49,134,860.76</w:t>
                  </w:r>
                  <w:r>
                    <w:rPr>
                      <w:rFonts w:ascii="Times New Roman" w:hAnsi="Times New Roman" w:cs="Times New Roman" w:eastAsia="Times New Roman" w:hint="default"/>
                      <w:spacing w:val="40"/>
                    </w:rPr>
                    <w:t> </w:t>
                  </w:r>
                  <w:r>
                    <w:rPr/>
                    <w:t>元。按照母公司</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年度实现净利润的</w:t>
                  </w:r>
                  <w:r>
                    <w:rPr>
                      <w:spacing w:val="-47"/>
                    </w:rPr>
                    <w:t> </w:t>
                  </w:r>
                  <w:r>
                    <w:rPr>
                      <w:rFonts w:ascii="Times New Roman" w:hAnsi="Times New Roman" w:cs="Times New Roman" w:eastAsia="Times New Roman" w:hint="default"/>
                    </w:rPr>
                    <w:t>10%</w:t>
                  </w:r>
                  <w:r>
                    <w:rPr/>
                    <w:t>计提法定盈余公积金</w:t>
                  </w:r>
                  <w:r>
                    <w:rPr>
                      <w:spacing w:val="-47"/>
                    </w:rPr>
                    <w:t> </w:t>
                  </w:r>
                  <w:r>
                    <w:rPr>
                      <w:rFonts w:ascii="Times New Roman" w:hAnsi="Times New Roman" w:cs="Times New Roman" w:eastAsia="Times New Roman" w:hint="default"/>
                    </w:rPr>
                    <w:t>4,913,486.08</w:t>
                  </w:r>
                  <w:r>
                    <w:rPr>
                      <w:rFonts w:ascii="Times New Roman" w:hAnsi="Times New Roman" w:cs="Times New Roman" w:eastAsia="Times New Roman" w:hint="default"/>
                      <w:spacing w:val="-2"/>
                    </w:rPr>
                    <w:t> </w:t>
                  </w:r>
                  <w:r>
                    <w:rPr/>
                    <w:t>元，加年初</w:t>
                  </w:r>
                </w:p>
                <w:p>
                  <w:pPr>
                    <w:pStyle w:val="BodyText"/>
                    <w:spacing w:line="240" w:lineRule="auto" w:before="63"/>
                    <w:ind w:left="23" w:right="0"/>
                    <w:jc w:val="left"/>
                  </w:pPr>
                  <w:r>
                    <w:rPr/>
                    <w:t>未分配利润</w:t>
                  </w:r>
                  <w:r>
                    <w:rPr>
                      <w:spacing w:val="-47"/>
                    </w:rPr>
                    <w:t> </w:t>
                  </w:r>
                  <w:r>
                    <w:rPr>
                      <w:rFonts w:ascii="Times New Roman" w:hAnsi="Times New Roman" w:cs="Times New Roman" w:eastAsia="Times New Roman" w:hint="default"/>
                    </w:rPr>
                    <w:t>128,152,341.22</w:t>
                  </w:r>
                  <w:r>
                    <w:rPr>
                      <w:rFonts w:ascii="Times New Roman" w:hAnsi="Times New Roman" w:cs="Times New Roman" w:eastAsia="Times New Roman" w:hint="default"/>
                      <w:spacing w:val="42"/>
                    </w:rPr>
                    <w:t> </w:t>
                  </w:r>
                  <w:r>
                    <w:rPr/>
                    <w:t>元，截至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日，母公司累计未分配利润为</w:t>
                  </w:r>
                  <w:r>
                    <w:rPr>
                      <w:spacing w:val="-47"/>
                    </w:rPr>
                    <w:t> </w:t>
                  </w:r>
                  <w:r>
                    <w:rPr>
                      <w:rFonts w:ascii="Times New Roman" w:hAnsi="Times New Roman" w:cs="Times New Roman" w:eastAsia="Times New Roman" w:hint="default"/>
                    </w:rPr>
                    <w:t>165,971,080.74</w:t>
                  </w:r>
                  <w:r>
                    <w:rPr>
                      <w:rFonts w:ascii="Times New Roman" w:hAnsi="Times New Roman" w:cs="Times New Roman" w:eastAsia="Times New Roman" w:hint="default"/>
                      <w:spacing w:val="44"/>
                    </w:rPr>
                    <w:t> </w:t>
                  </w:r>
                  <w:r>
                    <w:rPr/>
                    <w:t>元，母公司年末资本</w:t>
                  </w:r>
                </w:p>
                <w:p>
                  <w:pPr>
                    <w:pStyle w:val="BodyText"/>
                    <w:spacing w:line="240" w:lineRule="auto" w:before="63"/>
                    <w:ind w:left="23" w:right="0"/>
                    <w:jc w:val="left"/>
                  </w:pPr>
                  <w:r>
                    <w:rPr/>
                    <w:t>公积金余额为</w:t>
                  </w:r>
                  <w:r>
                    <w:rPr>
                      <w:spacing w:val="-51"/>
                    </w:rPr>
                    <w:t> </w:t>
                  </w:r>
                  <w:r>
                    <w:rPr>
                      <w:rFonts w:ascii="Times New Roman" w:hAnsi="Times New Roman" w:cs="Times New Roman" w:eastAsia="Times New Roman" w:hint="default"/>
                    </w:rPr>
                    <w:t>649,276,093.81</w:t>
                  </w:r>
                  <w:r>
                    <w:rPr>
                      <w:rFonts w:ascii="Times New Roman" w:hAnsi="Times New Roman" w:cs="Times New Roman" w:eastAsia="Times New Roman" w:hint="default"/>
                      <w:spacing w:val="31"/>
                    </w:rPr>
                    <w:t> </w:t>
                  </w:r>
                  <w:r>
                    <w:rPr/>
                    <w:t>元。根据《公司法》及《公司章程》的相关规定，拟定如下分配预案：以截至</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p>
                <w:p>
                  <w:pPr>
                    <w:pStyle w:val="BodyText"/>
                    <w:spacing w:line="240" w:lineRule="auto" w:before="63"/>
                    <w:ind w:left="23" w:right="0"/>
                    <w:jc w:val="left"/>
                  </w:pP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日公司总股本</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77</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股为基数向全体股东每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派</w:t>
                  </w:r>
                  <w:r>
                    <w:rPr/>
                    <w:t>发现金股利</w:t>
                  </w:r>
                  <w:r>
                    <w:rPr>
                      <w:spacing w:val="-45"/>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元人民</w:t>
                  </w:r>
                  <w:r>
                    <w:rPr>
                      <w:spacing w:val="-15"/>
                    </w:rPr>
                    <w:t>币</w:t>
                  </w:r>
                  <w:r>
                    <w:rPr/>
                    <w:t>（</w:t>
                  </w:r>
                  <w:r>
                    <w:rPr>
                      <w:spacing w:val="-3"/>
                    </w:rPr>
                    <w:t>含</w:t>
                  </w:r>
                  <w:r>
                    <w:rPr/>
                    <w:t>税</w:t>
                  </w:r>
                  <w:r>
                    <w:rPr>
                      <w:spacing w:val="-92"/>
                    </w:rPr>
                    <w:t>）</w:t>
                  </w:r>
                  <w:r>
                    <w:rPr>
                      <w:spacing w:val="-15"/>
                    </w:rPr>
                    <w:t>，</w:t>
                  </w:r>
                  <w:r>
                    <w:rPr/>
                    <w:t>同时进行资本公积金转增</w:t>
                  </w:r>
                </w:p>
                <w:p>
                  <w:pPr>
                    <w:pStyle w:val="BodyText"/>
                    <w:spacing w:line="240" w:lineRule="auto" w:before="63"/>
                    <w:ind w:left="23" w:right="0"/>
                    <w:jc w:val="left"/>
                  </w:pPr>
                  <w:r>
                    <w:rPr/>
                    <w:t>股本，以</w:t>
                  </w:r>
                  <w:r>
                    <w:rPr>
                      <w:spacing w:val="-47"/>
                    </w:rPr>
                    <w:t> </w:t>
                  </w:r>
                  <w:r>
                    <w:rPr>
                      <w:rFonts w:ascii="Times New Roman" w:hAnsi="Times New Roman" w:cs="Times New Roman" w:eastAsia="Times New Roman" w:hint="default"/>
                    </w:rPr>
                    <w:t>298,958,771</w:t>
                  </w:r>
                  <w:r>
                    <w:rPr>
                      <w:rFonts w:ascii="Times New Roman" w:hAnsi="Times New Roman" w:cs="Times New Roman" w:eastAsia="Times New Roman" w:hint="default"/>
                      <w:spacing w:val="-1"/>
                    </w:rPr>
                    <w:t> </w:t>
                  </w:r>
                  <w:r>
                    <w:rPr/>
                    <w:t>股为基数向全体股东每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w:t>
                  </w:r>
                </w:p>
              </w:txbxContent>
            </v:textbox>
          </v:shape>
        </w:pict>
      </w:r>
      <w:r>
        <w:rPr>
          <w:rFonts w:ascii="宋体" w:hAnsi="宋体" w:cs="宋体" w:eastAsia="宋体" w:hint="default"/>
          <w:position w:val="-38"/>
          <w:sz w:val="20"/>
          <w:szCs w:val="20"/>
        </w:rPr>
      </w:r>
    </w:p>
    <w:p>
      <w:pPr>
        <w:pStyle w:val="BodyText"/>
        <w:spacing w:line="240" w:lineRule="auto" w:before="54"/>
        <w:ind w:right="0"/>
        <w:jc w:val="both"/>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0"/>
        <w:jc w:val="both"/>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年年度利润分配预案：以截至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298,958,771</w:t>
      </w:r>
      <w:r>
        <w:rPr/>
        <w:t>股为基数向全体股东每</w:t>
      </w:r>
      <w:r>
        <w:rPr>
          <w:rFonts w:ascii="Times New Roman" w:hAnsi="Times New Roman" w:cs="Times New Roman" w:eastAsia="Times New Roman" w:hint="default"/>
        </w:rPr>
        <w:t>10</w:t>
      </w:r>
      <w:r>
        <w:rPr/>
        <w:t>股派发现金股利</w:t>
      </w:r>
    </w:p>
    <w:p>
      <w:pPr>
        <w:pStyle w:val="BodyText"/>
        <w:spacing w:line="240" w:lineRule="auto" w:before="62"/>
        <w:ind w:right="0"/>
        <w:jc w:val="both"/>
      </w:pPr>
      <w:r>
        <w:rPr>
          <w:rFonts w:ascii="Times New Roman" w:hAnsi="Times New Roman" w:cs="Times New Roman" w:eastAsia="Times New Roman" w:hint="default"/>
        </w:rPr>
        <w:t>0.35</w:t>
      </w:r>
      <w:r>
        <w:rPr/>
        <w:t>元人民币（含税），同时进行资本公积金转增股本，以</w:t>
      </w:r>
      <w:r>
        <w:rPr>
          <w:rFonts w:ascii="Times New Roman" w:hAnsi="Times New Roman" w:cs="Times New Roman" w:eastAsia="Times New Roman" w:hint="default"/>
        </w:rPr>
        <w:t>298,958,771</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62"/>
        <w:ind w:right="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年年度利润分配方案：以截至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116,411,549</w:t>
      </w:r>
      <w:r>
        <w:rPr/>
        <w:t>股为基数向全体股东每</w:t>
      </w:r>
      <w:r>
        <w:rPr>
          <w:rFonts w:ascii="Times New Roman" w:hAnsi="Times New Roman" w:cs="Times New Roman" w:eastAsia="Times New Roman" w:hint="default"/>
        </w:rPr>
        <w:t>10</w:t>
      </w:r>
      <w:r>
        <w:rPr/>
        <w:t>股派发现金股利</w:t>
      </w:r>
    </w:p>
    <w:p>
      <w:pPr>
        <w:pStyle w:val="BodyText"/>
        <w:spacing w:line="240" w:lineRule="auto" w:before="62"/>
        <w:ind w:right="0"/>
        <w:jc w:val="both"/>
      </w:pPr>
      <w:r>
        <w:rPr>
          <w:rFonts w:ascii="Times New Roman" w:hAnsi="Times New Roman" w:cs="Times New Roman" w:eastAsia="Times New Roman" w:hint="default"/>
        </w:rPr>
        <w:t>0.55</w:t>
      </w:r>
      <w:r>
        <w:rPr/>
        <w:t>元人民币（含税），同时进行资本公积金转增股本，以</w:t>
      </w:r>
      <w:r>
        <w:rPr>
          <w:rFonts w:ascii="Times New Roman" w:hAnsi="Times New Roman" w:cs="Times New Roman" w:eastAsia="Times New Roman" w:hint="default"/>
        </w:rPr>
        <w:t>116,411,549</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p>
    <w:p>
      <w:pPr>
        <w:pStyle w:val="BodyText"/>
        <w:spacing w:line="240" w:lineRule="auto" w:before="62"/>
        <w:ind w:right="0"/>
        <w:jc w:val="both"/>
      </w:pPr>
      <w:r>
        <w:rPr>
          <w:rFonts w:ascii="Times New Roman" w:hAnsi="Times New Roman" w:cs="Times New Roman" w:eastAsia="Times New Roman" w:hint="default"/>
        </w:rPr>
        <w:t>116,411,549</w:t>
      </w:r>
      <w:r>
        <w:rPr/>
        <w:t>股，转增后公司总股本将增加至</w:t>
      </w:r>
      <w:r>
        <w:rPr>
          <w:rFonts w:ascii="Times New Roman" w:hAnsi="Times New Roman" w:cs="Times New Roman" w:eastAsia="Times New Roman" w:hint="default"/>
        </w:rPr>
        <w:t>232,823,098</w:t>
      </w:r>
      <w:r>
        <w:rPr/>
        <w:t>股；</w:t>
      </w:r>
    </w:p>
    <w:p>
      <w:pPr>
        <w:pStyle w:val="BodyText"/>
        <w:spacing w:line="300" w:lineRule="auto" w:before="62"/>
        <w:ind w:right="152"/>
        <w:jc w:val="both"/>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2013</w:t>
      </w:r>
      <w:r>
        <w:rPr/>
        <w:t>年年度利润分配方案：以截至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7,070</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 </w:t>
      </w:r>
      <w:r>
        <w:rPr>
          <w:spacing w:val="-2"/>
        </w:rPr>
        <w:t>人民币（含税），同时进行资本公积金转增股本，以</w:t>
      </w:r>
      <w:r>
        <w:rPr>
          <w:rFonts w:ascii="Times New Roman" w:hAnsi="Times New Roman" w:cs="Times New Roman" w:eastAsia="Times New Roman" w:hint="default"/>
          <w:spacing w:val="-2"/>
        </w:rPr>
        <w:t>7,070</w:t>
      </w:r>
      <w:r>
        <w:rPr>
          <w:spacing w:val="-2"/>
        </w:rPr>
        <w:t>万股为基数向全体股东每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股，共计转增</w:t>
      </w:r>
      <w:r>
        <w:rPr>
          <w:rFonts w:ascii="Times New Roman" w:hAnsi="Times New Roman" w:cs="Times New Roman" w:eastAsia="Times New Roman" w:hint="default"/>
          <w:spacing w:val="-2"/>
        </w:rPr>
        <w:t>4,242</w:t>
      </w:r>
      <w:r>
        <w:rPr>
          <w:spacing w:val="-2"/>
        </w:rPr>
        <w:t>万股，转增</w:t>
      </w:r>
      <w:r>
        <w:rPr>
          <w:spacing w:val="-61"/>
        </w:rPr>
        <w:t> </w:t>
      </w:r>
      <w:r>
        <w:rPr>
          <w:spacing w:val="-61"/>
        </w:rPr>
      </w:r>
      <w:r>
        <w:rPr/>
        <w:t>后公司总股本将增加至</w:t>
      </w:r>
      <w:r>
        <w:rPr>
          <w:rFonts w:ascii="Times New Roman" w:hAnsi="Times New Roman" w:cs="Times New Roman" w:eastAsia="Times New Roman" w:hint="default"/>
        </w:rPr>
        <w:t>11,312</w:t>
      </w:r>
      <w:r>
        <w:rPr/>
        <w:t>万股。</w:t>
      </w:r>
    </w:p>
    <w:p>
      <w:pPr>
        <w:pStyle w:val="BodyText"/>
        <w:spacing w:line="240" w:lineRule="auto" w:before="53"/>
        <w:ind w:right="0"/>
        <w:jc w:val="both"/>
      </w:pPr>
      <w:r>
        <w:rPr/>
        <w:t>公司近三年（包括本报告期）普通股现金分红情况表</w:t>
      </w:r>
    </w:p>
    <w:p>
      <w:pPr>
        <w:pStyle w:val="BodyText"/>
        <w:spacing w:line="240" w:lineRule="auto" w:before="115"/>
        <w:ind w:left="0" w:right="152"/>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84"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10,463,556.99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65,371,071.24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6,402,635.20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41,356,224.36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7,070,000.00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25,140,974.57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0"/>
        <w:gridCol w:w="602"/>
        <w:gridCol w:w="6619"/>
        <w:gridCol w:w="600"/>
        <w:gridCol w:w="602"/>
        <w:gridCol w:w="602"/>
      </w:tblGrid>
      <w:tr>
        <w:trPr>
          <w:trHeight w:val="161" w:hRule="exact"/>
        </w:trPr>
        <w:tc>
          <w:tcPr>
            <w:tcW w:w="59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94" w:right="24" w:hanging="180"/>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60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19" w:type="dxa"/>
            <w:tcBorders>
              <w:top w:val="single" w:sz="4" w:space="0" w:color="000000"/>
              <w:left w:val="single" w:sz="4" w:space="0" w:color="000000"/>
              <w:bottom w:val="nil" w:sz="6" w:space="0" w:color="auto"/>
              <w:right w:val="single" w:sz="4" w:space="0" w:color="000000"/>
            </w:tcBorders>
            <w:shd w:val="clear" w:color="auto" w:fill="D4D4D4"/>
          </w:tcPr>
          <w:p>
            <w:pPr/>
          </w:p>
        </w:tc>
        <w:tc>
          <w:tcPr>
            <w:tcW w:w="60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06" w:right="23"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6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08" w:right="23"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6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1" w:hRule="exact"/>
        </w:trPr>
        <w:tc>
          <w:tcPr>
            <w:tcW w:w="590" w:type="dxa"/>
            <w:vMerge/>
            <w:tcBorders>
              <w:left w:val="single" w:sz="4" w:space="0" w:color="000000"/>
              <w:right w:val="single" w:sz="4" w:space="0" w:color="000000"/>
            </w:tcBorders>
            <w:shd w:val="clear" w:color="auto" w:fill="D4D4D4"/>
          </w:tcPr>
          <w:p>
            <w:pPr/>
          </w:p>
        </w:tc>
        <w:tc>
          <w:tcPr>
            <w:tcW w:w="6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61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00"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shd w:val="clear" w:color="auto" w:fill="D4D4D4"/>
          </w:tcPr>
          <w:p>
            <w:pPr/>
          </w:p>
        </w:tc>
      </w:tr>
      <w:tr>
        <w:trPr>
          <w:trHeight w:val="161" w:hRule="exact"/>
        </w:trPr>
        <w:tc>
          <w:tcPr>
            <w:tcW w:w="590" w:type="dxa"/>
            <w:vMerge/>
            <w:tcBorders>
              <w:left w:val="single" w:sz="4" w:space="0" w:color="000000"/>
              <w:bottom w:val="single" w:sz="4" w:space="0" w:color="000000"/>
              <w:right w:val="single" w:sz="4" w:space="0" w:color="000000"/>
            </w:tcBorders>
            <w:shd w:val="clear" w:color="auto" w:fill="D4D4D4"/>
          </w:tcPr>
          <w:p>
            <w:pPr/>
          </w:p>
        </w:tc>
        <w:tc>
          <w:tcPr>
            <w:tcW w:w="6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19" w:type="dxa"/>
            <w:tcBorders>
              <w:top w:val="nil" w:sz="6" w:space="0" w:color="auto"/>
              <w:left w:val="single" w:sz="4" w:space="0" w:color="000000"/>
              <w:bottom w:val="single" w:sz="4" w:space="0" w:color="000000"/>
              <w:right w:val="single" w:sz="4" w:space="0" w:color="000000"/>
            </w:tcBorders>
            <w:shd w:val="clear" w:color="auto" w:fill="D4D4D4"/>
          </w:tcPr>
          <w:p>
            <w:pPr/>
          </w:p>
        </w:tc>
        <w:tc>
          <w:tcPr>
            <w:tcW w:w="600" w:type="dxa"/>
            <w:vMerge/>
            <w:tcBorders>
              <w:left w:val="single" w:sz="4" w:space="0" w:color="000000"/>
              <w:bottom w:val="nil" w:sz="6" w:space="0" w:color="auto"/>
              <w:right w:val="single" w:sz="4" w:space="0" w:color="000000"/>
            </w:tcBorders>
            <w:shd w:val="clear" w:color="auto" w:fill="D4D4D4"/>
          </w:tcPr>
          <w:p>
            <w:pPr/>
          </w:p>
        </w:tc>
        <w:tc>
          <w:tcPr>
            <w:tcW w:w="602" w:type="dxa"/>
            <w:vMerge/>
            <w:tcBorders>
              <w:left w:val="single" w:sz="4" w:space="0" w:color="000000"/>
              <w:bottom w:val="single" w:sz="4" w:space="0" w:color="000000"/>
              <w:right w:val="single" w:sz="4" w:space="0" w:color="000000"/>
            </w:tcBorders>
            <w:shd w:val="clear" w:color="auto" w:fill="D4D4D4"/>
          </w:tcPr>
          <w:p>
            <w:pPr/>
          </w:p>
        </w:tc>
        <w:tc>
          <w:tcPr>
            <w:tcW w:w="602" w:type="dxa"/>
            <w:vMerge/>
            <w:tcBorders>
              <w:left w:val="single" w:sz="4" w:space="0" w:color="000000"/>
              <w:bottom w:val="single" w:sz="4" w:space="0" w:color="000000"/>
              <w:right w:val="single" w:sz="4" w:space="0" w:color="000000"/>
            </w:tcBorders>
            <w:shd w:val="clear" w:color="auto" w:fill="D4D4D4"/>
          </w:tcPr>
          <w:p>
            <w:pPr/>
          </w:p>
        </w:tc>
      </w:tr>
      <w:tr>
        <w:trPr>
          <w:trHeight w:val="454" w:hRule="exact"/>
        </w:trPr>
        <w:tc>
          <w:tcPr>
            <w:tcW w:w="590" w:type="dxa"/>
            <w:tcBorders>
              <w:top w:val="single" w:sz="4" w:space="0" w:color="000000"/>
              <w:left w:val="single" w:sz="4" w:space="0" w:color="000000"/>
              <w:bottom w:val="nil" w:sz="6" w:space="0" w:color="auto"/>
              <w:right w:val="single" w:sz="4" w:space="0" w:color="000000"/>
            </w:tcBorders>
            <w:shd w:val="clear" w:color="auto" w:fill="D4D4D4"/>
          </w:tcPr>
          <w:p>
            <w:pPr/>
          </w:p>
        </w:tc>
        <w:tc>
          <w:tcPr>
            <w:tcW w:w="602"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26"/>
              <w:jc w:val="left"/>
              <w:rPr>
                <w:rFonts w:ascii="宋体" w:hAnsi="宋体" w:cs="宋体" w:eastAsia="宋体" w:hint="default"/>
                <w:sz w:val="18"/>
                <w:szCs w:val="18"/>
              </w:rPr>
            </w:pPr>
            <w:r>
              <w:rPr>
                <w:rFonts w:ascii="宋体" w:hAnsi="宋体" w:cs="宋体" w:eastAsia="宋体" w:hint="default"/>
                <w:sz w:val="18"/>
                <w:szCs w:val="18"/>
              </w:rPr>
              <w:t>丁伟 国、蒋 利琴、 刘泉、 朱瑶、 华信行</w:t>
            </w:r>
          </w:p>
        </w:tc>
        <w:tc>
          <w:tcPr>
            <w:tcW w:w="6619" w:type="dxa"/>
            <w:vMerge w:val="restart"/>
            <w:tcBorders>
              <w:top w:val="single" w:sz="4" w:space="0" w:color="000000"/>
              <w:left w:val="single" w:sz="4" w:space="0" w:color="000000"/>
              <w:right w:val="single" w:sz="4" w:space="0" w:color="000000"/>
            </w:tcBorders>
          </w:tcPr>
          <w:p>
            <w:pPr>
              <w:pStyle w:val="TableParagraph"/>
              <w:spacing w:line="304"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（一）发行股份购买资产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丁伟国、蒋利琴、刘泉、朱瑶分别承诺，自发行结束之日 起因本次交易所获得的股份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个月内不得转让；</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个月的限售期满后，取得的股票</w:t>
            </w:r>
            <w:r>
              <w:rPr>
                <w:rFonts w:ascii="宋体" w:hAnsi="宋体" w:cs="宋体" w:eastAsia="宋体" w:hint="default"/>
                <w:sz w:val="18"/>
                <w:szCs w:val="18"/>
              </w:rPr>
              <w:t> </w:t>
            </w:r>
            <w:r>
              <w:rPr>
                <w:rFonts w:ascii="宋体" w:hAnsi="宋体" w:cs="宋体" w:eastAsia="宋体" w:hint="default"/>
                <w:spacing w:val="-6"/>
                <w:sz w:val="18"/>
                <w:szCs w:val="18"/>
              </w:rPr>
              <w:t>按照以下约定分批解除限售：（</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）第一期股份：在持股期满</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个月且标的公司</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年度《专项审核报告》披露后，补偿义务人可解锁股份占其本次交易所获得任子行 股份的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）第二期股份：在持股期满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个月且标的公司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年度《专项审</w:t>
            </w:r>
            <w:r>
              <w:rPr>
                <w:rFonts w:ascii="宋体" w:hAnsi="宋体" w:cs="宋体" w:eastAsia="宋体" w:hint="default"/>
                <w:spacing w:val="-85"/>
                <w:sz w:val="18"/>
                <w:szCs w:val="18"/>
              </w:rPr>
              <w:t> </w:t>
            </w:r>
            <w:r>
              <w:rPr>
                <w:rFonts w:ascii="宋体" w:hAnsi="宋体" w:cs="宋体" w:eastAsia="宋体" w:hint="default"/>
                <w:spacing w:val="-5"/>
                <w:sz w:val="18"/>
                <w:szCs w:val="18"/>
              </w:rPr>
              <w:t>核报告》披露后，补偿义务人可解锁股份占其本次交易所获得任子行股份的</w:t>
            </w:r>
            <w:r>
              <w:rPr>
                <w:rFonts w:ascii="宋体" w:hAnsi="宋体" w:cs="宋体" w:eastAsia="宋体" w:hint="default"/>
                <w:spacing w:val="-13"/>
                <w:sz w:val="18"/>
                <w:szCs w:val="18"/>
              </w:rPr>
              <w:t> </w:t>
            </w:r>
            <w:r>
              <w:rPr>
                <w:rFonts w:ascii="Times New Roman" w:hAnsi="Times New Roman" w:cs="Times New Roman" w:eastAsia="Times New Roman" w:hint="default"/>
                <w:spacing w:val="-27"/>
                <w:sz w:val="18"/>
                <w:szCs w:val="18"/>
              </w:rPr>
              <w:t>20%</w:t>
            </w:r>
            <w:r>
              <w:rPr>
                <w:rFonts w:ascii="宋体" w:hAnsi="宋体" w:cs="宋体" w:eastAsia="宋体" w:hint="default"/>
                <w:spacing w:val="-27"/>
                <w:sz w:val="18"/>
                <w:szCs w:val="18"/>
              </w:rPr>
              <w:t>；（</w:t>
            </w:r>
            <w:r>
              <w:rPr>
                <w:rFonts w:ascii="Times New Roman" w:hAnsi="Times New Roman" w:cs="Times New Roman" w:eastAsia="Times New Roman" w:hint="default"/>
                <w:spacing w:val="-27"/>
                <w:sz w:val="18"/>
                <w:szCs w:val="18"/>
              </w:rPr>
              <w:t>3</w:t>
            </w:r>
          </w:p>
        </w:tc>
        <w:tc>
          <w:tcPr>
            <w:tcW w:w="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6" w:right="1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至 </w:t>
            </w:r>
            <w:r>
              <w:rPr>
                <w:rFonts w:ascii="Times New Roman" w:hAnsi="Times New Roman" w:cs="Times New Roman" w:eastAsia="Times New Roman" w:hint="default"/>
                <w:sz w:val="18"/>
                <w:szCs w:val="18"/>
              </w:rPr>
              <w:t>2018</w:t>
            </w:r>
          </w:p>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1015" w:hRule="exact"/>
        </w:trPr>
        <w:tc>
          <w:tcPr>
            <w:tcW w:w="5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26"/>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602" w:type="dxa"/>
            <w:vMerge/>
            <w:tcBorders>
              <w:left w:val="single" w:sz="9" w:space="0" w:color="D4D4D4"/>
              <w:right w:val="single" w:sz="4" w:space="0" w:color="000000"/>
            </w:tcBorders>
          </w:tcPr>
          <w:p>
            <w:pPr/>
          </w:p>
        </w:tc>
        <w:tc>
          <w:tcPr>
            <w:tcW w:w="6619" w:type="dxa"/>
            <w:vMerge/>
            <w:tcBorders>
              <w:left w:val="single" w:sz="4" w:space="0" w:color="000000"/>
              <w:right w:val="single" w:sz="4" w:space="0" w:color="000000"/>
            </w:tcBorders>
          </w:tcPr>
          <w:p>
            <w:pP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454" w:hRule="exact"/>
        </w:trPr>
        <w:tc>
          <w:tcPr>
            <w:tcW w:w="590" w:type="dxa"/>
            <w:tcBorders>
              <w:top w:val="nil" w:sz="6" w:space="0" w:color="auto"/>
              <w:left w:val="single" w:sz="4" w:space="0" w:color="000000"/>
              <w:bottom w:val="single" w:sz="4" w:space="0" w:color="000000"/>
              <w:right w:val="single" w:sz="4" w:space="0" w:color="000000"/>
            </w:tcBorders>
            <w:shd w:val="clear" w:color="auto" w:fill="D4D4D4"/>
          </w:tcPr>
          <w:p>
            <w:pPr/>
          </w:p>
        </w:tc>
        <w:tc>
          <w:tcPr>
            <w:tcW w:w="602" w:type="dxa"/>
            <w:vMerge/>
            <w:tcBorders>
              <w:left w:val="single" w:sz="9" w:space="0" w:color="D4D4D4"/>
              <w:bottom w:val="single" w:sz="4" w:space="0" w:color="000000"/>
              <w:right w:val="single" w:sz="4" w:space="0" w:color="000000"/>
            </w:tcBorders>
          </w:tcPr>
          <w:p>
            <w:pPr/>
          </w:p>
        </w:tc>
        <w:tc>
          <w:tcPr>
            <w:tcW w:w="6619" w:type="dxa"/>
            <w:vMerge/>
            <w:tcBorders>
              <w:left w:val="single" w:sz="4" w:space="0" w:color="000000"/>
              <w:bottom w:val="single" w:sz="4" w:space="0" w:color="000000"/>
              <w:right w:val="single" w:sz="4" w:space="0" w:color="000000"/>
            </w:tcBorders>
          </w:tcPr>
          <w:p>
            <w:pPr/>
          </w:p>
        </w:tc>
        <w:tc>
          <w:tcPr>
            <w:tcW w:w="600"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14.846008pt;margin-top:199.799988pt;width:62.9pt;height:248.65pt;mso-position-horizontal-relative:page;mso-position-vertical-relative:page;z-index:-848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pStyle w:val="BodyText"/>
                    <w:spacing w:line="240" w:lineRule="auto"/>
                    <w:ind w:left="0" w:right="0"/>
                    <w:jc w:val="left"/>
                  </w:pPr>
                  <w:r>
                    <w:rPr/>
                    <w:t>蒋利琴、</w:t>
                  </w:r>
                </w:p>
              </w:txbxContent>
            </v:textbox>
            <w10:wrap type="none"/>
          </v:shape>
        </w:pict>
      </w:r>
      <w:r>
        <w:rPr/>
        <w:pict>
          <v:shape style="position:absolute;margin-left:216.960007pt;margin-top:514.799988pt;width:260.8pt;height:248.65pt;mso-position-horizontal-relative:page;mso-position-vertical-relative:page;z-index:-848104" type="#_x0000_t202" filled="false" stroked="false">
            <v:textbox inset="0,0,0,0">
              <w:txbxContent>
                <w:p>
                  <w:pPr>
                    <w:pStyle w:val="BodyText"/>
                    <w:spacing w:line="225" w:lineRule="exact"/>
                    <w:ind w:left="0" w:right="533"/>
                    <w:jc w:val="right"/>
                  </w:pPr>
                  <w:r>
                    <w:rPr/>
                    <w:t>补偿股份数量的上限为本次发行补偿义务人认购的股份数，</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530"/>
                    <w:jc w:val="right"/>
                  </w:pPr>
                  <w:r>
                    <w:rPr/>
                    <w:t>：</w:t>
                  </w:r>
                </w:p>
              </w:txbxContent>
            </v:textbox>
            <w10:wrap type="none"/>
          </v:shape>
        </w:pict>
      </w:r>
      <w:r>
        <w:rPr/>
        <w:pict>
          <v:group style="position:absolute;margin-left:448.079987pt;margin-top:72.47998pt;width:29.65pt;height:376pt;mso-position-horizontal-relative:page;mso-position-vertical-relative:page;z-index:-848080" coordorigin="8962,1450" coordsize="593,7520">
            <v:group style="position:absolute;left:8962;top:1450;width:593;height:2537" coordorigin="8962,1450" coordsize="593,2537">
              <v:shape style="position:absolute;left:8962;top:1450;width:593;height:2537" coordorigin="8962,1450" coordsize="593,2537" path="m8962,3986l9554,3986,9554,1450,8962,1450,8962,3986xe" filled="true" fillcolor="#ffffff" stroked="false">
                <v:path arrowok="t"/>
                <v:fill type="solid"/>
              </v:shape>
            </v:group>
            <v:group style="position:absolute;left:8962;top:3996;width:593;height:4973" coordorigin="8962,3996" coordsize="593,4973">
              <v:shape style="position:absolute;left:8962;top:3996;width:593;height:4973" coordorigin="8962,3996" coordsize="593,4973" path="m8962,8969l9554,8969,9554,3996,8962,3996,8962,896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01"/>
        <w:gridCol w:w="602"/>
        <w:gridCol w:w="6619"/>
        <w:gridCol w:w="600"/>
        <w:gridCol w:w="602"/>
        <w:gridCol w:w="602"/>
      </w:tblGrid>
      <w:tr>
        <w:trPr>
          <w:trHeight w:val="2546" w:hRule="exact"/>
        </w:trPr>
        <w:tc>
          <w:tcPr>
            <w:tcW w:w="601" w:type="dxa"/>
            <w:vMerge w:val="restart"/>
            <w:tcBorders>
              <w:top w:val="single" w:sz="4" w:space="0" w:color="000000"/>
              <w:left w:val="single" w:sz="4" w:space="0" w:color="000000"/>
              <w:right w:val="single" w:sz="4" w:space="0" w:color="000000"/>
            </w:tcBorders>
            <w:shd w:val="clear" w:color="auto" w:fill="D4D4D4"/>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6"/>
              <w:jc w:val="both"/>
              <w:rPr>
                <w:rFonts w:ascii="宋体" w:hAnsi="宋体" w:cs="宋体" w:eastAsia="宋体" w:hint="default"/>
                <w:sz w:val="18"/>
                <w:szCs w:val="18"/>
              </w:rPr>
            </w:pPr>
            <w:r>
              <w:rPr>
                <w:rFonts w:ascii="宋体" w:hAnsi="宋体" w:cs="宋体" w:eastAsia="宋体" w:hint="default"/>
                <w:sz w:val="18"/>
                <w:szCs w:val="18"/>
              </w:rPr>
              <w:t>投资、 龙象之 本、杨 敏、水 向东、 周益斌</w:t>
            </w:r>
          </w:p>
        </w:tc>
        <w:tc>
          <w:tcPr>
            <w:tcW w:w="66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46"/>
              <w:jc w:val="left"/>
              <w:rPr>
                <w:rFonts w:ascii="宋体" w:hAnsi="宋体" w:cs="宋体" w:eastAsia="宋体" w:hint="default"/>
                <w:sz w:val="18"/>
                <w:szCs w:val="18"/>
              </w:rPr>
            </w:pPr>
            <w:r>
              <w:rPr>
                <w:rFonts w:ascii="宋体" w:hAnsi="宋体" w:cs="宋体" w:eastAsia="宋体" w:hint="default"/>
                <w:sz w:val="18"/>
                <w:szCs w:val="18"/>
              </w:rPr>
              <w:t>第三期股份：在持股期满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个月且标的公司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年度《专项审核报告》披露后， 补偿义务人可解锁股份占其本次交易所获得任子行股份的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20%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）第四期股份：</w:t>
            </w:r>
            <w:r>
              <w:rPr>
                <w:rFonts w:ascii="宋体" w:hAnsi="宋体" w:cs="宋体" w:eastAsia="宋体" w:hint="default"/>
                <w:spacing w:val="-83"/>
                <w:sz w:val="18"/>
                <w:szCs w:val="18"/>
              </w:rPr>
              <w:t> </w:t>
            </w:r>
            <w:r>
              <w:rPr>
                <w:rFonts w:ascii="宋体" w:hAnsi="宋体" w:cs="宋体" w:eastAsia="宋体" w:hint="default"/>
                <w:sz w:val="18"/>
                <w:szCs w:val="18"/>
              </w:rPr>
              <w:t>在标的公司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年度《专项审核报告》及《减值测试报告》披露后，补偿义务人可 解锁股份占其本次交易所获得任子行股份的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40%</w:t>
            </w:r>
            <w:r>
              <w:rPr>
                <w:rFonts w:ascii="宋体" w:hAnsi="宋体" w:cs="宋体" w:eastAsia="宋体" w:hint="default"/>
                <w:spacing w:val="-5"/>
                <w:sz w:val="18"/>
                <w:szCs w:val="18"/>
              </w:rPr>
              <w:t>。（二）募集配套资金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华信行投资、</w:t>
            </w:r>
            <w:r>
              <w:rPr>
                <w:rFonts w:ascii="宋体" w:hAnsi="宋体" w:cs="宋体" w:eastAsia="宋体" w:hint="default"/>
                <w:sz w:val="18"/>
                <w:szCs w:val="18"/>
              </w:rPr>
              <w:t> 龙象之本、杨敏、水向东、周益斌分别承诺：本人本次认购的任子行股份自股票上 市之日起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个月内不得转让。本次发行结束后，前述股份由于上市公司送股、转增 股本等原因增加的股份，亦应遵守上述约定。锁定期结束后，将按中国证监会及深 圳证券交易所的有关规定执行。</w:t>
            </w:r>
          </w:p>
        </w:tc>
        <w:tc>
          <w:tcPr>
            <w:tcW w:w="60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11282" w:hRule="exact"/>
        </w:trPr>
        <w:tc>
          <w:tcPr>
            <w:tcW w:w="601" w:type="dxa"/>
            <w:vMerge/>
            <w:tcBorders>
              <w:left w:val="single" w:sz="4" w:space="0" w:color="000000"/>
              <w:bottom w:val="single" w:sz="4" w:space="0" w:color="000000"/>
              <w:right w:val="single" w:sz="4" w:space="0" w:color="000000"/>
            </w:tcBorders>
            <w:shd w:val="clear" w:color="auto" w:fill="D4D4D4"/>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6"/>
              <w:jc w:val="left"/>
              <w:rPr>
                <w:rFonts w:ascii="宋体" w:hAnsi="宋体" w:cs="宋体" w:eastAsia="宋体" w:hint="default"/>
                <w:sz w:val="18"/>
                <w:szCs w:val="18"/>
              </w:rPr>
            </w:pPr>
            <w:r>
              <w:rPr>
                <w:rFonts w:ascii="宋体" w:hAnsi="宋体" w:cs="宋体" w:eastAsia="宋体" w:hint="default"/>
                <w:sz w:val="18"/>
                <w:szCs w:val="18"/>
              </w:rPr>
              <w:t>丁伟 国、蒋 利琴、 刘泉、 朱瑶</w:t>
            </w:r>
          </w:p>
        </w:tc>
        <w:tc>
          <w:tcPr>
            <w:tcW w:w="6619" w:type="dxa"/>
            <w:tcBorders>
              <w:top w:val="single" w:sz="4" w:space="0" w:color="000000"/>
              <w:left w:val="single" w:sz="4" w:space="0" w:color="000000"/>
              <w:bottom w:val="single" w:sz="4" w:space="0" w:color="000000"/>
              <w:right w:val="single" w:sz="10" w:space="0" w:color="FFFFFF"/>
            </w:tcBorders>
          </w:tcPr>
          <w:p>
            <w:pPr>
              <w:pStyle w:val="TableParagraph"/>
              <w:spacing w:line="307" w:lineRule="auto" w:before="49"/>
              <w:ind w:left="23"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（一）盈利承诺情况。本次交易的补偿义务人丁伟国、蒋利琴、刘泉、朱瑶承诺唐 人数码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利润补偿期间</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各年度净利润（以下简称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承诺净利润</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）如下：</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年度不低于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年度不低于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5,874.00</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年度不低于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6,300.00</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年度不低于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6,600.00</w:t>
            </w:r>
          </w:p>
          <w:p>
            <w:pPr>
              <w:pStyle w:val="TableParagraph"/>
              <w:spacing w:line="314" w:lineRule="auto" w:before="7"/>
              <w:ind w:left="23" w:right="-41"/>
              <w:jc w:val="left"/>
              <w:rPr>
                <w:rFonts w:ascii="宋体" w:hAnsi="宋体" w:cs="宋体" w:eastAsia="宋体" w:hint="default"/>
                <w:sz w:val="18"/>
                <w:szCs w:val="18"/>
              </w:rPr>
            </w:pPr>
            <w:r>
              <w:rPr>
                <w:rFonts w:ascii="宋体" w:hAnsi="宋体" w:cs="宋体" w:eastAsia="宋体" w:hint="default"/>
                <w:sz w:val="18"/>
                <w:szCs w:val="18"/>
              </w:rPr>
              <w:t>万元，合计不低于为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23,274.00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万元。前述净利润指标的公司每个会计年度合并报表 中扣除非经常性损益后归属于母公司股东的净利润（以具有中国证券从业资格的会 </w:t>
            </w:r>
            <w:r>
              <w:rPr>
                <w:rFonts w:ascii="宋体" w:hAnsi="宋体" w:cs="宋体" w:eastAsia="宋体" w:hint="default"/>
                <w:spacing w:val="-5"/>
                <w:sz w:val="18"/>
                <w:szCs w:val="18"/>
              </w:rPr>
              <w:t>计师事务所按中国企业会计准则出具的审计报告为准）。（二）补偿义务。如果承诺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年限内唐人数码的截至当期期末实际净利润数额未达到截至当期期末承诺净利润数 额，则补偿义务人应以连带责任方式向任子行补偿。若唐人数码在承诺年限的截至 当期期末实际净利润数大于或等于截至当期期末承诺净利润数额，则补偿义务人无 </w:t>
            </w:r>
            <w:r>
              <w:rPr>
                <w:rFonts w:ascii="宋体" w:hAnsi="宋体" w:cs="宋体" w:eastAsia="宋体" w:hint="default"/>
                <w:spacing w:val="-3"/>
                <w:sz w:val="18"/>
                <w:szCs w:val="18"/>
              </w:rPr>
              <w:t>需向任子行进行补偿。（三）实际净利润的确定。标的资产交割完毕后，任子行将于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利润补偿期间每个会计年度结束后，聘请具有从事证券期货业务资格的会计师事务 </w:t>
            </w:r>
            <w:r>
              <w:rPr>
                <w:rFonts w:ascii="宋体" w:hAnsi="宋体" w:cs="宋体" w:eastAsia="宋体" w:hint="default"/>
                <w:spacing w:val="-3"/>
                <w:sz w:val="18"/>
                <w:szCs w:val="18"/>
              </w:rPr>
              <w:t>所对标的公司净利润实现情况进行专项审核，出具《专项审核报告》。标的公司在利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润补偿期内的实现的净利润，以《专项审核报告》确定的扣除非经常性损益后的净 </w:t>
            </w:r>
            <w:r>
              <w:rPr>
                <w:rFonts w:ascii="宋体" w:hAnsi="宋体" w:cs="宋体" w:eastAsia="宋体" w:hint="default"/>
                <w:spacing w:val="-3"/>
                <w:sz w:val="18"/>
                <w:szCs w:val="18"/>
              </w:rPr>
              <w:t>利润数值为准。（四）补偿的实施。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、承担利润补偿义务的主体为丁伟国、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刘泉和朱瑶，由补偿义务人按照其持有标的公司的股权比例承担补偿义务，但补偿 义务人应就其他各方的补偿义务承担连带责任。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、在利润补偿期间，如唐人数码截 至当期期末累计承诺净利润未能实现，应由补偿义务人先以现金方式向任子行进行 </w:t>
            </w:r>
            <w:r>
              <w:rPr>
                <w:rFonts w:ascii="宋体" w:hAnsi="宋体" w:cs="宋体" w:eastAsia="宋体" w:hint="default"/>
                <w:spacing w:val="-4"/>
                <w:sz w:val="18"/>
                <w:szCs w:val="18"/>
              </w:rPr>
              <w:t>补偿，任子行有权从尚未支付的现金价款中扣除补偿义务人需以现金补偿的部分。</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若补偿义务人尚未获取的现金不足以补偿的，不足部分由补偿义务人以其本次交易</w:t>
            </w:r>
            <w:r>
              <w:rPr>
                <w:rFonts w:ascii="宋体" w:hAnsi="宋体" w:cs="宋体" w:eastAsia="宋体" w:hint="default"/>
                <w:sz w:val="18"/>
                <w:szCs w:val="18"/>
              </w:rPr>
              <w:t> 所获得的股份进行补偿，</w:t>
            </w:r>
          </w:p>
          <w:p>
            <w:pPr>
              <w:pStyle w:val="TableParagraph"/>
              <w:spacing w:line="304" w:lineRule="auto" w:before="20"/>
              <w:ind w:left="23" w:right="12"/>
              <w:jc w:val="left"/>
              <w:rPr>
                <w:rFonts w:ascii="宋体" w:hAnsi="宋体" w:cs="宋体" w:eastAsia="宋体" w:hint="default"/>
                <w:sz w:val="18"/>
                <w:szCs w:val="18"/>
              </w:rPr>
            </w:pPr>
            <w:r>
              <w:rPr>
                <w:rFonts w:ascii="宋体" w:hAnsi="宋体" w:cs="宋体" w:eastAsia="宋体" w:hint="default"/>
                <w:sz w:val="18"/>
                <w:szCs w:val="18"/>
              </w:rPr>
              <w:t>补偿股份总数不超过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43,189,366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股。无论补偿义务人本次交易所获得的股份是否解 除限售，均应优先用于股份补偿，股份补偿实施完毕后，剩余的股份按照协议各方 签署的《现金及发行股份购买资产协议》关于股份限售期的约定处置。股份补偿仍 不足以补偿的，由补偿义务人另行以自筹或自有现金予以补足。</w:t>
            </w:r>
            <w:r>
              <w:rPr>
                <w:rFonts w:ascii="Times New Roman" w:hAnsi="Times New Roman" w:cs="Times New Roman" w:eastAsia="Times New Roman" w:hint="default"/>
                <w:sz w:val="18"/>
                <w:szCs w:val="18"/>
              </w:rPr>
              <w:t>4</w:t>
            </w:r>
            <w:r>
              <w:rPr>
                <w:rFonts w:ascii="宋体" w:hAnsi="宋体" w:cs="宋体" w:eastAsia="宋体" w:hint="default"/>
                <w:sz w:val="18"/>
                <w:szCs w:val="18"/>
              </w:rPr>
              <w:t>、补偿义务人承担 现金补偿和股份补偿的上限为补偿义务人所获得的本次交易对价之和，即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60,256.00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w:t>
            </w:r>
            <w:r>
              <w:rPr>
                <w:rFonts w:ascii="宋体" w:hAnsi="宋体" w:cs="宋体" w:eastAsia="宋体" w:hint="default"/>
                <w:sz w:val="18"/>
                <w:szCs w:val="18"/>
              </w:rPr>
              <w:t>、若唐人数码截至当期期末累积实际净利润少于唐人数码截至当期期末累积 承诺净利润数的，补偿义务人向任子行进行利润补偿，当期补偿金额的计算公式为 </w:t>
            </w:r>
            <w:r>
              <w:rPr>
                <w:rFonts w:ascii="宋体" w:hAnsi="宋体" w:cs="宋体" w:eastAsia="宋体" w:hint="default"/>
                <w:spacing w:val="-1"/>
                <w:sz w:val="18"/>
                <w:szCs w:val="18"/>
              </w:rPr>
              <w:t>当期应补偿金额</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（截至当期期末累积承诺净利润数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截至当期期末累积实现净利润</w:t>
            </w:r>
            <w:r>
              <w:rPr>
                <w:rFonts w:ascii="宋体" w:hAnsi="宋体" w:cs="宋体" w:eastAsia="宋体" w:hint="default"/>
                <w:spacing w:val="-71"/>
                <w:sz w:val="18"/>
                <w:szCs w:val="18"/>
              </w:rPr>
              <w:t> </w:t>
            </w: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已补偿现金金额</w:t>
            </w:r>
            <w:r>
              <w:rPr>
                <w:rFonts w:ascii="Times New Roman" w:hAnsi="Times New Roman" w:cs="Times New Roman" w:eastAsia="Times New Roman" w:hint="default"/>
                <w:sz w:val="18"/>
                <w:szCs w:val="18"/>
              </w:rPr>
              <w:t>— </w:t>
            </w:r>
            <w:r>
              <w:rPr>
                <w:rFonts w:ascii="宋体" w:hAnsi="宋体" w:cs="宋体" w:eastAsia="宋体" w:hint="default"/>
                <w:sz w:val="18"/>
                <w:szCs w:val="18"/>
              </w:rPr>
              <w:t>已补偿股份</w:t>
            </w:r>
            <w:r>
              <w:rPr>
                <w:rFonts w:ascii="Times New Roman" w:hAnsi="Times New Roman" w:cs="Times New Roman" w:eastAsia="Times New Roman" w:hint="default"/>
                <w:sz w:val="18"/>
                <w:szCs w:val="18"/>
              </w:rPr>
              <w:t>×</w:t>
            </w:r>
            <w:r>
              <w:rPr>
                <w:rFonts w:ascii="宋体" w:hAnsi="宋体" w:cs="宋体" w:eastAsia="宋体" w:hint="default"/>
                <w:sz w:val="18"/>
                <w:szCs w:val="18"/>
              </w:rPr>
              <w:t>股份发行价格已补偿金额。</w:t>
            </w:r>
            <w:r>
              <w:rPr>
                <w:rFonts w:ascii="Times New Roman" w:hAnsi="Times New Roman" w:cs="Times New Roman" w:eastAsia="Times New Roman" w:hint="default"/>
                <w:sz w:val="18"/>
                <w:szCs w:val="18"/>
              </w:rPr>
              <w:t>6</w:t>
            </w:r>
            <w:r>
              <w:rPr>
                <w:rFonts w:ascii="宋体" w:hAnsi="宋体" w:cs="宋体" w:eastAsia="宋体" w:hint="default"/>
                <w:sz w:val="18"/>
                <w:szCs w:val="18"/>
              </w:rPr>
              <w:t>、现金补偿及股份补偿的计算。补偿义务 </w:t>
            </w:r>
            <w:r>
              <w:rPr>
                <w:rFonts w:ascii="宋体" w:hAnsi="宋体" w:cs="宋体" w:eastAsia="宋体" w:hint="default"/>
                <w:spacing w:val="-3"/>
                <w:sz w:val="18"/>
                <w:szCs w:val="18"/>
              </w:rPr>
              <w:t>人应按照下列顺序对上市公司进行补偿：（</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）补偿义务人首先以尚未获取的现金进</w:t>
            </w:r>
            <w:r>
              <w:rPr>
                <w:rFonts w:ascii="宋体" w:hAnsi="宋体" w:cs="宋体" w:eastAsia="宋体" w:hint="default"/>
                <w:spacing w:val="-70"/>
                <w:sz w:val="18"/>
                <w:szCs w:val="18"/>
              </w:rPr>
              <w:t> </w:t>
            </w:r>
            <w:r>
              <w:rPr>
                <w:rFonts w:ascii="宋体" w:hAnsi="宋体" w:cs="宋体" w:eastAsia="宋体" w:hint="default"/>
                <w:spacing w:val="-3"/>
                <w:sz w:val="18"/>
                <w:szCs w:val="18"/>
              </w:rPr>
              <w:t>行补偿；（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）若补偿义务人以尚未获取的现金不足补偿的，不足部分由补偿义务人</w:t>
            </w:r>
            <w:r>
              <w:rPr>
                <w:rFonts w:ascii="宋体" w:hAnsi="宋体" w:cs="宋体" w:eastAsia="宋体" w:hint="default"/>
                <w:spacing w:val="-70"/>
                <w:sz w:val="18"/>
                <w:szCs w:val="18"/>
              </w:rPr>
              <w:t> </w:t>
            </w:r>
            <w:r>
              <w:rPr>
                <w:rFonts w:ascii="宋体" w:hAnsi="宋体" w:cs="宋体" w:eastAsia="宋体" w:hint="default"/>
                <w:sz w:val="18"/>
                <w:szCs w:val="18"/>
              </w:rPr>
              <w:t>以本次交易所获得的股份进行补偿，股份补偿金额按以下公式计算确定：当期应补 </w:t>
            </w:r>
            <w:r>
              <w:rPr>
                <w:rFonts w:ascii="宋体" w:hAnsi="宋体" w:cs="宋体" w:eastAsia="宋体" w:hint="default"/>
                <w:spacing w:val="-2"/>
                <w:sz w:val="18"/>
                <w:szCs w:val="18"/>
              </w:rPr>
              <w:t>偿的股份数量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（当期应补偿金额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已扣减的股权转让价款中的应付现金对价）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发行</w:t>
            </w:r>
            <w:r>
              <w:rPr>
                <w:rFonts w:ascii="宋体" w:hAnsi="宋体" w:cs="宋体" w:eastAsia="宋体" w:hint="default"/>
                <w:spacing w:val="-83"/>
                <w:sz w:val="18"/>
                <w:szCs w:val="18"/>
              </w:rPr>
              <w:t> </w:t>
            </w:r>
            <w:r>
              <w:rPr>
                <w:rFonts w:ascii="宋体" w:hAnsi="宋体" w:cs="宋体" w:eastAsia="宋体" w:hint="default"/>
                <w:sz w:val="18"/>
                <w:szCs w:val="18"/>
              </w:rPr>
              <w:t>股份价格。若当期期末计算的应补偿现金金额小于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取值，即已经补偿的</w:t>
            </w:r>
          </w:p>
        </w:tc>
        <w:tc>
          <w:tcPr>
            <w:tcW w:w="60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0"/>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7.25pt;height:15.6pt;mso-position-horizontal-relative:char;mso-position-vertical-relative:line" coordorigin="0,0" coordsize="545,312">
                  <v:group style="position:absolute;left:0;top:0;width:545;height:312" coordorigin="0,0" coordsize="545,312">
                    <v:shape style="position:absolute;left:0;top:0;width:545;height:312" coordorigin="0,0" coordsize="545,312" path="m0,312l545,312,54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4972"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8"/>
                <w:sz w:val="20"/>
                <w:szCs w:val="20"/>
              </w:rPr>
              <w:pict>
                <v:group style="width:29.65pt;height:248.65pt;mso-position-horizontal-relative:char;mso-position-vertical-relative:line" coordorigin="0,0" coordsize="593,4973">
                  <v:group style="position:absolute;left:0;top:0;width:593;height:4973" coordorigin="0,0" coordsize="593,4973">
                    <v:shape style="position:absolute;left:0;top:0;width:593;height:4973" coordorigin="0,0" coordsize="593,4973" path="m0,4973l593,4973,593,0,0,0,0,4973xe" filled="true" fillcolor="#ffffff" stroked="false">
                      <v:path arrowok="t"/>
                      <v:fill type="solid"/>
                    </v:shape>
                  </v:group>
                </v:group>
              </w:pict>
            </w:r>
            <w:r>
              <w:rPr>
                <w:rFonts w:ascii="Times New Roman" w:hAnsi="Times New Roman" w:cs="Times New Roman" w:eastAsia="Times New Roman" w:hint="default"/>
                <w:position w:val="-98"/>
                <w:sz w:val="20"/>
                <w:szCs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6" w:right="1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至 </w:t>
            </w:r>
            <w:r>
              <w:rPr>
                <w:rFonts w:ascii="Times New Roman" w:hAnsi="Times New Roman" w:cs="Times New Roman" w:eastAsia="Times New Roman" w:hint="default"/>
                <w:sz w:val="18"/>
                <w:szCs w:val="18"/>
              </w:rPr>
              <w:t>2018</w:t>
            </w:r>
          </w:p>
          <w:p>
            <w:pPr>
              <w:pStyle w:val="TableParagraph"/>
              <w:spacing w:line="240" w:lineRule="auto" w:before="3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4"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42.079987pt;margin-top:72.47998pt;width:35.65pt;height:641.65pt;mso-position-horizontal-relative:page;mso-position-vertical-relative:page;z-index:-848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2"/>
                      <w:szCs w:val="22"/>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01"/>
        <w:gridCol w:w="602"/>
        <w:gridCol w:w="6619"/>
        <w:gridCol w:w="600"/>
        <w:gridCol w:w="602"/>
        <w:gridCol w:w="602"/>
      </w:tblGrid>
      <w:tr>
        <w:trPr>
          <w:trHeight w:val="315" w:hRule="exact"/>
        </w:trPr>
        <w:tc>
          <w:tcPr>
            <w:tcW w:w="601" w:type="dxa"/>
            <w:vMerge w:val="restart"/>
            <w:tcBorders>
              <w:top w:val="single" w:sz="4" w:space="0" w:color="000000"/>
              <w:left w:val="single" w:sz="4" w:space="0" w:color="000000"/>
              <w:right w:val="single" w:sz="4" w:space="0" w:color="000000"/>
            </w:tcBorders>
            <w:shd w:val="clear" w:color="auto" w:fill="D4D4D4"/>
          </w:tcPr>
          <w:p>
            <w:pPr/>
          </w:p>
        </w:tc>
        <w:tc>
          <w:tcPr>
            <w:tcW w:w="602" w:type="dxa"/>
            <w:vMerge w:val="restart"/>
            <w:tcBorders>
              <w:top w:val="single" w:sz="4" w:space="0" w:color="000000"/>
              <w:left w:val="single" w:sz="4" w:space="0" w:color="000000"/>
              <w:right w:val="single" w:sz="4" w:space="0" w:color="000000"/>
            </w:tcBorders>
          </w:tcPr>
          <w:p>
            <w:pPr/>
          </w:p>
        </w:tc>
        <w:tc>
          <w:tcPr>
            <w:tcW w:w="66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股份及现金不冲回。每个交易对方应补偿股份数按照其在标的公司的出资比例进行</w:t>
            </w:r>
          </w:p>
        </w:tc>
        <w:tc>
          <w:tcPr>
            <w:tcW w:w="600" w:type="dxa"/>
            <w:vMerge w:val="restart"/>
            <w:tcBorders>
              <w:top w:val="single" w:sz="4" w:space="0" w:color="000000"/>
              <w:left w:val="single" w:sz="4" w:space="0" w:color="000000"/>
              <w:right w:val="single" w:sz="4" w:space="0" w:color="000000"/>
            </w:tcBorders>
          </w:tcPr>
          <w:p>
            <w:pPr>
              <w:pStyle w:val="TableParagraph"/>
              <w:spacing w:line="12832" w:lineRule="exact"/>
              <w:ind w:left="-1"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29.65pt;height:641.65pt;mso-position-horizontal-relative:char;mso-position-vertical-relative:line" coordorigin="0,0" coordsize="593,12833">
                  <v:group style="position:absolute;left:0;top:0;width:593;height:12833" coordorigin="0,0" coordsize="593,12833">
                    <v:shape style="position:absolute;left:0;top:0;width:593;height:12833" coordorigin="0,0" coordsize="593,12833" path="m0,12833l593,12833,593,0,0,0,0,12833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602"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）如果任子行在利润补偿期间内实施公积金或未分配利润转增股本或者分</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配股票股利的，则上述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本次发行股份购买资产的每股发行价格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应进行相应调整，同</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时应补偿的股份数也应相应调整，调整后的当期应补偿股份数量＝当期应补偿的股</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转增或送股比例</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如果任子行在利润补偿期间内有现金分红的，按照上</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述公式计算的应补偿股份在利润补偿期间内累计获得的现金分红收益，应随补偿赠</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送给任子行。返还金额的计算公式为：返还金额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返还前每股获得的现金股利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当期</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应补偿的股份数量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）当期按照上述公式算出的补偿金额仍不足以补偿的，补偿</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义务人以自筹资金或自有资金进行补偿的</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3"/>
                <w:sz w:val="18"/>
                <w:szCs w:val="18"/>
              </w:rPr>
              <w:t>、</w:t>
            </w:r>
            <w:r>
              <w:rPr>
                <w:rFonts w:ascii="宋体" w:hAnsi="宋体" w:cs="宋体" w:eastAsia="宋体" w:hint="default"/>
                <w:sz w:val="18"/>
                <w:szCs w:val="18"/>
              </w:rPr>
              <w:t>减值测试后的补偿事宜</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t>在利润</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补偿期间前三年任何一年实现净利润未达到当年承诺净利润的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，以及在承诺年</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度届满时，任子行将聘请具有证券从业资格的审计机构对标的资产进行减值测试并</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出具减值测试报告。在承诺年度届满时，若标的资产对价为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60,256.00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万元，标的资</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产减值测试的作价基础为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60,256.00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万元；若标的资产对价调整为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80,258.00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标的资产减值测试的作价基础为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80,258.00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万元。除非另有法律规定，否则，减值测</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试报告采取的估值方法应与评估报告采用的估值方法一致</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）如果：期末减值额</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＞补偿期内已补偿股份总数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本次发行股份购买资产的每股发行价格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补偿期内已补</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偿的现金总额，则补偿义务人应另行补偿，另行补偿首先以任子行尚未支付的现金</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进行补偿，任子行尚未支付的现金不足以补偿的，以补偿义务人本次交易所获得的</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股份进行补偿，仍不足以补偿的，由补偿义务人自筹资金予以补偿</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）现金补偿</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的计算公式为：另行补偿的金额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行股份购买资产的每股发行价格</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补偿期内已补偿的现金总额</w:t>
            </w:r>
            <w:r>
              <w:rPr>
                <w:rFonts w:ascii="宋体" w:hAnsi="宋体" w:cs="宋体" w:eastAsia="宋体" w:hint="default"/>
                <w:spacing w:val="-92"/>
                <w:sz w:val="18"/>
                <w:szCs w:val="18"/>
              </w:rPr>
              <w:t>）</w:t>
            </w:r>
            <w:r>
              <w:rPr>
                <w:rFonts w:ascii="宋体" w:hAnsi="宋体" w:cs="宋体" w:eastAsia="宋体" w:hint="default"/>
                <w:sz w:val="18"/>
                <w:szCs w:val="18"/>
              </w:rPr>
              <w:t>。如果以任子行尚未</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支付的现金不足以补偿的，不足部分由补偿义务人以本次交易所获得的股份进行补</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偿。另行补偿的股份数量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（标的资产减值应支付的另行补偿金额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本次减值已支付</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的另行补偿金额）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本次发行股份购买资产的每股发行价格。</w:t>
            </w:r>
            <w:r>
              <w:rPr>
                <w:rFonts w:ascii="Times New Roman" w:hAnsi="Times New Roman" w:cs="Times New Roman" w:eastAsia="Times New Roman" w:hint="default"/>
                <w:sz w:val="18"/>
                <w:szCs w:val="18"/>
              </w:rPr>
              <w:t>8</w:t>
            </w:r>
            <w:r>
              <w:rPr>
                <w:rFonts w:ascii="宋体" w:hAnsi="宋体" w:cs="宋体" w:eastAsia="宋体" w:hint="default"/>
                <w:sz w:val="18"/>
                <w:szCs w:val="18"/>
              </w:rPr>
              <w:t>、现金补偿的实施。</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如标的公司在利润补偿期间内未能实现承诺净利润，则任子行应在利润补偿期间内</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各年度《专项审核报告》披露后向补偿义务人发出书面通知（书面通知应包含当年</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的补偿金额</w:t>
            </w:r>
            <w:r>
              <w:rPr>
                <w:rFonts w:ascii="宋体" w:hAnsi="宋体" w:cs="宋体" w:eastAsia="宋体" w:hint="default"/>
                <w:spacing w:val="-92"/>
                <w:sz w:val="18"/>
                <w:szCs w:val="18"/>
              </w:rPr>
              <w:t>）</w:t>
            </w:r>
            <w:r>
              <w:rPr>
                <w:rFonts w:ascii="宋体" w:hAnsi="宋体" w:cs="宋体" w:eastAsia="宋体" w:hint="default"/>
                <w:sz w:val="18"/>
                <w:szCs w:val="18"/>
              </w:rPr>
              <w:t>，补偿义务人在</w:t>
            </w:r>
            <w:r>
              <w:rPr>
                <w:rFonts w:ascii="宋体" w:hAnsi="宋体" w:cs="宋体" w:eastAsia="宋体" w:hint="default"/>
                <w:spacing w:val="2"/>
                <w:sz w:val="18"/>
                <w:szCs w:val="18"/>
              </w:rPr>
              <w:t>收</w:t>
            </w:r>
            <w:r>
              <w:rPr>
                <w:rFonts w:ascii="宋体" w:hAnsi="宋体" w:cs="宋体" w:eastAsia="宋体" w:hint="default"/>
                <w:sz w:val="18"/>
                <w:szCs w:val="18"/>
              </w:rPr>
              <w:t>到任子行的书面通知后的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w:t>
            </w:r>
            <w:r>
              <w:rPr>
                <w:rFonts w:ascii="宋体" w:hAnsi="宋体" w:cs="宋体" w:eastAsia="宋体" w:hint="default"/>
                <w:sz w:val="18"/>
                <w:szCs w:val="18"/>
              </w:rPr>
              <w:t>工作日内，将应补偿</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的现金一次性支付至任子行指定的银行账户。若补偿义务人未按时、足额履行现金</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补偿义务的，则不足部分应以补偿义务人本次交易所获得的任子行股份进行补偿。</w:t>
            </w:r>
            <w:r>
              <w:rPr>
                <w:rFonts w:ascii="Times New Roman" w:hAnsi="Times New Roman" w:cs="Times New Roman" w:eastAsia="Times New Roman" w:hint="default"/>
                <w:spacing w:val="-3"/>
                <w:sz w:val="18"/>
                <w:szCs w:val="18"/>
              </w:rPr>
              <w:t>9</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股份补偿的实施</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7"/>
                <w:sz w:val="18"/>
                <w:szCs w:val="18"/>
              </w:rPr>
              <w:t>）</w:t>
            </w:r>
            <w:r>
              <w:rPr>
                <w:rFonts w:ascii="宋体" w:hAnsi="宋体" w:cs="宋体" w:eastAsia="宋体" w:hint="default"/>
                <w:sz w:val="18"/>
                <w:szCs w:val="18"/>
              </w:rPr>
              <w:t>补偿义务人应补偿的股份由任子行以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元对价回购并注销</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任子行应在利润补偿期间内各年年报披露后的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个交易日内发出召开审议上述股份</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回购及后续注销事宜的股东大会会议通知。如果任子行股东大会通过了上述股份回</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购及后续注销事宜的议案，任子行应在股东大会结束后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个月内实施回购方案；如</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任子行股东大会未通过上述股份回购及后续注销事宜的议案，则任子行应在股东大</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会决议公告后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个交易日内书面通知补偿义务人，任子行将在股东大会决议公告之</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日内公告股权登记日并由补偿义务人将等同于上述应回购数量的股份无偿赠</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送给该股权登记日登记在册的除交易对方之外的任子行其他股东。任子行其他股东</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按其所持股份数量占股权登记日扣除交易对方持有的股份数后任子行股份数量的比</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例享有获赠股份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）自应补偿的股份数量确定之日（指当期年度报告披露之日）</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起至该等股份注销前或被赠与其他股东前，补偿义务人就该等股份不拥有表决权且</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60"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bottom w:val="single" w:sz="4" w:space="0" w:color="000000"/>
              <w:right w:val="single" w:sz="4" w:space="0" w:color="000000"/>
            </w:tcBorders>
          </w:tcPr>
          <w:p>
            <w:pPr/>
          </w:p>
        </w:tc>
        <w:tc>
          <w:tcPr>
            <w:tcW w:w="66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不享有收益分配的权利。</w:t>
            </w:r>
          </w:p>
        </w:tc>
        <w:tc>
          <w:tcPr>
            <w:tcW w:w="600"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r>
      <w:tr>
        <w:trPr>
          <w:trHeight w:val="735" w:hRule="exact"/>
        </w:trPr>
        <w:tc>
          <w:tcPr>
            <w:tcW w:w="601" w:type="dxa"/>
            <w:vMerge/>
            <w:tcBorders>
              <w:left w:val="single" w:sz="4" w:space="0" w:color="000000"/>
              <w:right w:val="single" w:sz="4" w:space="0" w:color="000000"/>
            </w:tcBorders>
            <w:shd w:val="clear" w:color="auto" w:fill="D4D4D4"/>
          </w:tcPr>
          <w:p>
            <w:pP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丁伟 国、蒋</w:t>
            </w:r>
          </w:p>
        </w:tc>
        <w:tc>
          <w:tcPr>
            <w:tcW w:w="6619"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为保护任子行及其股东特别是中小股东的利益，丁伟国、蒋利琴、刘泉、朱瑶分别 对避免同业竞争做出如下承诺：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、本人在唐人数码及其子公司的任职期间以及自唐</w:t>
            </w:r>
          </w:p>
        </w:tc>
        <w:tc>
          <w:tcPr>
            <w:tcW w:w="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1"/>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52" w:hRule="exact"/>
        </w:trPr>
        <w:tc>
          <w:tcPr>
            <w:tcW w:w="601" w:type="dxa"/>
            <w:vMerge/>
            <w:tcBorders>
              <w:left w:val="single" w:sz="4" w:space="0" w:color="000000"/>
              <w:bottom w:val="single" w:sz="4" w:space="0" w:color="000000"/>
              <w:right w:val="single" w:sz="4" w:space="0" w:color="000000"/>
            </w:tcBorders>
            <w:shd w:val="clear" w:color="auto" w:fill="D4D4D4"/>
          </w:tcPr>
          <w:p>
            <w:pPr/>
          </w:p>
        </w:tc>
        <w:tc>
          <w:tcPr>
            <w:tcW w:w="60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利琴、</w:t>
            </w:r>
          </w:p>
        </w:tc>
        <w:tc>
          <w:tcPr>
            <w:tcW w:w="6619"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人数码离职之日起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年内，不投资与唐人数码业务相同或者相类似的其他企业，不</w:t>
            </w:r>
          </w:p>
        </w:tc>
        <w:tc>
          <w:tcPr>
            <w:tcW w:w="600"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602"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0"/>
        <w:ind w:left="784" w:right="0"/>
        <w:jc w:val="left"/>
      </w:pPr>
      <w:r>
        <w:rPr/>
        <w:t>刘泉、 在任子行及其子公司、唐人数码及其子公司以外，从事与该等公司同类或存在竞争</w:t>
      </w:r>
      <w:r>
        <w:rPr>
          <w:spacing w:val="21"/>
        </w:rPr>
        <w:t> </w:t>
      </w:r>
      <w:r>
        <w:rPr/>
        <w:t>日</w:t>
      </w:r>
    </w:p>
    <w:p>
      <w:pPr>
        <w:pStyle w:val="BodyText"/>
        <w:tabs>
          <w:tab w:pos="1386" w:val="left" w:leader="none"/>
        </w:tabs>
        <w:spacing w:line="309" w:lineRule="auto" w:before="76"/>
        <w:ind w:left="1386" w:right="1958" w:hanging="603"/>
        <w:jc w:val="left"/>
      </w:pPr>
      <w:r>
        <w:rPr/>
        <w:pict>
          <v:shape style="position:absolute;margin-left:441.959991pt;margin-top:5.431702pt;width:35.8pt;height:171.6pt;mso-position-horizontal-relative:page;mso-position-vertical-relative:paragraph;z-index:-8480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t>、</w:t>
                  </w:r>
                </w:p>
              </w:txbxContent>
            </v:textbox>
            <w10:wrap type="none"/>
          </v:shape>
        </w:pict>
      </w:r>
      <w:r>
        <w:rPr/>
        <w:t>朱瑶</w:t>
        <w:tab/>
        <w:t>的业务或通过直接或间接控制的其他经营主体从事该等业务；不在其他与任子行及 其子公司、唐人数码及其子公司有竞争关系的任何企业或组织任职。</w:t>
      </w:r>
      <w:r>
        <w:rPr>
          <w:rFonts w:ascii="Times New Roman" w:hAnsi="Times New Roman" w:cs="Times New Roman" w:eastAsia="Times New Roman" w:hint="default"/>
        </w:rPr>
        <w:t>2</w:t>
      </w:r>
      <w:r>
        <w:rPr/>
        <w:t>、如任子行进 一步拓展其业务范围，本人及本人控制的其他企业将不与任子行拓展后的业务相竞 争；可能与任子行拓展后的业务产生竞争的，本人及本人控制的其他企业将按照如 </w:t>
      </w:r>
      <w:r>
        <w:rPr>
          <w:spacing w:val="-3"/>
        </w:rPr>
        <w:t>下方式退出与任子行的竞争：</w:t>
      </w:r>
      <w:r>
        <w:rPr>
          <w:rFonts w:ascii="Times New Roman" w:hAnsi="Times New Roman" w:cs="Times New Roman" w:eastAsia="Times New Roman" w:hint="default"/>
          <w:spacing w:val="-3"/>
        </w:rPr>
        <w:t>A</w:t>
      </w:r>
      <w:r>
        <w:rPr>
          <w:spacing w:val="-3"/>
        </w:rPr>
        <w:t>、停止与任子行构成竞争或可能构成竞争的业务；</w:t>
      </w:r>
      <w:r>
        <w:rPr>
          <w:rFonts w:ascii="Times New Roman" w:hAnsi="Times New Roman" w:cs="Times New Roman" w:eastAsia="Times New Roman" w:hint="default"/>
          <w:spacing w:val="-3"/>
        </w:rPr>
        <w:t>B</w:t>
      </w:r>
      <w:r>
        <w:rPr>
          <w:rFonts w:ascii="Times New Roman" w:hAnsi="Times New Roman" w:cs="Times New Roman" w:eastAsia="Times New Roman" w:hint="default"/>
        </w:rPr>
        <w:t> </w:t>
      </w:r>
      <w:r>
        <w:rPr/>
        <w:t>将相竞争的业务纳入到任子行来经营；</w:t>
      </w:r>
      <w:r>
        <w:rPr>
          <w:rFonts w:ascii="Times New Roman" w:hAnsi="Times New Roman" w:cs="Times New Roman" w:eastAsia="Times New Roman" w:hint="default"/>
        </w:rPr>
        <w:t>C</w:t>
      </w:r>
      <w:r>
        <w:rPr/>
        <w:t>、将相竞争的业务转让给无关联的第三方。 </w:t>
      </w:r>
      <w:r>
        <w:rPr>
          <w:rFonts w:ascii="Times New Roman" w:hAnsi="Times New Roman" w:cs="Times New Roman" w:eastAsia="Times New Roman" w:hint="default"/>
        </w:rPr>
        <w:t>3</w:t>
      </w:r>
      <w:r>
        <w:rPr/>
        <w:t>、如本人及本人控制的其他企业有任何商业机会可从事、参与任何可能与任子行的 经营运作构成竞争的活动，则立即将上述商业机会通知任子行，在通知中所指定的 合理期间内，任子行作出愿意利用该商业机会的肯定答复的，则尽力将该商业机会 给予任子行。</w:t>
      </w:r>
      <w:r>
        <w:rPr>
          <w:rFonts w:ascii="Times New Roman" w:hAnsi="Times New Roman" w:cs="Times New Roman" w:eastAsia="Times New Roman" w:hint="default"/>
        </w:rPr>
        <w:t>4</w:t>
      </w:r>
      <w:r>
        <w:rPr/>
        <w:t>、如违反以上承诺，本人愿意承担由此产生的全部责任，充分赔偿或 补偿由此给任子行造成的所有直接或间接损失。</w:t>
      </w:r>
    </w:p>
    <w:p>
      <w:pPr>
        <w:spacing w:after="0" w:line="309" w:lineRule="auto"/>
        <w:jc w:val="left"/>
        <w:sectPr>
          <w:pgSz w:w="11910" w:h="16840"/>
          <w:pgMar w:header="745" w:footer="982" w:top="1060" w:bottom="118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310" w:lineRule="atLeast"/>
        <w:ind w:left="784" w:right="-20"/>
        <w:jc w:val="left"/>
      </w:pPr>
      <w:r>
        <w:rPr/>
        <w:t>丁伟 国、蒋 利琴、 刘泉、 朱瑶、 华信行 投资、</w:t>
      </w:r>
    </w:p>
    <w:p>
      <w:pPr>
        <w:pStyle w:val="BodyText"/>
        <w:spacing w:line="314" w:lineRule="auto" w:before="115"/>
        <w:ind w:left="22" w:right="0"/>
        <w:jc w:val="left"/>
      </w:pPr>
      <w:r>
        <w:rPr/>
        <w:br w:type="column"/>
      </w:r>
      <w:r>
        <w:rPr/>
        <w:t>为保护任子行及其股东特别是中小股东的利益，丁伟国、蒋利琴、刘泉、朱瑶、华 信行投资、龙象之本、杨敏、水向东、周益斌分别对减少和规范关联交易做出如下 </w:t>
      </w:r>
      <w:r>
        <w:rPr>
          <w:spacing w:val="-1"/>
        </w:rPr>
        <w:t>承诺：</w:t>
      </w:r>
      <w:r>
        <w:rPr>
          <w:rFonts w:ascii="Times New Roman" w:hAnsi="Times New Roman" w:cs="Times New Roman" w:eastAsia="Times New Roman" w:hint="default"/>
          <w:spacing w:val="-1"/>
        </w:rPr>
        <w:t>1</w:t>
      </w:r>
      <w:r>
        <w:rPr>
          <w:spacing w:val="-1"/>
        </w:rPr>
        <w:t>、在作为任子行关联方期间，本人确保其控制的企业等关联方将尽量减少并</w:t>
      </w:r>
      <w:r>
        <w:rPr>
          <w:spacing w:val="-61"/>
        </w:rPr>
        <w:t> </w:t>
      </w:r>
      <w:r>
        <w:rPr>
          <w:spacing w:val="-61"/>
        </w:rPr>
      </w:r>
      <w:r>
        <w:rPr/>
        <w:t>避免与任子行及其控股公司发生关联交易；对于确有必要且无法回避的关联交易， 均按照公平、公允和等价有偿的原则进行，交易价格按市场公认的合理价格确定， 并依法签订协议，且严格按相关法律、法规以及规范性文件的规定履行关联交易审 </w:t>
      </w:r>
      <w:r>
        <w:rPr>
          <w:spacing w:val="-1"/>
        </w:rPr>
        <w:t>批程序及信息披露义务，切实保护任子行及其中小股东的利益。</w:t>
      </w:r>
      <w:r>
        <w:rPr>
          <w:rFonts w:ascii="Times New Roman" w:hAnsi="Times New Roman" w:cs="Times New Roman" w:eastAsia="Times New Roman" w:hint="default"/>
          <w:spacing w:val="-1"/>
        </w:rPr>
        <w:t>2</w:t>
      </w:r>
      <w:r>
        <w:rPr>
          <w:spacing w:val="-1"/>
        </w:rPr>
        <w:t>、在作为任子行股</w:t>
      </w:r>
      <w:r>
        <w:rPr>
          <w:spacing w:val="-61"/>
        </w:rPr>
        <w:t> </w:t>
      </w:r>
      <w:r>
        <w:rPr>
          <w:spacing w:val="-61"/>
        </w:rPr>
      </w:r>
      <w:r>
        <w:rPr/>
        <w:t>东期间，本人承诺严格遵守法律、法规和规范性文件及《任子行网络技术股份有限 公司章程》等的相关规定，依照合法程序，与其他股东平等行使股东权利、履行股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BodyText"/>
        <w:spacing w:line="240" w:lineRule="auto"/>
        <w:ind w:left="14" w:right="-20"/>
        <w:jc w:val="left"/>
        <w:rPr>
          <w:rFonts w:ascii="Times New Roman" w:hAnsi="Times New Roman" w:cs="Times New Roman" w:eastAsia="Times New Roman" w:hint="default"/>
        </w:rPr>
      </w:pPr>
      <w:r>
        <w:rPr>
          <w:rFonts w:ascii="Times New Roman"/>
        </w:rPr>
        <w:t>2014</w:t>
      </w:r>
    </w:p>
    <w:p>
      <w:pPr>
        <w:pStyle w:val="BodyText"/>
        <w:spacing w:line="203" w:lineRule="exact" w:before="63"/>
        <w:ind w:left="14" w:right="-20"/>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08</w:t>
      </w:r>
    </w:p>
    <w:p>
      <w:pPr>
        <w:pStyle w:val="BodyText"/>
        <w:spacing w:line="149" w:lineRule="exact"/>
        <w:ind w:left="617" w:right="-20"/>
        <w:jc w:val="left"/>
      </w:pPr>
      <w:r>
        <w:rPr/>
        <w:t>长期</w:t>
      </w:r>
    </w:p>
    <w:p>
      <w:pPr>
        <w:pStyle w:val="BodyText"/>
        <w:spacing w:line="172" w:lineRule="exact"/>
        <w:ind w:left="14" w:right="-20"/>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0" w:lineRule="atLeast" w:before="104"/>
        <w:ind w:left="199" w:right="179"/>
        <w:jc w:val="left"/>
      </w:pPr>
      <w:r>
        <w:rPr/>
        <w:t>正常履 行中</w:t>
      </w:r>
    </w:p>
    <w:p>
      <w:pPr>
        <w:spacing w:after="0" w:line="310" w:lineRule="atLeast"/>
        <w:jc w:val="left"/>
        <w:sectPr>
          <w:type w:val="continuous"/>
          <w:pgSz w:w="11910" w:h="16840"/>
          <w:pgMar w:top="1060" w:bottom="1180" w:left="980" w:right="980"/>
          <w:cols w:num="4" w:equalWidth="0">
            <w:col w:w="1325" w:space="40"/>
            <w:col w:w="6587" w:space="40"/>
            <w:col w:w="978" w:space="40"/>
            <w:col w:w="940"/>
          </w:cols>
        </w:sectPr>
      </w:pPr>
    </w:p>
    <w:p>
      <w:pPr>
        <w:pStyle w:val="BodyText"/>
        <w:spacing w:line="316" w:lineRule="auto" w:before="76"/>
        <w:ind w:left="784" w:right="0"/>
        <w:jc w:val="both"/>
      </w:pPr>
      <w:r>
        <w:rPr/>
        <w:t>龙象之 本、杨 敏、水 向东、 周益斌</w:t>
      </w:r>
    </w:p>
    <w:p>
      <w:pPr>
        <w:pStyle w:val="BodyText"/>
        <w:spacing w:line="123" w:lineRule="exact"/>
        <w:ind w:left="22" w:right="0"/>
        <w:jc w:val="left"/>
      </w:pPr>
      <w:r>
        <w:rPr>
          <w:spacing w:val="-3"/>
        </w:rPr>
        <w:br w:type="column"/>
      </w:r>
      <w:r>
        <w:rPr>
          <w:spacing w:val="-3"/>
        </w:rPr>
        <w:t>东义务，不利用关联关系谋取不当的利益，不损害任子行及其他股东的合法权益。</w:t>
      </w:r>
      <w:r>
        <w:rPr>
          <w:rFonts w:ascii="Times New Roman" w:hAnsi="Times New Roman" w:cs="Times New Roman" w:eastAsia="Times New Roman" w:hint="default"/>
          <w:spacing w:val="-3"/>
        </w:rPr>
        <w:t>3</w:t>
      </w:r>
      <w:r>
        <w:rPr>
          <w:spacing w:val="-3"/>
        </w:rPr>
        <w:t>、</w:t>
      </w:r>
    </w:p>
    <w:p>
      <w:pPr>
        <w:pStyle w:val="BodyText"/>
        <w:spacing w:line="149" w:lineRule="exact"/>
        <w:ind w:left="0" w:right="1758"/>
        <w:jc w:val="right"/>
      </w:pPr>
      <w:r>
        <w:rPr/>
        <w:t>日</w:t>
      </w:r>
    </w:p>
    <w:p>
      <w:pPr>
        <w:pStyle w:val="BodyText"/>
        <w:spacing w:line="196" w:lineRule="exact"/>
        <w:ind w:left="22" w:right="0"/>
        <w:jc w:val="left"/>
      </w:pPr>
      <w:r>
        <w:rPr/>
        <w:t>本人承诺将杜绝一切非法占用任子行资金、资产的行为，在任何情况下，均不要求</w:t>
      </w:r>
    </w:p>
    <w:p>
      <w:pPr>
        <w:pStyle w:val="BodyText"/>
        <w:spacing w:line="307" w:lineRule="auto" w:before="76"/>
        <w:ind w:left="22" w:right="0"/>
        <w:jc w:val="left"/>
      </w:pPr>
      <w:r>
        <w:rPr>
          <w:spacing w:val="-1"/>
        </w:rPr>
        <w:t>任子行向其及其投资或控制的其他企业提供任何形式的担保。</w:t>
      </w:r>
      <w:r>
        <w:rPr>
          <w:rFonts w:ascii="Times New Roman" w:hAnsi="Times New Roman" w:cs="Times New Roman" w:eastAsia="Times New Roman" w:hint="default"/>
          <w:spacing w:val="-1"/>
        </w:rPr>
        <w:t>4</w:t>
      </w:r>
      <w:r>
        <w:rPr>
          <w:spacing w:val="-1"/>
        </w:rPr>
        <w:t>、本人确认本承诺函</w:t>
      </w:r>
      <w:r>
        <w:rPr>
          <w:spacing w:val="-58"/>
        </w:rPr>
        <w:t> </w:t>
      </w:r>
      <w:r>
        <w:rPr>
          <w:spacing w:val="-58"/>
        </w:rPr>
      </w:r>
      <w:r>
        <w:rPr/>
        <w:t>所载的每一项承诺均为可独立执行之承诺，任何一项承诺若被视为无效或终止将不 </w:t>
      </w:r>
      <w:r>
        <w:rPr>
          <w:spacing w:val="-1"/>
        </w:rPr>
        <w:t>影响其他各项承诺的有效性。</w:t>
      </w:r>
      <w:r>
        <w:rPr>
          <w:rFonts w:ascii="Times New Roman" w:hAnsi="Times New Roman" w:cs="Times New Roman" w:eastAsia="Times New Roman" w:hint="default"/>
          <w:spacing w:val="-1"/>
        </w:rPr>
        <w:t>5</w:t>
      </w:r>
      <w:r>
        <w:rPr>
          <w:spacing w:val="-1"/>
        </w:rPr>
        <w:t>、本人将忠实履行承诺并保证确认的真实性，如果违</w:t>
      </w:r>
      <w:r>
        <w:rPr>
          <w:spacing w:val="-61"/>
        </w:rPr>
        <w:t> </w:t>
      </w:r>
      <w:r>
        <w:rPr>
          <w:spacing w:val="-61"/>
        </w:rPr>
      </w:r>
      <w:r>
        <w:rPr>
          <w:spacing w:val="-1"/>
        </w:rPr>
        <w:t>反上述承诺或确认不真实，本人将以连带方式承担由此引发的一切法律责任。</w:t>
      </w:r>
      <w:r>
        <w:rPr>
          <w:rFonts w:ascii="Times New Roman" w:hAnsi="Times New Roman" w:cs="Times New Roman" w:eastAsia="Times New Roman" w:hint="default"/>
          <w:spacing w:val="-1"/>
        </w:rPr>
        <w:t>6</w:t>
      </w:r>
      <w:r>
        <w:rPr>
          <w:spacing w:val="-1"/>
        </w:rPr>
        <w:t>、本</w:t>
      </w:r>
      <w:r>
        <w:rPr>
          <w:spacing w:val="-64"/>
        </w:rPr>
        <w:t> </w:t>
      </w:r>
      <w:r>
        <w:rPr/>
        <w:t>承诺函自本人签署之日起生效，本承诺函所载上述各项由本人作出之承诺分别在本</w:t>
      </w:r>
      <w:r>
        <w:rPr/>
        <w:t> 人作为任子行关联方期间持续有效。</w:t>
      </w:r>
    </w:p>
    <w:p>
      <w:pPr>
        <w:spacing w:after="0" w:line="307" w:lineRule="auto"/>
        <w:jc w:val="left"/>
        <w:sectPr>
          <w:type w:val="continuous"/>
          <w:pgSz w:w="11910" w:h="16840"/>
          <w:pgMar w:top="1060" w:bottom="1180" w:left="980" w:right="980"/>
          <w:cols w:num="2" w:equalWidth="0">
            <w:col w:w="1325" w:space="40"/>
            <w:col w:w="8585"/>
          </w:cols>
        </w:sectPr>
      </w:pPr>
    </w:p>
    <w:p>
      <w:pPr>
        <w:pStyle w:val="BodyText"/>
        <w:spacing w:line="309" w:lineRule="auto" w:before="115"/>
        <w:ind w:left="1386" w:right="0"/>
        <w:jc w:val="left"/>
      </w:pPr>
      <w:r>
        <w:rPr/>
        <w:t>一、交易对方对其持有的标的资产权属的承诺。丁伟国、蒋利琴、刘泉、朱瑶承诺 </w:t>
      </w:r>
      <w:r>
        <w:rPr>
          <w:spacing w:val="-1"/>
        </w:rPr>
        <w:t>如下：</w:t>
      </w:r>
      <w:r>
        <w:rPr>
          <w:rFonts w:ascii="Times New Roman" w:hAnsi="Times New Roman" w:cs="Times New Roman" w:eastAsia="Times New Roman" w:hint="default"/>
          <w:spacing w:val="-1"/>
        </w:rPr>
        <w:t>1</w:t>
      </w:r>
      <w:r>
        <w:rPr>
          <w:spacing w:val="-1"/>
        </w:rPr>
        <w:t>、已经依法对唐人数码履行出资义务，不存在任何虚假出资、延期出资、抽</w:t>
      </w:r>
      <w:r>
        <w:rPr>
          <w:spacing w:val="-67"/>
        </w:rPr>
        <w:t> </w:t>
      </w:r>
      <w:r>
        <w:rPr>
          <w:spacing w:val="-67"/>
        </w:rPr>
      </w:r>
      <w:r>
        <w:rPr>
          <w:spacing w:val="-1"/>
        </w:rPr>
        <w:t>逃出资等违反其作为股东所应当承担的义务及责任的行为。</w:t>
      </w:r>
      <w:r>
        <w:rPr>
          <w:rFonts w:ascii="Times New Roman" w:hAnsi="Times New Roman" w:cs="Times New Roman" w:eastAsia="Times New Roman" w:hint="default"/>
          <w:spacing w:val="-1"/>
        </w:rPr>
        <w:t>2</w:t>
      </w:r>
      <w:r>
        <w:rPr>
          <w:spacing w:val="-1"/>
        </w:rPr>
        <w:t>、交易对方合法持有标</w:t>
      </w:r>
      <w:r>
        <w:rPr>
          <w:spacing w:val="-61"/>
        </w:rPr>
        <w:t> </w:t>
      </w:r>
      <w:r>
        <w:rPr>
          <w:spacing w:val="-61"/>
        </w:rPr>
      </w:r>
      <w:r>
        <w:rPr/>
        <w:t>的资产，并对标的资产拥有完全和排他的所有权和处分权。标的资产不存在信托安 排及股份代持，不代表其他方的利益，且未设定任何抵押、质押等他项权利，亦未</w:t>
      </w:r>
    </w:p>
    <w:p>
      <w:pPr>
        <w:pStyle w:val="BodyText"/>
        <w:tabs>
          <w:tab w:pos="1386" w:val="left" w:leader="none"/>
        </w:tabs>
        <w:spacing w:line="240" w:lineRule="auto" w:before="4"/>
        <w:ind w:left="784" w:right="0"/>
        <w:jc w:val="left"/>
      </w:pPr>
      <w:r>
        <w:rPr>
          <w:position w:val="2"/>
        </w:rPr>
        <w:t>丁伟</w:t>
        <w:tab/>
      </w:r>
      <w:r>
        <w:rPr>
          <w:spacing w:val="-1"/>
        </w:rPr>
        <w:t>被执法部门实施扣押、查封、司法冻结等使其权利受到限制的任何约束。</w:t>
      </w:r>
      <w:r>
        <w:rPr>
          <w:rFonts w:ascii="Times New Roman" w:hAnsi="Times New Roman" w:cs="Times New Roman" w:eastAsia="Times New Roman" w:hint="default"/>
          <w:spacing w:val="-1"/>
        </w:rPr>
        <w:t>3</w:t>
      </w:r>
      <w:r>
        <w:rPr>
          <w:spacing w:val="-1"/>
        </w:rPr>
        <w:t>、保证自</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169" w:lineRule="exact"/>
        <w:ind w:left="15" w:right="0"/>
        <w:jc w:val="left"/>
        <w:rPr>
          <w:rFonts w:ascii="Times New Roman" w:hAnsi="Times New Roman" w:cs="Times New Roman" w:eastAsia="Times New Roman" w:hint="default"/>
        </w:rPr>
      </w:pPr>
      <w:r>
        <w:rPr>
          <w:rFonts w:ascii="Times New Roman"/>
        </w:rPr>
        <w:t>2014</w:t>
      </w:r>
    </w:p>
    <w:p>
      <w:pPr>
        <w:spacing w:after="0" w:line="169" w:lineRule="exact"/>
        <w:jc w:val="left"/>
        <w:rPr>
          <w:rFonts w:ascii="Times New Roman" w:hAnsi="Times New Roman" w:cs="Times New Roman" w:eastAsia="Times New Roman" w:hint="default"/>
        </w:rPr>
        <w:sectPr>
          <w:type w:val="continuous"/>
          <w:pgSz w:w="11910" w:h="16840"/>
          <w:pgMar w:top="1060" w:bottom="1180" w:left="980" w:right="980"/>
          <w:cols w:num="2" w:equalWidth="0">
            <w:col w:w="7951" w:space="40"/>
            <w:col w:w="1959"/>
          </w:cols>
        </w:sectPr>
      </w:pPr>
    </w:p>
    <w:p>
      <w:pPr>
        <w:pStyle w:val="BodyText"/>
        <w:spacing w:line="199" w:lineRule="exact"/>
        <w:ind w:left="784" w:right="-18"/>
        <w:jc w:val="left"/>
      </w:pPr>
      <w:r>
        <w:rPr>
          <w:position w:val="2"/>
        </w:rPr>
        <w:t>国、蒋</w:t>
      </w:r>
      <w:r>
        <w:rPr>
          <w:spacing w:val="-28"/>
          <w:position w:val="2"/>
        </w:rPr>
        <w:t> </w:t>
      </w:r>
      <w:r>
        <w:rPr/>
        <w:t>身及唐人数码所签署的所有协议或合同不存在阻碍交易对方向任子行转让标的资产</w:t>
      </w:r>
    </w:p>
    <w:p>
      <w:pPr>
        <w:pStyle w:val="BodyText"/>
        <w:spacing w:line="278" w:lineRule="auto" w:before="56"/>
        <w:ind w:left="784" w:right="-18"/>
        <w:jc w:val="left"/>
      </w:pPr>
      <w:r>
        <w:rPr>
          <w:position w:val="2"/>
        </w:rPr>
        <w:t>利琴、</w:t>
      </w:r>
      <w:r>
        <w:rPr>
          <w:spacing w:val="-36"/>
          <w:position w:val="2"/>
        </w:rPr>
        <w:t> </w:t>
      </w:r>
      <w:r>
        <w:rPr/>
        <w:t>的限制性条款。</w:t>
      </w:r>
      <w:r>
        <w:rPr>
          <w:rFonts w:ascii="Times New Roman" w:hAnsi="Times New Roman" w:cs="Times New Roman" w:eastAsia="Times New Roman" w:hint="default"/>
        </w:rPr>
        <w:t>4</w:t>
      </w:r>
      <w:r>
        <w:rPr/>
        <w:t>、唐人数码章程、内部管理制度文件及其签署的所有合同或协议中 </w:t>
      </w:r>
      <w:r>
        <w:rPr>
          <w:position w:val="2"/>
        </w:rPr>
        <w:t>刘泉、</w:t>
      </w:r>
      <w:r>
        <w:rPr>
          <w:spacing w:val="-36"/>
          <w:position w:val="2"/>
        </w:rPr>
        <w:t> </w:t>
      </w:r>
      <w:r>
        <w:rPr/>
        <w:t>不存在阻碍交易对方向任子行转让标的资产的限制性条款。</w:t>
      </w:r>
      <w:r>
        <w:rPr>
          <w:rFonts w:ascii="Times New Roman" w:hAnsi="Times New Roman" w:cs="Times New Roman" w:eastAsia="Times New Roman" w:hint="default"/>
        </w:rPr>
        <w:t>5</w:t>
      </w:r>
      <w:r>
        <w:rPr/>
        <w:t>、保证放弃行使本次转</w:t>
      </w:r>
    </w:p>
    <w:p>
      <w:pPr>
        <w:pStyle w:val="BodyText"/>
        <w:spacing w:line="203" w:lineRule="exact" w:before="100"/>
        <w:ind w:left="14" w:right="-20"/>
        <w:jc w:val="left"/>
        <w:rPr>
          <w:rFonts w:ascii="Times New Roman" w:hAnsi="Times New Roman" w:cs="Times New Roman" w:eastAsia="Times New Roman" w:hint="default"/>
        </w:rPr>
      </w:pPr>
      <w:r>
        <w:rPr/>
        <w:br w:type="column"/>
      </w:r>
      <w:r>
        <w:rPr/>
        <w:t>年</w:t>
      </w:r>
      <w:r>
        <w:rPr>
          <w:spacing w:val="-43"/>
        </w:rPr>
        <w:t> </w:t>
      </w:r>
      <w:r>
        <w:rPr>
          <w:rFonts w:ascii="Times New Roman" w:hAnsi="Times New Roman" w:cs="Times New Roman" w:eastAsia="Times New Roman" w:hint="default"/>
        </w:rPr>
        <w:t>08</w:t>
      </w:r>
    </w:p>
    <w:p>
      <w:pPr>
        <w:pStyle w:val="BodyText"/>
        <w:spacing w:line="149" w:lineRule="exact"/>
        <w:ind w:left="617" w:right="-20"/>
        <w:jc w:val="left"/>
      </w:pPr>
      <w:r>
        <w:rPr/>
        <w:t>长期</w:t>
      </w:r>
    </w:p>
    <w:p>
      <w:pPr>
        <w:pStyle w:val="BodyText"/>
        <w:spacing w:line="209" w:lineRule="exact"/>
        <w:ind w:left="14" w:right="-20"/>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29</w:t>
      </w:r>
    </w:p>
    <w:p>
      <w:pPr>
        <w:pStyle w:val="BodyText"/>
        <w:spacing w:line="212" w:lineRule="exact" w:before="63"/>
        <w:ind w:left="14" w:right="-20"/>
        <w:jc w:val="left"/>
      </w:pPr>
      <w:r>
        <w:rPr/>
        <w:t>日</w:t>
      </w:r>
    </w:p>
    <w:p>
      <w:pPr>
        <w:pStyle w:val="BodyText"/>
        <w:spacing w:line="316" w:lineRule="auto" w:before="100"/>
        <w:ind w:left="199" w:right="179"/>
        <w:jc w:val="left"/>
      </w:pPr>
      <w:r>
        <w:rPr/>
        <w:br w:type="column"/>
      </w:r>
      <w:r>
        <w:rPr/>
        <w:t>正常履 行中</w:t>
      </w:r>
    </w:p>
    <w:p>
      <w:pPr>
        <w:spacing w:after="0" w:line="316" w:lineRule="auto"/>
        <w:jc w:val="left"/>
        <w:sectPr>
          <w:type w:val="continuous"/>
          <w:pgSz w:w="11910" w:h="16840"/>
          <w:pgMar w:top="1060" w:bottom="1180" w:left="980" w:right="980"/>
          <w:cols w:num="3" w:equalWidth="0">
            <w:col w:w="7951" w:space="40"/>
            <w:col w:w="978" w:space="40"/>
            <w:col w:w="941"/>
          </w:cols>
        </w:sectPr>
      </w:pPr>
    </w:p>
    <w:p>
      <w:pPr>
        <w:pStyle w:val="BodyText"/>
        <w:tabs>
          <w:tab w:pos="1386" w:val="left" w:leader="none"/>
        </w:tabs>
        <w:spacing w:line="199" w:lineRule="exact"/>
        <w:ind w:left="1386" w:right="0" w:hanging="603"/>
        <w:jc w:val="left"/>
      </w:pPr>
      <w:r>
        <w:rPr/>
        <w:pict>
          <v:group style="position:absolute;margin-left:56.400002pt;margin-top:71.758484pt;width:481.95pt;height:696.85pt;mso-position-horizontal-relative:page;mso-position-vertical-relative:page;z-index:-847984" coordorigin="1128,1435" coordsize="9639,13937">
            <v:group style="position:absolute;left:1140;top:1450;width:591;height:3785" coordorigin="1140,1450" coordsize="591,3785">
              <v:shape style="position:absolute;left:1140;top:1450;width:591;height:3785" coordorigin="1140,1450" coordsize="591,3785" path="m1140,5234l1730,5234,1730,1450,1140,1450,1140,5234xe" filled="true" fillcolor="#d4d4d4" stroked="false">
                <v:path arrowok="t"/>
                <v:fill type="solid"/>
              </v:shape>
            </v:group>
            <v:group style="position:absolute;left:1138;top:1445;width:593;height:2" coordorigin="1138,1445" coordsize="593,2">
              <v:shape style="position:absolute;left:1138;top:1445;width:593;height:2" coordorigin="1138,1445" coordsize="593,0" path="m1138,1445l1730,1445e" filled="false" stroked="true" strokeweight=".481pt" strokecolor="#000000">
                <v:path arrowok="t"/>
              </v:shape>
            </v:group>
            <v:group style="position:absolute;left:1740;top:1445;width:593;height:2" coordorigin="1740,1445" coordsize="593,2">
              <v:shape style="position:absolute;left:1740;top:1445;width:593;height:2" coordorigin="1740,1445" coordsize="593,0" path="m1740,1445l2333,1445e" filled="false" stroked="true" strokeweight=".481pt" strokecolor="#000000">
                <v:path arrowok="t"/>
              </v:shape>
            </v:group>
            <v:group style="position:absolute;left:2342;top:1445;width:6610;height:2" coordorigin="2342,1445" coordsize="6610,2">
              <v:shape style="position:absolute;left:2342;top:1445;width:6610;height:2" coordorigin="2342,1445" coordsize="6610,0" path="m2342,1445l8952,1445e" filled="false" stroked="true" strokeweight=".481pt" strokecolor="#000000">
                <v:path arrowok="t"/>
              </v:shape>
            </v:group>
            <v:group style="position:absolute;left:8962;top:1445;width:591;height:2" coordorigin="8962,1445" coordsize="591,2">
              <v:shape style="position:absolute;left:8962;top:1445;width:591;height:2" coordorigin="8962,1445" coordsize="591,0" path="m8962,1445l9552,1445e" filled="false" stroked="true" strokeweight=".481pt" strokecolor="#000000">
                <v:path arrowok="t"/>
              </v:shape>
            </v:group>
            <v:group style="position:absolute;left:9562;top:1445;width:593;height:2" coordorigin="9562,1445" coordsize="593,2">
              <v:shape style="position:absolute;left:9562;top:1445;width:593;height:2" coordorigin="9562,1445" coordsize="593,0" path="m9562,1445l10154,1445e" filled="false" stroked="true" strokeweight=".481pt" strokecolor="#000000">
                <v:path arrowok="t"/>
              </v:shape>
            </v:group>
            <v:group style="position:absolute;left:10164;top:1445;width:593;height:2" coordorigin="10164,1445" coordsize="593,2">
              <v:shape style="position:absolute;left:10164;top:1445;width:593;height:2" coordorigin="10164,1445" coordsize="593,0" path="m10164,1445l10757,1445e" filled="false" stroked="true" strokeweight=".481pt" strokecolor="#000000">
                <v:path arrowok="t"/>
              </v:shape>
            </v:group>
            <v:group style="position:absolute;left:1140;top:5234;width:591;height:5393" coordorigin="1140,5234" coordsize="591,5393">
              <v:shape style="position:absolute;left:1140;top:5234;width:591;height:5393" coordorigin="1140,5234" coordsize="591,5393" path="m1140,10627l1730,10627,1730,5234,1140,5234,1140,10627xe" filled="true" fillcolor="#d4d4d4" stroked="false">
                <v:path arrowok="t"/>
                <v:fill type="solid"/>
              </v:shape>
            </v:group>
            <v:group style="position:absolute;left:8974;top:7272;width:2;height:1328" coordorigin="8974,7272" coordsize="2,1328">
              <v:shape style="position:absolute;left:8974;top:7272;width:2;height:1328" coordorigin="8974,7272" coordsize="0,1328" path="m8974,7272l8974,8599e" filled="false" stroked="true" strokeweight="1.2pt" strokecolor="#ffffff">
                <v:path arrowok="t"/>
              </v:shape>
            </v:group>
            <v:group style="position:absolute;left:8986;top:7937;width:545;height:312" coordorigin="8986,7937" coordsize="545,312">
              <v:shape style="position:absolute;left:8986;top:7937;width:545;height:312" coordorigin="8986,7937" coordsize="545,312" path="m8986,8249l9530,8249,9530,7937,8986,7937,8986,8249xe" filled="true" fillcolor="#ffffff" stroked="false">
                <v:path arrowok="t"/>
                <v:fill type="solid"/>
              </v:shape>
            </v:group>
            <v:group style="position:absolute;left:8986;top:8249;width:545;height:351" coordorigin="8986,8249" coordsize="545,351">
              <v:shape style="position:absolute;left:8986;top:8249;width:545;height:351" coordorigin="8986,8249" coordsize="545,351" path="m8986,8599l9530,8599,9530,8249,8986,8249,8986,8599xe" filled="true" fillcolor="#ffffff" stroked="false">
                <v:path arrowok="t"/>
                <v:fill type="solid"/>
              </v:shape>
            </v:group>
            <v:group style="position:absolute;left:1740;top:5239;width:593;height:2" coordorigin="1740,5239" coordsize="593,2">
              <v:shape style="position:absolute;left:1740;top:5239;width:593;height:2" coordorigin="1740,5239" coordsize="593,0" path="m1740,5239l2333,5239e" filled="false" stroked="true" strokeweight=".481pt" strokecolor="#000000">
                <v:path arrowok="t"/>
              </v:shape>
            </v:group>
            <v:group style="position:absolute;left:8962;top:1802;width:593;height:3432" coordorigin="8962,1802" coordsize="593,3432">
              <v:shape style="position:absolute;left:8962;top:1802;width:593;height:3432" coordorigin="8962,1802" coordsize="593,3432" path="m8962,5234l9554,5234,9554,1802,8962,1802,8962,5234xe" filled="true" fillcolor="#ffffff" stroked="false">
                <v:path arrowok="t"/>
                <v:fill type="solid"/>
              </v:shape>
            </v:group>
            <v:group style="position:absolute;left:2342;top:5239;width:6610;height:2" coordorigin="2342,5239" coordsize="6610,2">
              <v:shape style="position:absolute;left:2342;top:5239;width:6610;height:2" coordorigin="2342,5239" coordsize="6610,0" path="m2342,5239l8952,5239e" filled="false" stroked="true" strokeweight=".481pt" strokecolor="#000000">
                <v:path arrowok="t"/>
              </v:shape>
            </v:group>
            <v:group style="position:absolute;left:8962;top:5239;width:591;height:2" coordorigin="8962,5239" coordsize="591,2">
              <v:shape style="position:absolute;left:8962;top:5239;width:591;height:2" coordorigin="8962,5239" coordsize="591,0" path="m8962,5239l9552,5239e" filled="false" stroked="true" strokeweight=".481pt" strokecolor="#000000">
                <v:path arrowok="t"/>
              </v:shape>
            </v:group>
            <v:group style="position:absolute;left:9562;top:5239;width:593;height:2" coordorigin="9562,5239" coordsize="593,2">
              <v:shape style="position:absolute;left:9562;top:5239;width:593;height:2" coordorigin="9562,5239" coordsize="593,0" path="m9562,5239l10154,5239e" filled="false" stroked="true" strokeweight=".481pt" strokecolor="#000000">
                <v:path arrowok="t"/>
              </v:shape>
            </v:group>
            <v:group style="position:absolute;left:10164;top:5239;width:593;height:2" coordorigin="10164,5239" coordsize="593,2">
              <v:shape style="position:absolute;left:10164;top:5239;width:593;height:2" coordorigin="10164,5239" coordsize="593,0" path="m10164,5239l10757,5239e" filled="false" stroked="true" strokeweight=".481pt" strokecolor="#000000">
                <v:path arrowok="t"/>
              </v:shape>
            </v:group>
            <v:group style="position:absolute;left:1140;top:10627;width:591;height:4731" coordorigin="1140,10627" coordsize="591,4731">
              <v:shape style="position:absolute;left:1140;top:10627;width:591;height:4731" coordorigin="1140,10627" coordsize="591,4731" path="m1140,15358l1730,15358,1730,10627,1140,10627,1140,15358xe" filled="true" fillcolor="#d4d4d4" stroked="false">
                <v:path arrowok="t"/>
                <v:fill type="solid"/>
              </v:shape>
            </v:group>
            <v:group style="position:absolute;left:1740;top:10632;width:593;height:2" coordorigin="1740,10632" coordsize="593,2">
              <v:shape style="position:absolute;left:1740;top:10632;width:593;height:2" coordorigin="1740,10632" coordsize="593,0" path="m1740,10632l2333,10632e" filled="false" stroked="true" strokeweight=".481pt" strokecolor="#000000">
                <v:path arrowok="t"/>
              </v:shape>
            </v:group>
            <v:group style="position:absolute;left:2342;top:10632;width:6610;height:2" coordorigin="2342,10632" coordsize="6610,2">
              <v:shape style="position:absolute;left:2342;top:10632;width:6610;height:2" coordorigin="2342,10632" coordsize="6610,0" path="m2342,10632l8952,10632e" filled="false" stroked="true" strokeweight=".481pt" strokecolor="#000000">
                <v:path arrowok="t"/>
              </v:shape>
            </v:group>
            <v:group style="position:absolute;left:8962;top:10632;width:591;height:2" coordorigin="8962,10632" coordsize="591,2">
              <v:shape style="position:absolute;left:8962;top:10632;width:591;height:2" coordorigin="8962,10632" coordsize="591,0" path="m8962,10632l9552,10632e" filled="false" stroked="true" strokeweight=".481pt" strokecolor="#000000">
                <v:path arrowok="t"/>
              </v:shape>
            </v:group>
            <v:group style="position:absolute;left:9562;top:10632;width:593;height:2" coordorigin="9562,10632" coordsize="593,2">
              <v:shape style="position:absolute;left:9562;top:10632;width:593;height:2" coordorigin="9562,10632" coordsize="593,0" path="m9562,10632l10154,10632e" filled="false" stroked="true" strokeweight=".481pt" strokecolor="#000000">
                <v:path arrowok="t"/>
              </v:shape>
            </v:group>
            <v:group style="position:absolute;left:10164;top:10632;width:593;height:2" coordorigin="10164,10632" coordsize="593,2">
              <v:shape style="position:absolute;left:10164;top:10632;width:593;height:2" coordorigin="10164,10632" coordsize="593,0" path="m10164,10632l10757,10632e" filled="false" stroked="true" strokeweight=".481pt" strokecolor="#000000">
                <v:path arrowok="t"/>
              </v:shape>
            </v:group>
            <v:group style="position:absolute;left:1133;top:1440;width:2;height:13928" coordorigin="1133,1440" coordsize="2,13928">
              <v:shape style="position:absolute;left:1133;top:1440;width:2;height:13928" coordorigin="1133,1440" coordsize="0,13928" path="m1133,1440l1133,15367e" filled="false" stroked="true" strokeweight=".48pt" strokecolor="#000000">
                <v:path arrowok="t"/>
              </v:shape>
            </v:group>
            <v:group style="position:absolute;left:1138;top:15362;width:593;height:2" coordorigin="1138,15362" coordsize="593,2">
              <v:shape style="position:absolute;left:1138;top:15362;width:593;height:2" coordorigin="1138,15362" coordsize="593,0" path="m1138,15362l1730,15362e" filled="false" stroked="true" strokeweight=".481pt" strokecolor="#000000">
                <v:path arrowok="t"/>
              </v:shape>
            </v:group>
            <v:group style="position:absolute;left:1735;top:1440;width:2;height:13928" coordorigin="1735,1440" coordsize="2,13928">
              <v:shape style="position:absolute;left:1735;top:1440;width:2;height:13928" coordorigin="1735,1440" coordsize="0,13928" path="m1735,1440l1735,15367e" filled="false" stroked="true" strokeweight=".481pt" strokecolor="#000000">
                <v:path arrowok="t"/>
              </v:shape>
            </v:group>
            <v:group style="position:absolute;left:1740;top:15362;width:593;height:2" coordorigin="1740,15362" coordsize="593,2">
              <v:shape style="position:absolute;left:1740;top:15362;width:593;height:2" coordorigin="1740,15362" coordsize="593,0" path="m1740,15362l2333,15362e" filled="false" stroked="true" strokeweight=".481pt" strokecolor="#000000">
                <v:path arrowok="t"/>
              </v:shape>
            </v:group>
            <v:group style="position:absolute;left:2338;top:1440;width:2;height:13928" coordorigin="2338,1440" coordsize="2,13928">
              <v:shape style="position:absolute;left:2338;top:1440;width:2;height:13928" coordorigin="2338,1440" coordsize="0,13928" path="m2338,1440l2338,15367e" filled="false" stroked="true" strokeweight=".48pt" strokecolor="#000000">
                <v:path arrowok="t"/>
              </v:shape>
            </v:group>
            <v:group style="position:absolute;left:2342;top:15362;width:6610;height:2" coordorigin="2342,15362" coordsize="6610,2">
              <v:shape style="position:absolute;left:2342;top:15362;width:6610;height:2" coordorigin="2342,15362" coordsize="6610,0" path="m2342,15362l8952,15362e" filled="false" stroked="true" strokeweight=".481pt" strokecolor="#000000">
                <v:path arrowok="t"/>
              </v:shape>
            </v:group>
            <v:group style="position:absolute;left:8957;top:1440;width:2;height:13928" coordorigin="8957,1440" coordsize="2,13928">
              <v:shape style="position:absolute;left:8957;top:1440;width:2;height:13928" coordorigin="8957,1440" coordsize="0,13928" path="m8957,1440l8957,15367e" filled="false" stroked="true" strokeweight=".481pt" strokecolor="#000000">
                <v:path arrowok="t"/>
              </v:shape>
            </v:group>
            <v:group style="position:absolute;left:8962;top:15362;width:591;height:2" coordorigin="8962,15362" coordsize="591,2">
              <v:shape style="position:absolute;left:8962;top:15362;width:591;height:2" coordorigin="8962,15362" coordsize="591,0" path="m8962,15362l9552,15362e" filled="false" stroked="true" strokeweight=".481pt" strokecolor="#000000">
                <v:path arrowok="t"/>
              </v:shape>
            </v:group>
            <v:group style="position:absolute;left:9557;top:1440;width:2;height:13928" coordorigin="9557,1440" coordsize="2,13928">
              <v:shape style="position:absolute;left:9557;top:1440;width:2;height:13928" coordorigin="9557,1440" coordsize="0,13928" path="m9557,1440l9557,15367e" filled="false" stroked="true" strokeweight=".48pt" strokecolor="#000000">
                <v:path arrowok="t"/>
              </v:shape>
            </v:group>
            <v:group style="position:absolute;left:9562;top:15362;width:593;height:2" coordorigin="9562,15362" coordsize="593,2">
              <v:shape style="position:absolute;left:9562;top:15362;width:593;height:2" coordorigin="9562,15362" coordsize="593,0" path="m9562,15362l10154,15362e" filled="false" stroked="true" strokeweight=".481pt" strokecolor="#000000">
                <v:path arrowok="t"/>
              </v:shape>
            </v:group>
            <v:group style="position:absolute;left:10159;top:1440;width:2;height:13928" coordorigin="10159,1440" coordsize="2,13928">
              <v:shape style="position:absolute;left:10159;top:1440;width:2;height:13928" coordorigin="10159,1440" coordsize="0,13928" path="m10159,1440l10159,15367e" filled="false" stroked="true" strokeweight=".481pt" strokecolor="#000000">
                <v:path arrowok="t"/>
              </v:shape>
            </v:group>
            <v:group style="position:absolute;left:10164;top:15362;width:593;height:2" coordorigin="10164,15362" coordsize="593,2">
              <v:shape style="position:absolute;left:10164;top:15362;width:593;height:2" coordorigin="10164,15362" coordsize="593,0" path="m10164,15362l10757,15362e" filled="false" stroked="true" strokeweight=".481pt" strokecolor="#000000">
                <v:path arrowok="t"/>
              </v:shape>
            </v:group>
            <v:group style="position:absolute;left:10762;top:1440;width:2;height:13928" coordorigin="10762,1440" coordsize="2,13928">
              <v:shape style="position:absolute;left:10762;top:1440;width:2;height:13928" coordorigin="10762,1440" coordsize="0,13928" path="m10762,1440l10762,15367e" filled="false" stroked="true" strokeweight=".48pt" strokecolor="#000000">
                <v:path arrowok="t"/>
              </v:shape>
            </v:group>
            <w10:wrap type="none"/>
          </v:group>
        </w:pict>
      </w:r>
      <w:r>
        <w:rPr>
          <w:position w:val="2"/>
        </w:rPr>
        <w:t>朱瑶</w:t>
        <w:tab/>
      </w:r>
      <w:r>
        <w:rPr/>
        <w:t>让标的资产的优先购买权。二、关于任职期限和竞业禁止承诺。丁伟国、蒋利琴、</w:t>
      </w:r>
    </w:p>
    <w:p>
      <w:pPr>
        <w:pStyle w:val="BodyText"/>
        <w:spacing w:line="309" w:lineRule="auto" w:before="76"/>
        <w:ind w:left="1386" w:right="1984"/>
        <w:jc w:val="left"/>
      </w:pPr>
      <w:r>
        <w:rPr>
          <w:spacing w:val="-3"/>
        </w:rPr>
        <w:t>刘泉及朱瑶承诺如下：（</w:t>
      </w:r>
      <w:r>
        <w:rPr>
          <w:rFonts w:ascii="Times New Roman" w:hAnsi="Times New Roman" w:cs="Times New Roman" w:eastAsia="Times New Roman" w:hint="default"/>
          <w:spacing w:val="-3"/>
        </w:rPr>
        <w:t>1</w:t>
      </w:r>
      <w:r>
        <w:rPr>
          <w:spacing w:val="-3"/>
        </w:rPr>
        <w:t>）任职期限安排。为保证唐人数码及其子公司持续发展和</w:t>
      </w:r>
      <w:r>
        <w:rPr>
          <w:spacing w:val="-70"/>
        </w:rPr>
        <w:t> </w:t>
      </w:r>
      <w:r>
        <w:rPr/>
        <w:t>保持持续竞争优势，交易对方丁伟国、蒋利琴、刘泉及朱瑶承诺，自任子行收到中 国证监会核准本次交易的正式书面文件之日起，丁伟国、蒋利琴、刘泉及朱瑶在唐 人数码的任职期限不少于</w:t>
      </w:r>
      <w:r>
        <w:rPr>
          <w:spacing w:val="-35"/>
        </w:rPr>
        <w:t> </w:t>
      </w:r>
      <w:r>
        <w:rPr>
          <w:rFonts w:ascii="Times New Roman" w:hAnsi="Times New Roman" w:cs="Times New Roman" w:eastAsia="Times New Roman" w:hint="default"/>
        </w:rPr>
        <w:t>60</w:t>
      </w:r>
      <w:r>
        <w:rPr>
          <w:rFonts w:ascii="Times New Roman" w:hAnsi="Times New Roman" w:cs="Times New Roman" w:eastAsia="Times New Roman" w:hint="default"/>
          <w:spacing w:val="11"/>
        </w:rPr>
        <w:t> </w:t>
      </w:r>
      <w:r>
        <w:rPr>
          <w:spacing w:val="-5"/>
        </w:rPr>
        <w:t>个月。（</w:t>
      </w:r>
      <w:r>
        <w:rPr>
          <w:rFonts w:ascii="Times New Roman" w:hAnsi="Times New Roman" w:cs="Times New Roman" w:eastAsia="Times New Roman" w:hint="default"/>
          <w:spacing w:val="-5"/>
        </w:rPr>
        <w:t>2</w:t>
      </w:r>
      <w:r>
        <w:rPr>
          <w:spacing w:val="-5"/>
        </w:rPr>
        <w:t>）在职期间竞业禁止。交易对方丁伟国、蒋利</w:t>
      </w:r>
      <w:r>
        <w:rPr>
          <w:spacing w:val="-88"/>
        </w:rPr>
        <w:t> </w:t>
      </w:r>
      <w:r>
        <w:rPr>
          <w:spacing w:val="-88"/>
        </w:rPr>
      </w:r>
      <w:r>
        <w:rPr/>
        <w:t>琴、刘泉及朱瑶承诺在唐人数码及其附属公司任职期间，不投资与唐人数码业务相</w:t>
      </w:r>
    </w:p>
    <w:p>
      <w:pPr>
        <w:spacing w:after="0" w:line="309" w:lineRule="auto"/>
        <w:jc w:val="left"/>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42.079987pt;margin-top:72.47998pt;width:35.65pt;height:267.25pt;mso-position-horizontal-relative:page;mso-position-vertical-relative:page;z-index:-847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group style="position:absolute;margin-left:448.079987pt;margin-top:72.47998pt;width:29.65pt;height:308.8pt;mso-position-horizontal-relative:page;mso-position-vertical-relative:page;z-index:-847936" coordorigin="8962,1450" coordsize="593,6176">
            <v:group style="position:absolute;left:8962;top:1450;width:593;height:5345" coordorigin="8962,1450" coordsize="593,5345">
              <v:shape style="position:absolute;left:8962;top:1450;width:593;height:5345" coordorigin="8962,1450" coordsize="593,5345" path="m8962,6794l9554,6794,9554,1450,8962,1450,8962,6794xe" filled="true" fillcolor="#ffffff" stroked="false">
                <v:path arrowok="t"/>
                <v:fill type="solid"/>
              </v:shape>
            </v:group>
            <v:group style="position:absolute;left:8962;top:6804;width:593;height:468" coordorigin="8962,6804" coordsize="593,468">
              <v:shape style="position:absolute;left:8962;top:6804;width:593;height:468" coordorigin="8962,6804" coordsize="593,468" path="m8962,7272l9554,7272,9554,6804,8962,6804,8962,7272xe" filled="true" fillcolor="#ffffff" stroked="false">
                <v:path arrowok="t"/>
                <v:fill type="solid"/>
              </v:shape>
            </v:group>
            <v:group style="position:absolute;left:8986;top:7272;width:545;height:353" coordorigin="8986,7272" coordsize="545,353">
              <v:shape style="position:absolute;left:8986;top:7272;width:545;height:353" coordorigin="8986,7272" coordsize="545,353" path="m8986,7625l9530,7625,9530,7272,8986,7272,8986,762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01"/>
        <w:gridCol w:w="602"/>
        <w:gridCol w:w="6619"/>
        <w:gridCol w:w="600"/>
        <w:gridCol w:w="602"/>
        <w:gridCol w:w="602"/>
      </w:tblGrid>
      <w:tr>
        <w:trPr>
          <w:trHeight w:val="315" w:hRule="exact"/>
        </w:trPr>
        <w:tc>
          <w:tcPr>
            <w:tcW w:w="601" w:type="dxa"/>
            <w:vMerge w:val="restart"/>
            <w:tcBorders>
              <w:top w:val="single" w:sz="4" w:space="0" w:color="000000"/>
              <w:left w:val="single" w:sz="4" w:space="0" w:color="000000"/>
              <w:right w:val="single" w:sz="4" w:space="0" w:color="000000"/>
            </w:tcBorders>
            <w:shd w:val="clear" w:color="auto" w:fill="D4D4D4"/>
          </w:tcPr>
          <w:p>
            <w:pPr/>
          </w:p>
        </w:tc>
        <w:tc>
          <w:tcPr>
            <w:tcW w:w="602" w:type="dxa"/>
            <w:vMerge w:val="restart"/>
            <w:tcBorders>
              <w:top w:val="single" w:sz="4" w:space="0" w:color="000000"/>
              <w:left w:val="single" w:sz="4" w:space="0" w:color="000000"/>
              <w:right w:val="single" w:sz="4" w:space="0" w:color="000000"/>
            </w:tcBorders>
          </w:tcPr>
          <w:p>
            <w:pPr/>
          </w:p>
        </w:tc>
        <w:tc>
          <w:tcPr>
            <w:tcW w:w="66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同或者相类似的其他企业，不在上市公司及其子公司、唐人数码及其子公司以外，</w:t>
            </w:r>
          </w:p>
        </w:tc>
        <w:tc>
          <w:tcPr>
            <w:tcW w:w="600"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从事与该等公司同类或存在竞争的业务或通过直接或间接控制的其他经营主体从事</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该等业务；不在其他与上市公司及其子公司、唐人数码及其子公司有竞争关系的任</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何企业或组织任职。同时为保证唐人数码持续发展和保持持续竞争优势，唐人数码</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核心人员在唐人数码任职期限内未经唐人数码同意，不得在唐人数码及其下属公司</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以外从事与唐人数码及其下属公司相同或类似的业务或通过直接或间接控制的其他</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经营主题从事该等业务</w:t>
            </w:r>
            <w:r>
              <w:rPr>
                <w:rFonts w:ascii="宋体" w:hAnsi="宋体" w:cs="宋体" w:eastAsia="宋体" w:hint="default"/>
                <w:spacing w:val="-3"/>
                <w:sz w:val="18"/>
                <w:szCs w:val="18"/>
              </w:rPr>
              <w:t>，</w:t>
            </w:r>
            <w:r>
              <w:rPr>
                <w:rFonts w:ascii="宋体" w:hAnsi="宋体" w:cs="宋体" w:eastAsia="宋体" w:hint="default"/>
                <w:sz w:val="18"/>
                <w:szCs w:val="18"/>
              </w:rPr>
              <w:t>不得在唐人数码及其下属公司有竞争关系的公司任职</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离职后竞业禁止。交易对方丁伟国、蒋利琴、刘泉及朱瑶承诺自唐人数码离职之日</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年内，不投资与唐人数码业务相同或者相类似的其他企业，不在上市公司及其</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子公司、唐人数码及其子公司以外，从事与该等公司同类或存在竞争的业务或通过</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直接或间接控制的其他经营主体从事该等业务；不在其他与上市公司及其子公司、</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唐人数码及其子公司有竞争关系的任何企业或组织任职。同时，唐人数码核心人员</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从唐人数码离职后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年内将不会以自营方式、直接或间接通过其关联人开展经营与</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07"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唐人数码及其下属公司相同或类似业务；不在同唐人数码及其下属公司存在相同或</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类似业务的任何经营实体中任职或者担任任何形式的顾问；不以唐人数码及其下属</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12" w:hRule="exact"/>
        </w:trPr>
        <w:tc>
          <w:tcPr>
            <w:tcW w:w="601" w:type="dxa"/>
            <w:vMerge/>
            <w:tcBorders>
              <w:left w:val="single" w:sz="4" w:space="0" w:color="000000"/>
              <w:right w:val="single" w:sz="4" w:space="0" w:color="000000"/>
            </w:tcBorders>
            <w:shd w:val="clear" w:color="auto" w:fill="D4D4D4"/>
          </w:tcPr>
          <w:p>
            <w:pPr/>
          </w:p>
        </w:tc>
        <w:tc>
          <w:tcPr>
            <w:tcW w:w="602" w:type="dxa"/>
            <w:vMerge/>
            <w:tcBorders>
              <w:left w:val="single" w:sz="4" w:space="0" w:color="000000"/>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公司以外的名义为唐人数码及其下属公司现有及潜在的客户提供游戏开发、运营及</w:t>
            </w:r>
          </w:p>
        </w:tc>
        <w:tc>
          <w:tcPr>
            <w:tcW w:w="600"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r>
      <w:tr>
        <w:trPr>
          <w:trHeight w:val="360" w:hRule="exact"/>
        </w:trPr>
        <w:tc>
          <w:tcPr>
            <w:tcW w:w="601" w:type="dxa"/>
            <w:vMerge/>
            <w:tcBorders>
              <w:left w:val="single" w:sz="4" w:space="0" w:color="000000"/>
              <w:bottom w:val="single" w:sz="4" w:space="0" w:color="000000"/>
              <w:right w:val="single" w:sz="4" w:space="0" w:color="000000"/>
            </w:tcBorders>
            <w:shd w:val="clear" w:color="auto" w:fill="D4D4D4"/>
          </w:tcPr>
          <w:p>
            <w:pPr/>
          </w:p>
        </w:tc>
        <w:tc>
          <w:tcPr>
            <w:tcW w:w="602" w:type="dxa"/>
            <w:vMerge/>
            <w:tcBorders>
              <w:left w:val="single" w:sz="4" w:space="0" w:color="000000"/>
              <w:bottom w:val="single" w:sz="4" w:space="0" w:color="000000"/>
              <w:right w:val="single" w:sz="4" w:space="0" w:color="000000"/>
            </w:tcBorders>
          </w:tcPr>
          <w:p>
            <w:pPr/>
          </w:p>
        </w:tc>
        <w:tc>
          <w:tcPr>
            <w:tcW w:w="66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维护等服务；避免产生任何同业竞争情形。</w:t>
            </w:r>
          </w:p>
        </w:tc>
        <w:tc>
          <w:tcPr>
            <w:tcW w:w="600"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r>
      <w:tr>
        <w:trPr>
          <w:trHeight w:val="355" w:hRule="exact"/>
        </w:trPr>
        <w:tc>
          <w:tcPr>
            <w:tcW w:w="601" w:type="dxa"/>
            <w:tcBorders>
              <w:top w:val="single" w:sz="4" w:space="0" w:color="000000"/>
              <w:left w:val="single" w:sz="4" w:space="0" w:color="000000"/>
              <w:bottom w:val="nil" w:sz="6" w:space="0" w:color="auto"/>
              <w:right w:val="single" w:sz="4" w:space="0" w:color="000000"/>
            </w:tcBorders>
            <w:shd w:val="clear" w:color="auto" w:fill="D4D4D4"/>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66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发行人董事景晓军、景晓东先生承诺：在其及其关联方任职期间，每年转让的股份</w:t>
            </w:r>
          </w:p>
        </w:tc>
        <w:tc>
          <w:tcPr>
            <w:tcW w:w="600"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r>
      <w:tr>
        <w:trPr>
          <w:trHeight w:val="1565"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26"/>
              <w:jc w:val="left"/>
              <w:rPr>
                <w:rFonts w:ascii="宋体" w:hAnsi="宋体" w:cs="宋体" w:eastAsia="宋体" w:hint="default"/>
                <w:sz w:val="18"/>
                <w:szCs w:val="18"/>
              </w:rPr>
            </w:pPr>
            <w:r>
              <w:rPr>
                <w:rFonts w:ascii="宋体" w:hAnsi="宋体" w:cs="宋体" w:eastAsia="宋体" w:hint="default"/>
                <w:sz w:val="18"/>
                <w:szCs w:val="18"/>
              </w:rPr>
              <w:t>景晓 军、景 晓东</w:t>
            </w:r>
          </w:p>
        </w:tc>
        <w:tc>
          <w:tcPr>
            <w:tcW w:w="6619" w:type="dxa"/>
            <w:tcBorders>
              <w:top w:val="nil" w:sz="6" w:space="0" w:color="auto"/>
              <w:left w:val="single" w:sz="4" w:space="0" w:color="000000"/>
              <w:bottom w:val="nil" w:sz="6" w:space="0" w:color="auto"/>
              <w:right w:val="single" w:sz="10" w:space="0" w:color="FFFFFF"/>
            </w:tcBorders>
          </w:tcPr>
          <w:p>
            <w:pPr>
              <w:pStyle w:val="TableParagraph"/>
              <w:spacing w:line="307" w:lineRule="auto" w:before="10"/>
              <w:ind w:left="2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不超过其所直接和间接持有发行人股份总数的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；在其及其关联方离职后半年内 不转让其所直接和间接持有的发行人股份；在申报离任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个月内通过证 券交易所挂牌交易出售发行人股票数量占其直接和间接持有发行人股票总数的比例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；在发行人股票上市之日起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个月内申报离职的，自申报离职之日起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个月内不得转让其持有的发行人股份；在发行人股票上市之日起第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600" w:type="dxa"/>
            <w:tcBorders>
              <w:top w:val="nil" w:sz="6" w:space="0" w:color="auto"/>
              <w:left w:val="single" w:sz="10" w:space="0" w:color="FFFFFF"/>
              <w:bottom w:val="nil" w:sz="6" w:space="0" w:color="auto"/>
              <w:right w:val="single" w:sz="4" w:space="0" w:color="000000"/>
            </w:tcBorders>
          </w:tcPr>
          <w:p>
            <w:pPr>
              <w:pStyle w:val="TableParagraph"/>
              <w:spacing w:line="217" w:lineRule="exact"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6"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53"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66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月之间申报离职的，自申报离职之日起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个月内不得转让其持有的发行人股份。</w:t>
            </w:r>
          </w:p>
        </w:tc>
        <w:tc>
          <w:tcPr>
            <w:tcW w:w="600"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66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在募集资金使用过程中，如出现暂时性的资金闲置情况，发行人承诺：不作为持有</w:t>
            </w:r>
          </w:p>
        </w:tc>
        <w:tc>
          <w:tcPr>
            <w:tcW w:w="600"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nil" w:sz="6" w:space="0" w:color="auto"/>
              <w:left w:val="single" w:sz="4" w:space="0" w:color="000000"/>
              <w:bottom w:val="nil" w:sz="6" w:space="0" w:color="auto"/>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交易性金融资产和可供出售的金融资产、借予他人、委托理财等财务性投资，不直</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2012</w:t>
            </w:r>
          </w:p>
        </w:tc>
        <w:tc>
          <w:tcPr>
            <w:tcW w:w="602"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r>
      <w:tr>
        <w:trPr>
          <w:trHeight w:val="592"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03"/>
              <w:jc w:val="left"/>
              <w:rPr>
                <w:rFonts w:ascii="宋体" w:hAnsi="宋体" w:cs="宋体" w:eastAsia="宋体" w:hint="default"/>
                <w:sz w:val="18"/>
                <w:szCs w:val="18"/>
              </w:rPr>
            </w:pPr>
            <w:r>
              <w:rPr>
                <w:rFonts w:ascii="宋体" w:hAnsi="宋体" w:cs="宋体" w:eastAsia="宋体" w:hint="default"/>
                <w:sz w:val="18"/>
                <w:szCs w:val="18"/>
              </w:rPr>
              <w:t>接或者间接投资于以买卖有价证券为主要业务的公司，不将募集资金用于质押、委 托贷款或其他变相改变募集资金用途的投资。控股股东、实际控制人等关联人不占</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07"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09" w:lineRule="exact"/>
              <w:ind w:right="5"/>
              <w:jc w:val="center"/>
              <w:rPr>
                <w:rFonts w:ascii="宋体" w:hAnsi="宋体" w:cs="宋体" w:eastAsia="宋体" w:hint="default"/>
                <w:sz w:val="18"/>
                <w:szCs w:val="18"/>
              </w:rPr>
            </w:pPr>
            <w:r>
              <w:rPr>
                <w:rFonts w:ascii="宋体" w:hAnsi="宋体" w:cs="宋体" w:eastAsia="宋体" w:hint="default"/>
                <w:sz w:val="18"/>
                <w:szCs w:val="18"/>
              </w:rPr>
              <w:t>首次公</w:t>
            </w:r>
          </w:p>
        </w:tc>
        <w:tc>
          <w:tcPr>
            <w:tcW w:w="602" w:type="dxa"/>
            <w:tcBorders>
              <w:top w:val="nil" w:sz="6" w:space="0" w:color="auto"/>
              <w:left w:val="single" w:sz="4" w:space="0" w:color="000000"/>
              <w:bottom w:val="nil" w:sz="6" w:space="0" w:color="auto"/>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宋体" w:hAnsi="宋体" w:cs="宋体" w:eastAsia="宋体" w:hint="default"/>
                <w:sz w:val="18"/>
                <w:szCs w:val="18"/>
              </w:rPr>
            </w:pPr>
            <w:r>
              <w:rPr>
                <w:rFonts w:ascii="宋体" w:hAnsi="宋体" w:cs="宋体" w:eastAsia="宋体" w:hint="default"/>
                <w:sz w:val="18"/>
                <w:szCs w:val="18"/>
              </w:rPr>
              <w:t>用或挪用募集资金，不利用募投项目获得不正当利益。该部分闲置资金将暂时存放</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14" w:lineRule="exact"/>
              <w:ind w:right="5"/>
              <w:jc w:val="center"/>
              <w:rPr>
                <w:rFonts w:ascii="宋体" w:hAnsi="宋体" w:cs="宋体" w:eastAsia="宋体" w:hint="default"/>
                <w:sz w:val="18"/>
                <w:szCs w:val="18"/>
              </w:rPr>
            </w:pPr>
            <w:r>
              <w:rPr>
                <w:rFonts w:ascii="宋体" w:hAnsi="宋体" w:cs="宋体" w:eastAsia="宋体" w:hint="default"/>
                <w:sz w:val="18"/>
                <w:szCs w:val="18"/>
              </w:rPr>
              <w:t>开发行</w:t>
            </w:r>
          </w:p>
        </w:tc>
        <w:tc>
          <w:tcPr>
            <w:tcW w:w="602" w:type="dxa"/>
            <w:tcBorders>
              <w:top w:val="nil" w:sz="6" w:space="0" w:color="auto"/>
              <w:left w:val="single" w:sz="4" w:space="0" w:color="000000"/>
              <w:bottom w:val="nil" w:sz="6" w:space="0" w:color="auto"/>
              <w:right w:val="single" w:sz="4" w:space="0" w:color="000000"/>
            </w:tcBorders>
          </w:tcPr>
          <w:p>
            <w:pP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sz w:val="18"/>
                <w:szCs w:val="18"/>
              </w:rPr>
              <w:t>于募集资金专户，待发行人在主营业务发展方面存在资金需求的情况下使用。</w:t>
            </w:r>
          </w:p>
        </w:tc>
        <w:tc>
          <w:tcPr>
            <w:tcW w:w="60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r>
      <w:tr>
        <w:trPr>
          <w:trHeight w:val="80" w:hRule="exact"/>
        </w:trPr>
        <w:tc>
          <w:tcPr>
            <w:tcW w:w="601" w:type="dxa"/>
            <w:vMerge w:val="restart"/>
            <w:tcBorders>
              <w:top w:val="nil" w:sz="6" w:space="0" w:color="auto"/>
              <w:left w:val="single" w:sz="4" w:space="0" w:color="000000"/>
              <w:right w:val="single" w:sz="4" w:space="0" w:color="000000"/>
            </w:tcBorders>
            <w:shd w:val="clear" w:color="auto" w:fill="D4D4D4"/>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或再融</w:t>
            </w:r>
          </w:p>
          <w:p>
            <w:pPr>
              <w:pStyle w:val="TableParagraph"/>
              <w:spacing w:line="316" w:lineRule="auto" w:before="76"/>
              <w:ind w:left="22" w:right="26"/>
              <w:jc w:val="left"/>
              <w:rPr>
                <w:rFonts w:ascii="宋体" w:hAnsi="宋体" w:cs="宋体" w:eastAsia="宋体" w:hint="default"/>
                <w:sz w:val="18"/>
                <w:szCs w:val="18"/>
              </w:rPr>
            </w:pPr>
            <w:r>
              <w:rPr>
                <w:rFonts w:ascii="宋体" w:hAnsi="宋体" w:cs="宋体" w:eastAsia="宋体" w:hint="default"/>
                <w:sz w:val="18"/>
                <w:szCs w:val="18"/>
              </w:rPr>
              <w:t>资时所 作承诺</w:t>
            </w:r>
          </w:p>
        </w:tc>
        <w:tc>
          <w:tcPr>
            <w:tcW w:w="602" w:type="dxa"/>
            <w:tcBorders>
              <w:top w:val="nil" w:sz="6" w:space="0" w:color="auto"/>
              <w:left w:val="single" w:sz="4" w:space="0" w:color="000000"/>
              <w:bottom w:val="single" w:sz="4" w:space="0" w:color="000000"/>
              <w:right w:val="single" w:sz="4" w:space="0" w:color="000000"/>
            </w:tcBorders>
          </w:tcPr>
          <w:p>
            <w:pPr/>
          </w:p>
        </w:tc>
        <w:tc>
          <w:tcPr>
            <w:tcW w:w="6619" w:type="dxa"/>
            <w:tcBorders>
              <w:top w:val="nil" w:sz="6" w:space="0" w:color="auto"/>
              <w:left w:val="single" w:sz="4" w:space="0" w:color="000000"/>
              <w:bottom w:val="single" w:sz="4" w:space="0" w:color="000000"/>
              <w:right w:val="single" w:sz="4" w:space="0" w:color="000000"/>
            </w:tcBorders>
          </w:tcPr>
          <w:p>
            <w:pPr/>
          </w:p>
        </w:tc>
        <w:tc>
          <w:tcPr>
            <w:tcW w:w="600"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r>
      <w:tr>
        <w:trPr>
          <w:trHeight w:val="984" w:hRule="exact"/>
        </w:trPr>
        <w:tc>
          <w:tcPr>
            <w:tcW w:w="601" w:type="dxa"/>
            <w:vMerge/>
            <w:tcBorders>
              <w:left w:val="single" w:sz="4" w:space="0" w:color="000000"/>
              <w:bottom w:val="nil" w:sz="6" w:space="0" w:color="auto"/>
              <w:right w:val="single" w:sz="4" w:space="0" w:color="000000"/>
            </w:tcBorders>
            <w:shd w:val="clear" w:color="auto" w:fill="D4D4D4"/>
          </w:tcPr>
          <w:p>
            <w:pP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6619"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103"/>
              <w:jc w:val="both"/>
              <w:rPr>
                <w:rFonts w:ascii="宋体" w:hAnsi="宋体" w:cs="宋体" w:eastAsia="宋体" w:hint="default"/>
                <w:sz w:val="18"/>
                <w:szCs w:val="18"/>
              </w:rPr>
            </w:pPr>
            <w:r>
              <w:rPr>
                <w:rFonts w:ascii="宋体" w:hAnsi="宋体" w:cs="宋体" w:eastAsia="宋体" w:hint="default"/>
                <w:sz w:val="18"/>
                <w:szCs w:val="18"/>
              </w:rPr>
              <w:t>为规范关联交易和杜绝关联方占用资金的隐患，公司已按上市公司要求完善公司治 理结构、内控制度及关联交易批准程序，保证公司在业务、资产、人员、机构、财 务方面独立运作。公司控股股东、实际控制人景晓军亦出具了《避免非经营性资金</w:t>
            </w:r>
          </w:p>
        </w:tc>
        <w:tc>
          <w:tcPr>
            <w:tcW w:w="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53"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66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占用承诺</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景晓</w:t>
            </w:r>
          </w:p>
        </w:tc>
        <w:tc>
          <w:tcPr>
            <w:tcW w:w="6619" w:type="dxa"/>
            <w:tcBorders>
              <w:top w:val="single" w:sz="4" w:space="0" w:color="000000"/>
              <w:left w:val="single" w:sz="4" w:space="0" w:color="000000"/>
              <w:bottom w:val="nil" w:sz="6" w:space="0" w:color="auto"/>
              <w:right w:val="single" w:sz="4" w:space="0" w:color="000000"/>
            </w:tcBorders>
          </w:tcPr>
          <w:p>
            <w:pPr/>
          </w:p>
        </w:tc>
        <w:tc>
          <w:tcPr>
            <w:tcW w:w="600"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
        </w:tc>
      </w:tr>
      <w:tr>
        <w:trPr>
          <w:trHeight w:val="1565"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6"/>
              <w:jc w:val="both"/>
              <w:rPr>
                <w:rFonts w:ascii="宋体" w:hAnsi="宋体" w:cs="宋体" w:eastAsia="宋体" w:hint="default"/>
                <w:sz w:val="18"/>
                <w:szCs w:val="18"/>
              </w:rPr>
            </w:pPr>
            <w:r>
              <w:rPr>
                <w:rFonts w:ascii="宋体" w:hAnsi="宋体" w:cs="宋体" w:eastAsia="宋体" w:hint="default"/>
                <w:sz w:val="18"/>
                <w:szCs w:val="18"/>
              </w:rPr>
              <w:t>军、新 余市华 信远景 投资咨 询有限</w:t>
            </w:r>
          </w:p>
        </w:tc>
        <w:tc>
          <w:tcPr>
            <w:tcW w:w="66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未来六个月内不减持所持有的公司股票。</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6"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月，至</w:t>
            </w:r>
          </w:p>
          <w:p>
            <w:pPr>
              <w:pStyle w:val="TableParagraph"/>
              <w:spacing w:line="240" w:lineRule="auto" w:before="73"/>
              <w:ind w:left="2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履行完 毕</w:t>
            </w:r>
          </w:p>
        </w:tc>
      </w:tr>
      <w:tr>
        <w:trPr>
          <w:trHeight w:val="355" w:hRule="exact"/>
        </w:trPr>
        <w:tc>
          <w:tcPr>
            <w:tcW w:w="601" w:type="dxa"/>
            <w:tcBorders>
              <w:top w:val="nil" w:sz="6" w:space="0" w:color="auto"/>
              <w:left w:val="single" w:sz="4" w:space="0" w:color="000000"/>
              <w:bottom w:val="nil" w:sz="6" w:space="0" w:color="auto"/>
              <w:right w:val="single" w:sz="4" w:space="0" w:color="000000"/>
            </w:tcBorders>
            <w:shd w:val="clear" w:color="auto" w:fill="D4D4D4"/>
          </w:tcPr>
          <w:p>
            <w:pPr/>
          </w:p>
        </w:tc>
        <w:tc>
          <w:tcPr>
            <w:tcW w:w="6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619" w:type="dxa"/>
            <w:tcBorders>
              <w:top w:val="nil" w:sz="6" w:space="0" w:color="auto"/>
              <w:left w:val="single" w:sz="4" w:space="0" w:color="000000"/>
              <w:bottom w:val="single" w:sz="4" w:space="0" w:color="000000"/>
              <w:right w:val="single" w:sz="4" w:space="0" w:color="000000"/>
            </w:tcBorders>
          </w:tcPr>
          <w:p>
            <w:pPr/>
          </w:p>
        </w:tc>
        <w:tc>
          <w:tcPr>
            <w:tcW w:w="600"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601" w:type="dxa"/>
            <w:tcBorders>
              <w:top w:val="nil" w:sz="6" w:space="0" w:color="auto"/>
              <w:left w:val="single" w:sz="4" w:space="0" w:color="000000"/>
              <w:bottom w:val="single" w:sz="4" w:space="0" w:color="000000"/>
              <w:right w:val="single" w:sz="4" w:space="0" w:color="000000"/>
            </w:tcBorders>
            <w:shd w:val="clear" w:color="auto" w:fill="D4D4D4"/>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6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9"/>
              <w:jc w:val="left"/>
              <w:rPr>
                <w:rFonts w:ascii="宋体" w:hAnsi="宋体" w:cs="宋体" w:eastAsia="宋体" w:hint="default"/>
                <w:sz w:val="18"/>
                <w:szCs w:val="18"/>
              </w:rPr>
            </w:pPr>
            <w:r>
              <w:rPr>
                <w:rFonts w:ascii="宋体" w:hAnsi="宋体" w:cs="宋体" w:eastAsia="宋体" w:hint="default"/>
                <w:sz w:val="18"/>
                <w:szCs w:val="18"/>
              </w:rPr>
              <w:t>为进一步规范资金往来和对外担保，本公司控股股东、实际控制人景晓军先生就与 公司对外担保和资金往来作出如下承诺：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在本人作为任子行股份有限公司的控股股</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01"/>
        <w:gridCol w:w="602"/>
        <w:gridCol w:w="6619"/>
        <w:gridCol w:w="600"/>
        <w:gridCol w:w="602"/>
        <w:gridCol w:w="602"/>
      </w:tblGrid>
      <w:tr>
        <w:trPr>
          <w:trHeight w:val="986" w:hRule="exact"/>
        </w:trPr>
        <w:tc>
          <w:tcPr>
            <w:tcW w:w="601" w:type="dxa"/>
            <w:vMerge w:val="restart"/>
            <w:tcBorders>
              <w:top w:val="single" w:sz="4" w:space="0" w:color="000000"/>
              <w:left w:val="single" w:sz="4" w:space="0" w:color="000000"/>
              <w:right w:val="single" w:sz="4" w:space="0" w:color="000000"/>
            </w:tcBorders>
            <w:shd w:val="clear" w:color="auto" w:fill="D4D4D4"/>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6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9"/>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东或主要股东、实际控制人期间，将严格执行中国证监会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证监发（</w:t>
            </w:r>
            <w:r>
              <w:rPr>
                <w:rFonts w:ascii="Times New Roman" w:hAnsi="Times New Roman" w:cs="Times New Roman" w:eastAsia="Times New Roman" w:hint="default"/>
                <w:spacing w:val="-6"/>
                <w:sz w:val="18"/>
                <w:szCs w:val="18"/>
              </w:rPr>
              <w:t>2003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56</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文《关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于规范上市公司与关联方资金往来及上市公司对外担保若干问题的通知》的有关规 定。</w:t>
            </w:r>
            <w:r>
              <w:rPr>
                <w:rFonts w:ascii="Times New Roman" w:hAnsi="Times New Roman" w:cs="Times New Roman" w:eastAsia="Times New Roman" w:hint="default"/>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01" w:type="dxa"/>
            <w:vMerge/>
            <w:tcBorders>
              <w:left w:val="single" w:sz="4" w:space="0" w:color="000000"/>
              <w:bottom w:val="single" w:sz="4" w:space="0" w:color="000000"/>
              <w:right w:val="single" w:sz="4" w:space="0" w:color="000000"/>
            </w:tcBorders>
            <w:shd w:val="clear" w:color="auto" w:fill="D4D4D4"/>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景晓军</w:t>
            </w:r>
          </w:p>
        </w:tc>
        <w:tc>
          <w:tcPr>
            <w:tcW w:w="6619"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为避免对本次发行后发行人新股东的利益造成损害，发行人控股股东景晓军已于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日向公司出具《承诺函》，承诺如今后发行人因上市前执行社会保险、</w:t>
            </w:r>
            <w:r>
              <w:rPr>
                <w:rFonts w:ascii="宋体" w:hAnsi="宋体" w:cs="宋体" w:eastAsia="宋体" w:hint="default"/>
                <w:spacing w:val="-34"/>
                <w:sz w:val="18"/>
                <w:szCs w:val="18"/>
              </w:rPr>
              <w:t> </w:t>
            </w:r>
            <w:r>
              <w:rPr>
                <w:rFonts w:ascii="宋体" w:hAnsi="宋体" w:cs="宋体" w:eastAsia="宋体" w:hint="default"/>
                <w:sz w:val="18"/>
                <w:szCs w:val="18"/>
              </w:rPr>
              <w:t>住房公积金政策事宜而需要补缴社会保险费用、住房公积金、缴纳罚款，或因此而</w:t>
            </w:r>
            <w:r>
              <w:rPr>
                <w:rFonts w:ascii="宋体" w:hAnsi="宋体" w:cs="宋体" w:eastAsia="宋体" w:hint="default"/>
                <w:sz w:val="18"/>
                <w:szCs w:val="18"/>
              </w:rPr>
              <w:t> 遭受任何损失，均由其及时、足额对发行人作出赔偿。</w:t>
            </w:r>
          </w:p>
        </w:tc>
        <w:tc>
          <w:tcPr>
            <w:tcW w:w="60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7.25pt;height:15.6pt;mso-position-horizontal-relative:char;mso-position-vertical-relative:line" coordorigin="0,0" coordsize="545,312">
                  <v:group style="position:absolute;left:0;top:0;width:545;height:312" coordorigin="0,0" coordsize="545,312">
                    <v:shape style="position:absolute;left:0;top:0;width:545;height:312" coordorigin="0,0" coordsize="545,312" path="m0,312l545,312,54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6"/>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218" w:hRule="exact"/>
        </w:trPr>
        <w:tc>
          <w:tcPr>
            <w:tcW w:w="6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股权激 励承诺</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任子行</w:t>
            </w:r>
          </w:p>
        </w:tc>
        <w:tc>
          <w:tcPr>
            <w:tcW w:w="6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07"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、公司承诺持股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以上的主要股东或实际控制人及其配偶与直系近亲属未参与本 激励计划。本次激励计划的所有激励对象均未同时参加两个或以上上市公司的股权 激励计划。</w:t>
            </w:r>
            <w:r>
              <w:rPr>
                <w:rFonts w:ascii="Times New Roman" w:hAnsi="Times New Roman" w:cs="Times New Roman" w:eastAsia="Times New Roman" w:hint="default"/>
                <w:sz w:val="18"/>
                <w:szCs w:val="18"/>
              </w:rPr>
              <w:t>2</w:t>
            </w:r>
            <w:r>
              <w:rPr>
                <w:rFonts w:ascii="宋体" w:hAnsi="宋体" w:cs="宋体" w:eastAsia="宋体" w:hint="default"/>
                <w:sz w:val="18"/>
                <w:szCs w:val="18"/>
              </w:rPr>
              <w:t>、不为激励对象获取有关限制性股票提供贷款以及其他任何形式的财务 资助，包括为其贷款提供担保。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6" w:right="24"/>
              <w:jc w:val="both"/>
              <w:rPr>
                <w:rFonts w:ascii="宋体" w:hAnsi="宋体" w:cs="宋体" w:eastAsia="宋体" w:hint="default"/>
                <w:sz w:val="18"/>
                <w:szCs w:val="18"/>
              </w:rPr>
            </w:pPr>
            <w:r>
              <w:rPr>
                <w:rFonts w:ascii="宋体" w:hAnsi="宋体" w:cs="宋体" w:eastAsia="宋体" w:hint="default"/>
                <w:sz w:val="18"/>
                <w:szCs w:val="18"/>
              </w:rPr>
              <w:t>首次限 制性股 票激励 计划存 续期间</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截至报 告期 末，公 司严格 遵守了 承诺</w:t>
            </w:r>
          </w:p>
        </w:tc>
      </w:tr>
      <w:tr>
        <w:trPr>
          <w:trHeight w:val="1354" w:hRule="exact"/>
        </w:trPr>
        <w:tc>
          <w:tcPr>
            <w:tcW w:w="6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26"/>
              <w:jc w:val="both"/>
              <w:rPr>
                <w:rFonts w:ascii="宋体" w:hAnsi="宋体" w:cs="宋体" w:eastAsia="宋体" w:hint="default"/>
                <w:sz w:val="18"/>
                <w:szCs w:val="18"/>
              </w:rPr>
            </w:pPr>
            <w:r>
              <w:rPr>
                <w:rFonts w:ascii="宋体" w:hAnsi="宋体" w:cs="宋体" w:eastAsia="宋体" w:hint="default"/>
                <w:sz w:val="18"/>
                <w:szCs w:val="18"/>
              </w:rPr>
              <w:t>承诺是 否按时 履行</w:t>
            </w:r>
          </w:p>
        </w:tc>
        <w:tc>
          <w:tcPr>
            <w:tcW w:w="90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708"/>
        <w:gridCol w:w="1277"/>
        <w:gridCol w:w="1277"/>
        <w:gridCol w:w="1274"/>
        <w:gridCol w:w="850"/>
        <w:gridCol w:w="2052"/>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0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58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sz w:val="18"/>
              </w:rPr>
              <w:t>5,874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5,978.59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6" w:right="31"/>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日在 巨潮资讯网</w:t>
            </w:r>
          </w:p>
          <w:p>
            <w:pPr>
              <w:pStyle w:val="TableParagraph"/>
              <w:spacing w:line="314" w:lineRule="auto" w:before="33"/>
              <w:ind w:left="26" w:right="21"/>
              <w:jc w:val="both"/>
              <w:rPr>
                <w:rFonts w:ascii="宋体" w:hAnsi="宋体" w:cs="宋体" w:eastAsia="宋体" w:hint="default"/>
                <w:sz w:val="18"/>
                <w:szCs w:val="18"/>
              </w:rPr>
            </w:pPr>
            <w:r>
              <w:rPr>
                <w:rFonts w:ascii="宋体" w:hAnsi="宋体" w:cs="宋体" w:eastAsia="宋体" w:hint="default"/>
                <w:spacing w:val="-1"/>
                <w:sz w:val="18"/>
                <w:szCs w:val="18"/>
              </w:rPr>
              <w:t>（</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）披</w:t>
            </w:r>
            <w:r>
              <w:rPr>
                <w:rFonts w:ascii="宋体" w:hAnsi="宋体" w:cs="宋体" w:eastAsia="宋体" w:hint="default"/>
                <w:sz w:val="18"/>
                <w:szCs w:val="18"/>
              </w:rPr>
              <w:t> 露的任子行网络技术股份 有限公司现金及发行股份 购买资产并募集配套资金 暨关联交易报告书（修订 稿）</w:t>
            </w:r>
          </w:p>
        </w:tc>
      </w:tr>
    </w:tbl>
    <w:p>
      <w:pPr>
        <w:pStyle w:val="BodyText"/>
        <w:spacing w:line="240" w:lineRule="auto" w:before="49"/>
        <w:ind w:right="0"/>
        <w:jc w:val="both"/>
      </w:pPr>
      <w:r>
        <w:rPr/>
        <w:t>公司股东、交易对手方对公司或相关资产年度经营业绩作出的承诺情况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312" w:lineRule="exact" w:before="81"/>
        <w:ind w:left="152" w:right="155" w:firstLine="0"/>
        <w:jc w:val="both"/>
        <w:rPr>
          <w:rFonts w:ascii="宋体" w:hAnsi="宋体" w:cs="宋体" w:eastAsia="宋体" w:hint="default"/>
          <w:sz w:val="23"/>
          <w:szCs w:val="23"/>
        </w:rPr>
      </w:pPr>
      <w:r>
        <w:rPr>
          <w:rFonts w:ascii="宋体" w:hAnsi="宋体" w:cs="宋体" w:eastAsia="宋体" w:hint="default"/>
          <w:sz w:val="23"/>
          <w:szCs w:val="23"/>
        </w:rPr>
        <w:t>交易对手方承诺唐人数码</w:t>
      </w:r>
      <w:r>
        <w:rPr>
          <w:rFonts w:ascii="Times New Roman" w:hAnsi="Times New Roman" w:cs="Times New Roman" w:eastAsia="Times New Roman" w:hint="default"/>
          <w:sz w:val="23"/>
          <w:szCs w:val="23"/>
        </w:rPr>
        <w:t>2014 </w:t>
      </w:r>
      <w:r>
        <w:rPr>
          <w:rFonts w:ascii="宋体" w:hAnsi="宋体" w:cs="宋体" w:eastAsia="宋体" w:hint="default"/>
          <w:sz w:val="23"/>
          <w:szCs w:val="23"/>
        </w:rPr>
        <w:t>年度、</w:t>
      </w:r>
      <w:r>
        <w:rPr>
          <w:rFonts w:ascii="Times New Roman" w:hAnsi="Times New Roman" w:cs="Times New Roman" w:eastAsia="Times New Roman" w:hint="default"/>
          <w:sz w:val="23"/>
          <w:szCs w:val="23"/>
        </w:rPr>
        <w:t>2015 </w:t>
      </w:r>
      <w:r>
        <w:rPr>
          <w:rFonts w:ascii="宋体" w:hAnsi="宋体" w:cs="宋体" w:eastAsia="宋体" w:hint="default"/>
          <w:sz w:val="23"/>
          <w:szCs w:val="23"/>
        </w:rPr>
        <w:t>年度、</w:t>
      </w:r>
      <w:r>
        <w:rPr>
          <w:rFonts w:ascii="Times New Roman" w:hAnsi="Times New Roman" w:cs="Times New Roman" w:eastAsia="Times New Roman" w:hint="default"/>
          <w:sz w:val="23"/>
          <w:szCs w:val="23"/>
        </w:rPr>
        <w:t>2016 </w:t>
      </w:r>
      <w:r>
        <w:rPr>
          <w:rFonts w:ascii="宋体" w:hAnsi="宋体" w:cs="宋体" w:eastAsia="宋体" w:hint="default"/>
          <w:sz w:val="23"/>
          <w:szCs w:val="23"/>
        </w:rPr>
        <w:t>年度、</w:t>
      </w:r>
      <w:r>
        <w:rPr>
          <w:rFonts w:ascii="Times New Roman" w:hAnsi="Times New Roman" w:cs="Times New Roman" w:eastAsia="Times New Roman" w:hint="default"/>
          <w:sz w:val="23"/>
          <w:szCs w:val="23"/>
        </w:rPr>
        <w:t>2017</w:t>
      </w:r>
      <w:r>
        <w:rPr>
          <w:rFonts w:ascii="Times New Roman" w:hAnsi="Times New Roman" w:cs="Times New Roman" w:eastAsia="Times New Roman" w:hint="default"/>
          <w:spacing w:val="16"/>
          <w:sz w:val="23"/>
          <w:szCs w:val="23"/>
        </w:rPr>
        <w:t> </w:t>
      </w:r>
      <w:r>
        <w:rPr>
          <w:rFonts w:ascii="宋体" w:hAnsi="宋体" w:cs="宋体" w:eastAsia="宋体" w:hint="default"/>
          <w:sz w:val="23"/>
          <w:szCs w:val="23"/>
        </w:rPr>
        <w:t>年度经审计的归属于母公司</w:t>
      </w:r>
      <w:r>
        <w:rPr>
          <w:rFonts w:ascii="宋体" w:hAnsi="宋体" w:cs="宋体" w:eastAsia="宋体" w:hint="default"/>
          <w:w w:val="100"/>
          <w:sz w:val="23"/>
          <w:szCs w:val="23"/>
        </w:rPr>
        <w:t> </w:t>
      </w:r>
      <w:r>
        <w:rPr>
          <w:rFonts w:ascii="宋体" w:hAnsi="宋体" w:cs="宋体" w:eastAsia="宋体" w:hint="default"/>
          <w:spacing w:val="-1"/>
          <w:w w:val="100"/>
          <w:sz w:val="23"/>
          <w:szCs w:val="23"/>
        </w:rPr>
        <w:t>股东的扣除非经常性损益后的净利润分别不低于人民币</w:t>
      </w:r>
      <w:r>
        <w:rPr>
          <w:rFonts w:ascii="Times New Roman" w:hAnsi="Times New Roman" w:cs="Times New Roman" w:eastAsia="Times New Roman" w:hint="default"/>
          <w:spacing w:val="-1"/>
          <w:w w:val="100"/>
          <w:sz w:val="23"/>
          <w:szCs w:val="23"/>
        </w:rPr>
        <w:t>4,500.00</w:t>
      </w:r>
      <w:r>
        <w:rPr>
          <w:rFonts w:ascii="Times New Roman" w:hAnsi="Times New Roman" w:cs="Times New Roman" w:eastAsia="Times New Roman" w:hint="default"/>
          <w:w w:val="100"/>
          <w:sz w:val="23"/>
          <w:szCs w:val="23"/>
        </w:rPr>
        <w:t> </w:t>
      </w:r>
      <w:r>
        <w:rPr>
          <w:rFonts w:ascii="宋体" w:hAnsi="宋体" w:cs="宋体" w:eastAsia="宋体" w:hint="default"/>
          <w:spacing w:val="-9"/>
          <w:w w:val="100"/>
          <w:sz w:val="23"/>
          <w:szCs w:val="23"/>
        </w:rPr>
        <w:t>万元、</w:t>
      </w:r>
      <w:r>
        <w:rPr>
          <w:rFonts w:ascii="Times New Roman" w:hAnsi="Times New Roman" w:cs="Times New Roman" w:eastAsia="Times New Roman" w:hint="default"/>
          <w:spacing w:val="-9"/>
          <w:w w:val="100"/>
          <w:sz w:val="23"/>
          <w:szCs w:val="23"/>
        </w:rPr>
        <w:t>5,874.00</w:t>
      </w:r>
      <w:r>
        <w:rPr>
          <w:rFonts w:ascii="Times New Roman" w:hAnsi="Times New Roman" w:cs="Times New Roman" w:eastAsia="Times New Roman" w:hint="default"/>
          <w:w w:val="100"/>
          <w:sz w:val="23"/>
          <w:szCs w:val="23"/>
        </w:rPr>
        <w:t> </w:t>
      </w:r>
      <w:r>
        <w:rPr>
          <w:rFonts w:ascii="宋体" w:hAnsi="宋体" w:cs="宋体" w:eastAsia="宋体" w:hint="default"/>
          <w:spacing w:val="-9"/>
          <w:w w:val="100"/>
          <w:sz w:val="23"/>
          <w:szCs w:val="23"/>
        </w:rPr>
        <w:t>万元、</w:t>
      </w:r>
      <w:r>
        <w:rPr>
          <w:rFonts w:ascii="Times New Roman" w:hAnsi="Times New Roman" w:cs="Times New Roman" w:eastAsia="Times New Roman" w:hint="default"/>
          <w:spacing w:val="-9"/>
          <w:w w:val="100"/>
          <w:sz w:val="23"/>
          <w:szCs w:val="23"/>
        </w:rPr>
        <w:t>6,300.00</w:t>
      </w:r>
      <w:r>
        <w:rPr>
          <w:rFonts w:ascii="Times New Roman" w:hAnsi="Times New Roman" w:cs="Times New Roman" w:eastAsia="Times New Roman" w:hint="default"/>
          <w:spacing w:val="9"/>
          <w:w w:val="100"/>
          <w:sz w:val="23"/>
          <w:szCs w:val="23"/>
        </w:rPr>
        <w:t> </w:t>
      </w:r>
      <w:r>
        <w:rPr>
          <w:rFonts w:ascii="宋体" w:hAnsi="宋体" w:cs="宋体" w:eastAsia="宋体" w:hint="default"/>
          <w:w w:val="100"/>
          <w:sz w:val="23"/>
          <w:szCs w:val="23"/>
        </w:rPr>
        <w:t>万 </w:t>
      </w:r>
      <w:r>
        <w:rPr>
          <w:rFonts w:ascii="宋体" w:hAnsi="宋体" w:cs="宋体" w:eastAsia="宋体" w:hint="default"/>
          <w:sz w:val="23"/>
          <w:szCs w:val="23"/>
        </w:rPr>
        <w:t>元、</w:t>
      </w:r>
      <w:r>
        <w:rPr>
          <w:rFonts w:ascii="Times New Roman" w:hAnsi="Times New Roman" w:cs="Times New Roman" w:eastAsia="Times New Roman" w:hint="default"/>
          <w:sz w:val="23"/>
          <w:szCs w:val="23"/>
        </w:rPr>
        <w:t>6,600.00</w:t>
      </w:r>
      <w:r>
        <w:rPr>
          <w:rFonts w:ascii="Times New Roman" w:hAnsi="Times New Roman" w:cs="Times New Roman" w:eastAsia="Times New Roman" w:hint="default"/>
          <w:spacing w:val="36"/>
          <w:sz w:val="23"/>
          <w:szCs w:val="23"/>
        </w:rPr>
        <w:t> </w:t>
      </w:r>
      <w:r>
        <w:rPr>
          <w:rFonts w:ascii="宋体" w:hAnsi="宋体" w:cs="宋体" w:eastAsia="宋体" w:hint="default"/>
          <w:sz w:val="23"/>
          <w:szCs w:val="23"/>
        </w:rPr>
        <w:t>万元。</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公司报告期不存在控股股东及其关联方对上市公司的非经营性占用资金。</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报告期内，公司合并范围新增</w:t>
      </w:r>
      <w:r>
        <w:rPr>
          <w:rFonts w:ascii="Times New Roman" w:hAnsi="Times New Roman" w:cs="Times New Roman" w:eastAsia="Times New Roman" w:hint="default"/>
        </w:rPr>
        <w:t>2</w:t>
      </w:r>
      <w:r>
        <w:rPr/>
        <w:t>家公司，北京亚鸿世纪科技发展有限公司、苏州唐人数码科技有限公司，具体情况如下：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日，第二届董事会第十八次会议同意以自由资金</w:t>
      </w:r>
      <w:r>
        <w:rPr>
          <w:rFonts w:ascii="Times New Roman" w:hAnsi="Times New Roman" w:cs="Times New Roman" w:eastAsia="Times New Roman" w:hint="default"/>
          <w:spacing w:val="-2"/>
        </w:rPr>
        <w:t>1500</w:t>
      </w:r>
      <w:r>
        <w:rPr>
          <w:spacing w:val="-2"/>
        </w:rPr>
        <w:t>万元收购深圳市中科新业信息科技发展有限公司持有的</w:t>
      </w:r>
    </w:p>
    <w:p>
      <w:pPr>
        <w:pStyle w:val="BodyText"/>
        <w:spacing w:line="302" w:lineRule="auto"/>
        <w:ind w:left="153" w:right="143"/>
        <w:jc w:val="left"/>
      </w:pPr>
      <w:r>
        <w:rPr/>
        <w:t>北京亚鸿世纪科技发展有限公司（以下简称</w:t>
      </w:r>
      <w:r>
        <w:rPr>
          <w:rFonts w:ascii="Times New Roman" w:hAnsi="Times New Roman" w:cs="Times New Roman" w:eastAsia="Times New Roman" w:hint="default"/>
        </w:rPr>
        <w:t>“</w:t>
      </w:r>
      <w:r>
        <w:rPr/>
        <w:t>北京亚鸿</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股权；亚鸿世纪</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日完成工商变更登记手续，公司当月将 亚鸿世纪纳入合并报表范围。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日，公司召开了第二届董事会第十二次会议，通过了公司现金及方股份购买唐人数码</w:t>
      </w:r>
      <w:r>
        <w:rPr>
          <w:rFonts w:ascii="Times New Roman" w:hAnsi="Times New Roman" w:cs="Times New Roman" w:eastAsia="Times New Roman" w:hint="default"/>
        </w:rPr>
        <w:t>100%</w:t>
      </w:r>
      <w:r>
        <w:rPr/>
        <w:t>股权并募集配套 资金的重大资产重组方案；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日，公司召开了</w:t>
      </w:r>
      <w:r>
        <w:rPr>
          <w:rFonts w:ascii="Times New Roman" w:hAnsi="Times New Roman" w:cs="Times New Roman" w:eastAsia="Times New Roman" w:hint="default"/>
        </w:rPr>
        <w:t>2014</w:t>
      </w:r>
      <w:r>
        <w:rPr/>
        <w:t>年第二次临时股东大会，通过了上述方案，并授权董事会办理 </w:t>
      </w:r>
      <w:r>
        <w:rPr>
          <w:spacing w:val="-2"/>
        </w:rPr>
        <w:t>相关事宜；</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日，中国证监会核准了公司向丁伟国等发行</w:t>
      </w:r>
      <w:r>
        <w:rPr>
          <w:rFonts w:ascii="Times New Roman" w:hAnsi="Times New Roman" w:cs="Times New Roman" w:eastAsia="Times New Roman" w:hint="default"/>
          <w:spacing w:val="-2"/>
        </w:rPr>
        <w:t>43,189,366</w:t>
      </w:r>
      <w:r>
        <w:rPr>
          <w:spacing w:val="-2"/>
        </w:rPr>
        <w:t>股股份购买相关资产，核准公司非公开发行不</w:t>
      </w:r>
      <w:r>
        <w:rPr>
          <w:spacing w:val="-53"/>
        </w:rPr>
        <w:t> </w:t>
      </w:r>
      <w:r>
        <w:rPr>
          <w:spacing w:val="-53"/>
        </w:rPr>
      </w:r>
      <w:r>
        <w:rPr>
          <w:spacing w:val="-2"/>
        </w:rPr>
        <w:t>超过</w:t>
      </w:r>
      <w:r>
        <w:rPr>
          <w:rFonts w:ascii="Times New Roman" w:hAnsi="Times New Roman" w:cs="Times New Roman" w:eastAsia="Times New Roman" w:hint="default"/>
          <w:spacing w:val="-2"/>
        </w:rPr>
        <w:t>22,242,522</w:t>
      </w:r>
      <w:r>
        <w:rPr>
          <w:spacing w:val="-2"/>
        </w:rPr>
        <w:t>股新股募集本次发行股份购买资产的配套资金；</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日，完成唐人数码的股权过户手续及相关工商变</w:t>
      </w:r>
      <w:r>
        <w:rPr>
          <w:spacing w:val="-55"/>
        </w:rPr>
        <w:t> </w:t>
      </w:r>
      <w:r>
        <w:rPr>
          <w:spacing w:val="-55"/>
        </w:rPr>
      </w:r>
      <w:r>
        <w:rPr/>
        <w:t>更登记手续，公司当月将唐人数码纳入合并报表范围。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吕润波、黄冠伟</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是否改聘会计师事务所</w:t>
      </w:r>
    </w:p>
    <w:p>
      <w:pPr>
        <w:pStyle w:val="BodyText"/>
        <w:spacing w:line="338" w:lineRule="auto" w:before="117"/>
        <w:ind w:right="52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94"/>
        <w:jc w:val="left"/>
      </w:pPr>
      <w:r>
        <w:rPr/>
        <w:t>公司因重大资产重组事项，</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月聘请国信证券股份有限公司为财务顾问，签订相关协议，约定财务顾问费为</w:t>
      </w:r>
      <w:r>
        <w:rPr>
          <w:rFonts w:ascii="Times New Roman" w:hAnsi="Times New Roman" w:cs="Times New Roman" w:eastAsia="Times New Roman" w:hint="default"/>
        </w:rPr>
        <w:t>600</w:t>
      </w:r>
      <w:r>
        <w:rPr/>
        <w:t>万元。</w:t>
      </w:r>
      <w:r>
        <w:rPr>
          <w:spacing w:val="-3"/>
        </w:rPr>
        <w:t> </w:t>
      </w:r>
      <w:r>
        <w:rPr/>
        <w:t>根据协议安排，公司于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日支付费用</w:t>
      </w:r>
      <w:r>
        <w:rPr>
          <w:rFonts w:ascii="Times New Roman" w:hAnsi="Times New Roman" w:cs="Times New Roman" w:eastAsia="Times New Roman" w:hint="default"/>
        </w:rPr>
        <w:t>100</w:t>
      </w:r>
      <w:r>
        <w:rPr/>
        <w:t>万元，于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日支付费用</w:t>
      </w:r>
      <w:r>
        <w:rPr>
          <w:rFonts w:ascii="Times New Roman" w:hAnsi="Times New Roman" w:cs="Times New Roman" w:eastAsia="Times New Roman" w:hint="default"/>
        </w:rPr>
        <w:t>500</w:t>
      </w:r>
      <w:r>
        <w:rPr/>
        <w:t>万元。</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5"/>
      <w:bookmarkEnd w:id="75"/>
      <w:r>
        <w:rPr>
          <w:b w:val="0"/>
          <w:bCs w:val="0"/>
        </w:rPr>
      </w: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9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2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报告期内，公司及其控股股东、实际控制人不存在未履行法院生效判决，不存在所负数额较大的债务到期未清偿的情况。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9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日，公司第二届董事会第八次会议审议通过了《关于</w:t>
      </w:r>
      <w:r>
        <w:rPr>
          <w:rFonts w:ascii="Times New Roman" w:hAnsi="Times New Roman" w:cs="Times New Roman" w:eastAsia="Times New Roman" w:hint="default"/>
        </w:rPr>
        <w:t>&lt;</w:t>
      </w:r>
      <w:r>
        <w:rPr/>
        <w:t>任子行网络技术股份有限公司限制性股票激励计划</w:t>
      </w:r>
    </w:p>
    <w:p>
      <w:pPr>
        <w:pStyle w:val="BodyText"/>
        <w:spacing w:line="309" w:lineRule="auto" w:before="62"/>
        <w:ind w:right="192"/>
        <w:jc w:val="both"/>
      </w:pPr>
      <w:r>
        <w:rPr/>
        <w:t>（草案）及其摘要</w:t>
      </w:r>
      <w:r>
        <w:rPr>
          <w:rFonts w:ascii="Times New Roman" w:hAnsi="Times New Roman" w:cs="Times New Roman" w:eastAsia="Times New Roman" w:hint="default"/>
        </w:rPr>
        <w:t>&gt;</w:t>
      </w:r>
      <w:r>
        <w:rPr/>
        <w:t>的议案》，监事会对公司本次股权激励计划的激励对象名单进行核实，公司独立董事就本次股权激励计 </w:t>
      </w:r>
      <w:r>
        <w:rPr>
          <w:spacing w:val="-2"/>
        </w:rPr>
        <w:t>划是否有利于公司的持续发展及是否存在损害公司及全体股东利益的情形发表独立意见。随后向中国证监会上报了申请备案</w:t>
      </w:r>
      <w:r>
        <w:rPr>
          <w:spacing w:val="-64"/>
        </w:rPr>
        <w:t> </w:t>
      </w:r>
      <w:r>
        <w:rPr>
          <w:spacing w:val="-64"/>
        </w:rPr>
      </w:r>
      <w:r>
        <w:rPr/>
        <w:t>材料。</w:t>
      </w:r>
    </w:p>
    <w:p>
      <w:pPr>
        <w:pStyle w:val="BodyText"/>
        <w:spacing w:line="240" w:lineRule="auto" w:before="24"/>
        <w:ind w:left="512" w:right="9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月，公司获悉报送的限制性股票激励计划（草案修订稿）经中国证监会备案无异议。</w:t>
      </w:r>
    </w:p>
    <w:p>
      <w:pPr>
        <w:pStyle w:val="BodyText"/>
        <w:spacing w:line="240" w:lineRule="auto" w:before="62"/>
        <w:ind w:left="512" w:right="9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日，公司第二届董事会第十次会议审议通过了《关于</w:t>
      </w:r>
      <w:r>
        <w:rPr>
          <w:rFonts w:ascii="Times New Roman" w:hAnsi="Times New Roman" w:cs="Times New Roman" w:eastAsia="Times New Roman" w:hint="default"/>
        </w:rPr>
        <w:t>&lt;</w:t>
      </w:r>
      <w:r>
        <w:rPr/>
        <w:t>任子行网络技术股份有限公司限制性股票激励计划</w:t>
      </w:r>
    </w:p>
    <w:p>
      <w:pPr>
        <w:pStyle w:val="BodyText"/>
        <w:spacing w:line="300" w:lineRule="auto" w:before="62"/>
        <w:ind w:right="251"/>
        <w:jc w:val="left"/>
      </w:pPr>
      <w:r>
        <w:rPr/>
        <w:t>（草案修订稿）及其摘要</w:t>
      </w:r>
      <w:r>
        <w:rPr>
          <w:rFonts w:ascii="Times New Roman" w:hAnsi="Times New Roman" w:cs="Times New Roman" w:eastAsia="Times New Roman" w:hint="default"/>
        </w:rPr>
        <w:t>&gt;</w:t>
      </w:r>
      <w:r>
        <w:rPr/>
        <w:t>的议案》。公司第二届监事会第七次会议审议通过了《关于</w:t>
      </w:r>
      <w:r>
        <w:rPr>
          <w:rFonts w:ascii="Times New Roman" w:hAnsi="Times New Roman" w:cs="Times New Roman" w:eastAsia="Times New Roman" w:hint="default"/>
        </w:rPr>
        <w:t>&lt;</w:t>
      </w:r>
      <w:r>
        <w:rPr/>
        <w:t>任子行网络技术股份有限公司限制 性股票激励计划（草案修订稿）及其摘要</w:t>
      </w:r>
      <w:r>
        <w:rPr>
          <w:rFonts w:ascii="Times New Roman" w:hAnsi="Times New Roman" w:cs="Times New Roman" w:eastAsia="Times New Roman" w:hint="default"/>
        </w:rPr>
        <w:t>&gt;</w:t>
      </w:r>
      <w:r>
        <w:rPr/>
        <w:t>的议案》。公司独立董事对此发表了独立意见。</w:t>
      </w:r>
    </w:p>
    <w:p>
      <w:pPr>
        <w:pStyle w:val="BodyText"/>
        <w:spacing w:line="300" w:lineRule="auto" w:before="13"/>
        <w:ind w:right="17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2014</w:t>
      </w:r>
      <w:r>
        <w:rPr/>
        <w:t>年第一次临时股东大会审议并通过了《关于</w:t>
      </w:r>
      <w:r>
        <w:rPr>
          <w:rFonts w:ascii="Times New Roman" w:hAnsi="Times New Roman" w:cs="Times New Roman" w:eastAsia="Times New Roman" w:hint="default"/>
        </w:rPr>
        <w:t>&lt;</w:t>
      </w:r>
      <w:r>
        <w:rPr/>
        <w:t>任子行网络技术股份有限公司限制性股票激励 计划（草案修订稿）及其摘要</w:t>
      </w:r>
      <w:r>
        <w:rPr>
          <w:rFonts w:ascii="Times New Roman" w:hAnsi="Times New Roman" w:cs="Times New Roman" w:eastAsia="Times New Roman" w:hint="default"/>
        </w:rPr>
        <w:t>&gt;</w:t>
      </w:r>
      <w:r>
        <w:rPr/>
        <w:t>的议案》、《关于提请任子行网络技术股份有限公司股东大会授权董事会办理公司限制性股 票激励计划相关事宜的议案》。</w:t>
      </w:r>
    </w:p>
    <w:p>
      <w:pPr>
        <w:pStyle w:val="BodyText"/>
        <w:spacing w:line="300" w:lineRule="auto" w:before="31"/>
        <w:ind w:left="153" w:right="98" w:firstLine="359"/>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日，公司第二届董事会第十三次会议和第二届监事会第十次会议审议通过了《关于调整限制性股票激励计划</w:t>
      </w:r>
      <w:r>
        <w:rPr/>
        <w:t> 相关事项的议案》、《关于向激励对象授予限制性股票的议案》。公司独立董事对此发表了独立意见。</w:t>
      </w:r>
    </w:p>
    <w:p>
      <w:pPr>
        <w:pStyle w:val="BodyText"/>
        <w:spacing w:line="240" w:lineRule="auto" w:before="31"/>
        <w:ind w:left="513" w:right="9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日，公司第二届董事会第十四次会议和第二届监事会第十一次会议审议通过了《关于调整限制性股票激励</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计划相关事项的议案》。公司独立董事对此发表了独立意见。</w:t>
      </w:r>
    </w:p>
    <w:p>
      <w:pPr>
        <w:pStyle w:val="BodyText"/>
        <w:spacing w:line="240" w:lineRule="auto" w:before="76"/>
        <w:ind w:left="512"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日，公司完成了上述股权激励计划的首次限制性股票登记手续，股票上市日为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w:t>
      </w:r>
    </w:p>
    <w:p>
      <w:pPr>
        <w:pStyle w:val="BodyText"/>
        <w:spacing w:line="304" w:lineRule="auto" w:before="62"/>
        <w:ind w:right="13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日，公司第二届董事会第二十二次会议和第二届监事会第十六次会议审议通过了《对</w:t>
      </w:r>
      <w:r>
        <w:rPr>
          <w:rFonts w:ascii="Times New Roman" w:hAnsi="Times New Roman" w:cs="Times New Roman" w:eastAsia="Times New Roman" w:hint="default"/>
        </w:rPr>
        <w:t>&lt;</w:t>
      </w:r>
      <w:r>
        <w:rPr/>
        <w:t>任子行网络技术股 份有限公司限制性股票激励计划</w:t>
      </w:r>
      <w:r>
        <w:rPr>
          <w:rFonts w:ascii="Times New Roman" w:hAnsi="Times New Roman" w:cs="Times New Roman" w:eastAsia="Times New Roman" w:hint="default"/>
        </w:rPr>
        <w:t>&gt;</w:t>
      </w:r>
      <w:r>
        <w:rPr/>
        <w:t>预留限制性股票数量进行调整的议案》、《关于向激励对象授予预留限制性股票相关事项 </w:t>
      </w:r>
      <w:r>
        <w:rPr>
          <w:spacing w:val="-2"/>
        </w:rPr>
        <w:t>的议案》。公司根据限制性股票激励计划及相关规定，对预留限制性股票数量进行调整如下：预留限制性股票授予总量由原</w:t>
      </w:r>
      <w:r>
        <w:rPr>
          <w:spacing w:val="-64"/>
        </w:rPr>
        <w:t> </w:t>
      </w:r>
      <w:r>
        <w:rPr>
          <w:spacing w:val="-64"/>
        </w:rPr>
      </w:r>
      <w:r>
        <w:rPr>
          <w:rFonts w:ascii="Times New Roman" w:hAnsi="Times New Roman" w:cs="Times New Roman" w:eastAsia="Times New Roman" w:hint="default"/>
          <w:spacing w:val="-1"/>
        </w:rPr>
        <w:t>434,560</w:t>
      </w:r>
      <w:r>
        <w:rPr>
          <w:spacing w:val="-1"/>
        </w:rPr>
        <w:t>股调整为</w:t>
      </w:r>
      <w:r>
        <w:rPr>
          <w:rFonts w:ascii="Times New Roman" w:hAnsi="Times New Roman" w:cs="Times New Roman" w:eastAsia="Times New Roman" w:hint="default"/>
          <w:spacing w:val="-1"/>
        </w:rPr>
        <w:t>869,120</w:t>
      </w:r>
      <w:r>
        <w:rPr>
          <w:spacing w:val="-1"/>
        </w:rPr>
        <w:t>股。并确定</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日为授予日，授予</w:t>
      </w:r>
      <w:r>
        <w:rPr>
          <w:rFonts w:ascii="Times New Roman" w:hAnsi="Times New Roman" w:cs="Times New Roman" w:eastAsia="Times New Roman" w:hint="default"/>
          <w:spacing w:val="-1"/>
        </w:rPr>
        <w:t>87</w:t>
      </w:r>
      <w:r>
        <w:rPr>
          <w:spacing w:val="-1"/>
        </w:rPr>
        <w:t>名激励对象</w:t>
      </w:r>
      <w:r>
        <w:rPr>
          <w:rFonts w:ascii="Times New Roman" w:hAnsi="Times New Roman" w:cs="Times New Roman" w:eastAsia="Times New Roman" w:hint="default"/>
          <w:spacing w:val="-1"/>
        </w:rPr>
        <w:t>86.9</w:t>
      </w:r>
      <w:r>
        <w:rPr>
          <w:spacing w:val="-1"/>
        </w:rPr>
        <w:t>万股限制性股票。授予价格依据董事会</w:t>
      </w:r>
      <w:r>
        <w:rPr>
          <w:spacing w:val="-78"/>
        </w:rPr>
        <w:t> </w:t>
      </w:r>
      <w:r>
        <w:rPr>
          <w:spacing w:val="-78"/>
        </w:rPr>
      </w:r>
      <w:r>
        <w:rPr/>
        <w:t>决议公告日前</w:t>
      </w:r>
      <w:r>
        <w:rPr>
          <w:rFonts w:ascii="Times New Roman" w:hAnsi="Times New Roman" w:cs="Times New Roman" w:eastAsia="Times New Roman" w:hint="default"/>
        </w:rPr>
        <w:t>20 </w:t>
      </w:r>
      <w:r>
        <w:rPr/>
        <w:t>个交易日公司股票交易均价（前</w:t>
      </w:r>
      <w:r>
        <w:rPr>
          <w:rFonts w:ascii="Times New Roman" w:hAnsi="Times New Roman" w:cs="Times New Roman" w:eastAsia="Times New Roman" w:hint="default"/>
        </w:rPr>
        <w:t>20 </w:t>
      </w:r>
      <w:r>
        <w:rPr/>
        <w:t>个交易日股票交易总额</w:t>
      </w:r>
      <w:r>
        <w:rPr>
          <w:rFonts w:ascii="Times New Roman" w:hAnsi="Times New Roman" w:cs="Times New Roman" w:eastAsia="Times New Roman" w:hint="default"/>
        </w:rPr>
        <w:t>/</w:t>
      </w:r>
      <w:r>
        <w:rPr/>
        <w:t>前</w:t>
      </w:r>
      <w:r>
        <w:rPr>
          <w:rFonts w:ascii="Times New Roman" w:hAnsi="Times New Roman" w:cs="Times New Roman" w:eastAsia="Times New Roman" w:hint="default"/>
        </w:rPr>
        <w:t>20 </w:t>
      </w:r>
      <w:r>
        <w:rPr/>
        <w:t>个交易日股票交易总量）</w:t>
      </w:r>
      <w:r>
        <w:rPr>
          <w:rFonts w:ascii="Times New Roman" w:hAnsi="Times New Roman" w:cs="Times New Roman" w:eastAsia="Times New Roman" w:hint="default"/>
        </w:rPr>
        <w:t>50.95</w:t>
      </w:r>
      <w:r>
        <w:rPr>
          <w:rFonts w:ascii="Times New Roman" w:hAnsi="Times New Roman" w:cs="Times New Roman" w:eastAsia="Times New Roman" w:hint="default"/>
          <w:spacing w:val="17"/>
        </w:rPr>
        <w:t> </w:t>
      </w:r>
      <w:r>
        <w:rPr/>
        <w:t>元的</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确定，为每股</w:t>
      </w:r>
      <w:r>
        <w:rPr>
          <w:rFonts w:ascii="Times New Roman" w:hAnsi="Times New Roman" w:cs="Times New Roman" w:eastAsia="Times New Roman" w:hint="default"/>
        </w:rPr>
        <w:t>25.48</w:t>
      </w:r>
      <w:r>
        <w:rPr>
          <w:rFonts w:ascii="Times New Roman" w:hAnsi="Times New Roman" w:cs="Times New Roman" w:eastAsia="Times New Roman" w:hint="default"/>
          <w:spacing w:val="26"/>
        </w:rPr>
        <w:t> </w:t>
      </w:r>
      <w:r>
        <w:rPr/>
        <w:t>元。公司独立董事对此发表了独立意见。</w:t>
      </w:r>
    </w:p>
    <w:p>
      <w:pPr>
        <w:pStyle w:val="BodyText"/>
        <w:spacing w:line="300" w:lineRule="auto" w:before="9"/>
        <w:ind w:left="153" w:right="150" w:firstLine="35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日，公司第二届董事会第二十四次会议和第二届监事会第十七次会议审议通过了《关于调整限制性股票激励</w:t>
      </w:r>
      <w:r>
        <w:rPr/>
        <w:t> 计划相关事项的议案》。公司独立董事对此发表了独立意见。由于原激励对象中</w:t>
      </w:r>
      <w:r>
        <w:rPr>
          <w:rFonts w:ascii="Times New Roman" w:hAnsi="Times New Roman" w:cs="Times New Roman" w:eastAsia="Times New Roman" w:hint="default"/>
        </w:rPr>
        <w:t>5</w:t>
      </w:r>
      <w:r>
        <w:rPr/>
        <w:t>人因个人原因自愿放弃认购公司拟向其授 </w:t>
      </w:r>
      <w:r>
        <w:rPr>
          <w:spacing w:val="-2"/>
        </w:rPr>
        <w:t>予的全部预留限制性股票；</w:t>
      </w:r>
      <w:r>
        <w:rPr>
          <w:rFonts w:ascii="Times New Roman" w:hAnsi="Times New Roman" w:cs="Times New Roman" w:eastAsia="Times New Roman" w:hint="default"/>
          <w:spacing w:val="-2"/>
        </w:rPr>
        <w:t>11</w:t>
      </w:r>
      <w:r>
        <w:rPr>
          <w:spacing w:val="-2"/>
        </w:rPr>
        <w:t>人因个人原因放弃公司拟向其授予的部分预留限制性股票，上述人员本次放弃认购预留限制性</w:t>
      </w:r>
      <w:r>
        <w:rPr>
          <w:spacing w:val="-63"/>
        </w:rPr>
        <w:t> </w:t>
      </w:r>
      <w:r>
        <w:rPr>
          <w:spacing w:val="-63"/>
        </w:rPr>
      </w:r>
      <w:r>
        <w:rPr>
          <w:spacing w:val="-1"/>
        </w:rPr>
        <w:t>股票共计</w:t>
      </w:r>
      <w:r>
        <w:rPr>
          <w:rFonts w:ascii="Times New Roman" w:hAnsi="Times New Roman" w:cs="Times New Roman" w:eastAsia="Times New Roman" w:hint="default"/>
          <w:spacing w:val="-1"/>
        </w:rPr>
        <w:t>165,335</w:t>
      </w:r>
      <w:r>
        <w:rPr>
          <w:spacing w:val="-1"/>
        </w:rPr>
        <w:t>股。公司根据实际情况，将本次激励计划拟授予的预留限制性股票总量由</w:t>
      </w:r>
      <w:r>
        <w:rPr>
          <w:rFonts w:ascii="Times New Roman" w:hAnsi="Times New Roman" w:cs="Times New Roman" w:eastAsia="Times New Roman" w:hint="default"/>
          <w:spacing w:val="-1"/>
        </w:rPr>
        <w:t>869,120</w:t>
      </w:r>
      <w:r>
        <w:rPr>
          <w:spacing w:val="-1"/>
        </w:rPr>
        <w:t>股调整为</w:t>
      </w:r>
      <w:r>
        <w:rPr>
          <w:rFonts w:ascii="Times New Roman" w:hAnsi="Times New Roman" w:cs="Times New Roman" w:eastAsia="Times New Roman" w:hint="default"/>
          <w:spacing w:val="-1"/>
        </w:rPr>
        <w:t>703,785</w:t>
      </w:r>
      <w:r>
        <w:rPr>
          <w:spacing w:val="-1"/>
        </w:rPr>
        <w:t>股。激励</w:t>
      </w:r>
      <w:r>
        <w:rPr>
          <w:spacing w:val="-71"/>
        </w:rPr>
        <w:t> </w:t>
      </w:r>
      <w:r>
        <w:rPr>
          <w:spacing w:val="-71"/>
        </w:rPr>
      </w:r>
      <w:r>
        <w:rPr/>
        <w:t>对象拟授予人数由</w:t>
      </w:r>
      <w:r>
        <w:rPr>
          <w:rFonts w:ascii="Times New Roman" w:hAnsi="Times New Roman" w:cs="Times New Roman" w:eastAsia="Times New Roman" w:hint="default"/>
        </w:rPr>
        <w:t>87</w:t>
      </w:r>
      <w:r>
        <w:rPr/>
        <w:t>名调整为</w:t>
      </w:r>
      <w:r>
        <w:rPr>
          <w:rFonts w:ascii="Times New Roman" w:hAnsi="Times New Roman" w:cs="Times New Roman" w:eastAsia="Times New Roman" w:hint="default"/>
        </w:rPr>
        <w:t>82</w:t>
      </w:r>
      <w:r>
        <w:rPr/>
        <w:t>名。</w:t>
      </w:r>
    </w:p>
    <w:p>
      <w:pPr>
        <w:pStyle w:val="BodyText"/>
        <w:spacing w:line="240" w:lineRule="auto" w:before="13"/>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日，公司完成了上述股权激励计划的预留限制性股票登记手续，股票上市日为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w:t>
      </w:r>
    </w:p>
    <w:p>
      <w:pPr>
        <w:pStyle w:val="BodyText"/>
        <w:spacing w:line="300" w:lineRule="auto" w:before="62"/>
        <w:ind w:left="153" w:right="14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日，公司召开了第二届董事会第二十七次会议，同意将向</w:t>
      </w:r>
      <w:r>
        <w:rPr>
          <w:rFonts w:ascii="Times New Roman" w:hAnsi="Times New Roman" w:cs="Times New Roman" w:eastAsia="Times New Roman" w:hint="default"/>
        </w:rPr>
        <w:t>64</w:t>
      </w:r>
      <w:r>
        <w:rPr/>
        <w:t>名激励对象首次授予的</w:t>
      </w:r>
      <w:r>
        <w:rPr>
          <w:rFonts w:ascii="Times New Roman" w:hAnsi="Times New Roman" w:cs="Times New Roman" w:eastAsia="Times New Roman" w:hint="default"/>
        </w:rPr>
        <w:t>1,974,929</w:t>
      </w:r>
      <w:r>
        <w:rPr/>
        <w:t>股限制性股票 解锁并上市流通；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日，公司完成前述限制性股票的流通手续。 上述内容详见公司在中国证监会指定信息披露网站巨潮资讯网（</w:t>
      </w:r>
      <w:hyperlink r:id="rId12">
        <w:r>
          <w:rPr>
            <w:rFonts w:ascii="Times New Roman" w:hAnsi="Times New Roman" w:cs="Times New Roman" w:eastAsia="Times New Roman" w:hint="default"/>
          </w:rPr>
          <w:t>http://www.cninfo.com.cn</w:t>
        </w:r>
      </w:hyperlink>
      <w:r>
        <w:rPr/>
        <w:t>）发布的公告。</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公司报告期不存在需要说明的其他重大事项。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304"/>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304"/>
        <w:jc w:val="left"/>
        <w:rPr>
          <w:b w:val="0"/>
          <w:bCs w:val="0"/>
        </w:rPr>
      </w:pPr>
      <w:bookmarkStart w:name="一、股份变动情况" w:id="100"/>
      <w:bookmarkEnd w:id="10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04"/>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13"/>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004"/>
        <w:gridCol w:w="850"/>
        <w:gridCol w:w="991"/>
        <w:gridCol w:w="427"/>
        <w:gridCol w:w="991"/>
        <w:gridCol w:w="991"/>
        <w:gridCol w:w="994"/>
        <w:gridCol w:w="1133"/>
        <w:gridCol w:w="768"/>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185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4"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79" w:type="dxa"/>
            <w:vMerge w:val="restart"/>
            <w:tcBorders>
              <w:top w:val="nil" w:sz="6" w:space="0" w:color="auto"/>
              <w:left w:val="single" w:sz="4" w:space="0" w:color="000000"/>
              <w:right w:val="single" w:sz="4" w:space="0" w:color="000000"/>
            </w:tcBorders>
            <w:shd w:val="clear" w:color="auto" w:fill="D4D4D4"/>
          </w:tcPr>
          <w:p>
            <w:pPr/>
          </w:p>
        </w:tc>
        <w:tc>
          <w:tcPr>
            <w:tcW w:w="1854" w:type="dxa"/>
            <w:gridSpan w:val="2"/>
            <w:vMerge/>
            <w:tcBorders>
              <w:left w:val="single" w:sz="4" w:space="0" w:color="000000"/>
              <w:bottom w:val="single" w:sz="4" w:space="0" w:color="000000"/>
              <w:right w:val="single" w:sz="4" w:space="0" w:color="000000"/>
            </w:tcBorders>
            <w:shd w:val="clear" w:color="auto" w:fill="D4D4D4"/>
          </w:tcPr>
          <w:p>
            <w:pPr/>
          </w:p>
        </w:tc>
        <w:tc>
          <w:tcPr>
            <w:tcW w:w="4394" w:type="dxa"/>
            <w:gridSpan w:val="5"/>
            <w:vMerge/>
            <w:tcBorders>
              <w:left w:val="single" w:sz="4" w:space="0" w:color="000000"/>
              <w:bottom w:val="single" w:sz="4" w:space="0" w:color="000000"/>
              <w:right w:val="single" w:sz="4" w:space="0" w:color="000000"/>
            </w:tcBorders>
            <w:shd w:val="clear" w:color="auto" w:fill="D4D4D4"/>
          </w:tcPr>
          <w:p>
            <w:pPr/>
          </w:p>
        </w:tc>
        <w:tc>
          <w:tcPr>
            <w:tcW w:w="1901"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1679" w:type="dxa"/>
            <w:vMerge/>
            <w:tcBorders>
              <w:left w:val="single" w:sz="4" w:space="0" w:color="000000"/>
              <w:bottom w:val="nil" w:sz="6" w:space="0" w:color="auto"/>
              <w:right w:val="single" w:sz="4" w:space="0" w:color="000000"/>
            </w:tcBorders>
            <w:shd w:val="clear" w:color="auto" w:fill="D4D4D4"/>
          </w:tcPr>
          <w:p>
            <w:pPr/>
          </w:p>
        </w:tc>
        <w:tc>
          <w:tcPr>
            <w:tcW w:w="100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1004"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427"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7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78,491,549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65,431,888</w:t>
            </w: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50,489,949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-29,220,744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86,701,093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165,192,642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55.26%</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78,371,549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65,431,888</w:t>
            </w: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50,369,949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-29,148,744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86,653,093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165,024,642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55.20%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11,280,000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18,366,555</w:t>
            </w: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-11,280,000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7,086,555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18,366,555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67,091,549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47,065,333</w:t>
            </w: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50,369,949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-17,868,744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79,566,538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146,658,087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49.06%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0.10%</w:t>
            </w:r>
          </w:p>
        </w:tc>
        <w:tc>
          <w:tcPr>
            <w:tcW w:w="99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0.10%</w:t>
            </w:r>
          </w:p>
        </w:tc>
        <w:tc>
          <w:tcPr>
            <w:tcW w:w="99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32.57%</w:t>
            </w:r>
          </w:p>
        </w:tc>
        <w:tc>
          <w:tcPr>
            <w:tcW w:w="99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65,921,600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29,924,529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95,846,129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133,766,129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44.74%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32.57%</w:t>
            </w:r>
          </w:p>
        </w:tc>
        <w:tc>
          <w:tcPr>
            <w:tcW w:w="99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65,921,600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29,924,529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95,846,129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133,766,129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44.74%</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116,411,549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65,431,888</w:t>
            </w:r>
          </w:p>
        </w:tc>
        <w:tc>
          <w:tcPr>
            <w:tcW w:w="42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116,411,549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703,785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182,547,222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298,958,771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304"/>
        <w:jc w:val="left"/>
      </w:pPr>
      <w:r>
        <w:rPr/>
        <w:t>股份变动的原因</w:t>
      </w:r>
    </w:p>
    <w:p>
      <w:pPr>
        <w:pStyle w:val="BodyText"/>
        <w:spacing w:line="240" w:lineRule="auto" w:before="115"/>
        <w:ind w:right="3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30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日，公司首次公开发行前已发行股份合计</w:t>
      </w:r>
      <w:r>
        <w:rPr>
          <w:rFonts w:ascii="Times New Roman" w:hAnsi="Times New Roman" w:cs="Times New Roman" w:eastAsia="Times New Roman" w:hint="default"/>
        </w:rPr>
        <w:t>75,200,000</w:t>
      </w:r>
      <w:r>
        <w:rPr/>
        <w:t>股解除限售，其中实际可上市流通为</w:t>
      </w:r>
      <w:r>
        <w:rPr>
          <w:rFonts w:ascii="Times New Roman" w:hAnsi="Times New Roman" w:cs="Times New Roman" w:eastAsia="Times New Roman" w:hint="default"/>
        </w:rPr>
        <w:t>28,001,600</w:t>
      </w:r>
      <w:r>
        <w:rPr/>
        <w:t>股。</w:t>
      </w:r>
    </w:p>
    <w:p>
      <w:pPr>
        <w:pStyle w:val="BodyText"/>
        <w:spacing w:line="307" w:lineRule="auto" w:before="62"/>
        <w:ind w:left="153" w:right="304" w:hanging="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日，公司实施了</w:t>
      </w:r>
      <w:r>
        <w:rPr>
          <w:rFonts w:ascii="Times New Roman" w:hAnsi="Times New Roman" w:cs="Times New Roman" w:eastAsia="Times New Roman" w:hint="default"/>
        </w:rPr>
        <w:t>2014</w:t>
      </w:r>
      <w:r>
        <w:rPr/>
        <w:t>年年度权益分派方案：以截至</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日公司总股本</w:t>
      </w:r>
      <w:r>
        <w:rPr>
          <w:rFonts w:ascii="Times New Roman" w:hAnsi="Times New Roman" w:cs="Times New Roman" w:eastAsia="Times New Roman" w:hint="default"/>
        </w:rPr>
        <w:t>116,411,549</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股派</w:t>
      </w:r>
      <w:r>
        <w:rPr>
          <w:rFonts w:ascii="Times New Roman" w:hAnsi="Times New Roman" w:cs="Times New Roman" w:eastAsia="Times New Roman" w:hint="default"/>
          <w:spacing w:val="-4"/>
        </w:rPr>
        <w:t>0.55</w:t>
      </w:r>
      <w:r>
        <w:rPr>
          <w:spacing w:val="-4"/>
        </w:rPr>
        <w:t>元人民币现金（含税）；同时，以资本公积金向全体股东每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10</w:t>
      </w:r>
      <w:r>
        <w:rPr>
          <w:spacing w:val="-4"/>
        </w:rPr>
        <w:t>股，总股本由</w:t>
      </w:r>
      <w:r>
        <w:rPr>
          <w:rFonts w:ascii="Times New Roman" w:hAnsi="Times New Roman" w:cs="Times New Roman" w:eastAsia="Times New Roman" w:hint="default"/>
          <w:spacing w:val="-4"/>
        </w:rPr>
        <w:t>116,411,549</w:t>
      </w:r>
      <w:r>
        <w:rPr>
          <w:spacing w:val="-4"/>
        </w:rPr>
        <w:t>股变更为</w:t>
      </w:r>
      <w:r>
        <w:rPr>
          <w:rFonts w:ascii="Times New Roman" w:hAnsi="Times New Roman" w:cs="Times New Roman" w:eastAsia="Times New Roman" w:hint="default"/>
          <w:spacing w:val="-4"/>
        </w:rPr>
        <w:t>232,823,098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日，公司召开了第二届董事会第二十二次会议，通过了向</w:t>
      </w:r>
      <w:r>
        <w:rPr>
          <w:rFonts w:ascii="Times New Roman" w:hAnsi="Times New Roman" w:cs="Times New Roman" w:eastAsia="Times New Roman" w:hint="default"/>
        </w:rPr>
        <w:t>87</w:t>
      </w:r>
      <w:r>
        <w:rPr/>
        <w:t>名激励对象授予</w:t>
      </w:r>
      <w:r>
        <w:rPr>
          <w:rFonts w:ascii="Times New Roman" w:hAnsi="Times New Roman" w:cs="Times New Roman" w:eastAsia="Times New Roman" w:hint="default"/>
        </w:rPr>
        <w:t>896,120</w:t>
      </w:r>
      <w:r>
        <w:rPr/>
        <w:t>股限制性股票的议案；</w:t>
      </w:r>
    </w:p>
    <w:p>
      <w:pPr>
        <w:pStyle w:val="BodyText"/>
        <w:spacing w:line="300" w:lineRule="auto" w:before="7"/>
        <w:ind w:left="153" w:right="311" w:hanging="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日，公司召开了第二届董事会第二十四次会议，调整了预留限制性股票授予方案，向</w:t>
      </w:r>
      <w:r>
        <w:rPr>
          <w:rFonts w:ascii="Times New Roman" w:hAnsi="Times New Roman" w:cs="Times New Roman" w:eastAsia="Times New Roman" w:hint="default"/>
        </w:rPr>
        <w:t>82</w:t>
      </w:r>
      <w:r>
        <w:rPr/>
        <w:t>名激励对象授予</w:t>
      </w:r>
      <w:r>
        <w:rPr>
          <w:rFonts w:ascii="Times New Roman" w:hAnsi="Times New Roman" w:cs="Times New Roman" w:eastAsia="Times New Roman" w:hint="default"/>
        </w:rPr>
        <w:t>703,785 </w:t>
      </w:r>
      <w:r>
        <w:rPr>
          <w:spacing w:val="-2"/>
        </w:rPr>
        <w:t>股限制性股票。限制性股票授予日为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日，上市日为</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日。登记完成后，公司的总股本由</w:t>
      </w:r>
      <w:r>
        <w:rPr>
          <w:rFonts w:ascii="Times New Roman" w:hAnsi="Times New Roman" w:cs="Times New Roman" w:eastAsia="Times New Roman" w:hint="default"/>
          <w:spacing w:val="-2"/>
        </w:rPr>
        <w:t>232,823,098</w:t>
      </w:r>
      <w:r>
        <w:rPr>
          <w:spacing w:val="-2"/>
        </w:rPr>
        <w:t>股变更为</w:t>
      </w:r>
      <w:r>
        <w:rPr>
          <w:spacing w:val="-54"/>
        </w:rPr>
        <w:t> </w:t>
      </w:r>
      <w:r>
        <w:rPr>
          <w:spacing w:val="-54"/>
        </w:rPr>
      </w:r>
      <w:r>
        <w:rPr>
          <w:rFonts w:ascii="Times New Roman" w:hAnsi="Times New Roman" w:cs="Times New Roman" w:eastAsia="Times New Roman" w:hint="default"/>
        </w:rPr>
        <w:t>233,526,883</w:t>
      </w:r>
      <w:r>
        <w:rPr/>
        <w:t>股。</w:t>
      </w:r>
    </w:p>
    <w:p>
      <w:pPr>
        <w:pStyle w:val="BodyText"/>
        <w:spacing w:line="300" w:lineRule="auto" w:before="13"/>
        <w:ind w:left="154" w:right="303" w:hanging="1"/>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日，公司完成了发行股份购买资产并募集配套资金的新增股份发行登记工作，发行股份</w:t>
      </w:r>
      <w:r>
        <w:rPr>
          <w:rFonts w:ascii="Times New Roman" w:hAnsi="Times New Roman" w:cs="Times New Roman" w:eastAsia="Times New Roman" w:hint="default"/>
        </w:rPr>
        <w:t>65,431,888</w:t>
      </w:r>
      <w:r>
        <w:rPr/>
        <w:t>股，上市 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日。登记完成后，公司的总股本由</w:t>
      </w:r>
      <w:r>
        <w:rPr>
          <w:rFonts w:ascii="Times New Roman" w:hAnsi="Times New Roman" w:cs="Times New Roman" w:eastAsia="Times New Roman" w:hint="default"/>
        </w:rPr>
        <w:t>233,526,883</w:t>
      </w:r>
      <w:r>
        <w:rPr/>
        <w:t>股变更为</w:t>
      </w:r>
      <w:r>
        <w:rPr>
          <w:rFonts w:ascii="Times New Roman" w:hAnsi="Times New Roman" w:cs="Times New Roman" w:eastAsia="Times New Roman" w:hint="default"/>
        </w:rPr>
        <w:t>298,958,771</w:t>
      </w:r>
      <w:r>
        <w:rPr/>
        <w:t>股。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日，公司召开了第二届董事会第二十七次会议，同意将向</w:t>
      </w:r>
      <w:r>
        <w:rPr>
          <w:rFonts w:ascii="Times New Roman" w:hAnsi="Times New Roman" w:cs="Times New Roman" w:eastAsia="Times New Roman" w:hint="default"/>
          <w:spacing w:val="-2"/>
        </w:rPr>
        <w:t>64</w:t>
      </w:r>
      <w:r>
        <w:rPr>
          <w:spacing w:val="-2"/>
        </w:rPr>
        <w:t>名激励对象首次授予的</w:t>
      </w:r>
      <w:r>
        <w:rPr>
          <w:rFonts w:ascii="Times New Roman" w:hAnsi="Times New Roman" w:cs="Times New Roman" w:eastAsia="Times New Roman" w:hint="default"/>
          <w:spacing w:val="-2"/>
        </w:rPr>
        <w:t>1,974,929</w:t>
      </w:r>
      <w:r>
        <w:rPr>
          <w:spacing w:val="-2"/>
        </w:rPr>
        <w:t>股限制性股票解</w:t>
      </w:r>
      <w:r>
        <w:rPr>
          <w:spacing w:val="-56"/>
        </w:rPr>
        <w:t> </w:t>
      </w:r>
      <w:r>
        <w:rPr>
          <w:spacing w:val="-56"/>
        </w:rPr>
      </w:r>
      <w:r>
        <w:rPr/>
        <w:t>锁并上市流通；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日，公司完成前述限制性股票的流通手续。</w:t>
      </w:r>
    </w:p>
    <w:p>
      <w:pPr>
        <w:pStyle w:val="BodyText"/>
        <w:spacing w:line="240" w:lineRule="auto" w:before="53"/>
        <w:ind w:left="154" w:right="304"/>
        <w:jc w:val="left"/>
      </w:pPr>
      <w:r>
        <w:rPr/>
        <w:t>股份变动的批准情况</w:t>
      </w:r>
    </w:p>
    <w:p>
      <w:pPr>
        <w:pStyle w:val="BodyText"/>
        <w:spacing w:line="319" w:lineRule="auto" w:before="115"/>
        <w:ind w:left="154" w:right="304" w:hanging="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年度权益分派。</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日，公司第二届董事会第十九次会议通过了公司</w:t>
      </w:r>
      <w:r>
        <w:rPr>
          <w:rFonts w:ascii="Times New Roman" w:hAnsi="Times New Roman" w:cs="Times New Roman" w:eastAsia="Times New Roman" w:hint="default"/>
          <w:spacing w:val="-2"/>
        </w:rPr>
        <w:t>2014</w:t>
      </w:r>
      <w:r>
        <w:rPr>
          <w:spacing w:val="-2"/>
        </w:rPr>
        <w:t>年度利润分配预案：以截至当时公</w:t>
      </w:r>
      <w:r>
        <w:rPr>
          <w:spacing w:val="-58"/>
        </w:rPr>
        <w:t> </w:t>
      </w:r>
      <w:r>
        <w:rPr>
          <w:spacing w:val="-58"/>
        </w:rPr>
      </w:r>
      <w:r>
        <w:rPr>
          <w:spacing w:val="-1"/>
        </w:rPr>
        <w:t>司现有总股本</w:t>
      </w:r>
      <w:r>
        <w:rPr>
          <w:rFonts w:ascii="Times New Roman" w:hAnsi="Times New Roman" w:cs="Times New Roman" w:eastAsia="Times New Roman" w:hint="default"/>
          <w:spacing w:val="-1"/>
        </w:rPr>
        <w:t>116,411,549</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0.55</w:t>
      </w:r>
      <w:r>
        <w:rPr>
          <w:spacing w:val="-1"/>
        </w:rPr>
        <w:t>元人民币现金（含税）；同时，以资本公积金向全体股东每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46" w:lineRule="exact"/>
        <w:ind w:left="154" w:right="304"/>
        <w:jc w:val="left"/>
      </w:pP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年度股东大会，通过了上述年度利润分配方案。</w:t>
      </w:r>
    </w:p>
    <w:p>
      <w:pPr>
        <w:pStyle w:val="BodyText"/>
        <w:spacing w:line="240" w:lineRule="auto" w:before="62"/>
        <w:ind w:left="154" w:right="30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、预留限制性股票授予。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日，公司召开了第二届董事会第二十二次会议，通过了向</w:t>
      </w:r>
      <w:r>
        <w:rPr>
          <w:rFonts w:ascii="Times New Roman" w:hAnsi="Times New Roman" w:cs="Times New Roman" w:eastAsia="Times New Roman" w:hint="default"/>
        </w:rPr>
        <w:t>87</w:t>
      </w:r>
      <w:r>
        <w:rPr/>
        <w:t>名激励对象授予</w:t>
      </w:r>
      <w:r>
        <w:rPr>
          <w:rFonts w:ascii="Times New Roman" w:hAnsi="Times New Roman" w:cs="Times New Roman" w:eastAsia="Times New Roman" w:hint="default"/>
        </w:rPr>
        <w:t>896,120</w:t>
      </w:r>
    </w:p>
    <w:p>
      <w:pPr>
        <w:spacing w:after="0" w:line="240" w:lineRule="auto"/>
        <w:jc w:val="left"/>
        <w:rPr>
          <w:rFonts w:ascii="Times New Roman" w:hAnsi="Times New Roman" w:cs="Times New Roman" w:eastAsia="Times New Roman" w:hint="default"/>
        </w:rPr>
        <w:sectPr>
          <w:pgSz w:w="11910" w:h="16840"/>
          <w:pgMar w:header="745" w:footer="982" w:top="1060" w:bottom="1180" w:left="980" w:right="82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323" w:hanging="1"/>
        <w:jc w:val="left"/>
      </w:pPr>
      <w:r>
        <w:rPr/>
        <w:t>股限制性股票的议案；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日，公司召开了第二届董事会第二十四次会议，调整了预留限制性股票授予方案，向</w:t>
      </w:r>
      <w:r>
        <w:rPr>
          <w:rFonts w:ascii="Times New Roman" w:hAnsi="Times New Roman" w:cs="Times New Roman" w:eastAsia="Times New Roman" w:hint="default"/>
        </w:rPr>
        <w:t>82</w:t>
      </w:r>
      <w:r>
        <w:rPr>
          <w:rFonts w:ascii="Times New Roman" w:hAnsi="Times New Roman" w:cs="Times New Roman" w:eastAsia="Times New Roman" w:hint="default"/>
          <w:spacing w:val="1"/>
        </w:rPr>
        <w:t> </w:t>
      </w:r>
      <w:r>
        <w:rPr/>
        <w:t>名激励对象授予</w:t>
      </w:r>
      <w:r>
        <w:rPr>
          <w:rFonts w:ascii="Times New Roman" w:hAnsi="Times New Roman" w:cs="Times New Roman" w:eastAsia="Times New Roman" w:hint="default"/>
        </w:rPr>
        <w:t>703,785</w:t>
      </w:r>
      <w:r>
        <w:rPr/>
        <w:t>股限制性股票。 </w:t>
      </w:r>
      <w:r>
        <w:rPr>
          <w:rFonts w:ascii="Times New Roman" w:hAnsi="Times New Roman" w:cs="Times New Roman" w:eastAsia="Times New Roman" w:hint="default"/>
          <w:spacing w:val="-2"/>
        </w:rPr>
        <w:t>3</w:t>
      </w:r>
      <w:r>
        <w:rPr>
          <w:spacing w:val="-2"/>
        </w:rPr>
        <w:t>、发行股份购买资产并募集配套资金。</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日，公司召开了第二届董事会第十二次会议，通过了公司重大资产重组</w:t>
      </w:r>
      <w:r>
        <w:rPr>
          <w:spacing w:val="-62"/>
        </w:rPr>
        <w:t> </w:t>
      </w:r>
      <w:r>
        <w:rPr>
          <w:spacing w:val="-62"/>
        </w:rPr>
      </w:r>
      <w:r>
        <w:rPr/>
        <w:t>方案。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日，公司召开了</w:t>
      </w:r>
      <w:r>
        <w:rPr>
          <w:rFonts w:ascii="Times New Roman" w:hAnsi="Times New Roman" w:cs="Times New Roman" w:eastAsia="Times New Roman" w:hint="default"/>
        </w:rPr>
        <w:t>2014</w:t>
      </w:r>
      <w:r>
        <w:rPr/>
        <w:t>年第二次临时股东大会，通过了上述方案，并授权董事会办理相关事宜。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 </w:t>
      </w:r>
      <w:r>
        <w:rPr>
          <w:spacing w:val="-1"/>
        </w:rPr>
        <w:t>月</w:t>
      </w:r>
      <w:r>
        <w:rPr>
          <w:rFonts w:ascii="Times New Roman" w:hAnsi="Times New Roman" w:cs="Times New Roman" w:eastAsia="Times New Roman" w:hint="default"/>
          <w:spacing w:val="-1"/>
        </w:rPr>
        <w:t>10</w:t>
      </w:r>
      <w:r>
        <w:rPr>
          <w:spacing w:val="-1"/>
        </w:rPr>
        <w:t>日，中国证监会下发了证监许可</w:t>
      </w:r>
      <w:r>
        <w:rPr>
          <w:rFonts w:ascii="Times New Roman" w:hAnsi="Times New Roman" w:cs="Times New Roman" w:eastAsia="Times New Roman" w:hint="default"/>
          <w:spacing w:val="-1"/>
        </w:rPr>
        <w:t>[2015]1913</w:t>
      </w:r>
      <w:r>
        <w:rPr>
          <w:spacing w:val="-1"/>
        </w:rPr>
        <w:t>号《关于核准任子行网络技术股份有限公司向丁伟国等发行股份购买资产并</w:t>
      </w:r>
      <w:r>
        <w:rPr>
          <w:spacing w:val="-59"/>
        </w:rPr>
        <w:t> </w:t>
      </w:r>
      <w:r>
        <w:rPr>
          <w:spacing w:val="-59"/>
        </w:rPr>
      </w:r>
      <w:r>
        <w:rPr/>
        <w:t>募集配套资金的批复》，核准公司向丁伟国等发行</w:t>
      </w:r>
      <w:r>
        <w:rPr>
          <w:rFonts w:ascii="Times New Roman" w:hAnsi="Times New Roman" w:cs="Times New Roman" w:eastAsia="Times New Roman" w:hint="default"/>
        </w:rPr>
        <w:t>43,189,366</w:t>
      </w:r>
      <w:r>
        <w:rPr/>
        <w:t>股股份购买相关资产，核准公司非公开发行不超过</w:t>
      </w:r>
      <w:r>
        <w:rPr>
          <w:rFonts w:ascii="Times New Roman" w:hAnsi="Times New Roman" w:cs="Times New Roman" w:eastAsia="Times New Roman" w:hint="default"/>
        </w:rPr>
        <w:t>22,242,522</w:t>
      </w:r>
      <w:r>
        <w:rPr>
          <w:rFonts w:ascii="Times New Roman" w:hAnsi="Times New Roman" w:cs="Times New Roman" w:eastAsia="Times New Roman" w:hint="default"/>
          <w:spacing w:val="1"/>
        </w:rPr>
        <w:t> </w:t>
      </w:r>
      <w:r>
        <w:rPr/>
        <w:t>股新股募集本次发行股份购买资产的配套资金。</w:t>
      </w:r>
    </w:p>
    <w:p>
      <w:pPr>
        <w:pStyle w:val="BodyText"/>
        <w:spacing w:line="240" w:lineRule="auto" w:before="72"/>
        <w:ind w:right="323"/>
        <w:jc w:val="left"/>
      </w:pPr>
      <w:r>
        <w:rPr/>
        <w:t>股份变动的过户情况</w:t>
      </w:r>
    </w:p>
    <w:p>
      <w:pPr>
        <w:pStyle w:val="BodyText"/>
        <w:spacing w:line="240" w:lineRule="auto" w:before="115"/>
        <w:ind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53" w:right="3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日，公司办理了首次公开发行前已发行股份的解除限售手续。</w:t>
      </w:r>
    </w:p>
    <w:p>
      <w:pPr>
        <w:pStyle w:val="BodyText"/>
        <w:spacing w:line="300" w:lineRule="auto" w:before="62"/>
        <w:ind w:left="153" w:right="369" w:hanging="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日，公司实施了</w:t>
      </w:r>
      <w:r>
        <w:rPr>
          <w:rFonts w:ascii="Times New Roman" w:hAnsi="Times New Roman" w:cs="Times New Roman" w:eastAsia="Times New Roman" w:hint="default"/>
        </w:rPr>
        <w:t>2014</w:t>
      </w:r>
      <w:r>
        <w:rPr/>
        <w:t>年年度权益分派方案，向全体股东每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0.55</w:t>
      </w:r>
      <w:r>
        <w:rPr/>
        <w:t>元人民币现金（含税）；同时，以资本 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日，公司办理了预留限制性股票登记手续，向</w:t>
      </w:r>
      <w:r>
        <w:rPr>
          <w:rFonts w:ascii="Times New Roman" w:hAnsi="Times New Roman" w:cs="Times New Roman" w:eastAsia="Times New Roman" w:hint="default"/>
        </w:rPr>
        <w:t>82</w:t>
      </w:r>
      <w:r>
        <w:rPr/>
        <w:t>名激励对象授予了</w:t>
      </w:r>
      <w:r>
        <w:rPr>
          <w:rFonts w:ascii="Times New Roman" w:hAnsi="Times New Roman" w:cs="Times New Roman" w:eastAsia="Times New Roman" w:hint="default"/>
        </w:rPr>
        <w:t>703,785</w:t>
      </w:r>
      <w:r>
        <w:rPr/>
        <w:t>股限制性股票。</w:t>
      </w:r>
    </w:p>
    <w:p>
      <w:pPr>
        <w:pStyle w:val="BodyText"/>
        <w:spacing w:line="300" w:lineRule="auto" w:before="13"/>
        <w:ind w:left="153" w:right="32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日，公司完成了发行股份购买资产并募集配套资金的新增股份发行登记工作。向丁伟国等发行</w:t>
      </w:r>
      <w:r>
        <w:rPr>
          <w:rFonts w:ascii="Times New Roman" w:hAnsi="Times New Roman" w:cs="Times New Roman" w:eastAsia="Times New Roman" w:hint="default"/>
        </w:rPr>
        <w:t>43,189,366</w:t>
      </w:r>
      <w:r>
        <w:rPr/>
        <w:t>股 股份购买相关资产，向</w:t>
      </w:r>
      <w:r>
        <w:rPr>
          <w:rFonts w:ascii="Times New Roman" w:hAnsi="Times New Roman" w:cs="Times New Roman" w:eastAsia="Times New Roman" w:hint="default"/>
        </w:rPr>
        <w:t>5</w:t>
      </w:r>
      <w:r>
        <w:rPr/>
        <w:t>名认购对象非公开发行不超过</w:t>
      </w:r>
      <w:r>
        <w:rPr>
          <w:rFonts w:ascii="Times New Roman" w:hAnsi="Times New Roman" w:cs="Times New Roman" w:eastAsia="Times New Roman" w:hint="default"/>
        </w:rPr>
        <w:t>22,242,522</w:t>
      </w:r>
      <w:r>
        <w:rPr/>
        <w:t>股新股募集本次发行股份购买资产的配套资金。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日，公司办理了首次授予的第一个解锁期的限制性股票解锁并上市流通的手续，实际可上市流通数量为</w:t>
      </w:r>
    </w:p>
    <w:p>
      <w:pPr>
        <w:pStyle w:val="BodyText"/>
        <w:spacing w:line="240" w:lineRule="auto" w:before="13"/>
        <w:ind w:left="153" w:right="323"/>
        <w:jc w:val="left"/>
      </w:pPr>
      <w:r>
        <w:rPr>
          <w:rFonts w:ascii="Times New Roman" w:hAnsi="Times New Roman" w:cs="Times New Roman" w:eastAsia="Times New Roman" w:hint="default"/>
        </w:rPr>
        <w:t>1,974,929</w:t>
      </w:r>
      <w:r>
        <w:rPr/>
        <w:t>股。</w:t>
      </w:r>
    </w:p>
    <w:p>
      <w:pPr>
        <w:pStyle w:val="BodyText"/>
        <w:spacing w:line="240" w:lineRule="auto" w:before="103"/>
        <w:ind w:left="153" w:right="323"/>
        <w:jc w:val="left"/>
      </w:pPr>
      <w:r>
        <w:rPr/>
        <w:t>股份变动对最近一年和最近一期基本每股收益和稀释每股收益、归属于公司普通股股东的每股净资产等财务指标的影响</w:t>
      </w:r>
    </w:p>
    <w:p>
      <w:pPr>
        <w:pStyle w:val="BodyText"/>
        <w:spacing w:line="240" w:lineRule="auto" w:before="115"/>
        <w:ind w:left="153"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0" w:right="110"/>
        <w:jc w:val="right"/>
      </w:pPr>
      <w:r>
        <w:rPr/>
        <w:pict>
          <v:shape style="position:absolute;margin-left:56.279999pt;margin-top:-19.248272pt;width:490.1pt;height:148.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
                    <w:gridCol w:w="998"/>
                    <w:gridCol w:w="1176"/>
                    <w:gridCol w:w="1411"/>
                    <w:gridCol w:w="1411"/>
                    <w:gridCol w:w="2237"/>
                    <w:gridCol w:w="2268"/>
                  </w:tblGrid>
                  <w:tr>
                    <w:trPr>
                      <w:trHeight w:val="739" w:hRule="exact"/>
                    </w:trPr>
                    <w:tc>
                      <w:tcPr>
                        <w:tcW w:w="2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3" w:right="38"/>
                          <w:jc w:val="left"/>
                          <w:rPr>
                            <w:rFonts w:ascii="宋体" w:hAnsi="宋体" w:cs="宋体" w:eastAsia="宋体" w:hint="default"/>
                            <w:sz w:val="18"/>
                            <w:szCs w:val="18"/>
                          </w:rPr>
                        </w:pPr>
                        <w:r>
                          <w:rPr>
                            <w:rFonts w:ascii="宋体" w:hAnsi="宋体" w:cs="宋体" w:eastAsia="宋体" w:hint="default"/>
                            <w:sz w:val="18"/>
                            <w:szCs w:val="18"/>
                          </w:rPr>
                          <w:t>序 号</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00" w:right="41" w:hanging="360"/>
                          <w:jc w:val="left"/>
                          <w:rPr>
                            <w:rFonts w:ascii="宋体" w:hAnsi="宋体" w:cs="宋体" w:eastAsia="宋体" w:hint="default"/>
                            <w:sz w:val="18"/>
                            <w:szCs w:val="18"/>
                          </w:rPr>
                        </w:pPr>
                        <w:r>
                          <w:rPr>
                            <w:rFonts w:ascii="宋体" w:hAnsi="宋体" w:cs="宋体" w:eastAsia="宋体" w:hint="default"/>
                            <w:sz w:val="18"/>
                            <w:szCs w:val="18"/>
                          </w:rPr>
                          <w:t>股份变动原 因</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变动后总股本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7" w:firstLine="64"/>
                          <w:jc w:val="left"/>
                          <w:rPr>
                            <w:rFonts w:ascii="宋体" w:hAnsi="宋体" w:cs="宋体" w:eastAsia="宋体" w:hint="default"/>
                            <w:sz w:val="18"/>
                            <w:szCs w:val="18"/>
                          </w:rPr>
                        </w:pPr>
                        <w:r>
                          <w:rPr>
                            <w:rFonts w:ascii="宋体" w:hAnsi="宋体" w:cs="宋体" w:eastAsia="宋体" w:hint="default"/>
                            <w:sz w:val="18"/>
                            <w:szCs w:val="18"/>
                          </w:rPr>
                          <w:t>股份变动前基本 </w:t>
                        </w:r>
                        <w:r>
                          <w:rPr>
                            <w:rFonts w:ascii="宋体" w:hAnsi="宋体" w:cs="宋体" w:eastAsia="宋体" w:hint="default"/>
                            <w:spacing w:val="-9"/>
                            <w:sz w:val="18"/>
                            <w:szCs w:val="18"/>
                          </w:rPr>
                          <w:t>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7" w:firstLine="64"/>
                          <w:jc w:val="left"/>
                          <w:rPr>
                            <w:rFonts w:ascii="宋体" w:hAnsi="宋体" w:cs="宋体" w:eastAsia="宋体" w:hint="default"/>
                            <w:sz w:val="18"/>
                            <w:szCs w:val="18"/>
                          </w:rPr>
                        </w:pPr>
                        <w:r>
                          <w:rPr>
                            <w:rFonts w:ascii="宋体" w:hAnsi="宋体" w:cs="宋体" w:eastAsia="宋体" w:hint="default"/>
                            <w:sz w:val="18"/>
                            <w:szCs w:val="18"/>
                          </w:rPr>
                          <w:t>股份变动后基本 </w:t>
                        </w:r>
                        <w:r>
                          <w:rPr>
                            <w:rFonts w:ascii="宋体" w:hAnsi="宋体" w:cs="宋体" w:eastAsia="宋体" w:hint="default"/>
                            <w:spacing w:val="-9"/>
                            <w:sz w:val="18"/>
                            <w:szCs w:val="18"/>
                          </w:rPr>
                          <w:t>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0" w:firstLine="28"/>
                          <w:jc w:val="left"/>
                          <w:rPr>
                            <w:rFonts w:ascii="宋体" w:hAnsi="宋体" w:cs="宋体" w:eastAsia="宋体" w:hint="default"/>
                            <w:sz w:val="18"/>
                            <w:szCs w:val="18"/>
                          </w:rPr>
                        </w:pPr>
                        <w:r>
                          <w:rPr>
                            <w:rFonts w:ascii="宋体" w:hAnsi="宋体" w:cs="宋体" w:eastAsia="宋体" w:hint="default"/>
                            <w:sz w:val="18"/>
                            <w:szCs w:val="18"/>
                          </w:rPr>
                          <w:t>股份变动前归属于公司普通 </w:t>
                        </w:r>
                        <w:r>
                          <w:rPr>
                            <w:rFonts w:ascii="宋体" w:hAnsi="宋体" w:cs="宋体" w:eastAsia="宋体" w:hint="default"/>
                            <w:spacing w:val="-11"/>
                            <w:sz w:val="18"/>
                            <w:szCs w:val="18"/>
                          </w:rPr>
                          <w:t>股股东的每股净资产（元</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股）</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43" w:firstLine="43"/>
                          <w:jc w:val="left"/>
                          <w:rPr>
                            <w:rFonts w:ascii="宋体" w:hAnsi="宋体" w:cs="宋体" w:eastAsia="宋体" w:hint="default"/>
                            <w:sz w:val="18"/>
                            <w:szCs w:val="18"/>
                          </w:rPr>
                        </w:pPr>
                        <w:r>
                          <w:rPr>
                            <w:rFonts w:ascii="宋体" w:hAnsi="宋体" w:cs="宋体" w:eastAsia="宋体" w:hint="default"/>
                            <w:sz w:val="18"/>
                            <w:szCs w:val="18"/>
                          </w:rPr>
                          <w:t>股份变动后归属于公司普通 </w:t>
                        </w:r>
                        <w:r>
                          <w:rPr>
                            <w:rFonts w:ascii="宋体" w:hAnsi="宋体" w:cs="宋体" w:eastAsia="宋体" w:hint="default"/>
                            <w:spacing w:val="-5"/>
                            <w:sz w:val="18"/>
                            <w:szCs w:val="18"/>
                          </w:rPr>
                          <w:t>股股东的每股净资产（元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p>
                    </w:tc>
                  </w:tr>
                  <w:tr>
                    <w:trPr>
                      <w:trHeight w:val="739" w:hRule="exact"/>
                    </w:trPr>
                    <w:tc>
                      <w:tcPr>
                        <w:tcW w:w="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129" w:right="38" w:hanging="8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年股东 权益分派</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232,823,098</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40"/>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1.96</w:t>
                        </w:r>
                      </w:p>
                    </w:tc>
                  </w:tr>
                  <w:tr>
                    <w:trPr>
                      <w:trHeight w:val="739" w:hRule="exact"/>
                    </w:trPr>
                    <w:tc>
                      <w:tcPr>
                        <w:tcW w:w="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29" w:right="41" w:hanging="89"/>
                          <w:jc w:val="left"/>
                          <w:rPr>
                            <w:rFonts w:ascii="宋体" w:hAnsi="宋体" w:cs="宋体" w:eastAsia="宋体" w:hint="default"/>
                            <w:sz w:val="18"/>
                            <w:szCs w:val="18"/>
                          </w:rPr>
                        </w:pPr>
                        <w:r>
                          <w:rPr>
                            <w:rFonts w:ascii="宋体" w:hAnsi="宋体" w:cs="宋体" w:eastAsia="宋体" w:hint="default"/>
                            <w:sz w:val="18"/>
                            <w:szCs w:val="18"/>
                          </w:rPr>
                          <w:t>预留限制性 股票授予</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233,526,883</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40"/>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1.95</w:t>
                        </w:r>
                      </w:p>
                    </w:tc>
                  </w:tr>
                  <w:tr>
                    <w:trPr>
                      <w:trHeight w:val="739" w:hRule="exact"/>
                    </w:trPr>
                    <w:tc>
                      <w:tcPr>
                        <w:tcW w:w="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00" w:right="41" w:hanging="360"/>
                          <w:jc w:val="left"/>
                          <w:rPr>
                            <w:rFonts w:ascii="宋体" w:hAnsi="宋体" w:cs="宋体" w:eastAsia="宋体" w:hint="default"/>
                            <w:sz w:val="18"/>
                            <w:szCs w:val="18"/>
                          </w:rPr>
                        </w:pPr>
                        <w:r>
                          <w:rPr>
                            <w:rFonts w:ascii="宋体" w:hAnsi="宋体" w:cs="宋体" w:eastAsia="宋体" w:hint="default"/>
                            <w:sz w:val="18"/>
                            <w:szCs w:val="18"/>
                          </w:rPr>
                          <w:t>重大资产重 组</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298,958,771</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40"/>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1.53</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right="323"/>
        <w:jc w:val="left"/>
      </w:pPr>
      <w:r>
        <w:rPr/>
        <w:t>公司认为必要或证券监管机构要求披露的其他内容</w:t>
      </w:r>
    </w:p>
    <w:p>
      <w:pPr>
        <w:pStyle w:val="BodyText"/>
        <w:spacing w:line="240" w:lineRule="auto" w:before="115"/>
        <w:ind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323"/>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33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284"/>
        <w:gridCol w:w="1277"/>
        <w:gridCol w:w="1274"/>
        <w:gridCol w:w="1418"/>
        <w:gridCol w:w="1488"/>
      </w:tblGrid>
      <w:tr>
        <w:trPr>
          <w:trHeight w:val="715"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8" w:right="95"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3"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60,460,800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60,460,800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90,691,200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90,691,200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0"/>
                <w:sz w:val="18"/>
                <w:szCs w:val="18"/>
              </w:rPr>
              <w:t>首发前限售，高管</w:t>
            </w:r>
            <w:r>
              <w:rPr>
                <w:rFonts w:ascii="宋体" w:hAnsi="宋体" w:cs="宋体" w:eastAsia="宋体" w:hint="default"/>
                <w:sz w:val="18"/>
                <w:szCs w:val="18"/>
              </w:rPr>
              <w:t> 锁定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新余市华信远景 投资咨询有限公 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11,280,000</w:t>
            </w:r>
            <w:r>
              <w:rPr>
                <w:rFonts w:ascii="Times New Roman"/>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11,280,000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284"/>
        <w:gridCol w:w="1277"/>
        <w:gridCol w:w="1274"/>
        <w:gridCol w:w="1418"/>
        <w:gridCol w:w="1488"/>
      </w:tblGrid>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17,707,641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17,707,641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16,843,853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16,843,853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深圳市华信行投 </w:t>
            </w:r>
            <w:r>
              <w:rPr>
                <w:rFonts w:ascii="宋体" w:hAnsi="宋体" w:cs="宋体" w:eastAsia="宋体" w:hint="default"/>
                <w:spacing w:val="-3"/>
                <w:sz w:val="18"/>
                <w:szCs w:val="18"/>
              </w:rPr>
              <w:t>资合伙企业（有限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16,151,716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16,151,716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4,318,936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4,318,936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4,318,936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北京龙象之本投 资管理有限公司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2,214,839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2,214,839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1,128,000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1,692,000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5,622,749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5,747,133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9,038,682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0"/>
                <w:sz w:val="18"/>
                <w:szCs w:val="18"/>
              </w:rPr>
              <w:t>首发前限售，首发</w:t>
            </w:r>
            <w:r>
              <w:rPr>
                <w:rFonts w:ascii="宋体" w:hAnsi="宋体" w:cs="宋体" w:eastAsia="宋体" w:hint="default"/>
                <w:sz w:val="18"/>
                <w:szCs w:val="18"/>
              </w:rPr>
              <w:t> 后限售，股权激 励，高管锁定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78,491,549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161,901,093</w:t>
            </w:r>
          </w:p>
        </w:tc>
        <w:tc>
          <w:tcPr>
            <w:tcW w:w="127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165,192,642</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560"/>
        <w:gridCol w:w="991"/>
        <w:gridCol w:w="1042"/>
        <w:gridCol w:w="1510"/>
        <w:gridCol w:w="1082"/>
        <w:gridCol w:w="1682"/>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6" w:right="35" w:hanging="720"/>
              <w:jc w:val="left"/>
              <w:rPr>
                <w:rFonts w:ascii="宋体" w:hAnsi="宋体" w:cs="宋体" w:eastAsia="宋体" w:hint="default"/>
                <w:sz w:val="18"/>
                <w:szCs w:val="18"/>
              </w:rPr>
            </w:pPr>
            <w:r>
              <w:rPr>
                <w:rFonts w:ascii="宋体" w:hAnsi="宋体" w:cs="宋体" w:eastAsia="宋体" w:hint="default"/>
                <w:sz w:val="18"/>
                <w:szCs w:val="18"/>
              </w:rPr>
              <w:t>股票及其衍生证券名 称</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0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6" w:right="84"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预留限制性股票授予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25.48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703,789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6" w:right="35"/>
              <w:jc w:val="left"/>
              <w:rPr>
                <w:rFonts w:ascii="宋体" w:hAnsi="宋体" w:cs="宋体" w:eastAsia="宋体" w:hint="default"/>
                <w:sz w:val="18"/>
                <w:szCs w:val="18"/>
              </w:rPr>
            </w:pPr>
            <w:r>
              <w:rPr>
                <w:rFonts w:ascii="宋体" w:hAnsi="宋体" w:cs="宋体" w:eastAsia="宋体" w:hint="default"/>
                <w:sz w:val="18"/>
                <w:szCs w:val="18"/>
              </w:rPr>
              <w:t>现金及发行股份购买 资产并募集配套资金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65,431,888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left"/>
      </w:pPr>
      <w:r>
        <w:rPr/>
        <w:t>报告期内证券发行（不含优先股）情况的说明</w:t>
      </w:r>
    </w:p>
    <w:p>
      <w:pPr>
        <w:pStyle w:val="BodyText"/>
        <w:spacing w:line="300" w:lineRule="auto" w:before="115"/>
        <w:ind w:left="153" w:right="143" w:hanging="1"/>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日，公司第二届董事会第二十二次会议，同意公司向激励对象授予限制性股票；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日，公司第二届</w:t>
      </w:r>
      <w:r>
        <w:rPr>
          <w:spacing w:val="-60"/>
        </w:rPr>
        <w:t> </w:t>
      </w:r>
      <w:r>
        <w:rPr>
          <w:spacing w:val="-60"/>
        </w:rPr>
      </w:r>
      <w:r>
        <w:rPr/>
        <w:t>董事会第二十四次会议，调整了预留限制性股票授予方案，向</w:t>
      </w:r>
      <w:r>
        <w:rPr>
          <w:rFonts w:ascii="Times New Roman" w:hAnsi="Times New Roman" w:cs="Times New Roman" w:eastAsia="Times New Roman" w:hint="default"/>
        </w:rPr>
        <w:t>82</w:t>
      </w:r>
      <w:r>
        <w:rPr/>
        <w:t>名激励对象授予</w:t>
      </w:r>
      <w:r>
        <w:rPr>
          <w:rFonts w:ascii="Times New Roman" w:hAnsi="Times New Roman" w:cs="Times New Roman" w:eastAsia="Times New Roman" w:hint="default"/>
        </w:rPr>
        <w:t>703,785</w:t>
      </w:r>
      <w:r>
        <w:rPr/>
        <w:t>股限制性股票。限制性股票授予日 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日，上市日为</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日，公司完成了发行股份购买资产并募集配套资金的新增股份发行登记工作，发行股份</w:t>
      </w:r>
      <w:r>
        <w:rPr>
          <w:rFonts w:ascii="Times New Roman" w:hAnsi="Times New Roman" w:cs="Times New Roman" w:eastAsia="Times New Roman" w:hint="default"/>
        </w:rPr>
        <w:t>65,431,888</w:t>
      </w:r>
      <w:r>
        <w:rPr/>
        <w:t>股，上市 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7" w:lineRule="auto" w:before="44"/>
        <w:ind w:left="153" w:right="144" w:hanging="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日，公司实施了</w:t>
      </w:r>
      <w:r>
        <w:rPr>
          <w:rFonts w:ascii="Times New Roman" w:hAnsi="Times New Roman" w:cs="Times New Roman" w:eastAsia="Times New Roman" w:hint="default"/>
        </w:rPr>
        <w:t>2014</w:t>
      </w:r>
      <w:r>
        <w:rPr/>
        <w:t>年年度权益分派方案：以截至</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日公司总股本</w:t>
      </w:r>
      <w:r>
        <w:rPr>
          <w:rFonts w:ascii="Times New Roman" w:hAnsi="Times New Roman" w:cs="Times New Roman" w:eastAsia="Times New Roman" w:hint="default"/>
        </w:rPr>
        <w:t>116,411,549</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股派</w:t>
      </w:r>
      <w:r>
        <w:rPr>
          <w:rFonts w:ascii="Times New Roman" w:hAnsi="Times New Roman" w:cs="Times New Roman" w:eastAsia="Times New Roman" w:hint="default"/>
          <w:spacing w:val="-4"/>
        </w:rPr>
        <w:t>0.55</w:t>
      </w:r>
      <w:r>
        <w:rPr>
          <w:spacing w:val="-4"/>
        </w:rPr>
        <w:t>元人民币现金（含税）；同时，以资本公积金向全体股东每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10</w:t>
      </w:r>
      <w:r>
        <w:rPr>
          <w:spacing w:val="-4"/>
        </w:rPr>
        <w:t>股，总股本由</w:t>
      </w:r>
      <w:r>
        <w:rPr>
          <w:rFonts w:ascii="Times New Roman" w:hAnsi="Times New Roman" w:cs="Times New Roman" w:eastAsia="Times New Roman" w:hint="default"/>
          <w:spacing w:val="-4"/>
        </w:rPr>
        <w:t>116,411,549</w:t>
      </w:r>
      <w:r>
        <w:rPr>
          <w:spacing w:val="-4"/>
        </w:rPr>
        <w:t>股变更为</w:t>
      </w:r>
      <w:r>
        <w:rPr>
          <w:rFonts w:ascii="Times New Roman" w:hAnsi="Times New Roman" w:cs="Times New Roman" w:eastAsia="Times New Roman" w:hint="default"/>
          <w:spacing w:val="-4"/>
        </w:rPr>
        <w:t>232,823,098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日，公司召开了第二届董事会第二十二次会议，通过了向</w:t>
      </w:r>
      <w:r>
        <w:rPr>
          <w:rFonts w:ascii="Times New Roman" w:hAnsi="Times New Roman" w:cs="Times New Roman" w:eastAsia="Times New Roman" w:hint="default"/>
        </w:rPr>
        <w:t>87</w:t>
      </w:r>
      <w:r>
        <w:rPr/>
        <w:t>名激励对象授予</w:t>
      </w:r>
      <w:r>
        <w:rPr>
          <w:rFonts w:ascii="Times New Roman" w:hAnsi="Times New Roman" w:cs="Times New Roman" w:eastAsia="Times New Roman" w:hint="default"/>
        </w:rPr>
        <w:t>896,120</w:t>
      </w:r>
      <w:r>
        <w:rPr/>
        <w:t>股限制性股票的议案；</w:t>
      </w:r>
    </w:p>
    <w:p>
      <w:pPr>
        <w:pStyle w:val="BodyText"/>
        <w:spacing w:line="300" w:lineRule="auto" w:before="7"/>
        <w:ind w:left="153" w:right="152" w:hanging="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日，公司召开了第二届董事会第二十四次会议，调整了预留限制性股票授予方案，向</w:t>
      </w:r>
      <w:r>
        <w:rPr>
          <w:rFonts w:ascii="Times New Roman" w:hAnsi="Times New Roman" w:cs="Times New Roman" w:eastAsia="Times New Roman" w:hint="default"/>
        </w:rPr>
        <w:t>82</w:t>
      </w:r>
      <w:r>
        <w:rPr/>
        <w:t>名激励对象授予</w:t>
      </w:r>
      <w:r>
        <w:rPr>
          <w:rFonts w:ascii="Times New Roman" w:hAnsi="Times New Roman" w:cs="Times New Roman" w:eastAsia="Times New Roman" w:hint="default"/>
        </w:rPr>
        <w:t>703,785 </w:t>
      </w:r>
      <w:r>
        <w:rPr>
          <w:spacing w:val="-2"/>
        </w:rPr>
        <w:t>股限制性股票。限制性股票授予日为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日，上市日为</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日。登记完成后，公司的总股本由</w:t>
      </w:r>
      <w:r>
        <w:rPr>
          <w:rFonts w:ascii="Times New Roman" w:hAnsi="Times New Roman" w:cs="Times New Roman" w:eastAsia="Times New Roman" w:hint="default"/>
          <w:spacing w:val="-2"/>
        </w:rPr>
        <w:t>232,823,098</w:t>
      </w:r>
      <w:r>
        <w:rPr>
          <w:spacing w:val="-2"/>
        </w:rPr>
        <w:t>股变更为</w:t>
      </w:r>
      <w:r>
        <w:rPr>
          <w:spacing w:val="-54"/>
        </w:rPr>
        <w:t> </w:t>
      </w:r>
      <w:r>
        <w:rPr>
          <w:spacing w:val="-54"/>
        </w:rPr>
      </w:r>
      <w:r>
        <w:rPr>
          <w:rFonts w:ascii="Times New Roman" w:hAnsi="Times New Roman" w:cs="Times New Roman" w:eastAsia="Times New Roman" w:hint="default"/>
        </w:rPr>
        <w:t>233,526,883</w:t>
      </w:r>
      <w:r>
        <w:rPr/>
        <w:t>股。</w:t>
      </w:r>
    </w:p>
    <w:p>
      <w:pPr>
        <w:pStyle w:val="BodyText"/>
        <w:spacing w:line="300" w:lineRule="auto" w:before="13"/>
        <w:ind w:left="153" w:right="144"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日，公司完成了发行股份购买资产并募集配套资金的新增股份发行登记工作，发行股份</w:t>
      </w:r>
      <w:r>
        <w:rPr>
          <w:rFonts w:ascii="Times New Roman" w:hAnsi="Times New Roman" w:cs="Times New Roman" w:eastAsia="Times New Roman" w:hint="default"/>
        </w:rPr>
        <w:t>65,431,888</w:t>
      </w:r>
      <w:r>
        <w:rPr/>
        <w:t>股，上市 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日。登记完成后，公司的总股本由</w:t>
      </w:r>
      <w:r>
        <w:rPr>
          <w:rFonts w:ascii="Times New Roman" w:hAnsi="Times New Roman" w:cs="Times New Roman" w:eastAsia="Times New Roman" w:hint="default"/>
        </w:rPr>
        <w:t>233,526,883</w:t>
      </w:r>
      <w:r>
        <w:rPr/>
        <w:t>股变更为</w:t>
      </w:r>
      <w:r>
        <w:rPr>
          <w:rFonts w:ascii="Times New Roman" w:hAnsi="Times New Roman" w:cs="Times New Roman" w:eastAsia="Times New Roman" w:hint="default"/>
        </w:rPr>
        <w:t>298,958,771</w:t>
      </w:r>
      <w:r>
        <w:rPr/>
        <w:t>股。</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pict>
          <v:shape style="position:absolute;margin-left:449.157013pt;margin-top:68.47171pt;width:85.85pt;height:31.2pt;mso-position-horizontal-relative:page;mso-position-vertical-relative:paragraph;z-index:-847864"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399994pt;margin-top:68.47171pt;width:52.6pt;height:31.2pt;mso-position-horizontal-relative:page;mso-position-vertical-relative:paragraph;z-index:-847840" coordorigin="9648,1369" coordsize="1052,624">
            <v:shape style="position:absolute;left:9648;top:1369;width:1052;height:624" coordorigin="9648,1369" coordsize="1052,624" path="m9648,1993l10699,1993,10699,1369,9648,1369,9648,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838"/>
        <w:gridCol w:w="552"/>
        <w:gridCol w:w="708"/>
        <w:gridCol w:w="178"/>
        <w:gridCol w:w="874"/>
        <w:gridCol w:w="346"/>
        <w:gridCol w:w="588"/>
        <w:gridCol w:w="716"/>
        <w:gridCol w:w="275"/>
        <w:gridCol w:w="811"/>
        <w:gridCol w:w="180"/>
        <w:gridCol w:w="1132"/>
        <w:gridCol w:w="508"/>
        <w:gridCol w:w="560"/>
      </w:tblGrid>
      <w:tr>
        <w:trPr>
          <w:trHeight w:val="161" w:hRule="exact"/>
        </w:trPr>
        <w:tc>
          <w:tcPr>
            <w:tcW w:w="1306" w:type="dxa"/>
            <w:vMerge w:val="restart"/>
            <w:tcBorders>
              <w:top w:val="single" w:sz="4" w:space="0" w:color="000000"/>
              <w:left w:val="single" w:sz="4" w:space="0" w:color="000000"/>
              <w:right w:val="single" w:sz="4" w:space="0" w:color="000000"/>
            </w:tcBorders>
            <w:shd w:val="clear" w:color="auto" w:fill="D4D4D4"/>
          </w:tcPr>
          <w:p>
            <w:pPr/>
          </w:p>
        </w:tc>
        <w:tc>
          <w:tcPr>
            <w:tcW w:w="838" w:type="dxa"/>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27,154</w:t>
            </w:r>
          </w:p>
        </w:tc>
        <w:tc>
          <w:tcPr>
            <w:tcW w:w="1438" w:type="dxa"/>
            <w:gridSpan w:val="3"/>
            <w:vMerge w:val="restart"/>
            <w:tcBorders>
              <w:top w:val="single" w:sz="4" w:space="0" w:color="000000"/>
              <w:left w:val="single" w:sz="4" w:space="0" w:color="000000"/>
              <w:right w:val="single" w:sz="4" w:space="0" w:color="000000"/>
            </w:tcBorders>
            <w:shd w:val="clear" w:color="auto" w:fill="D4D4D4"/>
          </w:tcPr>
          <w:p>
            <w:pPr/>
          </w:p>
        </w:tc>
        <w:tc>
          <w:tcPr>
            <w:tcW w:w="1219"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27,455</w:t>
            </w:r>
          </w:p>
        </w:tc>
        <w:tc>
          <w:tcPr>
            <w:tcW w:w="1304"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086"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vMerge w:val="restart"/>
            <w:tcBorders>
              <w:top w:val="single" w:sz="4" w:space="0" w:color="000000"/>
              <w:left w:val="single" w:sz="12" w:space="0" w:color="D4D4D4"/>
              <w:right w:val="nil" w:sz="6" w:space="0" w:color="auto"/>
            </w:tcBorders>
          </w:tcPr>
          <w:p>
            <w:pPr/>
          </w:p>
        </w:tc>
        <w:tc>
          <w:tcPr>
            <w:tcW w:w="560"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06" w:type="dxa"/>
            <w:vMerge/>
            <w:tcBorders>
              <w:left w:val="single" w:sz="4" w:space="0" w:color="000000"/>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tcBorders>
              <w:left w:val="single" w:sz="4" w:space="0" w:color="000000"/>
              <w:bottom w:val="nil" w:sz="6" w:space="0" w:color="auto"/>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6" w:type="dxa"/>
            <w:vMerge/>
            <w:tcBorders>
              <w:left w:val="single" w:sz="4" w:space="0" w:color="000000"/>
              <w:bottom w:val="nil" w:sz="6" w:space="0" w:color="auto"/>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0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8" w:type="dxa"/>
            <w:vMerge/>
            <w:tcBorders>
              <w:left w:val="single" w:sz="9" w:space="0" w:color="D4D4D4"/>
              <w:right w:val="single" w:sz="10" w:space="0" w:color="D4D4D4"/>
            </w:tcBorders>
          </w:tcPr>
          <w:p>
            <w:pPr/>
          </w:p>
        </w:tc>
        <w:tc>
          <w:tcPr>
            <w:tcW w:w="1438" w:type="dxa"/>
            <w:gridSpan w:val="3"/>
            <w:vMerge/>
            <w:tcBorders>
              <w:left w:val="single" w:sz="4" w:space="0" w:color="000000"/>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06" w:type="dxa"/>
            <w:vMerge w:val="restart"/>
            <w:tcBorders>
              <w:top w:val="nil" w:sz="6" w:space="0" w:color="auto"/>
              <w:left w:val="single" w:sz="4" w:space="0" w:color="000000"/>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tcBorders>
              <w:left w:val="single" w:sz="4" w:space="0" w:color="000000"/>
              <w:bottom w:val="nil" w:sz="6" w:space="0" w:color="auto"/>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6" w:type="dxa"/>
            <w:vMerge/>
            <w:tcBorders>
              <w:left w:val="single" w:sz="4" w:space="0" w:color="000000"/>
              <w:right w:val="single" w:sz="4" w:space="0" w:color="000000"/>
            </w:tcBorders>
            <w:shd w:val="clear" w:color="auto" w:fill="D4D4D4"/>
          </w:tcPr>
          <w:p>
            <w:pPr/>
          </w:p>
        </w:tc>
        <w:tc>
          <w:tcPr>
            <w:tcW w:w="838" w:type="dxa"/>
            <w:vMerge/>
            <w:tcBorders>
              <w:left w:val="single" w:sz="9" w:space="0" w:color="D4D4D4"/>
              <w:right w:val="single" w:sz="10" w:space="0" w:color="D4D4D4"/>
            </w:tcBorders>
          </w:tcPr>
          <w:p>
            <w:pPr/>
          </w:p>
        </w:tc>
        <w:tc>
          <w:tcPr>
            <w:tcW w:w="1438" w:type="dxa"/>
            <w:gridSpan w:val="3"/>
            <w:vMerge w:val="restart"/>
            <w:tcBorders>
              <w:top w:val="nil" w:sz="6" w:space="0" w:color="auto"/>
              <w:left w:val="single" w:sz="4" w:space="0" w:color="000000"/>
              <w:right w:val="single" w:sz="4" w:space="0" w:color="000000"/>
            </w:tcBorders>
            <w:shd w:val="clear" w:color="auto" w:fill="D4D4D4"/>
          </w:tcPr>
          <w:p>
            <w:pPr/>
          </w:p>
        </w:tc>
        <w:tc>
          <w:tcPr>
            <w:tcW w:w="1219" w:type="dxa"/>
            <w:gridSpan w:val="2"/>
            <w:vMerge/>
            <w:tcBorders>
              <w:left w:val="single" w:sz="10" w:space="0" w:color="D4D4D4"/>
              <w:right w:val="single" w:sz="10" w:space="0" w:color="D4D4D4"/>
            </w:tcBorders>
          </w:tcPr>
          <w:p>
            <w:pPr/>
          </w:p>
        </w:tc>
        <w:tc>
          <w:tcPr>
            <w:tcW w:w="1304" w:type="dxa"/>
            <w:gridSpan w:val="2"/>
            <w:vMerge/>
            <w:tcBorders>
              <w:left w:val="single" w:sz="4" w:space="0" w:color="000000"/>
              <w:bottom w:val="nil" w:sz="6" w:space="0" w:color="auto"/>
              <w:right w:val="single" w:sz="4" w:space="0" w:color="000000"/>
            </w:tcBorders>
            <w:shd w:val="clear" w:color="auto" w:fill="D4D4D4"/>
          </w:tcPr>
          <w:p>
            <w:pPr/>
          </w:p>
        </w:tc>
        <w:tc>
          <w:tcPr>
            <w:tcW w:w="1086" w:type="dxa"/>
            <w:gridSpan w:val="2"/>
            <w:vMerge/>
            <w:tcBorders>
              <w:left w:val="single" w:sz="10" w:space="0" w:color="D4D4D4"/>
              <w:right w:val="single" w:sz="13" w:space="0" w:color="D4D4D4"/>
            </w:tcBorders>
          </w:tcPr>
          <w:p>
            <w:pPr/>
          </w:p>
        </w:tc>
        <w:tc>
          <w:tcPr>
            <w:tcW w:w="1312" w:type="dxa"/>
            <w:gridSpan w:val="2"/>
            <w:vMerge/>
            <w:tcBorders>
              <w:left w:val="single" w:sz="4" w:space="0" w:color="000000"/>
              <w:right w:val="single" w:sz="4" w:space="0" w:color="000000"/>
            </w:tcBorders>
            <w:shd w:val="clear" w:color="auto" w:fill="D4D4D4"/>
          </w:tcPr>
          <w:p>
            <w:pPr/>
          </w:p>
        </w:tc>
        <w:tc>
          <w:tcPr>
            <w:tcW w:w="508" w:type="dxa"/>
            <w:vMerge/>
            <w:tcBorders>
              <w:left w:val="single" w:sz="12" w:space="0" w:color="D4D4D4"/>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06" w:type="dxa"/>
            <w:vMerge/>
            <w:tcBorders>
              <w:left w:val="single" w:sz="4" w:space="0" w:color="000000"/>
              <w:bottom w:val="single" w:sz="4" w:space="0" w:color="000000"/>
              <w:right w:val="single" w:sz="4" w:space="0" w:color="000000"/>
            </w:tcBorders>
            <w:shd w:val="clear" w:color="auto" w:fill="D4D4D4"/>
          </w:tcPr>
          <w:p>
            <w:pPr/>
          </w:p>
        </w:tc>
        <w:tc>
          <w:tcPr>
            <w:tcW w:w="838" w:type="dxa"/>
            <w:vMerge/>
            <w:tcBorders>
              <w:left w:val="single" w:sz="9" w:space="0" w:color="D4D4D4"/>
              <w:bottom w:val="single" w:sz="4" w:space="0" w:color="000000"/>
              <w:right w:val="single" w:sz="10" w:space="0" w:color="D4D4D4"/>
            </w:tcBorders>
          </w:tcPr>
          <w:p>
            <w:pPr/>
          </w:p>
        </w:tc>
        <w:tc>
          <w:tcPr>
            <w:tcW w:w="1438" w:type="dxa"/>
            <w:gridSpan w:val="3"/>
            <w:vMerge/>
            <w:tcBorders>
              <w:left w:val="single" w:sz="4" w:space="0" w:color="000000"/>
              <w:bottom w:val="single" w:sz="4" w:space="0" w:color="000000"/>
              <w:right w:val="single" w:sz="4" w:space="0" w:color="000000"/>
            </w:tcBorders>
            <w:shd w:val="clear" w:color="auto" w:fill="D4D4D4"/>
          </w:tcPr>
          <w:p>
            <w:pPr/>
          </w:p>
        </w:tc>
        <w:tc>
          <w:tcPr>
            <w:tcW w:w="1219" w:type="dxa"/>
            <w:gridSpan w:val="2"/>
            <w:vMerge/>
            <w:tcBorders>
              <w:left w:val="single" w:sz="10" w:space="0" w:color="D4D4D4"/>
              <w:bottom w:val="single" w:sz="4" w:space="0" w:color="000000"/>
              <w:right w:val="single" w:sz="10" w:space="0" w:color="D4D4D4"/>
            </w:tcBorders>
          </w:tcPr>
          <w:p>
            <w:pPr/>
          </w:p>
        </w:tc>
        <w:tc>
          <w:tcPr>
            <w:tcW w:w="130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86" w:type="dxa"/>
            <w:gridSpan w:val="2"/>
            <w:vMerge/>
            <w:tcBorders>
              <w:left w:val="single" w:sz="10" w:space="0" w:color="D4D4D4"/>
              <w:bottom w:val="single" w:sz="4" w:space="0" w:color="000000"/>
              <w:right w:val="single" w:sz="13" w:space="0" w:color="D4D4D4"/>
            </w:tcBorders>
          </w:tcPr>
          <w:p>
            <w:pPr/>
          </w:p>
        </w:tc>
        <w:tc>
          <w:tcPr>
            <w:tcW w:w="1312" w:type="dxa"/>
            <w:gridSpan w:val="2"/>
            <w:vMerge/>
            <w:tcBorders>
              <w:left w:val="single" w:sz="4" w:space="0" w:color="000000"/>
              <w:bottom w:val="single" w:sz="4" w:space="0" w:color="000000"/>
              <w:right w:val="single" w:sz="4" w:space="0" w:color="000000"/>
            </w:tcBorders>
            <w:shd w:val="clear" w:color="auto" w:fill="D4D4D4"/>
          </w:tcPr>
          <w:p>
            <w:pPr/>
          </w:p>
        </w:tc>
        <w:tc>
          <w:tcPr>
            <w:tcW w:w="508" w:type="dxa"/>
            <w:vMerge/>
            <w:tcBorders>
              <w:left w:val="single" w:sz="12" w:space="0" w:color="D4D4D4"/>
              <w:bottom w:val="single" w:sz="4" w:space="0" w:color="000000"/>
              <w:right w:val="nil" w:sz="6" w:space="0" w:color="auto"/>
            </w:tcBorders>
          </w:tcPr>
          <w:p>
            <w:pPr/>
          </w:p>
        </w:tc>
        <w:tc>
          <w:tcPr>
            <w:tcW w:w="560"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306" w:type="dxa"/>
            <w:vMerge w:val="restart"/>
            <w:tcBorders>
              <w:top w:val="single" w:sz="4" w:space="0" w:color="000000"/>
              <w:left w:val="single" w:sz="4" w:space="0" w:color="000000"/>
              <w:right w:val="single" w:sz="4" w:space="0" w:color="000000"/>
            </w:tcBorders>
            <w:shd w:val="clear" w:color="auto" w:fill="D4D4D4"/>
          </w:tcPr>
          <w:p>
            <w:pPr/>
          </w:p>
        </w:tc>
        <w:tc>
          <w:tcPr>
            <w:tcW w:w="1390" w:type="dxa"/>
            <w:gridSpan w:val="2"/>
            <w:vMerge w:val="restart"/>
            <w:tcBorders>
              <w:top w:val="single" w:sz="4" w:space="0" w:color="000000"/>
              <w:left w:val="single" w:sz="4" w:space="0" w:color="000000"/>
              <w:right w:val="single" w:sz="4" w:space="0" w:color="FFFFFF"/>
            </w:tcBorders>
            <w:shd w:val="clear" w:color="auto" w:fill="D4D4D4"/>
          </w:tcPr>
          <w:p>
            <w:pPr/>
          </w:p>
        </w:tc>
        <w:tc>
          <w:tcPr>
            <w:tcW w:w="708" w:type="dxa"/>
            <w:tcBorders>
              <w:top w:val="single" w:sz="4" w:space="0" w:color="000000"/>
              <w:left w:val="single" w:sz="4" w:space="0" w:color="FFFFFF"/>
              <w:bottom w:val="nil" w:sz="6" w:space="0" w:color="auto"/>
              <w:right w:val="single" w:sz="4" w:space="0" w:color="000000"/>
            </w:tcBorders>
            <w:shd w:val="clear" w:color="auto" w:fill="D4D4D4"/>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0" w:right="10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0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06" w:type="dxa"/>
            <w:vMerge/>
            <w:tcBorders>
              <w:left w:val="single" w:sz="4" w:space="0" w:color="000000"/>
              <w:bottom w:val="nil" w:sz="6" w:space="0" w:color="auto"/>
              <w:right w:val="single" w:sz="4" w:space="0" w:color="000000"/>
            </w:tcBorders>
            <w:shd w:val="clear" w:color="auto" w:fill="D4D4D4"/>
          </w:tcPr>
          <w:p>
            <w:pPr/>
          </w:p>
        </w:tc>
        <w:tc>
          <w:tcPr>
            <w:tcW w:w="1390" w:type="dxa"/>
            <w:gridSpan w:val="2"/>
            <w:vMerge/>
            <w:tcBorders>
              <w:left w:val="single" w:sz="4" w:space="0" w:color="000000"/>
              <w:bottom w:val="nil" w:sz="6" w:space="0" w:color="auto"/>
              <w:right w:val="single" w:sz="4" w:space="0" w:color="FFFFFF"/>
            </w:tcBorders>
            <w:shd w:val="clear" w:color="auto" w:fill="D4D4D4"/>
          </w:tcPr>
          <w:p>
            <w:pPr/>
          </w:p>
        </w:tc>
        <w:tc>
          <w:tcPr>
            <w:tcW w:w="708" w:type="dxa"/>
            <w:vMerge w:val="restart"/>
            <w:tcBorders>
              <w:top w:val="nil" w:sz="6" w:space="0" w:color="auto"/>
              <w:left w:val="single" w:sz="4" w:space="0" w:color="FFFFFF"/>
              <w:right w:val="single" w:sz="4" w:space="0" w:color="000000"/>
            </w:tcBorders>
            <w:shd w:val="clear" w:color="auto" w:fill="D4D4D4"/>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5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34"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2201" w:type="dxa"/>
            <w:gridSpan w:val="3"/>
            <w:vMerge/>
            <w:tcBorders>
              <w:left w:val="single" w:sz="4" w:space="0" w:color="000000"/>
              <w:right w:val="single" w:sz="4" w:space="0" w:color="000000"/>
            </w:tcBorders>
            <w:shd w:val="clear" w:color="auto" w:fill="D4D4D4"/>
          </w:tcPr>
          <w:p>
            <w:pPr/>
          </w:p>
        </w:tc>
      </w:tr>
      <w:tr>
        <w:trPr>
          <w:trHeight w:val="142" w:hRule="exact"/>
        </w:trPr>
        <w:tc>
          <w:tcPr>
            <w:tcW w:w="130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0" w:type="dxa"/>
            <w:gridSpan w:val="2"/>
            <w:vMerge w:val="restart"/>
            <w:tcBorders>
              <w:top w:val="nil" w:sz="6" w:space="0" w:color="auto"/>
              <w:left w:val="single" w:sz="4" w:space="0" w:color="000000"/>
              <w:right w:val="single" w:sz="4" w:space="0" w:color="FFFFFF"/>
            </w:tcBorders>
            <w:shd w:val="clear" w:color="auto" w:fill="D4D4D4"/>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tcBorders>
              <w:left w:val="single" w:sz="4" w:space="0" w:color="FFFFFF"/>
              <w:right w:val="single" w:sz="4" w:space="0" w:color="000000"/>
            </w:tcBorders>
            <w:shd w:val="clear" w:color="auto" w:fill="D4D4D4"/>
          </w:tcPr>
          <w:p>
            <w:pPr/>
          </w:p>
        </w:tc>
        <w:tc>
          <w:tcPr>
            <w:tcW w:w="1051" w:type="dxa"/>
            <w:gridSpan w:val="2"/>
            <w:vMerge/>
            <w:tcBorders>
              <w:left w:val="single" w:sz="4" w:space="0" w:color="000000"/>
              <w:right w:val="single" w:sz="4" w:space="0" w:color="000000"/>
            </w:tcBorders>
            <w:shd w:val="clear" w:color="auto" w:fill="D4D4D4"/>
          </w:tcPr>
          <w:p>
            <w:pPr/>
          </w:p>
        </w:tc>
        <w:tc>
          <w:tcPr>
            <w:tcW w:w="934"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2201" w:type="dxa"/>
            <w:gridSpan w:val="3"/>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1306" w:type="dxa"/>
            <w:vMerge/>
            <w:tcBorders>
              <w:left w:val="single" w:sz="4" w:space="0" w:color="000000"/>
              <w:bottom w:val="nil" w:sz="6" w:space="0" w:color="auto"/>
              <w:right w:val="single" w:sz="4" w:space="0" w:color="000000"/>
            </w:tcBorders>
            <w:shd w:val="clear" w:color="auto" w:fill="D4D4D4"/>
          </w:tcPr>
          <w:p>
            <w:pPr/>
          </w:p>
        </w:tc>
        <w:tc>
          <w:tcPr>
            <w:tcW w:w="1390" w:type="dxa"/>
            <w:gridSpan w:val="2"/>
            <w:vMerge/>
            <w:tcBorders>
              <w:left w:val="single" w:sz="4" w:space="0" w:color="000000"/>
              <w:bottom w:val="nil" w:sz="6" w:space="0" w:color="auto"/>
              <w:right w:val="single" w:sz="4" w:space="0" w:color="FFFFFF"/>
            </w:tcBorders>
            <w:shd w:val="clear" w:color="auto" w:fill="D4D4D4"/>
          </w:tcPr>
          <w:p>
            <w:pPr/>
          </w:p>
        </w:tc>
        <w:tc>
          <w:tcPr>
            <w:tcW w:w="708" w:type="dxa"/>
            <w:vMerge/>
            <w:tcBorders>
              <w:left w:val="single" w:sz="4" w:space="0" w:color="FFFFFF"/>
              <w:right w:val="single" w:sz="4" w:space="0" w:color="000000"/>
            </w:tcBorders>
            <w:shd w:val="clear" w:color="auto" w:fill="D4D4D4"/>
          </w:tcPr>
          <w:p>
            <w:pPr/>
          </w:p>
        </w:tc>
        <w:tc>
          <w:tcPr>
            <w:tcW w:w="1051" w:type="dxa"/>
            <w:gridSpan w:val="2"/>
            <w:vMerge/>
            <w:tcBorders>
              <w:left w:val="single" w:sz="4" w:space="0" w:color="000000"/>
              <w:right w:val="single" w:sz="4" w:space="0" w:color="000000"/>
            </w:tcBorders>
            <w:shd w:val="clear" w:color="auto" w:fill="D4D4D4"/>
          </w:tcPr>
          <w:p>
            <w:pPr/>
          </w:p>
        </w:tc>
        <w:tc>
          <w:tcPr>
            <w:tcW w:w="934"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113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2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06" w:type="dxa"/>
            <w:vMerge w:val="restart"/>
            <w:tcBorders>
              <w:top w:val="nil" w:sz="6" w:space="0" w:color="auto"/>
              <w:left w:val="single" w:sz="4" w:space="0" w:color="000000"/>
              <w:right w:val="single" w:sz="4" w:space="0" w:color="000000"/>
            </w:tcBorders>
            <w:shd w:val="clear" w:color="auto" w:fill="D4D4D4"/>
          </w:tcPr>
          <w:p>
            <w:pPr/>
          </w:p>
        </w:tc>
        <w:tc>
          <w:tcPr>
            <w:tcW w:w="1390" w:type="dxa"/>
            <w:gridSpan w:val="2"/>
            <w:vMerge w:val="restart"/>
            <w:tcBorders>
              <w:top w:val="nil" w:sz="6" w:space="0" w:color="auto"/>
              <w:left w:val="single" w:sz="4" w:space="0" w:color="000000"/>
              <w:right w:val="single" w:sz="4" w:space="0" w:color="FFFFFF"/>
            </w:tcBorders>
            <w:shd w:val="clear" w:color="auto" w:fill="D4D4D4"/>
          </w:tcPr>
          <w:p>
            <w:pPr/>
          </w:p>
        </w:tc>
        <w:tc>
          <w:tcPr>
            <w:tcW w:w="708" w:type="dxa"/>
            <w:vMerge/>
            <w:tcBorders>
              <w:left w:val="single" w:sz="4" w:space="0" w:color="FFFFFF"/>
              <w:bottom w:val="nil" w:sz="6" w:space="0" w:color="auto"/>
              <w:right w:val="single" w:sz="4" w:space="0" w:color="000000"/>
            </w:tcBorders>
            <w:shd w:val="clear" w:color="auto" w:fill="D4D4D4"/>
          </w:tcPr>
          <w:p>
            <w:pPr/>
          </w:p>
        </w:tc>
        <w:tc>
          <w:tcPr>
            <w:tcW w:w="1051" w:type="dxa"/>
            <w:gridSpan w:val="2"/>
            <w:vMerge/>
            <w:tcBorders>
              <w:left w:val="single" w:sz="4" w:space="0" w:color="000000"/>
              <w:bottom w:val="nil" w:sz="6" w:space="0" w:color="auto"/>
              <w:right w:val="single" w:sz="4" w:space="0" w:color="000000"/>
            </w:tcBorders>
            <w:shd w:val="clear" w:color="auto" w:fill="D4D4D4"/>
          </w:tcPr>
          <w:p>
            <w:pPr/>
          </w:p>
        </w:tc>
        <w:tc>
          <w:tcPr>
            <w:tcW w:w="934"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1132" w:type="dxa"/>
            <w:vMerge/>
            <w:tcBorders>
              <w:left w:val="single" w:sz="4" w:space="0" w:color="000000"/>
              <w:right w:val="single" w:sz="4" w:space="0" w:color="000000"/>
            </w:tcBorders>
            <w:shd w:val="clear" w:color="auto" w:fill="D4D4D4"/>
          </w:tcPr>
          <w:p>
            <w:pPr/>
          </w:p>
        </w:tc>
        <w:tc>
          <w:tcPr>
            <w:tcW w:w="1069" w:type="dxa"/>
            <w:gridSpan w:val="2"/>
            <w:vMerge/>
            <w:tcBorders>
              <w:left w:val="single" w:sz="4" w:space="0" w:color="000000"/>
              <w:right w:val="single" w:sz="4" w:space="0" w:color="000000"/>
            </w:tcBorders>
            <w:shd w:val="clear" w:color="auto" w:fill="D4D4D4"/>
          </w:tcPr>
          <w:p>
            <w:pPr/>
          </w:p>
        </w:tc>
      </w:tr>
      <w:tr>
        <w:trPr>
          <w:trHeight w:val="161" w:hRule="exact"/>
        </w:trPr>
        <w:tc>
          <w:tcPr>
            <w:tcW w:w="1306" w:type="dxa"/>
            <w:vMerge/>
            <w:tcBorders>
              <w:left w:val="single" w:sz="4" w:space="0" w:color="000000"/>
              <w:bottom w:val="single" w:sz="4" w:space="0" w:color="000000"/>
              <w:right w:val="single" w:sz="4" w:space="0" w:color="000000"/>
            </w:tcBorders>
            <w:shd w:val="clear" w:color="auto" w:fill="D4D4D4"/>
          </w:tcPr>
          <w:p>
            <w:pPr/>
          </w:p>
        </w:tc>
        <w:tc>
          <w:tcPr>
            <w:tcW w:w="1390" w:type="dxa"/>
            <w:gridSpan w:val="2"/>
            <w:vMerge/>
            <w:tcBorders>
              <w:left w:val="single" w:sz="4" w:space="0" w:color="000000"/>
              <w:bottom w:val="single" w:sz="4" w:space="0" w:color="000000"/>
              <w:right w:val="single" w:sz="4" w:space="0" w:color="FFFFFF"/>
            </w:tcBorders>
            <w:shd w:val="clear" w:color="auto" w:fill="D4D4D4"/>
          </w:tcPr>
          <w:p>
            <w:pPr/>
          </w:p>
        </w:tc>
        <w:tc>
          <w:tcPr>
            <w:tcW w:w="708" w:type="dxa"/>
            <w:tcBorders>
              <w:top w:val="nil" w:sz="6" w:space="0" w:color="auto"/>
              <w:left w:val="single" w:sz="4" w:space="0" w:color="FFFFFF"/>
              <w:bottom w:val="single" w:sz="4" w:space="0" w:color="000000"/>
              <w:right w:val="single" w:sz="4" w:space="0" w:color="000000"/>
            </w:tcBorders>
            <w:shd w:val="clear" w:color="auto" w:fill="D4D4D4"/>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gridSpan w:val="2"/>
            <w:vMerge/>
            <w:tcBorders>
              <w:left w:val="single" w:sz="4" w:space="0" w:color="000000"/>
              <w:bottom w:val="single" w:sz="4" w:space="0" w:color="000000"/>
              <w:right w:val="single" w:sz="4" w:space="0" w:color="000000"/>
            </w:tcBorders>
            <w:shd w:val="clear" w:color="auto" w:fill="D4D4D4"/>
          </w:tcPr>
          <w:p>
            <w:pPr/>
          </w:p>
        </w:tc>
        <w:tc>
          <w:tcPr>
            <w:tcW w:w="991" w:type="dxa"/>
            <w:gridSpan w:val="2"/>
            <w:vMerge/>
            <w:tcBorders>
              <w:left w:val="single" w:sz="4" w:space="0" w:color="000000"/>
              <w:bottom w:val="single" w:sz="4" w:space="0" w:color="000000"/>
              <w:right w:val="single" w:sz="4" w:space="0" w:color="000000"/>
            </w:tcBorders>
            <w:shd w:val="clear" w:color="auto" w:fill="D4D4D4"/>
          </w:tcPr>
          <w:p>
            <w:pPr/>
          </w:p>
        </w:tc>
        <w:tc>
          <w:tcPr>
            <w:tcW w:w="991" w:type="dxa"/>
            <w:gridSpan w:val="2"/>
            <w:vMerge/>
            <w:tcBorders>
              <w:left w:val="single" w:sz="4" w:space="0" w:color="000000"/>
              <w:bottom w:val="single" w:sz="4" w:space="0" w:color="000000"/>
              <w:right w:val="single" w:sz="4" w:space="0" w:color="000000"/>
            </w:tcBorders>
            <w:shd w:val="clear" w:color="auto" w:fill="D4D4D4"/>
          </w:tcPr>
          <w:p>
            <w:pPr/>
          </w:p>
        </w:tc>
        <w:tc>
          <w:tcPr>
            <w:tcW w:w="1132" w:type="dxa"/>
            <w:vMerge/>
            <w:tcBorders>
              <w:left w:val="single" w:sz="4" w:space="0" w:color="000000"/>
              <w:bottom w:val="single" w:sz="4" w:space="0" w:color="000000"/>
              <w:right w:val="single" w:sz="4" w:space="0" w:color="000000"/>
            </w:tcBorders>
            <w:shd w:val="clear" w:color="auto" w:fill="D4D4D4"/>
          </w:tcPr>
          <w:p>
            <w:pPr/>
          </w:p>
        </w:tc>
        <w:tc>
          <w:tcPr>
            <w:tcW w:w="1069" w:type="dxa"/>
            <w:gridSpan w:val="2"/>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40.45%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120,921,600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60,460,800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90,691,200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30,230,400</w:t>
            </w:r>
          </w:p>
        </w:tc>
        <w:tc>
          <w:tcPr>
            <w:tcW w:w="1132" w:type="dxa"/>
            <w:tcBorders>
              <w:top w:val="single" w:sz="44" w:space="0" w:color="D4D4D4"/>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4" w:space="0" w:color="D4D4D4"/>
              <w:left w:val="single" w:sz="4" w:space="0" w:color="000000"/>
              <w:bottom w:val="single" w:sz="4" w:space="0" w:color="000000"/>
              <w:right w:val="single" w:sz="4" w:space="0" w:color="000000"/>
            </w:tcBorders>
          </w:tcPr>
          <w:p>
            <w:pPr>
              <w:pStyle w:val="TableParagraph"/>
              <w:spacing w:line="240" w:lineRule="auto" w:before="40"/>
              <w:ind w:left="223" w:right="0"/>
              <w:jc w:val="left"/>
              <w:rPr>
                <w:rFonts w:ascii="Times New Roman" w:hAnsi="Times New Roman" w:cs="Times New Roman" w:eastAsia="Times New Roman" w:hint="default"/>
                <w:sz w:val="18"/>
                <w:szCs w:val="18"/>
              </w:rPr>
            </w:pPr>
            <w:r>
              <w:rPr>
                <w:rFonts w:ascii="Times New Roman"/>
                <w:sz w:val="18"/>
              </w:rPr>
              <w:t>60,598,500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新余市华信远 景投资咨询有 限公司</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7.55%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22,560,000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11,280,000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22,560,000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92" w:right="0"/>
              <w:jc w:val="center"/>
              <w:rPr>
                <w:rFonts w:ascii="Times New Roman" w:hAnsi="Times New Roman" w:cs="Times New Roman" w:eastAsia="Times New Roman" w:hint="default"/>
                <w:sz w:val="18"/>
                <w:szCs w:val="18"/>
              </w:rPr>
            </w:pPr>
            <w:r>
              <w:rPr>
                <w:rFonts w:ascii="Times New Roman"/>
                <w:sz w:val="18"/>
              </w:rPr>
              <w:t>5.92%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17,707,641</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17,707,641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17,707,641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14,165,000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92" w:right="0"/>
              <w:jc w:val="center"/>
              <w:rPr>
                <w:rFonts w:ascii="Times New Roman" w:hAnsi="Times New Roman" w:cs="Times New Roman" w:eastAsia="Times New Roman" w:hint="default"/>
                <w:sz w:val="18"/>
                <w:szCs w:val="18"/>
              </w:rPr>
            </w:pPr>
            <w:r>
              <w:rPr>
                <w:rFonts w:ascii="Times New Roman"/>
                <w:sz w:val="18"/>
              </w:rPr>
              <w:t>5.63%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16,843,853</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16,843,853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16,843,853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13,475,000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left"/>
              <w:rPr>
                <w:rFonts w:ascii="宋体" w:hAnsi="宋体" w:cs="宋体" w:eastAsia="宋体" w:hint="default"/>
                <w:sz w:val="18"/>
                <w:szCs w:val="18"/>
              </w:rPr>
            </w:pPr>
            <w:r>
              <w:rPr>
                <w:rFonts w:ascii="宋体" w:hAnsi="宋体" w:cs="宋体" w:eastAsia="宋体" w:hint="default"/>
                <w:sz w:val="18"/>
                <w:szCs w:val="18"/>
              </w:rPr>
              <w:t>深圳市华信行 投资合伙企业</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5.40%</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16,151,716</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16,151,716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16,151,716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92" w:right="0"/>
              <w:jc w:val="center"/>
              <w:rPr>
                <w:rFonts w:ascii="Times New Roman" w:hAnsi="Times New Roman" w:cs="Times New Roman" w:eastAsia="Times New Roman" w:hint="default"/>
                <w:sz w:val="18"/>
                <w:szCs w:val="18"/>
              </w:rPr>
            </w:pPr>
            <w:r>
              <w:rPr>
                <w:rFonts w:ascii="Times New Roman"/>
                <w:sz w:val="18"/>
              </w:rPr>
              <w:t>1.44%</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4,318,936</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4,318,936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4,318,936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3,455,000</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刘泉</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92" w:right="0"/>
              <w:jc w:val="center"/>
              <w:rPr>
                <w:rFonts w:ascii="Times New Roman" w:hAnsi="Times New Roman" w:cs="Times New Roman" w:eastAsia="Times New Roman" w:hint="default"/>
                <w:sz w:val="18"/>
                <w:szCs w:val="18"/>
              </w:rPr>
            </w:pPr>
            <w:r>
              <w:rPr>
                <w:rFonts w:ascii="Times New Roman"/>
                <w:sz w:val="18"/>
              </w:rPr>
              <w:t>1.44%</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4,318,936</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4,318,936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4,318,936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3,455,000</w:t>
            </w:r>
          </w:p>
        </w:tc>
      </w:tr>
      <w:tr>
        <w:trPr>
          <w:trHeight w:val="6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left"/>
              <w:rPr>
                <w:rFonts w:ascii="宋体" w:hAnsi="宋体" w:cs="宋体" w:eastAsia="宋体" w:hint="default"/>
                <w:sz w:val="18"/>
                <w:szCs w:val="18"/>
              </w:rPr>
            </w:pPr>
            <w:r>
              <w:rPr>
                <w:rFonts w:ascii="宋体" w:hAnsi="宋体" w:cs="宋体" w:eastAsia="宋体" w:hint="default"/>
                <w:sz w:val="18"/>
                <w:szCs w:val="18"/>
              </w:rPr>
              <w:t>中央汇金资产 管理有限责任</w:t>
            </w:r>
          </w:p>
        </w:tc>
        <w:tc>
          <w:tcPr>
            <w:tcW w:w="13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0.86%</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2,568,100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2,568,100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2,568,100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6"/>
          <w:szCs w:val="26"/>
        </w:rPr>
      </w:pPr>
    </w:p>
    <w:p>
      <w:pPr>
        <w:pStyle w:val="BodyText"/>
        <w:spacing w:line="240" w:lineRule="auto" w:before="44"/>
        <w:ind w:left="181" w:right="0"/>
        <w:jc w:val="left"/>
      </w:pPr>
      <w:r>
        <w:rPr/>
        <w:t>公司</w:t>
      </w:r>
    </w:p>
    <w:p>
      <w:pPr>
        <w:spacing w:line="240" w:lineRule="auto" w:before="5"/>
        <w:rPr>
          <w:rFonts w:ascii="宋体" w:hAnsi="宋体" w:cs="宋体" w:eastAsia="宋体" w:hint="default"/>
          <w:sz w:val="9"/>
          <w:szCs w:val="9"/>
        </w:rPr>
      </w:pPr>
    </w:p>
    <w:p>
      <w:pPr>
        <w:pStyle w:val="BodyText"/>
        <w:tabs>
          <w:tab w:pos="1458" w:val="left" w:leader="none"/>
          <w:tab w:pos="3063" w:val="left" w:leader="none"/>
          <w:tab w:pos="3860" w:val="left" w:leader="none"/>
          <w:tab w:pos="5785" w:val="left" w:leader="none"/>
          <w:tab w:pos="6911" w:val="left" w:leader="none"/>
        </w:tabs>
        <w:spacing w:line="240" w:lineRule="auto" w:before="44"/>
        <w:ind w:left="181" w:right="0"/>
        <w:jc w:val="left"/>
        <w:rPr>
          <w:rFonts w:ascii="Times New Roman" w:hAnsi="Times New Roman" w:cs="Times New Roman" w:eastAsia="Times New Roman" w:hint="default"/>
        </w:rPr>
      </w:pPr>
      <w:r>
        <w:rPr/>
        <w:t>景晓东</w:t>
        <w:tab/>
        <w:t>境内自然人</w:t>
        <w:tab/>
      </w:r>
      <w:r>
        <w:rPr>
          <w:rFonts w:ascii="Times New Roman" w:hAnsi="Times New Roman" w:cs="Times New Roman" w:eastAsia="Times New Roman" w:hint="default"/>
        </w:rPr>
        <w:t>0.75%</w:t>
        <w:tab/>
      </w:r>
      <w:r>
        <w:rPr>
          <w:rFonts w:ascii="Times New Roman" w:hAnsi="Times New Roman" w:cs="Times New Roman" w:eastAsia="Times New Roman" w:hint="default"/>
          <w:spacing w:val="-1"/>
        </w:rPr>
        <w:t>2,256,000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1"/>
        </w:rPr>
        <w:t>1,128,000</w:t>
        <w:tab/>
        <w:t>1,692,000</w:t>
        <w:tab/>
      </w:r>
      <w:r>
        <w:rPr>
          <w:rFonts w:ascii="Times New Roman" w:hAnsi="Times New Roman" w:cs="Times New Roman" w:eastAsia="Times New Roman" w:hint="default"/>
        </w:rPr>
        <w:t>564,000</w:t>
      </w:r>
    </w:p>
    <w:p>
      <w:pPr>
        <w:spacing w:line="240" w:lineRule="auto" w:before="4"/>
        <w:rPr>
          <w:rFonts w:ascii="Times New Roman" w:hAnsi="Times New Roman" w:cs="Times New Roman" w:eastAsia="Times New Roman" w:hint="default"/>
          <w:sz w:val="9"/>
          <w:szCs w:val="9"/>
        </w:rPr>
      </w:pPr>
    </w:p>
    <w:p>
      <w:pPr>
        <w:pStyle w:val="BodyText"/>
        <w:tabs>
          <w:tab w:pos="1458" w:val="left" w:leader="none"/>
          <w:tab w:pos="3063" w:val="left" w:leader="none"/>
          <w:tab w:pos="3860" w:val="left" w:leader="none"/>
          <w:tab w:pos="5785" w:val="left" w:leader="none"/>
          <w:tab w:pos="7405" w:val="left" w:leader="none"/>
        </w:tabs>
        <w:spacing w:line="240" w:lineRule="auto" w:before="44"/>
        <w:ind w:left="181" w:right="0"/>
        <w:jc w:val="left"/>
        <w:rPr>
          <w:rFonts w:ascii="Times New Roman" w:hAnsi="Times New Roman" w:cs="Times New Roman" w:eastAsia="Times New Roman" w:hint="default"/>
        </w:rPr>
      </w:pPr>
      <w:r>
        <w:rPr/>
        <w:t>杨敏</w:t>
        <w:tab/>
        <w:t>境内自然人</w:t>
        <w:tab/>
      </w:r>
      <w:r>
        <w:rPr>
          <w:rFonts w:ascii="Times New Roman" w:hAnsi="Times New Roman" w:cs="Times New Roman" w:eastAsia="Times New Roman" w:hint="default"/>
        </w:rPr>
        <w:t>0.74%</w:t>
        <w:tab/>
      </w:r>
      <w:r>
        <w:rPr>
          <w:rFonts w:ascii="Times New Roman" w:hAnsi="Times New Roman" w:cs="Times New Roman" w:eastAsia="Times New Roman" w:hint="default"/>
          <w:spacing w:val="-1"/>
        </w:rPr>
        <w:t>2,214,839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1"/>
        </w:rPr>
        <w:t>2,214,839</w:t>
        <w:tab/>
        <w:t>2,214,839</w:t>
        <w:tab/>
      </w:r>
      <w:r>
        <w:rPr>
          <w:rFonts w:ascii="Times New Roman" w:hAnsi="Times New Roman" w:cs="Times New Roman" w:eastAsia="Times New Roman" w:hint="default"/>
        </w:rPr>
        <w:t>0</w:t>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745" w:footer="982" w:top="1060" w:bottom="1180" w:left="980" w:right="980"/>
        </w:sectPr>
      </w:pPr>
    </w:p>
    <w:p>
      <w:pPr>
        <w:pStyle w:val="BodyText"/>
        <w:spacing w:line="316" w:lineRule="auto" w:before="44"/>
        <w:ind w:left="181" w:right="0"/>
        <w:jc w:val="both"/>
      </w:pPr>
      <w:r>
        <w:rPr/>
        <w:t>北京龙象之本 投资管理有限 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762" w:val="left" w:leader="none"/>
          <w:tab w:pos="2559" w:val="left" w:leader="none"/>
          <w:tab w:pos="4483" w:val="left" w:leader="none"/>
          <w:tab w:pos="6103" w:val="left" w:leader="none"/>
          <w:tab w:pos="7673" w:val="left" w:leader="none"/>
        </w:tabs>
        <w:spacing w:line="240" w:lineRule="auto" w:before="121"/>
        <w:ind w:left="156" w:right="0"/>
        <w:jc w:val="left"/>
        <w:rPr>
          <w:rFonts w:ascii="Times New Roman" w:hAnsi="Times New Roman" w:cs="Times New Roman" w:eastAsia="Times New Roman" w:hint="default"/>
        </w:rPr>
      </w:pPr>
      <w:r>
        <w:rPr/>
        <w:t>境内非国有法人</w:t>
        <w:tab/>
      </w:r>
      <w:r>
        <w:rPr>
          <w:rFonts w:ascii="Times New Roman" w:hAnsi="Times New Roman" w:cs="Times New Roman" w:eastAsia="Times New Roman" w:hint="default"/>
        </w:rPr>
        <w:t>0.74%</w:t>
        <w:tab/>
      </w:r>
      <w:r>
        <w:rPr>
          <w:rFonts w:ascii="Times New Roman" w:hAnsi="Times New Roman" w:cs="Times New Roman" w:eastAsia="Times New Roman" w:hint="default"/>
          <w:spacing w:val="-1"/>
        </w:rPr>
        <w:t>2,214,839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1"/>
        </w:rPr>
        <w:t>2,214,839</w:t>
        <w:tab/>
        <w:t>2,214,839</w:t>
        <w:tab/>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质押</w:t>
        <w:tab/>
      </w:r>
      <w:r>
        <w:rPr>
          <w:rFonts w:ascii="Times New Roman" w:hAnsi="Times New Roman" w:cs="Times New Roman" w:eastAsia="Times New Roman" w:hint="default"/>
          <w:spacing w:val="-1"/>
        </w:rPr>
        <w:t>2,200,000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1262" w:space="40"/>
            <w:col w:w="8648"/>
          </w:cols>
        </w:sectPr>
      </w:pPr>
    </w:p>
    <w:p>
      <w:pPr>
        <w:pStyle w:val="BodyText"/>
        <w:spacing w:line="316" w:lineRule="auto" w:before="107"/>
        <w:ind w:left="181" w:right="6525"/>
        <w:jc w:val="left"/>
      </w:pPr>
      <w:r>
        <w:rPr/>
        <w:t>战略投资者或一般法人因配售新 股成为前</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8"/>
        </w:rPr>
        <w:t>名股东的情况（如有）不适用</w:t>
      </w:r>
    </w:p>
    <w:p>
      <w:pPr>
        <w:pStyle w:val="BodyText"/>
        <w:spacing w:line="248" w:lineRule="exact"/>
        <w:ind w:left="181" w:right="0"/>
        <w:jc w:val="left"/>
      </w:pPr>
      <w:r>
        <w:rPr/>
        <w:t>（参见注</w:t>
      </w:r>
      <w:r>
        <w:rPr>
          <w:spacing w:val="-44"/>
        </w:rPr>
        <w:t> </w:t>
      </w:r>
      <w:r>
        <w:rPr>
          <w:rFonts w:ascii="Times New Roman" w:hAnsi="Times New Roman" w:cs="Times New Roman" w:eastAsia="Times New Roman" w:hint="default"/>
        </w:rPr>
        <w:t>4</w:t>
      </w:r>
      <w:r>
        <w:rPr/>
        <w:t>）</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上述股东关联关系或一致行动的 说明</w:t>
      </w:r>
    </w:p>
    <w:p>
      <w:pPr>
        <w:pStyle w:val="BodyText"/>
        <w:spacing w:line="316" w:lineRule="auto" w:before="44"/>
        <w:ind w:left="135" w:right="246"/>
        <w:jc w:val="both"/>
      </w:pPr>
      <w:r>
        <w:rPr>
          <w:spacing w:val="-1"/>
        </w:rPr>
        <w:br w:type="column"/>
      </w:r>
      <w:r>
        <w:rPr>
          <w:spacing w:val="-1"/>
        </w:rPr>
        <w:t>上述股东中，景晓军与景晓东为兄弟关系，景晓军为新余市华信远景投资咨询有限公司</w:t>
      </w:r>
      <w:r>
        <w:rPr>
          <w:spacing w:val="-72"/>
        </w:rPr>
        <w:t> </w:t>
      </w:r>
      <w:r>
        <w:rPr>
          <w:spacing w:val="-72"/>
        </w:rPr>
      </w:r>
      <w:r>
        <w:rPr>
          <w:spacing w:val="-1"/>
        </w:rPr>
        <w:t>控股股东、实际控制人，景晓军及景晓东为深圳市华信行投资合伙企业（有限合伙）的</w:t>
      </w:r>
      <w:r>
        <w:rPr>
          <w:spacing w:val="-72"/>
        </w:rPr>
        <w:t> </w:t>
      </w:r>
      <w:r>
        <w:rPr>
          <w:spacing w:val="-72"/>
        </w:rPr>
      </w:r>
      <w:r>
        <w:rPr>
          <w:spacing w:val="-1"/>
        </w:rPr>
        <w:t>合伙人；除此之外，其余股东不存在或未知是否存在关联关系或属于《上市公司股东持</w:t>
      </w:r>
      <w:r>
        <w:rPr>
          <w:spacing w:val="-74"/>
        </w:rPr>
        <w:t> </w:t>
      </w:r>
      <w:r>
        <w:rPr>
          <w:spacing w:val="-74"/>
        </w:rPr>
      </w:r>
      <w:r>
        <w:rPr/>
        <w:t>股变动信息披露管理办法》规定的一致行动人。</w:t>
      </w:r>
    </w:p>
    <w:p>
      <w:pPr>
        <w:spacing w:after="0" w:line="316" w:lineRule="auto"/>
        <w:jc w:val="both"/>
        <w:sectPr>
          <w:type w:val="continuous"/>
          <w:pgSz w:w="11910" w:h="16840"/>
          <w:pgMar w:top="1060" w:bottom="1180" w:left="980" w:right="980"/>
          <w:cols w:num="2" w:equalWidth="0">
            <w:col w:w="2702" w:space="40"/>
            <w:col w:w="7208"/>
          </w:cols>
        </w:sectPr>
      </w:pPr>
    </w:p>
    <w:p>
      <w:pPr>
        <w:pStyle w:val="BodyText"/>
        <w:spacing w:line="240" w:lineRule="auto" w:before="107"/>
        <w:ind w:left="2539" w:right="2606"/>
        <w:jc w:val="center"/>
      </w:pPr>
      <w:r>
        <w:rPr/>
        <w:t>前</w:t>
      </w:r>
      <w:r>
        <w:rPr>
          <w:spacing w:val="-46"/>
        </w:rPr>
        <w:t> </w:t>
      </w:r>
      <w:r>
        <w:rPr>
          <w:rFonts w:ascii="Times New Roman" w:hAnsi="Times New Roman" w:cs="Times New Roman" w:eastAsia="Times New Roman" w:hint="default"/>
        </w:rPr>
        <w:t>10 </w:t>
      </w:r>
      <w:r>
        <w:rPr/>
        <w:t>名无限售条件股东持股情况</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spacing w:line="240" w:lineRule="auto" w:before="11"/>
        <w:rPr>
          <w:rFonts w:ascii="宋体" w:hAnsi="宋体" w:cs="宋体" w:eastAsia="宋体" w:hint="default"/>
          <w:sz w:val="18"/>
          <w:szCs w:val="18"/>
        </w:rPr>
      </w:pPr>
    </w:p>
    <w:p>
      <w:pPr>
        <w:pStyle w:val="BodyText"/>
        <w:tabs>
          <w:tab w:pos="3584" w:val="left" w:leader="none"/>
        </w:tabs>
        <w:spacing w:line="240" w:lineRule="auto"/>
        <w:ind w:left="1139" w:right="-20"/>
        <w:jc w:val="left"/>
      </w:pPr>
      <w:r>
        <w:rPr/>
        <w:t>股东名称</w:t>
        <w:tab/>
        <w:t>报告期末持有无限售条件股份数量</w:t>
      </w:r>
    </w:p>
    <w:p>
      <w:pPr>
        <w:pStyle w:val="BodyText"/>
        <w:spacing w:line="240" w:lineRule="auto" w:before="44"/>
        <w:ind w:left="474" w:right="0"/>
        <w:jc w:val="center"/>
      </w:pPr>
      <w:r>
        <w:rPr/>
        <w:br w:type="column"/>
      </w:r>
      <w:r>
        <w:rPr/>
        <w:t>股份种类</w:t>
      </w:r>
    </w:p>
    <w:p>
      <w:pPr>
        <w:spacing w:line="240" w:lineRule="auto" w:before="8"/>
        <w:rPr>
          <w:rFonts w:ascii="宋体" w:hAnsi="宋体" w:cs="宋体" w:eastAsia="宋体" w:hint="default"/>
          <w:sz w:val="12"/>
          <w:szCs w:val="12"/>
        </w:rPr>
      </w:pPr>
    </w:p>
    <w:p>
      <w:pPr>
        <w:pStyle w:val="BodyText"/>
        <w:tabs>
          <w:tab w:pos="1823" w:val="left" w:leader="none"/>
        </w:tabs>
        <w:spacing w:line="240" w:lineRule="auto"/>
        <w:ind w:left="291" w:right="0"/>
        <w:jc w:val="center"/>
      </w:pPr>
      <w:r>
        <w:rPr/>
        <w:t>股份种类</w:t>
        <w:tab/>
        <w:t>数量</w:t>
      </w:r>
    </w:p>
    <w:p>
      <w:pPr>
        <w:spacing w:after="0" w:line="240" w:lineRule="auto"/>
        <w:jc w:val="center"/>
        <w:sectPr>
          <w:type w:val="continuous"/>
          <w:pgSz w:w="11910" w:h="16840"/>
          <w:pgMar w:top="1060" w:bottom="1180" w:left="980" w:right="980"/>
          <w:cols w:num="2" w:equalWidth="0">
            <w:col w:w="6285" w:space="40"/>
            <w:col w:w="3625"/>
          </w:cols>
        </w:sectPr>
      </w:pPr>
    </w:p>
    <w:p>
      <w:pPr>
        <w:spacing w:line="240" w:lineRule="auto" w:before="5"/>
        <w:rPr>
          <w:rFonts w:ascii="宋体" w:hAnsi="宋体" w:cs="宋体" w:eastAsia="宋体" w:hint="default"/>
          <w:sz w:val="9"/>
          <w:szCs w:val="9"/>
        </w:rPr>
      </w:pPr>
    </w:p>
    <w:p>
      <w:pPr>
        <w:pStyle w:val="BodyText"/>
        <w:tabs>
          <w:tab w:pos="6183" w:val="left" w:leader="none"/>
          <w:tab w:pos="8883" w:val="left" w:leader="none"/>
        </w:tabs>
        <w:spacing w:line="240" w:lineRule="auto" w:before="44"/>
        <w:ind w:left="181" w:right="0"/>
        <w:jc w:val="left"/>
        <w:rPr>
          <w:rFonts w:ascii="Times New Roman" w:hAnsi="Times New Roman" w:cs="Times New Roman" w:eastAsia="Times New Roman" w:hint="default"/>
        </w:rPr>
      </w:pPr>
      <w:r>
        <w:rPr/>
        <w:t>景晓军</w:t>
        <w:tab/>
      </w:r>
      <w:r>
        <w:rPr>
          <w:rFonts w:ascii="Times New Roman" w:hAnsi="Times New Roman" w:cs="Times New Roman" w:eastAsia="Times New Roman" w:hint="default"/>
        </w:rPr>
        <w:t>30,230,400</w:t>
      </w:r>
      <w:r>
        <w:rPr>
          <w:rFonts w:ascii="Times New Roman" w:hAnsi="Times New Roman" w:cs="Times New Roman" w:eastAsia="Times New Roman" w:hint="default"/>
          <w:spacing w:val="7"/>
        </w:rPr>
        <w:t> </w:t>
      </w:r>
      <w:r>
        <w:rPr/>
        <w:t>人民币普通股</w:t>
        <w:tab/>
      </w:r>
      <w:r>
        <w:rPr>
          <w:rFonts w:ascii="Times New Roman" w:hAnsi="Times New Roman" w:cs="Times New Roman" w:eastAsia="Times New Roman" w:hint="default"/>
        </w:rPr>
        <w:t>30,230,400</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80" w:left="980" w:right="980"/>
        </w:sectPr>
      </w:pPr>
    </w:p>
    <w:p>
      <w:pPr>
        <w:pStyle w:val="BodyText"/>
        <w:spacing w:line="316" w:lineRule="auto" w:before="44"/>
        <w:ind w:left="181" w:right="-20"/>
        <w:jc w:val="left"/>
      </w:pPr>
      <w:r>
        <w:rPr/>
        <w:t>新余市华信远景投资咨询有限公 司</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881" w:val="left" w:leader="none"/>
        </w:tabs>
        <w:spacing w:line="240" w:lineRule="auto"/>
        <w:ind w:left="181" w:right="0"/>
        <w:jc w:val="left"/>
        <w:rPr>
          <w:rFonts w:ascii="Times New Roman" w:hAnsi="Times New Roman" w:cs="Times New Roman" w:eastAsia="Times New Roman" w:hint="default"/>
        </w:rPr>
      </w:pPr>
      <w:r>
        <w:rPr>
          <w:rFonts w:ascii="Times New Roman" w:hAnsi="Times New Roman" w:cs="Times New Roman" w:eastAsia="Times New Roman" w:hint="default"/>
        </w:rPr>
        <w:t>22,560,000</w:t>
      </w:r>
      <w:r>
        <w:rPr>
          <w:rFonts w:ascii="Times New Roman" w:hAnsi="Times New Roman" w:cs="Times New Roman" w:eastAsia="Times New Roman" w:hint="default"/>
          <w:spacing w:val="7"/>
        </w:rPr>
        <w:t> </w:t>
      </w:r>
      <w:r>
        <w:rPr/>
        <w:t>人民币普通股</w:t>
        <w:tab/>
      </w:r>
      <w:r>
        <w:rPr>
          <w:rFonts w:ascii="Times New Roman" w:hAnsi="Times New Roman" w:cs="Times New Roman" w:eastAsia="Times New Roman" w:hint="default"/>
        </w:rPr>
        <w:t>22,560,000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2702" w:space="3300"/>
            <w:col w:w="3948"/>
          </w:cols>
        </w:sectPr>
      </w:pPr>
    </w:p>
    <w:p>
      <w:pPr>
        <w:pStyle w:val="BodyText"/>
        <w:tabs>
          <w:tab w:pos="6275" w:val="left" w:leader="none"/>
          <w:tab w:pos="8975" w:val="left" w:leader="none"/>
        </w:tabs>
        <w:spacing w:line="240" w:lineRule="auto" w:before="110"/>
        <w:ind w:left="181" w:right="0"/>
        <w:jc w:val="left"/>
        <w:rPr>
          <w:rFonts w:ascii="Times New Roman" w:hAnsi="Times New Roman" w:cs="Times New Roman" w:eastAsia="Times New Roman" w:hint="default"/>
        </w:rPr>
      </w:pPr>
      <w:r>
        <w:rPr/>
        <w:t>中央汇金资产管理有限责任公司</w:t>
        <w:tab/>
      </w:r>
      <w:r>
        <w:rPr>
          <w:rFonts w:ascii="Times New Roman" w:hAnsi="Times New Roman" w:cs="Times New Roman" w:eastAsia="Times New Roman" w:hint="default"/>
        </w:rPr>
        <w:t>2,568,100</w:t>
      </w:r>
      <w:r>
        <w:rPr>
          <w:rFonts w:ascii="Times New Roman" w:hAnsi="Times New Roman" w:cs="Times New Roman" w:eastAsia="Times New Roman" w:hint="default"/>
          <w:spacing w:val="6"/>
        </w:rPr>
        <w:t> </w:t>
      </w:r>
      <w:r>
        <w:rPr/>
        <w:t>人民币普通股</w:t>
        <w:tab/>
      </w:r>
      <w:r>
        <w:rPr>
          <w:rFonts w:ascii="Times New Roman" w:hAnsi="Times New Roman" w:cs="Times New Roman" w:eastAsia="Times New Roman" w:hint="default"/>
        </w:rPr>
        <w:t>2,568,100</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80" w:left="980" w:right="980"/>
        </w:sectPr>
      </w:pPr>
    </w:p>
    <w:p>
      <w:pPr>
        <w:pStyle w:val="BodyText"/>
        <w:spacing w:line="316" w:lineRule="auto" w:before="44"/>
        <w:ind w:left="181" w:right="-20"/>
        <w:jc w:val="left"/>
      </w:pPr>
      <w:r>
        <w:rPr/>
        <w:t>中国工商银行股份有限公司－嘉 实事件驱动股票型证券投资基金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881" w:val="left" w:leader="none"/>
        </w:tabs>
        <w:spacing w:line="240" w:lineRule="auto"/>
        <w:ind w:left="181" w:right="0"/>
        <w:jc w:val="left"/>
        <w:rPr>
          <w:rFonts w:ascii="Times New Roman" w:hAnsi="Times New Roman" w:cs="Times New Roman" w:eastAsia="Times New Roman" w:hint="default"/>
        </w:rPr>
      </w:pPr>
      <w:r>
        <w:rPr>
          <w:rFonts w:ascii="Times New Roman" w:hAnsi="Times New Roman" w:cs="Times New Roman" w:eastAsia="Times New Roman" w:hint="default"/>
        </w:rPr>
        <w:t>1,261,517</w:t>
      </w:r>
      <w:r>
        <w:rPr>
          <w:rFonts w:ascii="Times New Roman" w:hAnsi="Times New Roman" w:cs="Times New Roman" w:eastAsia="Times New Roman" w:hint="default"/>
          <w:spacing w:val="6"/>
        </w:rPr>
        <w:t> </w:t>
      </w:r>
      <w:r>
        <w:rPr/>
        <w:t>人民币普通股</w:t>
        <w:tab/>
      </w:r>
      <w:r>
        <w:rPr>
          <w:rFonts w:ascii="Times New Roman" w:hAnsi="Times New Roman" w:cs="Times New Roman" w:eastAsia="Times New Roman" w:hint="default"/>
        </w:rPr>
        <w:t>1,261,517</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2702" w:space="3391"/>
            <w:col w:w="3857"/>
          </w:cols>
        </w:sectPr>
      </w:pPr>
    </w:p>
    <w:p>
      <w:pPr>
        <w:pStyle w:val="BodyText"/>
        <w:spacing w:line="316" w:lineRule="auto" w:before="110"/>
        <w:ind w:left="181" w:right="-20"/>
        <w:jc w:val="left"/>
      </w:pPr>
      <w:r>
        <w:rPr/>
        <w:t>中国农业银行－新华行业轮换灵 活配置混合型证券投资基金</w:t>
      </w:r>
    </w:p>
    <w:p>
      <w:pPr>
        <w:spacing w:line="240" w:lineRule="auto" w:before="4"/>
        <w:rPr>
          <w:rFonts w:ascii="宋体" w:hAnsi="宋体" w:cs="宋体" w:eastAsia="宋体" w:hint="default"/>
          <w:sz w:val="20"/>
          <w:szCs w:val="20"/>
        </w:rPr>
      </w:pPr>
      <w:r>
        <w:rPr/>
        <w:br w:type="column"/>
      </w:r>
      <w:r>
        <w:rPr>
          <w:rFonts w:ascii="宋体"/>
          <w:sz w:val="20"/>
        </w:rPr>
      </w:r>
    </w:p>
    <w:p>
      <w:pPr>
        <w:pStyle w:val="BodyText"/>
        <w:tabs>
          <w:tab w:pos="2881" w:val="left" w:leader="none"/>
        </w:tabs>
        <w:spacing w:line="240" w:lineRule="auto"/>
        <w:ind w:left="181" w:right="0"/>
        <w:jc w:val="left"/>
        <w:rPr>
          <w:rFonts w:ascii="Times New Roman" w:hAnsi="Times New Roman" w:cs="Times New Roman" w:eastAsia="Times New Roman" w:hint="default"/>
        </w:rPr>
      </w:pPr>
      <w:r>
        <w:rPr>
          <w:rFonts w:ascii="Times New Roman" w:hAnsi="Times New Roman" w:cs="Times New Roman" w:eastAsia="Times New Roman" w:hint="default"/>
        </w:rPr>
        <w:t>749,900</w:t>
      </w:r>
      <w:r>
        <w:rPr>
          <w:rFonts w:ascii="Times New Roman" w:hAnsi="Times New Roman" w:cs="Times New Roman" w:eastAsia="Times New Roman" w:hint="default"/>
          <w:spacing w:val="8"/>
        </w:rPr>
        <w:t> </w:t>
      </w:r>
      <w:r>
        <w:rPr/>
        <w:t>人民币普通股</w:t>
        <w:tab/>
      </w:r>
      <w:r>
        <w:rPr>
          <w:rFonts w:ascii="Times New Roman" w:hAnsi="Times New Roman" w:cs="Times New Roman" w:eastAsia="Times New Roman" w:hint="default"/>
        </w:rPr>
        <w:t>749,900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2702" w:space="3526"/>
            <w:col w:w="3722"/>
          </w:cols>
        </w:sectPr>
      </w:pPr>
    </w:p>
    <w:p>
      <w:pPr>
        <w:pStyle w:val="BodyText"/>
        <w:tabs>
          <w:tab w:pos="6409" w:val="left" w:leader="none"/>
          <w:tab w:pos="9109" w:val="left" w:leader="none"/>
        </w:tabs>
        <w:spacing w:line="240" w:lineRule="auto" w:before="107"/>
        <w:ind w:left="181" w:right="0"/>
        <w:jc w:val="left"/>
        <w:rPr>
          <w:rFonts w:ascii="Times New Roman" w:hAnsi="Times New Roman" w:cs="Times New Roman" w:eastAsia="Times New Roman" w:hint="default"/>
        </w:rPr>
      </w:pPr>
      <w:r>
        <w:rPr/>
        <w:t>景晓东</w:t>
        <w:tab/>
      </w:r>
      <w:r>
        <w:rPr>
          <w:rFonts w:ascii="Times New Roman" w:hAnsi="Times New Roman" w:cs="Times New Roman" w:eastAsia="Times New Roman" w:hint="default"/>
        </w:rPr>
        <w:t>564,000</w:t>
      </w:r>
      <w:r>
        <w:rPr>
          <w:rFonts w:ascii="Times New Roman" w:hAnsi="Times New Roman" w:cs="Times New Roman" w:eastAsia="Times New Roman" w:hint="default"/>
          <w:spacing w:val="8"/>
        </w:rPr>
        <w:t> </w:t>
      </w:r>
      <w:r>
        <w:rPr/>
        <w:t>人民币普通股</w:t>
        <w:tab/>
      </w:r>
      <w:r>
        <w:rPr>
          <w:rFonts w:ascii="Times New Roman" w:hAnsi="Times New Roman" w:cs="Times New Roman" w:eastAsia="Times New Roman" w:hint="default"/>
        </w:rPr>
        <w:t>564,000</w:t>
      </w:r>
    </w:p>
    <w:p>
      <w:pPr>
        <w:spacing w:line="240" w:lineRule="auto" w:before="6"/>
        <w:rPr>
          <w:rFonts w:ascii="Times New Roman" w:hAnsi="Times New Roman" w:cs="Times New Roman" w:eastAsia="Times New Roman" w:hint="default"/>
          <w:sz w:val="9"/>
          <w:szCs w:val="9"/>
        </w:rPr>
      </w:pPr>
    </w:p>
    <w:p>
      <w:pPr>
        <w:pStyle w:val="BodyText"/>
        <w:tabs>
          <w:tab w:pos="6409" w:val="left" w:leader="none"/>
          <w:tab w:pos="9109" w:val="left" w:leader="none"/>
        </w:tabs>
        <w:spacing w:line="240" w:lineRule="auto" w:before="44"/>
        <w:ind w:left="181" w:right="0"/>
        <w:jc w:val="left"/>
        <w:rPr>
          <w:rFonts w:ascii="Times New Roman" w:hAnsi="Times New Roman" w:cs="Times New Roman" w:eastAsia="Times New Roman" w:hint="default"/>
        </w:rPr>
      </w:pPr>
      <w:r>
        <w:rPr/>
        <w:t>王春飞</w:t>
        <w:tab/>
      </w:r>
      <w:r>
        <w:rPr>
          <w:rFonts w:ascii="Times New Roman" w:hAnsi="Times New Roman" w:cs="Times New Roman" w:eastAsia="Times New Roman" w:hint="default"/>
        </w:rPr>
        <w:t>559,100</w:t>
      </w:r>
      <w:r>
        <w:rPr>
          <w:rFonts w:ascii="Times New Roman" w:hAnsi="Times New Roman" w:cs="Times New Roman" w:eastAsia="Times New Roman" w:hint="default"/>
          <w:spacing w:val="8"/>
        </w:rPr>
        <w:t> </w:t>
      </w:r>
      <w:r>
        <w:rPr/>
        <w:t>人民币普通股</w:t>
        <w:tab/>
      </w:r>
      <w:r>
        <w:rPr>
          <w:rFonts w:ascii="Times New Roman" w:hAnsi="Times New Roman" w:cs="Times New Roman" w:eastAsia="Times New Roman" w:hint="default"/>
        </w:rPr>
        <w:t>559,100</w:t>
      </w:r>
    </w:p>
    <w:p>
      <w:pPr>
        <w:spacing w:line="240" w:lineRule="auto" w:before="4"/>
        <w:rPr>
          <w:rFonts w:ascii="Times New Roman" w:hAnsi="Times New Roman" w:cs="Times New Roman" w:eastAsia="Times New Roman" w:hint="default"/>
          <w:sz w:val="9"/>
          <w:szCs w:val="9"/>
        </w:rPr>
      </w:pPr>
    </w:p>
    <w:p>
      <w:pPr>
        <w:pStyle w:val="BodyText"/>
        <w:tabs>
          <w:tab w:pos="6409" w:val="left" w:leader="none"/>
          <w:tab w:pos="9109" w:val="left" w:leader="none"/>
        </w:tabs>
        <w:spacing w:line="240" w:lineRule="auto" w:before="44"/>
        <w:ind w:left="181" w:right="0"/>
        <w:jc w:val="left"/>
        <w:rPr>
          <w:rFonts w:ascii="Times New Roman" w:hAnsi="Times New Roman" w:cs="Times New Roman" w:eastAsia="Times New Roman" w:hint="default"/>
        </w:rPr>
      </w:pPr>
      <w:r>
        <w:rPr/>
        <w:t>郑就有</w:t>
        <w:tab/>
      </w:r>
      <w:r>
        <w:rPr>
          <w:rFonts w:ascii="Times New Roman" w:hAnsi="Times New Roman" w:cs="Times New Roman" w:eastAsia="Times New Roman" w:hint="default"/>
        </w:rPr>
        <w:t>433,000</w:t>
      </w:r>
      <w:r>
        <w:rPr>
          <w:rFonts w:ascii="Times New Roman" w:hAnsi="Times New Roman" w:cs="Times New Roman" w:eastAsia="Times New Roman" w:hint="default"/>
          <w:spacing w:val="8"/>
        </w:rPr>
        <w:t> </w:t>
      </w:r>
      <w:r>
        <w:rPr/>
        <w:t>人民币普通股</w:t>
        <w:tab/>
      </w:r>
      <w:r>
        <w:rPr>
          <w:rFonts w:ascii="Times New Roman" w:hAnsi="Times New Roman" w:cs="Times New Roman" w:eastAsia="Times New Roman" w:hint="default"/>
        </w:rPr>
        <w:t>433,000</w:t>
      </w:r>
    </w:p>
    <w:p>
      <w:pPr>
        <w:spacing w:line="240" w:lineRule="auto" w:before="6"/>
        <w:rPr>
          <w:rFonts w:ascii="Times New Roman" w:hAnsi="Times New Roman" w:cs="Times New Roman" w:eastAsia="Times New Roman" w:hint="default"/>
          <w:sz w:val="9"/>
          <w:szCs w:val="9"/>
        </w:rPr>
      </w:pPr>
    </w:p>
    <w:p>
      <w:pPr>
        <w:pStyle w:val="BodyText"/>
        <w:tabs>
          <w:tab w:pos="6409" w:val="left" w:leader="none"/>
          <w:tab w:pos="9109" w:val="left" w:leader="none"/>
        </w:tabs>
        <w:spacing w:line="240" w:lineRule="auto" w:before="44"/>
        <w:ind w:left="181" w:right="0"/>
        <w:jc w:val="left"/>
        <w:rPr>
          <w:rFonts w:ascii="Times New Roman" w:hAnsi="Times New Roman" w:cs="Times New Roman" w:eastAsia="Times New Roman" w:hint="default"/>
        </w:rPr>
      </w:pPr>
      <w:r>
        <w:rPr/>
        <w:t>周足英</w:t>
        <w:tab/>
      </w:r>
      <w:r>
        <w:rPr>
          <w:rFonts w:ascii="Times New Roman" w:hAnsi="Times New Roman" w:cs="Times New Roman" w:eastAsia="Times New Roman" w:hint="default"/>
        </w:rPr>
        <w:t>380,066</w:t>
      </w:r>
      <w:r>
        <w:rPr>
          <w:rFonts w:ascii="Times New Roman" w:hAnsi="Times New Roman" w:cs="Times New Roman" w:eastAsia="Times New Roman" w:hint="default"/>
          <w:spacing w:val="8"/>
        </w:rPr>
        <w:t> </w:t>
      </w:r>
      <w:r>
        <w:rPr/>
        <w:t>人民币普通股</w:t>
        <w:tab/>
      </w:r>
      <w:r>
        <w:rPr>
          <w:rFonts w:ascii="Times New Roman" w:hAnsi="Times New Roman" w:cs="Times New Roman" w:eastAsia="Times New Roman" w:hint="default"/>
        </w:rPr>
        <w:t>380,066</w:t>
      </w:r>
    </w:p>
    <w:p>
      <w:pPr>
        <w:spacing w:line="240" w:lineRule="auto" w:before="4"/>
        <w:rPr>
          <w:rFonts w:ascii="Times New Roman" w:hAnsi="Times New Roman" w:cs="Times New Roman" w:eastAsia="Times New Roman" w:hint="default"/>
          <w:sz w:val="9"/>
          <w:szCs w:val="9"/>
        </w:rPr>
      </w:pPr>
    </w:p>
    <w:p>
      <w:pPr>
        <w:pStyle w:val="BodyText"/>
        <w:tabs>
          <w:tab w:pos="6416" w:val="left" w:leader="none"/>
          <w:tab w:pos="9116" w:val="left" w:leader="none"/>
        </w:tabs>
        <w:spacing w:line="240" w:lineRule="auto" w:before="44"/>
        <w:ind w:left="181" w:right="0"/>
        <w:jc w:val="left"/>
        <w:rPr>
          <w:rFonts w:ascii="Times New Roman" w:hAnsi="Times New Roman" w:cs="Times New Roman" w:eastAsia="Times New Roman" w:hint="default"/>
        </w:rPr>
      </w:pPr>
      <w:r>
        <w:rPr/>
        <w:t>吴雪兰</w:t>
        <w:tab/>
      </w:r>
      <w:r>
        <w:rPr>
          <w:rFonts w:ascii="Times New Roman" w:hAnsi="Times New Roman" w:cs="Times New Roman" w:eastAsia="Times New Roman" w:hint="default"/>
        </w:rPr>
        <w:t>347,011</w:t>
      </w:r>
      <w:r>
        <w:rPr>
          <w:rFonts w:ascii="Times New Roman" w:hAnsi="Times New Roman" w:cs="Times New Roman" w:eastAsia="Times New Roman" w:hint="default"/>
          <w:spacing w:val="1"/>
        </w:rPr>
        <w:t> </w:t>
      </w:r>
      <w:r>
        <w:rPr/>
        <w:t>人民币普通股</w:t>
        <w:tab/>
      </w:r>
      <w:r>
        <w:rPr>
          <w:rFonts w:ascii="Times New Roman" w:hAnsi="Times New Roman" w:cs="Times New Roman" w:eastAsia="Times New Roman" w:hint="default"/>
        </w:rPr>
        <w:t>347,011</w:t>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80" w:left="980" w:right="980"/>
        </w:sectPr>
      </w:pPr>
    </w:p>
    <w:p>
      <w:pPr>
        <w:pStyle w:val="BodyText"/>
        <w:spacing w:line="240" w:lineRule="auto" w:before="44"/>
        <w:ind w:left="181" w:right="-18"/>
        <w:jc w:val="left"/>
      </w:pPr>
      <w:r>
        <w:rPr/>
        <w:t>前</w:t>
      </w:r>
      <w:r>
        <w:rPr>
          <w:spacing w:val="-46"/>
        </w:rPr>
        <w:t> </w:t>
      </w:r>
      <w:r>
        <w:rPr>
          <w:rFonts w:ascii="Times New Roman" w:hAnsi="Times New Roman" w:cs="Times New Roman" w:eastAsia="Times New Roman" w:hint="default"/>
        </w:rPr>
        <w:t>10 </w:t>
      </w:r>
      <w:r>
        <w:rPr/>
        <w:t>名无限售流通股股东之间，</w:t>
      </w:r>
    </w:p>
    <w:p>
      <w:pPr>
        <w:pStyle w:val="BodyText"/>
        <w:spacing w:line="240" w:lineRule="auto" w:before="63"/>
        <w:ind w:left="181" w:right="-18"/>
        <w:jc w:val="left"/>
      </w:pPr>
      <w:r>
        <w:rPr/>
        <w:t>以及前</w:t>
      </w:r>
      <w:r>
        <w:rPr>
          <w:spacing w:val="-46"/>
        </w:rPr>
        <w:t> </w:t>
      </w:r>
      <w:r>
        <w:rPr>
          <w:rFonts w:ascii="Times New Roman" w:hAnsi="Times New Roman" w:cs="Times New Roman" w:eastAsia="Times New Roman" w:hint="default"/>
        </w:rPr>
        <w:t>10 </w:t>
      </w:r>
      <w:r>
        <w:rPr/>
        <w:t>名无限售流通股股东和</w:t>
      </w:r>
    </w:p>
    <w:p>
      <w:pPr>
        <w:pStyle w:val="BodyText"/>
        <w:spacing w:line="300" w:lineRule="auto" w:before="63"/>
        <w:ind w:left="181" w:right="-18"/>
        <w:jc w:val="left"/>
      </w:pPr>
      <w:r>
        <w:rPr/>
        <w:t>前</w:t>
      </w:r>
      <w:r>
        <w:rPr>
          <w:spacing w:val="-46"/>
        </w:rPr>
        <w:t> </w:t>
      </w:r>
      <w:r>
        <w:rPr>
          <w:rFonts w:ascii="Times New Roman" w:hAnsi="Times New Roman" w:cs="Times New Roman" w:eastAsia="Times New Roman" w:hint="default"/>
        </w:rPr>
        <w:t>10 </w:t>
      </w:r>
      <w:r>
        <w:rPr/>
        <w:t>名股东之间关联关系或一致 行动的说明</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43" w:right="246"/>
        <w:jc w:val="both"/>
      </w:pPr>
      <w:r>
        <w:rPr>
          <w:spacing w:val="-1"/>
        </w:rPr>
        <w:t>上述股东中，景晓军与景晓东为兄弟关系，景晓军为新余市华信远景投资咨询有限公司</w:t>
      </w:r>
      <w:r>
        <w:rPr>
          <w:spacing w:val="-72"/>
        </w:rPr>
        <w:t> </w:t>
      </w:r>
      <w:r>
        <w:rPr>
          <w:spacing w:val="-72"/>
        </w:rPr>
      </w:r>
      <w:r>
        <w:rPr>
          <w:spacing w:val="-1"/>
        </w:rPr>
        <w:t>控股股东、实际控制人；其他股东之间，未知是否存在关联关系或属于《上市公司股东</w:t>
      </w:r>
      <w:r>
        <w:rPr>
          <w:spacing w:val="-72"/>
        </w:rPr>
        <w:t> </w:t>
      </w:r>
      <w:r>
        <w:rPr>
          <w:spacing w:val="-72"/>
        </w:rPr>
      </w:r>
      <w:r>
        <w:rPr/>
        <w:t>持股变动信息披露管理办法》规定的一致行动人。</w:t>
      </w:r>
    </w:p>
    <w:p>
      <w:pPr>
        <w:spacing w:after="0" w:line="316" w:lineRule="auto"/>
        <w:jc w:val="both"/>
        <w:sectPr>
          <w:type w:val="continuous"/>
          <w:pgSz w:w="11910" w:h="16840"/>
          <w:pgMar w:top="1060" w:bottom="1180" w:left="980" w:right="980"/>
          <w:cols w:num="2" w:equalWidth="0">
            <w:col w:w="2793" w:space="40"/>
            <w:col w:w="711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240" w:lineRule="auto"/>
        <w:ind w:left="181" w:right="-20"/>
        <w:jc w:val="left"/>
      </w:pPr>
      <w:r>
        <w:rPr/>
        <w:t>参与融资融券业务股东情况说明</w:t>
      </w:r>
    </w:p>
    <w:p>
      <w:pPr>
        <w:pStyle w:val="BodyText"/>
        <w:spacing w:line="240" w:lineRule="auto" w:before="76"/>
        <w:ind w:left="181" w:right="-20"/>
        <w:jc w:val="left"/>
      </w:pPr>
      <w:r>
        <w:rPr/>
        <w:t>（如有</w:t>
      </w:r>
      <w:r>
        <w:rPr>
          <w:spacing w:val="-92"/>
        </w:rPr>
        <w:t>）</w:t>
      </w:r>
      <w:r>
        <w:rPr/>
        <w:t>（参见注</w:t>
      </w:r>
      <w:r>
        <w:rPr>
          <w:spacing w:val="-45"/>
        </w:rPr>
        <w:t> </w:t>
      </w:r>
      <w:r>
        <w:rPr>
          <w:rFonts w:ascii="Times New Roman" w:hAnsi="Times New Roman" w:cs="Times New Roman" w:eastAsia="Times New Roman" w:hint="default"/>
          <w:spacing w:val="1"/>
        </w:rPr>
        <w:t>5</w:t>
      </w:r>
      <w:r>
        <w:rPr/>
        <w:t>）</w:t>
      </w:r>
    </w:p>
    <w:p>
      <w:pPr>
        <w:pStyle w:val="BodyText"/>
        <w:spacing w:line="240" w:lineRule="auto" w:before="120"/>
        <w:ind w:left="135" w:right="0"/>
        <w:jc w:val="left"/>
      </w:pPr>
      <w:r>
        <w:rPr/>
        <w:br w:type="column"/>
      </w:r>
      <w:r>
        <w:rPr/>
        <w:t>报告期末，公司股东王春飞通过申万宏源证券有限公司客户信用交易担保证券账户持有</w:t>
      </w:r>
    </w:p>
    <w:p>
      <w:pPr>
        <w:pStyle w:val="BodyText"/>
        <w:spacing w:line="240" w:lineRule="auto" w:before="76"/>
        <w:ind w:left="135" w:right="0"/>
        <w:jc w:val="left"/>
      </w:pPr>
      <w:r>
        <w:rPr>
          <w:rFonts w:ascii="Times New Roman" w:hAnsi="Times New Roman" w:cs="Times New Roman" w:eastAsia="Times New Roman" w:hint="default"/>
        </w:rPr>
        <w:t>559,100</w:t>
      </w:r>
      <w:r>
        <w:rPr>
          <w:rFonts w:ascii="Times New Roman" w:hAnsi="Times New Roman" w:cs="Times New Roman" w:eastAsia="Times New Roman" w:hint="default"/>
          <w:spacing w:val="-3"/>
        </w:rPr>
        <w:t> </w:t>
      </w:r>
      <w:r>
        <w:rPr/>
        <w:t>股；公司股东郑就有通过东莞证券股份有限公司客户信用交易担保证券账户持</w:t>
      </w:r>
    </w:p>
    <w:p>
      <w:pPr>
        <w:pStyle w:val="BodyText"/>
        <w:spacing w:line="240" w:lineRule="auto" w:before="63"/>
        <w:ind w:left="135" w:right="0"/>
        <w:jc w:val="left"/>
      </w:pPr>
      <w:r>
        <w:rPr/>
        <w:t>有</w:t>
      </w:r>
      <w:r>
        <w:rPr>
          <w:spacing w:val="-49"/>
        </w:rPr>
        <w:t> </w:t>
      </w:r>
      <w:r>
        <w:rPr>
          <w:rFonts w:ascii="Times New Roman" w:hAnsi="Times New Roman" w:cs="Times New Roman" w:eastAsia="Times New Roman" w:hint="default"/>
        </w:rPr>
        <w:t>433,000</w:t>
      </w:r>
      <w:r>
        <w:rPr>
          <w:rFonts w:ascii="Times New Roman" w:hAnsi="Times New Roman" w:cs="Times New Roman" w:eastAsia="Times New Roman" w:hint="default"/>
          <w:spacing w:val="-3"/>
        </w:rPr>
        <w:t> </w:t>
      </w:r>
      <w:r>
        <w:rPr/>
        <w:t>股；公司股东吴雪兰通过申万宏源证券有限公司客户信用交易担保证券账户</w:t>
      </w:r>
    </w:p>
    <w:p>
      <w:pPr>
        <w:pStyle w:val="BodyText"/>
        <w:spacing w:line="240" w:lineRule="auto" w:before="63"/>
        <w:ind w:left="135" w:right="0"/>
        <w:jc w:val="left"/>
      </w:pPr>
      <w:r>
        <w:rPr/>
        <w:t>持有</w:t>
      </w:r>
      <w:r>
        <w:rPr>
          <w:spacing w:val="-49"/>
        </w:rPr>
        <w:t> </w:t>
      </w:r>
      <w:r>
        <w:rPr>
          <w:rFonts w:ascii="Times New Roman" w:hAnsi="Times New Roman" w:cs="Times New Roman" w:eastAsia="Times New Roman" w:hint="default"/>
        </w:rPr>
        <w:t>347,011</w:t>
      </w:r>
      <w:r>
        <w:rPr>
          <w:rFonts w:ascii="Times New Roman" w:hAnsi="Times New Roman" w:cs="Times New Roman" w:eastAsia="Times New Roman" w:hint="default"/>
          <w:spacing w:val="-4"/>
        </w:rPr>
        <w:t> </w:t>
      </w:r>
      <w:r>
        <w:rPr/>
        <w:t>股。</w:t>
      </w:r>
    </w:p>
    <w:p>
      <w:pPr>
        <w:spacing w:after="0" w:line="240" w:lineRule="auto"/>
        <w:jc w:val="left"/>
        <w:sectPr>
          <w:type w:val="continuous"/>
          <w:pgSz w:w="11910" w:h="16840"/>
          <w:pgMar w:top="1060" w:bottom="1180" w:left="980" w:right="980"/>
          <w:cols w:num="2" w:equalWidth="0">
            <w:col w:w="2702" w:space="40"/>
            <w:col w:w="7208"/>
          </w:cols>
        </w:sectPr>
      </w:pPr>
    </w:p>
    <w:p>
      <w:pPr>
        <w:spacing w:line="240" w:lineRule="auto" w:before="5"/>
        <w:rPr>
          <w:rFonts w:ascii="宋体" w:hAnsi="宋体" w:cs="宋体" w:eastAsia="宋体" w:hint="default"/>
          <w:sz w:val="8"/>
          <w:szCs w:val="8"/>
        </w:rPr>
      </w:pPr>
      <w:r>
        <w:rPr/>
        <w:pict>
          <v:group style="position:absolute;margin-left:56.400002pt;margin-top:71.758484pt;width:479.05pt;height:670.7pt;mso-position-horizontal-relative:page;mso-position-vertical-relative:page;z-index:-847816" coordorigin="1128,1435" coordsize="9581,13414">
            <v:group style="position:absolute;left:1138;top:1445;width:1268;height:2" coordorigin="1138,1445" coordsize="1268,2">
              <v:shape style="position:absolute;left:1138;top:1445;width:1268;height:2" coordorigin="1138,1445" coordsize="1268,0" path="m1138,1445l2405,1445e" filled="false" stroked="true" strokeweight=".481pt" strokecolor="#000000">
                <v:path arrowok="t"/>
              </v:shape>
            </v:group>
            <v:group style="position:absolute;left:2414;top:1445;width:1409;height:2" coordorigin="2414,1445" coordsize="1409,2">
              <v:shape style="position:absolute;left:2414;top:1445;width:1409;height:2" coordorigin="2414,1445" coordsize="1409,0" path="m2414,1445l3823,1445e" filled="false" stroked="true" strokeweight=".481pt" strokecolor="#000000">
                <v:path arrowok="t"/>
              </v:shape>
            </v:group>
            <v:group style="position:absolute;left:3833;top:1445;width:699;height:2" coordorigin="3833,1445" coordsize="699,2">
              <v:shape style="position:absolute;left:3833;top:1445;width:699;height:2" coordorigin="3833,1445" coordsize="699,0" path="m3833,1445l4531,1445e" filled="false" stroked="true" strokeweight=".481pt" strokecolor="#000000">
                <v:path arrowok="t"/>
              </v:shape>
            </v:group>
            <v:group style="position:absolute;left:4541;top:1445;width:1042;height:2" coordorigin="4541,1445" coordsize="1042,2">
              <v:shape style="position:absolute;left:4541;top:1445;width:1042;height:2" coordorigin="4541,1445" coordsize="1042,0" path="m4541,1445l5582,1445e" filled="false" stroked="true" strokeweight=".481pt" strokecolor="#000000">
                <v:path arrowok="t"/>
              </v:shape>
            </v:group>
            <v:group style="position:absolute;left:5592;top:1445;width:924;height:2" coordorigin="5592,1445" coordsize="924,2">
              <v:shape style="position:absolute;left:5592;top:1445;width:924;height:2" coordorigin="5592,1445" coordsize="924,0" path="m5592,1445l6516,1445e" filled="false" stroked="true" strokeweight=".481pt" strokecolor="#000000">
                <v:path arrowok="t"/>
              </v:shape>
            </v:group>
            <v:group style="position:absolute;left:6526;top:1445;width:982;height:2" coordorigin="6526,1445" coordsize="982,2">
              <v:shape style="position:absolute;left:6526;top:1445;width:982;height:2" coordorigin="6526,1445" coordsize="982,0" path="m6526,1445l7507,1445e" filled="false" stroked="true" strokeweight=".481pt" strokecolor="#000000">
                <v:path arrowok="t"/>
              </v:shape>
            </v:group>
            <v:group style="position:absolute;left:7517;top:1445;width:982;height:2" coordorigin="7517,1445" coordsize="982,2">
              <v:shape style="position:absolute;left:7517;top:1445;width:982;height:2" coordorigin="7517,1445" coordsize="982,0" path="m7517,1445l8498,1445e" filled="false" stroked="true" strokeweight=".481pt" strokecolor="#000000">
                <v:path arrowok="t"/>
              </v:shape>
            </v:group>
            <v:group style="position:absolute;left:8508;top:1445;width:1128;height:2" coordorigin="8508,1445" coordsize="1128,2">
              <v:shape style="position:absolute;left:8508;top:1445;width:1128;height:2" coordorigin="8508,1445" coordsize="1128,0" path="m8508,1445l9636,1445e" filled="false" stroked="true" strokeweight=".481pt" strokecolor="#000000">
                <v:path arrowok="t"/>
              </v:shape>
            </v:group>
            <v:group style="position:absolute;left:9646;top:1445;width:1054;height:2" coordorigin="9646,1445" coordsize="1054,2">
              <v:shape style="position:absolute;left:9646;top:1445;width:1054;height:2" coordorigin="9646,1445" coordsize="1054,0" path="m9646,1445l10699,1445e" filled="false" stroked="true" strokeweight=".481pt" strokecolor="#000000">
                <v:path arrowok="t"/>
              </v:shape>
            </v:group>
            <v:group style="position:absolute;left:1138;top:1807;width:1268;height:2" coordorigin="1138,1807" coordsize="1268,2">
              <v:shape style="position:absolute;left:1138;top:1807;width:1268;height:2" coordorigin="1138,1807" coordsize="1268,0" path="m1138,1807l2405,1807e" filled="false" stroked="true" strokeweight=".48pt" strokecolor="#000000">
                <v:path arrowok="t"/>
              </v:shape>
            </v:group>
            <v:group style="position:absolute;left:2414;top:1807;width:1409;height:2" coordorigin="2414,1807" coordsize="1409,2">
              <v:shape style="position:absolute;left:2414;top:1807;width:1409;height:2" coordorigin="2414,1807" coordsize="1409,0" path="m2414,1807l3823,1807e" filled="false" stroked="true" strokeweight=".48pt" strokecolor="#000000">
                <v:path arrowok="t"/>
              </v:shape>
            </v:group>
            <v:group style="position:absolute;left:3833;top:1807;width:699;height:2" coordorigin="3833,1807" coordsize="699,2">
              <v:shape style="position:absolute;left:3833;top:1807;width:699;height:2" coordorigin="3833,1807" coordsize="699,0" path="m3833,1807l4531,1807e" filled="false" stroked="true" strokeweight=".48pt" strokecolor="#000000">
                <v:path arrowok="t"/>
              </v:shape>
            </v:group>
            <v:group style="position:absolute;left:4541;top:1807;width:1042;height:2" coordorigin="4541,1807" coordsize="1042,2">
              <v:shape style="position:absolute;left:4541;top:1807;width:1042;height:2" coordorigin="4541,1807" coordsize="1042,0" path="m4541,1807l5582,1807e" filled="false" stroked="true" strokeweight=".48pt" strokecolor="#000000">
                <v:path arrowok="t"/>
              </v:shape>
            </v:group>
            <v:group style="position:absolute;left:5592;top:1807;width:924;height:2" coordorigin="5592,1807" coordsize="924,2">
              <v:shape style="position:absolute;left:5592;top:1807;width:924;height:2" coordorigin="5592,1807" coordsize="924,0" path="m5592,1807l6516,1807e" filled="false" stroked="true" strokeweight=".48pt" strokecolor="#000000">
                <v:path arrowok="t"/>
              </v:shape>
            </v:group>
            <v:group style="position:absolute;left:6526;top:1807;width:982;height:2" coordorigin="6526,1807" coordsize="982,2">
              <v:shape style="position:absolute;left:6526;top:1807;width:982;height:2" coordorigin="6526,1807" coordsize="982,0" path="m6526,1807l7507,1807e" filled="false" stroked="true" strokeweight=".48pt" strokecolor="#000000">
                <v:path arrowok="t"/>
              </v:shape>
            </v:group>
            <v:group style="position:absolute;left:7517;top:1807;width:982;height:2" coordorigin="7517,1807" coordsize="982,2">
              <v:shape style="position:absolute;left:7517;top:1807;width:982;height:2" coordorigin="7517,1807" coordsize="982,0" path="m7517,1807l8498,1807e" filled="false" stroked="true" strokeweight=".48pt" strokecolor="#000000">
                <v:path arrowok="t"/>
              </v:shape>
            </v:group>
            <v:group style="position:absolute;left:8508;top:1807;width:1128;height:2" coordorigin="8508,1807" coordsize="1128,2">
              <v:shape style="position:absolute;left:8508;top:1807;width:1128;height:2" coordorigin="8508,1807" coordsize="1128,0" path="m8508,1807l9636,1807e" filled="false" stroked="true" strokeweight=".48pt" strokecolor="#000000">
                <v:path arrowok="t"/>
              </v:shape>
            </v:group>
            <v:group style="position:absolute;left:9646;top:1807;width:1054;height:2" coordorigin="9646,1807" coordsize="1054,2">
              <v:shape style="position:absolute;left:9646;top:1807;width:1054;height:2" coordorigin="9646,1807" coordsize="1054,0" path="m9646,1807l10699,1807e" filled="false" stroked="true" strokeweight=".48pt" strokecolor="#000000">
                <v:path arrowok="t"/>
              </v:shape>
            </v:group>
            <v:group style="position:absolute;left:1138;top:2208;width:1268;height:2" coordorigin="1138,2208" coordsize="1268,2">
              <v:shape style="position:absolute;left:1138;top:2208;width:1268;height:2" coordorigin="1138,2208" coordsize="1268,0" path="m1138,2208l2405,2208e" filled="false" stroked="true" strokeweight=".481pt" strokecolor="#000000">
                <v:path arrowok="t"/>
              </v:shape>
            </v:group>
            <v:group style="position:absolute;left:2414;top:2208;width:1409;height:2" coordorigin="2414,2208" coordsize="1409,2">
              <v:shape style="position:absolute;left:2414;top:2208;width:1409;height:2" coordorigin="2414,2208" coordsize="1409,0" path="m2414,2208l3823,2208e" filled="false" stroked="true" strokeweight=".481pt" strokecolor="#000000">
                <v:path arrowok="t"/>
              </v:shape>
            </v:group>
            <v:group style="position:absolute;left:3833;top:2208;width:699;height:2" coordorigin="3833,2208" coordsize="699,2">
              <v:shape style="position:absolute;left:3833;top:2208;width:699;height:2" coordorigin="3833,2208" coordsize="699,0" path="m3833,2208l4531,2208e" filled="false" stroked="true" strokeweight=".481pt" strokecolor="#000000">
                <v:path arrowok="t"/>
              </v:shape>
            </v:group>
            <v:group style="position:absolute;left:4541;top:2208;width:1042;height:2" coordorigin="4541,2208" coordsize="1042,2">
              <v:shape style="position:absolute;left:4541;top:2208;width:1042;height:2" coordorigin="4541,2208" coordsize="1042,0" path="m4541,2208l5582,2208e" filled="false" stroked="true" strokeweight=".481pt" strokecolor="#000000">
                <v:path arrowok="t"/>
              </v:shape>
            </v:group>
            <v:group style="position:absolute;left:5592;top:2208;width:924;height:2" coordorigin="5592,2208" coordsize="924,2">
              <v:shape style="position:absolute;left:5592;top:2208;width:924;height:2" coordorigin="5592,2208" coordsize="924,0" path="m5592,2208l6516,2208e" filled="false" stroked="true" strokeweight=".481pt" strokecolor="#000000">
                <v:path arrowok="t"/>
              </v:shape>
            </v:group>
            <v:group style="position:absolute;left:6526;top:2208;width:982;height:2" coordorigin="6526,2208" coordsize="982,2">
              <v:shape style="position:absolute;left:6526;top:2208;width:982;height:2" coordorigin="6526,2208" coordsize="982,0" path="m6526,2208l7507,2208e" filled="false" stroked="true" strokeweight=".481pt" strokecolor="#000000">
                <v:path arrowok="t"/>
              </v:shape>
            </v:group>
            <v:group style="position:absolute;left:7517;top:2208;width:982;height:2" coordorigin="7517,2208" coordsize="982,2">
              <v:shape style="position:absolute;left:7517;top:2208;width:982;height:2" coordorigin="7517,2208" coordsize="982,0" path="m7517,2208l8498,2208e" filled="false" stroked="true" strokeweight=".481pt" strokecolor="#000000">
                <v:path arrowok="t"/>
              </v:shape>
            </v:group>
            <v:group style="position:absolute;left:8508;top:2208;width:1128;height:2" coordorigin="8508,2208" coordsize="1128,2">
              <v:shape style="position:absolute;left:8508;top:2208;width:1128;height:2" coordorigin="8508,2208" coordsize="1128,0" path="m8508,2208l9636,2208e" filled="false" stroked="true" strokeweight=".481pt" strokecolor="#000000">
                <v:path arrowok="t"/>
              </v:shape>
            </v:group>
            <v:group style="position:absolute;left:9646;top:2208;width:1054;height:2" coordorigin="9646,2208" coordsize="1054,2">
              <v:shape style="position:absolute;left:9646;top:2208;width:1054;height:2" coordorigin="9646,2208" coordsize="1054,0" path="m9646,2208l10699,2208e" filled="false" stroked="true" strokeweight=".481pt" strokecolor="#000000">
                <v:path arrowok="t"/>
              </v:shape>
            </v:group>
            <v:group style="position:absolute;left:1138;top:2611;width:1268;height:2" coordorigin="1138,2611" coordsize="1268,2">
              <v:shape style="position:absolute;left:1138;top:2611;width:1268;height:2" coordorigin="1138,2611" coordsize="1268,0" path="m1138,2611l2405,2611e" filled="false" stroked="true" strokeweight=".481pt" strokecolor="#000000">
                <v:path arrowok="t"/>
              </v:shape>
            </v:group>
            <v:group style="position:absolute;left:2414;top:2611;width:1409;height:2" coordorigin="2414,2611" coordsize="1409,2">
              <v:shape style="position:absolute;left:2414;top:2611;width:1409;height:2" coordorigin="2414,2611" coordsize="1409,0" path="m2414,2611l3823,2611e" filled="false" stroked="true" strokeweight=".481pt" strokecolor="#000000">
                <v:path arrowok="t"/>
              </v:shape>
            </v:group>
            <v:group style="position:absolute;left:3833;top:2611;width:699;height:2" coordorigin="3833,2611" coordsize="699,2">
              <v:shape style="position:absolute;left:3833;top:2611;width:699;height:2" coordorigin="3833,2611" coordsize="699,0" path="m3833,2611l4531,2611e" filled="false" stroked="true" strokeweight=".481pt" strokecolor="#000000">
                <v:path arrowok="t"/>
              </v:shape>
            </v:group>
            <v:group style="position:absolute;left:4541;top:2611;width:1042;height:2" coordorigin="4541,2611" coordsize="1042,2">
              <v:shape style="position:absolute;left:4541;top:2611;width:1042;height:2" coordorigin="4541,2611" coordsize="1042,0" path="m4541,2611l5582,2611e" filled="false" stroked="true" strokeweight=".481pt" strokecolor="#000000">
                <v:path arrowok="t"/>
              </v:shape>
            </v:group>
            <v:group style="position:absolute;left:5592;top:2611;width:924;height:2" coordorigin="5592,2611" coordsize="924,2">
              <v:shape style="position:absolute;left:5592;top:2611;width:924;height:2" coordorigin="5592,2611" coordsize="924,0" path="m5592,2611l6516,2611e" filled="false" stroked="true" strokeweight=".481pt" strokecolor="#000000">
                <v:path arrowok="t"/>
              </v:shape>
            </v:group>
            <v:group style="position:absolute;left:6526;top:2611;width:982;height:2" coordorigin="6526,2611" coordsize="982,2">
              <v:shape style="position:absolute;left:6526;top:2611;width:982;height:2" coordorigin="6526,2611" coordsize="982,0" path="m6526,2611l7507,2611e" filled="false" stroked="true" strokeweight=".481pt" strokecolor="#000000">
                <v:path arrowok="t"/>
              </v:shape>
            </v:group>
            <v:group style="position:absolute;left:7517;top:2611;width:982;height:2" coordorigin="7517,2611" coordsize="982,2">
              <v:shape style="position:absolute;left:7517;top:2611;width:982;height:2" coordorigin="7517,2611" coordsize="982,0" path="m7517,2611l8498,2611e" filled="false" stroked="true" strokeweight=".481pt" strokecolor="#000000">
                <v:path arrowok="t"/>
              </v:shape>
            </v:group>
            <v:group style="position:absolute;left:8508;top:2611;width:1128;height:2" coordorigin="8508,2611" coordsize="1128,2">
              <v:shape style="position:absolute;left:8508;top:2611;width:1128;height:2" coordorigin="8508,2611" coordsize="1128,0" path="m8508,2611l9636,2611e" filled="false" stroked="true" strokeweight=".481pt" strokecolor="#000000">
                <v:path arrowok="t"/>
              </v:shape>
            </v:group>
            <v:group style="position:absolute;left:9646;top:2611;width:1054;height:2" coordorigin="9646,2611" coordsize="1054,2">
              <v:shape style="position:absolute;left:9646;top:2611;width:1054;height:2" coordorigin="9646,2611" coordsize="1054,0" path="m9646,2611l10699,2611e" filled="false" stroked="true" strokeweight=".481pt" strokecolor="#000000">
                <v:path arrowok="t"/>
              </v:shape>
            </v:group>
            <v:group style="position:absolute;left:2410;top:1440;width:2;height:2201" coordorigin="2410,1440" coordsize="2,2201">
              <v:shape style="position:absolute;left:2410;top:1440;width:2;height:2201" coordorigin="2410,1440" coordsize="0,2201" path="m2410,1440l2410,3641e" filled="false" stroked="true" strokeweight=".48pt" strokecolor="#000000">
                <v:path arrowok="t"/>
              </v:shape>
            </v:group>
            <v:group style="position:absolute;left:4536;top:1440;width:2;height:2201" coordorigin="4536,1440" coordsize="2,2201">
              <v:shape style="position:absolute;left:4536;top:1440;width:2;height:2201" coordorigin="4536,1440" coordsize="0,2201" path="m4536,1440l4536,3641e" filled="false" stroked="true" strokeweight=".481pt" strokecolor="#000000">
                <v:path arrowok="t"/>
              </v:shape>
            </v:group>
            <v:group style="position:absolute;left:5587;top:1440;width:2;height:2201" coordorigin="5587,1440" coordsize="2,2201">
              <v:shape style="position:absolute;left:5587;top:1440;width:2;height:2201" coordorigin="5587,1440" coordsize="0,2201" path="m5587,1440l5587,3641e" filled="false" stroked="true" strokeweight=".481pt" strokecolor="#000000">
                <v:path arrowok="t"/>
              </v:shape>
            </v:group>
            <v:group style="position:absolute;left:6521;top:1440;width:2;height:2201" coordorigin="6521,1440" coordsize="2,2201">
              <v:shape style="position:absolute;left:6521;top:1440;width:2;height:2201" coordorigin="6521,1440" coordsize="0,2201" path="m6521,1440l6521,3641e" filled="false" stroked="true" strokeweight=".48pt" strokecolor="#000000">
                <v:path arrowok="t"/>
              </v:shape>
            </v:group>
            <v:group style="position:absolute;left:7512;top:1440;width:2;height:2201" coordorigin="7512,1440" coordsize="2,2201">
              <v:shape style="position:absolute;left:7512;top:1440;width:2;height:2201" coordorigin="7512,1440" coordsize="0,2201" path="m7512,1440l7512,3641e" filled="false" stroked="true" strokeweight=".48pt" strokecolor="#000000">
                <v:path arrowok="t"/>
              </v:shape>
            </v:group>
            <v:group style="position:absolute;left:8503;top:1440;width:2;height:2201" coordorigin="8503,1440" coordsize="2,2201">
              <v:shape style="position:absolute;left:8503;top:1440;width:2;height:2201" coordorigin="8503,1440" coordsize="0,2201" path="m8503,1440l8503,3641e" filled="false" stroked="true" strokeweight=".481pt" strokecolor="#000000">
                <v:path arrowok="t"/>
              </v:shape>
            </v:group>
            <v:group style="position:absolute;left:9641;top:1440;width:2;height:2201" coordorigin="9641,1440" coordsize="2,2201">
              <v:shape style="position:absolute;left:9641;top:1440;width:2;height:2201" coordorigin="9641,1440" coordsize="0,2201" path="m9641,1440l9641,3641e" filled="false" stroked="true" strokeweight=".481pt" strokecolor="#000000">
                <v:path arrowok="t"/>
              </v:shape>
            </v:group>
            <v:group style="position:absolute;left:1151;top:3641;width:2;height:1018" coordorigin="1151,3641" coordsize="2,1018">
              <v:shape style="position:absolute;left:1151;top:3641;width:2;height:1018" coordorigin="1151,3641" coordsize="0,1018" path="m1151,3641l1151,4658e" filled="false" stroked="true" strokeweight="1.08pt" strokecolor="#d4d4d4">
                <v:path arrowok="t"/>
              </v:shape>
            </v:group>
            <v:group style="position:absolute;left:3811;top:3641;width:2;height:1018" coordorigin="3811,3641" coordsize="2,1018">
              <v:shape style="position:absolute;left:3811;top:3641;width:2;height:1018" coordorigin="3811,3641" coordsize="0,1018" path="m3811,3641l3811,4658e" filled="false" stroked="true" strokeweight="1.2pt" strokecolor="#d4d4d4">
                <v:path arrowok="t"/>
              </v:shape>
            </v:group>
            <v:group style="position:absolute;left:1162;top:3641;width:2638;height:353" coordorigin="1162,3641" coordsize="2638,353">
              <v:shape style="position:absolute;left:1162;top:3641;width:2638;height:353" coordorigin="1162,3641" coordsize="2638,353" path="m1162,3994l3799,3994,3799,3641,1162,3641,1162,3994xe" filled="true" fillcolor="#d4d4d4" stroked="false">
                <v:path arrowok="t"/>
                <v:fill type="solid"/>
              </v:shape>
            </v:group>
            <v:group style="position:absolute;left:1162;top:3994;width:2638;height:312" coordorigin="1162,3994" coordsize="2638,312">
              <v:shape style="position:absolute;left:1162;top:3994;width:2638;height:312" coordorigin="1162,3994" coordsize="2638,312" path="m1162,4306l3799,4306,3799,3994,1162,3994,1162,4306xe" filled="true" fillcolor="#d4d4d4" stroked="false">
                <v:path arrowok="t"/>
                <v:fill type="solid"/>
              </v:shape>
            </v:group>
            <v:group style="position:absolute;left:1162;top:4306;width:2638;height:353" coordorigin="1162,4306" coordsize="2638,353">
              <v:shape style="position:absolute;left:1162;top:4306;width:2638;height:353" coordorigin="1162,4306" coordsize="2638,353" path="m1162,4658l3799,4658,3799,4306,1162,4306,1162,4658xe" filled="true" fillcolor="#d4d4d4" stroked="false">
                <v:path arrowok="t"/>
                <v:fill type="solid"/>
              </v:shape>
            </v:group>
            <v:group style="position:absolute;left:3845;top:3953;width:2;height:394" coordorigin="3845,3953" coordsize="2,394">
              <v:shape style="position:absolute;left:3845;top:3953;width:2;height:394" coordorigin="3845,3953" coordsize="0,394" path="m3845,3953l3845,4346e" filled="false" stroked="true" strokeweight="1.2pt" strokecolor="#ffffff">
                <v:path arrowok="t"/>
              </v:shape>
            </v:group>
            <v:group style="position:absolute;left:3857;top:3953;width:6819;height:394" coordorigin="3857,3953" coordsize="6819,394">
              <v:shape style="position:absolute;left:3857;top:3953;width:6819;height:394" coordorigin="3857,3953" coordsize="6819,394" path="m3857,4346l10675,4346,10675,3953,3857,3953,3857,4346xe" filled="true" fillcolor="#ffffff" stroked="false">
                <v:path arrowok="t"/>
                <v:fill type="solid"/>
              </v:shape>
            </v:group>
            <v:group style="position:absolute;left:1138;top:3636;width:1268;height:2" coordorigin="1138,3636" coordsize="1268,2">
              <v:shape style="position:absolute;left:1138;top:3636;width:1268;height:2" coordorigin="1138,3636" coordsize="1268,0" path="m1138,3636l2405,3636e" filled="false" stroked="true" strokeweight=".48pt" strokecolor="#000000">
                <v:path arrowok="t"/>
              </v:shape>
            </v:group>
            <v:group style="position:absolute;left:2414;top:3636;width:1409;height:2" coordorigin="2414,3636" coordsize="1409,2">
              <v:shape style="position:absolute;left:2414;top:3636;width:1409;height:2" coordorigin="2414,3636" coordsize="1409,0" path="m2414,3636l3823,3636e" filled="false" stroked="true" strokeweight=".48pt" strokecolor="#000000">
                <v:path arrowok="t"/>
              </v:shape>
            </v:group>
            <v:group style="position:absolute;left:3833;top:3636;width:699;height:2" coordorigin="3833,3636" coordsize="699,2">
              <v:shape style="position:absolute;left:3833;top:3636;width:699;height:2" coordorigin="3833,3636" coordsize="699,0" path="m3833,3636l4531,3636e" filled="false" stroked="true" strokeweight=".48pt" strokecolor="#000000">
                <v:path arrowok="t"/>
              </v:shape>
            </v:group>
            <v:group style="position:absolute;left:4541;top:3636;width:1042;height:2" coordorigin="4541,3636" coordsize="1042,2">
              <v:shape style="position:absolute;left:4541;top:3636;width:1042;height:2" coordorigin="4541,3636" coordsize="1042,0" path="m4541,3636l5582,3636e" filled="false" stroked="true" strokeweight=".48pt" strokecolor="#000000">
                <v:path arrowok="t"/>
              </v:shape>
            </v:group>
            <v:group style="position:absolute;left:5592;top:3636;width:924;height:2" coordorigin="5592,3636" coordsize="924,2">
              <v:shape style="position:absolute;left:5592;top:3636;width:924;height:2" coordorigin="5592,3636" coordsize="924,0" path="m5592,3636l6516,3636e" filled="false" stroked="true" strokeweight=".48pt" strokecolor="#000000">
                <v:path arrowok="t"/>
              </v:shape>
            </v:group>
            <v:group style="position:absolute;left:6526;top:3636;width:982;height:2" coordorigin="6526,3636" coordsize="982,2">
              <v:shape style="position:absolute;left:6526;top:3636;width:982;height:2" coordorigin="6526,3636" coordsize="982,0" path="m6526,3636l7507,3636e" filled="false" stroked="true" strokeweight=".48pt" strokecolor="#000000">
                <v:path arrowok="t"/>
              </v:shape>
            </v:group>
            <v:group style="position:absolute;left:7517;top:3636;width:982;height:2" coordorigin="7517,3636" coordsize="982,2">
              <v:shape style="position:absolute;left:7517;top:3636;width:982;height:2" coordorigin="7517,3636" coordsize="982,0" path="m7517,3636l8498,3636e" filled="false" stroked="true" strokeweight=".48pt" strokecolor="#000000">
                <v:path arrowok="t"/>
              </v:shape>
            </v:group>
            <v:group style="position:absolute;left:8508;top:3636;width:1128;height:2" coordorigin="8508,3636" coordsize="1128,2">
              <v:shape style="position:absolute;left:8508;top:3636;width:1128;height:2" coordorigin="8508,3636" coordsize="1128,0" path="m8508,3636l9636,3636e" filled="false" stroked="true" strokeweight=".48pt" strokecolor="#000000">
                <v:path arrowok="t"/>
              </v:shape>
            </v:group>
            <v:group style="position:absolute;left:9646;top:3636;width:1054;height:2" coordorigin="9646,3636" coordsize="1054,2">
              <v:shape style="position:absolute;left:9646;top:3636;width:1054;height:2" coordorigin="9646,3636" coordsize="1054,0" path="m9646,3636l10699,3636e" filled="false" stroked="true" strokeweight=".48pt" strokecolor="#000000">
                <v:path arrowok="t"/>
              </v:shape>
            </v:group>
            <v:group style="position:absolute;left:1140;top:4668;width:2684;height:312" coordorigin="1140,4668" coordsize="2684,312">
              <v:shape style="position:absolute;left:1140;top:4668;width:2684;height:312" coordorigin="1140,4668" coordsize="2684,312" path="m1140,4980l3823,4980,3823,4668,1140,4668,1140,4980xe" filled="true" fillcolor="#d4d4d4" stroked="false">
                <v:path arrowok="t"/>
                <v:fill type="solid"/>
              </v:shape>
            </v:group>
            <v:group style="position:absolute;left:1151;top:4980;width:2;height:704" coordorigin="1151,4980" coordsize="2,704">
              <v:shape style="position:absolute;left:1151;top:4980;width:2;height:704" coordorigin="1151,4980" coordsize="0,704" path="m1151,4980l1151,5683e" filled="false" stroked="true" strokeweight="1.08pt" strokecolor="#d4d4d4">
                <v:path arrowok="t"/>
              </v:shape>
            </v:group>
            <v:group style="position:absolute;left:3811;top:4980;width:2;height:704" coordorigin="3811,4980" coordsize="2,704">
              <v:shape style="position:absolute;left:3811;top:4980;width:2;height:704" coordorigin="3811,4980" coordsize="0,704" path="m3811,4980l3811,5683e" filled="false" stroked="true" strokeweight="1.2pt" strokecolor="#d4d4d4">
                <v:path arrowok="t"/>
              </v:shape>
            </v:group>
            <v:group style="position:absolute;left:1140;top:5683;width:2684;height:312" coordorigin="1140,5683" coordsize="2684,312">
              <v:shape style="position:absolute;left:1140;top:5683;width:2684;height:312" coordorigin="1140,5683" coordsize="2684,312" path="m1140,5995l3823,5995,3823,5683,1140,5683,1140,5995xe" filled="true" fillcolor="#d4d4d4" stroked="false">
                <v:path arrowok="t"/>
                <v:fill type="solid"/>
              </v:shape>
            </v:group>
            <v:group style="position:absolute;left:1162;top:4980;width:2638;height:353" coordorigin="1162,4980" coordsize="2638,353">
              <v:shape style="position:absolute;left:1162;top:4980;width:2638;height:353" coordorigin="1162,4980" coordsize="2638,353" path="m1162,5333l3799,5333,3799,4980,1162,4980,1162,5333xe" filled="true" fillcolor="#d4d4d4" stroked="false">
                <v:path arrowok="t"/>
                <v:fill type="solid"/>
              </v:shape>
            </v:group>
            <v:group style="position:absolute;left:1162;top:5333;width:2638;height:351" coordorigin="1162,5333" coordsize="2638,351">
              <v:shape style="position:absolute;left:1162;top:5333;width:2638;height:351" coordorigin="1162,5333" coordsize="2638,351" path="m1162,5683l3799,5683,3799,5333,1162,5333,1162,5683xe" filled="true" fillcolor="#d4d4d4" stroked="false">
                <v:path arrowok="t"/>
                <v:fill type="solid"/>
              </v:shape>
            </v:group>
            <v:group style="position:absolute;left:1138;top:4663;width:2686;height:2" coordorigin="1138,4663" coordsize="2686,2">
              <v:shape style="position:absolute;left:1138;top:4663;width:2686;height:2" coordorigin="1138,4663" coordsize="2686,0" path="m1138,4663l3823,4663e" filled="false" stroked="true" strokeweight=".481pt" strokecolor="#000000">
                <v:path arrowok="t"/>
              </v:shape>
            </v:group>
            <v:group style="position:absolute;left:3833;top:4663;width:6867;height:2" coordorigin="3833,4663" coordsize="6867,2">
              <v:shape style="position:absolute;left:3833;top:4663;width:6867;height:2" coordorigin="3833,4663" coordsize="6867,0" path="m3833,4663l10699,4663e" filled="false" stroked="true" strokeweight=".481pt" strokecolor="#000000">
                <v:path arrowok="t"/>
              </v:shape>
            </v:group>
            <v:group style="position:absolute;left:3828;top:1440;width:2;height:4565" coordorigin="3828,1440" coordsize="2,4565">
              <v:shape style="position:absolute;left:3828;top:1440;width:2;height:4565" coordorigin="3828,1440" coordsize="0,4565" path="m3828,1440l3828,6005e" filled="false" stroked="true" strokeweight=".48pt" strokecolor="#000000">
                <v:path arrowok="t"/>
              </v:shape>
            </v:group>
            <v:group style="position:absolute;left:1151;top:6005;width:2;height:394" coordorigin="1151,6005" coordsize="2,394">
              <v:shape style="position:absolute;left:1151;top:6005;width:2;height:394" coordorigin="1151,6005" coordsize="0,394" path="m1151,6005l1151,6398e" filled="false" stroked="true" strokeweight="1.08pt" strokecolor="#d4d4d4">
                <v:path arrowok="t"/>
              </v:shape>
            </v:group>
            <v:group style="position:absolute;left:10687;top:6005;width:2;height:394" coordorigin="10687,6005" coordsize="2,394">
              <v:shape style="position:absolute;left:10687;top:6005;width:2;height:394" coordorigin="10687,6005" coordsize="0,394" path="m10687,6005l10687,6398e" filled="false" stroked="true" strokeweight="1.2pt" strokecolor="#d4d4d4">
                <v:path arrowok="t"/>
              </v:shape>
            </v:group>
            <v:group style="position:absolute;left:1162;top:6005;width:9514;height:394" coordorigin="1162,6005" coordsize="9514,394">
              <v:shape style="position:absolute;left:1162;top:6005;width:9514;height:394" coordorigin="1162,6005" coordsize="9514,394" path="m1162,6398l10675,6398,10675,6005,1162,6005,1162,6398xe" filled="true" fillcolor="#d4d4d4" stroked="false">
                <v:path arrowok="t"/>
                <v:fill type="solid"/>
              </v:shape>
            </v:group>
            <v:group style="position:absolute;left:1138;top:6000;width:2686;height:2" coordorigin="1138,6000" coordsize="2686,2">
              <v:shape style="position:absolute;left:1138;top:6000;width:2686;height:2" coordorigin="1138,6000" coordsize="2686,0" path="m1138,6000l3823,6000e" filled="false" stroked="true" strokeweight=".48pt" strokecolor="#000000">
                <v:path arrowok="t"/>
              </v:shape>
            </v:group>
            <v:group style="position:absolute;left:3833;top:6000;width:6867;height:2" coordorigin="3833,6000" coordsize="6867,2">
              <v:shape style="position:absolute;left:3833;top:6000;width:6867;height:2" coordorigin="3833,6000" coordsize="6867,0" path="m3833,6000l10699,6000e" filled="false" stroked="true" strokeweight=".48pt" strokecolor="#000000">
                <v:path arrowok="t"/>
              </v:shape>
            </v:group>
            <v:group style="position:absolute;left:1140;top:6408;width:2684;height:202" coordorigin="1140,6408" coordsize="2684,202">
              <v:shape style="position:absolute;left:1140;top:6408;width:2684;height:202" coordorigin="1140,6408" coordsize="2684,202" path="m1140,6610l3823,6610,3823,6408,1140,6408,1140,6610xe" filled="true" fillcolor="#d4d4d4" stroked="false">
                <v:path arrowok="t"/>
                <v:fill type="solid"/>
              </v:shape>
            </v:group>
            <v:group style="position:absolute;left:1151;top:6610;width:2;height:392" coordorigin="1151,6610" coordsize="2,392">
              <v:shape style="position:absolute;left:1151;top:6610;width:2;height:392" coordorigin="1151,6610" coordsize="0,392" path="m1151,6610l1151,7001e" filled="false" stroked="true" strokeweight="1.08pt" strokecolor="#d4d4d4">
                <v:path arrowok="t"/>
              </v:shape>
            </v:group>
            <v:group style="position:absolute;left:3811;top:6610;width:2;height:392" coordorigin="3811,6610" coordsize="2,392">
              <v:shape style="position:absolute;left:3811;top:6610;width:2;height:392" coordorigin="3811,6610" coordsize="0,392" path="m3811,6610l3811,7001e" filled="false" stroked="true" strokeweight="1.2pt" strokecolor="#d4d4d4">
                <v:path arrowok="t"/>
              </v:shape>
            </v:group>
            <v:group style="position:absolute;left:1140;top:7001;width:2684;height:202" coordorigin="1140,7001" coordsize="2684,202">
              <v:shape style="position:absolute;left:1140;top:7001;width:2684;height:202" coordorigin="1140,7001" coordsize="2684,202" path="m1140,7202l3823,7202,3823,7001,1140,7001,1140,7202xe" filled="true" fillcolor="#d4d4d4" stroked="false">
                <v:path arrowok="t"/>
                <v:fill type="solid"/>
              </v:shape>
            </v:group>
            <v:group style="position:absolute;left:1162;top:6610;width:2638;height:392" coordorigin="1162,6610" coordsize="2638,392">
              <v:shape style="position:absolute;left:1162;top:6610;width:2638;height:392" coordorigin="1162,6610" coordsize="2638,392" path="m1162,7001l3799,7001,3799,6610,1162,6610,1162,7001xe" filled="true" fillcolor="#d4d4d4" stroked="false">
                <v:path arrowok="t"/>
                <v:fill type="solid"/>
              </v:shape>
            </v:group>
            <v:group style="position:absolute;left:3833;top:6408;width:4164;height:202" coordorigin="3833,6408" coordsize="4164,202">
              <v:shape style="position:absolute;left:3833;top:6408;width:4164;height:202" coordorigin="3833,6408" coordsize="4164,202" path="m3833,6610l7997,6610,7997,6408,3833,6408,3833,6610xe" filled="true" fillcolor="#d4d4d4" stroked="false">
                <v:path arrowok="t"/>
                <v:fill type="solid"/>
              </v:shape>
            </v:group>
            <v:group style="position:absolute;left:3845;top:6610;width:2;height:392" coordorigin="3845,6610" coordsize="2,392">
              <v:shape style="position:absolute;left:3845;top:6610;width:2;height:392" coordorigin="3845,6610" coordsize="0,392" path="m3845,6610l3845,7001e" filled="false" stroked="true" strokeweight="1.2pt" strokecolor="#d4d4d4">
                <v:path arrowok="t"/>
              </v:shape>
            </v:group>
            <v:group style="position:absolute;left:7986;top:6610;width:2;height:392" coordorigin="7986,6610" coordsize="2,392">
              <v:shape style="position:absolute;left:7986;top:6610;width:2;height:392" coordorigin="7986,6610" coordsize="0,392" path="m7986,6610l7986,7001e" filled="false" stroked="true" strokeweight="1.08pt" strokecolor="#d4d4d4">
                <v:path arrowok="t"/>
              </v:shape>
            </v:group>
            <v:group style="position:absolute;left:3833;top:7001;width:4164;height:202" coordorigin="3833,7001" coordsize="4164,202">
              <v:shape style="position:absolute;left:3833;top:7001;width:4164;height:202" coordorigin="3833,7001" coordsize="4164,202" path="m3833,7202l7997,7202,7997,7001,3833,7001,3833,7202xe" filled="true" fillcolor="#d4d4d4" stroked="false">
                <v:path arrowok="t"/>
                <v:fill type="solid"/>
              </v:shape>
            </v:group>
            <v:group style="position:absolute;left:3857;top:6610;width:4119;height:392" coordorigin="3857,6610" coordsize="4119,392">
              <v:shape style="position:absolute;left:3857;top:6610;width:4119;height:392" coordorigin="3857,6610" coordsize="4119,392" path="m3857,7001l7975,7001,7975,6610,3857,6610,3857,7001xe" filled="true" fillcolor="#d4d4d4" stroked="false">
                <v:path arrowok="t"/>
                <v:fill type="solid"/>
              </v:shape>
            </v:group>
            <v:group style="position:absolute;left:8020;top:6408;width:2;height:392" coordorigin="8020,6408" coordsize="2,392">
              <v:shape style="position:absolute;left:8020;top:6408;width:2;height:392" coordorigin="8020,6408" coordsize="0,392" path="m8020,6408l8020,6799e" filled="false" stroked="true" strokeweight="1.08pt" strokecolor="#d4d4d4">
                <v:path arrowok="t"/>
              </v:shape>
            </v:group>
            <v:group style="position:absolute;left:10687;top:6408;width:2;height:392" coordorigin="10687,6408" coordsize="2,392">
              <v:shape style="position:absolute;left:10687;top:6408;width:2;height:392" coordorigin="10687,6408" coordsize="0,392" path="m10687,6408l10687,6799e" filled="false" stroked="true" strokeweight="1.2pt" strokecolor="#d4d4d4">
                <v:path arrowok="t"/>
              </v:shape>
            </v:group>
            <v:group style="position:absolute;left:8030;top:6408;width:2645;height:392" coordorigin="8030,6408" coordsize="2645,392">
              <v:shape style="position:absolute;left:8030;top:6408;width:2645;height:392" coordorigin="8030,6408" coordsize="2645,392" path="m8030,6799l10675,6799,10675,6408,8030,6408,8030,6799xe" filled="true" fillcolor="#d4d4d4" stroked="false">
                <v:path arrowok="t"/>
                <v:fill type="solid"/>
              </v:shape>
            </v:group>
            <v:group style="position:absolute;left:1138;top:6403;width:2686;height:2" coordorigin="1138,6403" coordsize="2686,2">
              <v:shape style="position:absolute;left:1138;top:6403;width:2686;height:2" coordorigin="1138,6403" coordsize="2686,0" path="m1138,6403l3823,6403e" filled="false" stroked="true" strokeweight=".48pt" strokecolor="#000000">
                <v:path arrowok="t"/>
              </v:shape>
            </v:group>
            <v:group style="position:absolute;left:3833;top:6403;width:4164;height:2" coordorigin="3833,6403" coordsize="4164,2">
              <v:shape style="position:absolute;left:3833;top:6403;width:4164;height:2" coordorigin="3833,6403" coordsize="4164,0" path="m3833,6403l7997,6403e" filled="false" stroked="true" strokeweight=".48pt" strokecolor="#000000">
                <v:path arrowok="t"/>
              </v:shape>
            </v:group>
            <v:group style="position:absolute;left:8006;top:6403;width:2693;height:2" coordorigin="8006,6403" coordsize="2693,2">
              <v:shape style="position:absolute;left:8006;top:6403;width:2693;height:2" coordorigin="8006,6403" coordsize="2693,0" path="m8006,6403l10699,6403e" filled="false" stroked="true" strokeweight=".48pt" strokecolor="#000000">
                <v:path arrowok="t"/>
              </v:shape>
            </v:group>
            <v:group style="position:absolute;left:8020;top:6809;width:2;height:394" coordorigin="8020,6809" coordsize="2,394">
              <v:shape style="position:absolute;left:8020;top:6809;width:2;height:394" coordorigin="8020,6809" coordsize="0,394" path="m8020,6809l8020,7202e" filled="false" stroked="true" strokeweight="1.08pt" strokecolor="#d4d4d4">
                <v:path arrowok="t"/>
              </v:shape>
            </v:group>
            <v:group style="position:absolute;left:9336;top:6809;width:2;height:394" coordorigin="9336,6809" coordsize="2,394">
              <v:shape style="position:absolute;left:9336;top:6809;width:2;height:394" coordorigin="9336,6809" coordsize="0,394" path="m9336,6809l9336,7202e" filled="false" stroked="true" strokeweight="1.2pt" strokecolor="#d4d4d4">
                <v:path arrowok="t"/>
              </v:shape>
            </v:group>
            <v:group style="position:absolute;left:8030;top:6809;width:1294;height:394" coordorigin="8030,6809" coordsize="1294,394">
              <v:shape style="position:absolute;left:8030;top:6809;width:1294;height:394" coordorigin="8030,6809" coordsize="1294,394" path="m8030,7202l9324,7202,9324,6809,8030,6809,8030,7202xe" filled="true" fillcolor="#d4d4d4" stroked="false">
                <v:path arrowok="t"/>
                <v:fill type="solid"/>
              </v:shape>
            </v:group>
            <v:group style="position:absolute;left:9368;top:6809;width:2;height:394" coordorigin="9368,6809" coordsize="2,394">
              <v:shape style="position:absolute;left:9368;top:6809;width:2;height:394" coordorigin="9368,6809" coordsize="0,394" path="m9368,6809l9368,7202e" filled="false" stroked="true" strokeweight="1.08pt" strokecolor="#d4d4d4">
                <v:path arrowok="t"/>
              </v:shape>
            </v:group>
            <v:group style="position:absolute;left:10687;top:6809;width:2;height:394" coordorigin="10687,6809" coordsize="2,394">
              <v:shape style="position:absolute;left:10687;top:6809;width:2;height:394" coordorigin="10687,6809" coordsize="0,394" path="m10687,6809l10687,7202e" filled="false" stroked="true" strokeweight="1.2pt" strokecolor="#d4d4d4">
                <v:path arrowok="t"/>
              </v:shape>
            </v:group>
            <v:group style="position:absolute;left:9379;top:6809;width:1296;height:394" coordorigin="9379,6809" coordsize="1296,394">
              <v:shape style="position:absolute;left:9379;top:6809;width:1296;height:394" coordorigin="9379,6809" coordsize="1296,394" path="m9379,7202l10675,7202,10675,6809,9379,6809,9379,7202xe" filled="true" fillcolor="#d4d4d4" stroked="false">
                <v:path arrowok="t"/>
                <v:fill type="solid"/>
              </v:shape>
            </v:group>
            <v:group style="position:absolute;left:8006;top:6804;width:1340;height:2" coordorigin="8006,6804" coordsize="1340,2">
              <v:shape style="position:absolute;left:8006;top:6804;width:1340;height:2" coordorigin="8006,6804" coordsize="1340,0" path="m8006,6804l9346,6804e" filled="false" stroked="true" strokeweight=".48pt" strokecolor="#000000">
                <v:path arrowok="t"/>
              </v:shape>
            </v:group>
            <v:group style="position:absolute;left:9355;top:6804;width:1344;height:2" coordorigin="9355,6804" coordsize="1344,2">
              <v:shape style="position:absolute;left:9355;top:6804;width:1344;height:2" coordorigin="9355,6804" coordsize="1344,0" path="m9355,6804l10699,6804e" filled="false" stroked="true" strokeweight=".48pt" strokecolor="#000000">
                <v:path arrowok="t"/>
              </v:shape>
            </v:group>
            <v:group style="position:absolute;left:1138;top:7207;width:2686;height:2" coordorigin="1138,7207" coordsize="2686,2">
              <v:shape style="position:absolute;left:1138;top:7207;width:2686;height:2" coordorigin="1138,7207" coordsize="2686,0" path="m1138,7207l3823,7207e" filled="false" stroked="true" strokeweight=".48pt" strokecolor="#000000">
                <v:path arrowok="t"/>
              </v:shape>
            </v:group>
            <v:group style="position:absolute;left:3833;top:7207;width:4164;height:2" coordorigin="3833,7207" coordsize="4164,2">
              <v:shape style="position:absolute;left:3833;top:7207;width:4164;height:2" coordorigin="3833,7207" coordsize="4164,0" path="m3833,7207l7997,7207e" filled="false" stroked="true" strokeweight=".48pt" strokecolor="#000000">
                <v:path arrowok="t"/>
              </v:shape>
            </v:group>
            <v:group style="position:absolute;left:8006;top:7207;width:1340;height:2" coordorigin="8006,7207" coordsize="1340,2">
              <v:shape style="position:absolute;left:8006;top:7207;width:1340;height:2" coordorigin="8006,7207" coordsize="1340,0" path="m8006,7207l9346,7207e" filled="false" stroked="true" strokeweight=".48pt" strokecolor="#000000">
                <v:path arrowok="t"/>
              </v:shape>
            </v:group>
            <v:group style="position:absolute;left:9355;top:7207;width:1344;height:2" coordorigin="9355,7207" coordsize="1344,2">
              <v:shape style="position:absolute;left:9355;top:7207;width:1344;height:2" coordorigin="9355,7207" coordsize="1344,0" path="m9355,7207l10699,7207e" filled="false" stroked="true" strokeweight=".48pt" strokecolor="#000000">
                <v:path arrowok="t"/>
              </v:shape>
            </v:group>
            <v:group style="position:absolute;left:1138;top:7608;width:2686;height:2" coordorigin="1138,7608" coordsize="2686,2">
              <v:shape style="position:absolute;left:1138;top:7608;width:2686;height:2" coordorigin="1138,7608" coordsize="2686,0" path="m1138,7608l3823,7608e" filled="false" stroked="true" strokeweight=".481pt" strokecolor="#000000">
                <v:path arrowok="t"/>
              </v:shape>
            </v:group>
            <v:group style="position:absolute;left:3833;top:7608;width:4164;height:2" coordorigin="3833,7608" coordsize="4164,2">
              <v:shape style="position:absolute;left:3833;top:7608;width:4164;height:2" coordorigin="3833,7608" coordsize="4164,0" path="m3833,7608l7997,7608e" filled="false" stroked="true" strokeweight=".481pt" strokecolor="#000000">
                <v:path arrowok="t"/>
              </v:shape>
            </v:group>
            <v:group style="position:absolute;left:8006;top:7608;width:1340;height:2" coordorigin="8006,7608" coordsize="1340,2">
              <v:shape style="position:absolute;left:8006;top:7608;width:1340;height:2" coordorigin="8006,7608" coordsize="1340,0" path="m8006,7608l9346,7608e" filled="false" stroked="true" strokeweight=".481pt" strokecolor="#000000">
                <v:path arrowok="t"/>
              </v:shape>
            </v:group>
            <v:group style="position:absolute;left:9355;top:7608;width:1344;height:2" coordorigin="9355,7608" coordsize="1344,2">
              <v:shape style="position:absolute;left:9355;top:7608;width:1344;height:2" coordorigin="9355,7608" coordsize="1344,0" path="m9355,7608l10699,7608e" filled="false" stroked="true" strokeweight=".481pt" strokecolor="#000000">
                <v:path arrowok="t"/>
              </v:shape>
            </v:group>
            <v:group style="position:absolute;left:1138;top:8323;width:2686;height:2" coordorigin="1138,8323" coordsize="2686,2">
              <v:shape style="position:absolute;left:1138;top:8323;width:2686;height:2" coordorigin="1138,8323" coordsize="2686,0" path="m1138,8323l3823,8323e" filled="false" stroked="true" strokeweight=".48pt" strokecolor="#000000">
                <v:path arrowok="t"/>
              </v:shape>
            </v:group>
            <v:group style="position:absolute;left:3833;top:8323;width:4164;height:2" coordorigin="3833,8323" coordsize="4164,2">
              <v:shape style="position:absolute;left:3833;top:8323;width:4164;height:2" coordorigin="3833,8323" coordsize="4164,0" path="m3833,8323l7997,8323e" filled="false" stroked="true" strokeweight=".48pt" strokecolor="#000000">
                <v:path arrowok="t"/>
              </v:shape>
            </v:group>
            <v:group style="position:absolute;left:8006;top:8323;width:1340;height:2" coordorigin="8006,8323" coordsize="1340,2">
              <v:shape style="position:absolute;left:8006;top:8323;width:1340;height:2" coordorigin="8006,8323" coordsize="1340,0" path="m8006,8323l9346,8323e" filled="false" stroked="true" strokeweight=".48pt" strokecolor="#000000">
                <v:path arrowok="t"/>
              </v:shape>
            </v:group>
            <v:group style="position:absolute;left:9355;top:8323;width:1344;height:2" coordorigin="9355,8323" coordsize="1344,2">
              <v:shape style="position:absolute;left:9355;top:8323;width:1344;height:2" coordorigin="9355,8323" coordsize="1344,0" path="m9355,8323l10699,8323e" filled="false" stroked="true" strokeweight=".48pt" strokecolor="#000000">
                <v:path arrowok="t"/>
              </v:shape>
            </v:group>
            <v:group style="position:absolute;left:1138;top:8724;width:2686;height:2" coordorigin="1138,8724" coordsize="2686,2">
              <v:shape style="position:absolute;left:1138;top:8724;width:2686;height:2" coordorigin="1138,8724" coordsize="2686,0" path="m1138,8724l3823,8724e" filled="false" stroked="true" strokeweight=".481pt" strokecolor="#000000">
                <v:path arrowok="t"/>
              </v:shape>
            </v:group>
            <v:group style="position:absolute;left:3833;top:8724;width:4164;height:2" coordorigin="3833,8724" coordsize="4164,2">
              <v:shape style="position:absolute;left:3833;top:8724;width:4164;height:2" coordorigin="3833,8724" coordsize="4164,0" path="m3833,8724l7997,8724e" filled="false" stroked="true" strokeweight=".481pt" strokecolor="#000000">
                <v:path arrowok="t"/>
              </v:shape>
            </v:group>
            <v:group style="position:absolute;left:8006;top:8724;width:1340;height:2" coordorigin="8006,8724" coordsize="1340,2">
              <v:shape style="position:absolute;left:8006;top:8724;width:1340;height:2" coordorigin="8006,8724" coordsize="1340,0" path="m8006,8724l9346,8724e" filled="false" stroked="true" strokeweight=".481pt" strokecolor="#000000">
                <v:path arrowok="t"/>
              </v:shape>
            </v:group>
            <v:group style="position:absolute;left:9355;top:8724;width:1344;height:2" coordorigin="9355,8724" coordsize="1344,2">
              <v:shape style="position:absolute;left:9355;top:8724;width:1344;height:2" coordorigin="9355,8724" coordsize="1344,0" path="m9355,8724l10699,8724e" filled="false" stroked="true" strokeweight=".481pt" strokecolor="#000000">
                <v:path arrowok="t"/>
              </v:shape>
            </v:group>
            <v:group style="position:absolute;left:1138;top:9439;width:2686;height:2" coordorigin="1138,9439" coordsize="2686,2">
              <v:shape style="position:absolute;left:1138;top:9439;width:2686;height:2" coordorigin="1138,9439" coordsize="2686,0" path="m1138,9439l3823,9439e" filled="false" stroked="true" strokeweight=".48pt" strokecolor="#000000">
                <v:path arrowok="t"/>
              </v:shape>
            </v:group>
            <v:group style="position:absolute;left:3833;top:9439;width:4164;height:2" coordorigin="3833,9439" coordsize="4164,2">
              <v:shape style="position:absolute;left:3833;top:9439;width:4164;height:2" coordorigin="3833,9439" coordsize="4164,0" path="m3833,9439l7997,9439e" filled="false" stroked="true" strokeweight=".48pt" strokecolor="#000000">
                <v:path arrowok="t"/>
              </v:shape>
            </v:group>
            <v:group style="position:absolute;left:8006;top:9439;width:1340;height:2" coordorigin="8006,9439" coordsize="1340,2">
              <v:shape style="position:absolute;left:8006;top:9439;width:1340;height:2" coordorigin="8006,9439" coordsize="1340,0" path="m8006,9439l9346,9439e" filled="false" stroked="true" strokeweight=".48pt" strokecolor="#000000">
                <v:path arrowok="t"/>
              </v:shape>
            </v:group>
            <v:group style="position:absolute;left:9355;top:9439;width:1344;height:2" coordorigin="9355,9439" coordsize="1344,2">
              <v:shape style="position:absolute;left:9355;top:9439;width:1344;height:2" coordorigin="9355,9439" coordsize="1344,0" path="m9355,9439l10699,9439e" filled="false" stroked="true" strokeweight=".48pt" strokecolor="#000000">
                <v:path arrowok="t"/>
              </v:shape>
            </v:group>
            <v:group style="position:absolute;left:1138;top:10152;width:2686;height:2" coordorigin="1138,10152" coordsize="2686,2">
              <v:shape style="position:absolute;left:1138;top:10152;width:2686;height:2" coordorigin="1138,10152" coordsize="2686,0" path="m1138,10152l3823,10152e" filled="false" stroked="true" strokeweight=".48pt" strokecolor="#000000">
                <v:path arrowok="t"/>
              </v:shape>
            </v:group>
            <v:group style="position:absolute;left:3833;top:10152;width:4164;height:2" coordorigin="3833,10152" coordsize="4164,2">
              <v:shape style="position:absolute;left:3833;top:10152;width:4164;height:2" coordorigin="3833,10152" coordsize="4164,0" path="m3833,10152l7997,10152e" filled="false" stroked="true" strokeweight=".48pt" strokecolor="#000000">
                <v:path arrowok="t"/>
              </v:shape>
            </v:group>
            <v:group style="position:absolute;left:8006;top:10152;width:1340;height:2" coordorigin="8006,10152" coordsize="1340,2">
              <v:shape style="position:absolute;left:8006;top:10152;width:1340;height:2" coordorigin="8006,10152" coordsize="1340,0" path="m8006,10152l9346,10152e" filled="false" stroked="true" strokeweight=".48pt" strokecolor="#000000">
                <v:path arrowok="t"/>
              </v:shape>
            </v:group>
            <v:group style="position:absolute;left:9355;top:10152;width:1344;height:2" coordorigin="9355,10152" coordsize="1344,2">
              <v:shape style="position:absolute;left:9355;top:10152;width:1344;height:2" coordorigin="9355,10152" coordsize="1344,0" path="m9355,10152l10699,10152e" filled="false" stroked="true" strokeweight=".48pt" strokecolor="#000000">
                <v:path arrowok="t"/>
              </v:shape>
            </v:group>
            <v:group style="position:absolute;left:1138;top:10555;width:2686;height:2" coordorigin="1138,10555" coordsize="2686,2">
              <v:shape style="position:absolute;left:1138;top:10555;width:2686;height:2" coordorigin="1138,10555" coordsize="2686,0" path="m1138,10555l3823,10555e" filled="false" stroked="true" strokeweight=".48pt" strokecolor="#000000">
                <v:path arrowok="t"/>
              </v:shape>
            </v:group>
            <v:group style="position:absolute;left:3833;top:10555;width:4164;height:2" coordorigin="3833,10555" coordsize="4164,2">
              <v:shape style="position:absolute;left:3833;top:10555;width:4164;height:2" coordorigin="3833,10555" coordsize="4164,0" path="m3833,10555l7997,10555e" filled="false" stroked="true" strokeweight=".48pt" strokecolor="#000000">
                <v:path arrowok="t"/>
              </v:shape>
            </v:group>
            <v:group style="position:absolute;left:8006;top:10555;width:1340;height:2" coordorigin="8006,10555" coordsize="1340,2">
              <v:shape style="position:absolute;left:8006;top:10555;width:1340;height:2" coordorigin="8006,10555" coordsize="1340,0" path="m8006,10555l9346,10555e" filled="false" stroked="true" strokeweight=".48pt" strokecolor="#000000">
                <v:path arrowok="t"/>
              </v:shape>
            </v:group>
            <v:group style="position:absolute;left:9355;top:10555;width:1344;height:2" coordorigin="9355,10555" coordsize="1344,2">
              <v:shape style="position:absolute;left:9355;top:10555;width:1344;height:2" coordorigin="9355,10555" coordsize="1344,0" path="m9355,10555l10699,10555e" filled="false" stroked="true" strokeweight=".48pt" strokecolor="#000000">
                <v:path arrowok="t"/>
              </v:shape>
            </v:group>
            <v:group style="position:absolute;left:1138;top:10956;width:2686;height:2" coordorigin="1138,10956" coordsize="2686,2">
              <v:shape style="position:absolute;left:1138;top:10956;width:2686;height:2" coordorigin="1138,10956" coordsize="2686,0" path="m1138,10956l3823,10956e" filled="false" stroked="true" strokeweight=".481pt" strokecolor="#000000">
                <v:path arrowok="t"/>
              </v:shape>
            </v:group>
            <v:group style="position:absolute;left:3833;top:10956;width:4164;height:2" coordorigin="3833,10956" coordsize="4164,2">
              <v:shape style="position:absolute;left:3833;top:10956;width:4164;height:2" coordorigin="3833,10956" coordsize="4164,0" path="m3833,10956l7997,10956e" filled="false" stroked="true" strokeweight=".481pt" strokecolor="#000000">
                <v:path arrowok="t"/>
              </v:shape>
            </v:group>
            <v:group style="position:absolute;left:8006;top:10956;width:1340;height:2" coordorigin="8006,10956" coordsize="1340,2">
              <v:shape style="position:absolute;left:8006;top:10956;width:1340;height:2" coordorigin="8006,10956" coordsize="1340,0" path="m8006,10956l9346,10956e" filled="false" stroked="true" strokeweight=".481pt" strokecolor="#000000">
                <v:path arrowok="t"/>
              </v:shape>
            </v:group>
            <v:group style="position:absolute;left:9355;top:10956;width:1344;height:2" coordorigin="9355,10956" coordsize="1344,2">
              <v:shape style="position:absolute;left:9355;top:10956;width:1344;height:2" coordorigin="9355,10956" coordsize="1344,0" path="m9355,10956l10699,10956e" filled="false" stroked="true" strokeweight=".481pt" strokecolor="#000000">
                <v:path arrowok="t"/>
              </v:shape>
            </v:group>
            <v:group style="position:absolute;left:1138;top:11359;width:2686;height:2" coordorigin="1138,11359" coordsize="2686,2">
              <v:shape style="position:absolute;left:1138;top:11359;width:2686;height:2" coordorigin="1138,11359" coordsize="2686,0" path="m1138,11359l3823,11359e" filled="false" stroked="true" strokeweight=".481pt" strokecolor="#000000">
                <v:path arrowok="t"/>
              </v:shape>
            </v:group>
            <v:group style="position:absolute;left:3833;top:11359;width:4164;height:2" coordorigin="3833,11359" coordsize="4164,2">
              <v:shape style="position:absolute;left:3833;top:11359;width:4164;height:2" coordorigin="3833,11359" coordsize="4164,0" path="m3833,11359l7997,11359e" filled="false" stroked="true" strokeweight=".481pt" strokecolor="#000000">
                <v:path arrowok="t"/>
              </v:shape>
            </v:group>
            <v:group style="position:absolute;left:8006;top:11359;width:1340;height:2" coordorigin="8006,11359" coordsize="1340,2">
              <v:shape style="position:absolute;left:8006;top:11359;width:1340;height:2" coordorigin="8006,11359" coordsize="1340,0" path="m8006,11359l9346,11359e" filled="false" stroked="true" strokeweight=".481pt" strokecolor="#000000">
                <v:path arrowok="t"/>
              </v:shape>
            </v:group>
            <v:group style="position:absolute;left:9355;top:11359;width:1344;height:2" coordorigin="9355,11359" coordsize="1344,2">
              <v:shape style="position:absolute;left:9355;top:11359;width:1344;height:2" coordorigin="9355,11359" coordsize="1344,0" path="m9355,11359l10699,11359e" filled="false" stroked="true" strokeweight=".481pt" strokecolor="#000000">
                <v:path arrowok="t"/>
              </v:shape>
            </v:group>
            <v:group style="position:absolute;left:1138;top:11760;width:2686;height:2" coordorigin="1138,11760" coordsize="2686,2">
              <v:shape style="position:absolute;left:1138;top:11760;width:2686;height:2" coordorigin="1138,11760" coordsize="2686,0" path="m1138,11760l3823,11760e" filled="false" stroked="true" strokeweight=".48pt" strokecolor="#000000">
                <v:path arrowok="t"/>
              </v:shape>
            </v:group>
            <v:group style="position:absolute;left:3833;top:11760;width:4164;height:2" coordorigin="3833,11760" coordsize="4164,2">
              <v:shape style="position:absolute;left:3833;top:11760;width:4164;height:2" coordorigin="3833,11760" coordsize="4164,0" path="m3833,11760l7997,11760e" filled="false" stroked="true" strokeweight=".48pt" strokecolor="#000000">
                <v:path arrowok="t"/>
              </v:shape>
            </v:group>
            <v:group style="position:absolute;left:8006;top:11760;width:1340;height:2" coordorigin="8006,11760" coordsize="1340,2">
              <v:shape style="position:absolute;left:8006;top:11760;width:1340;height:2" coordorigin="8006,11760" coordsize="1340,0" path="m8006,11760l9346,11760e" filled="false" stroked="true" strokeweight=".48pt" strokecolor="#000000">
                <v:path arrowok="t"/>
              </v:shape>
            </v:group>
            <v:group style="position:absolute;left:9355;top:11760;width:1344;height:2" coordorigin="9355,11760" coordsize="1344,2">
              <v:shape style="position:absolute;left:9355;top:11760;width:1344;height:2" coordorigin="9355,11760" coordsize="1344,0" path="m9355,11760l10699,11760e" filled="false" stroked="true" strokeweight=".48pt" strokecolor="#000000">
                <v:path arrowok="t"/>
              </v:shape>
            </v:group>
            <v:group style="position:absolute;left:8002;top:6398;width:2;height:5770" coordorigin="8002,6398" coordsize="2,5770">
              <v:shape style="position:absolute;left:8002;top:6398;width:2;height:5770" coordorigin="8002,6398" coordsize="0,5770" path="m8002,6398l8002,12168e" filled="false" stroked="true" strokeweight=".48pt" strokecolor="#000000">
                <v:path arrowok="t"/>
              </v:shape>
            </v:group>
            <v:group style="position:absolute;left:9350;top:6799;width:2;height:5369" coordorigin="9350,6799" coordsize="2,5369">
              <v:shape style="position:absolute;left:9350;top:6799;width:2;height:5369" coordorigin="9350,6799" coordsize="0,5369" path="m9350,6799l9350,12168e" filled="false" stroked="true" strokeweight=".48pt" strokecolor="#000000">
                <v:path arrowok="t"/>
              </v:shape>
            </v:group>
            <v:group style="position:absolute;left:1151;top:12168;width:2;height:1328" coordorigin="1151,12168" coordsize="2,1328">
              <v:shape style="position:absolute;left:1151;top:12168;width:2;height:1328" coordorigin="1151,12168" coordsize="0,1328" path="m1151,12168l1151,13495e" filled="false" stroked="true" strokeweight="1.08pt" strokecolor="#d4d4d4">
                <v:path arrowok="t"/>
              </v:shape>
            </v:group>
            <v:group style="position:absolute;left:3811;top:12168;width:2;height:1328" coordorigin="3811,12168" coordsize="2,1328">
              <v:shape style="position:absolute;left:3811;top:12168;width:2;height:1328" coordorigin="3811,12168" coordsize="0,1328" path="m3811,12168l3811,13495e" filled="false" stroked="true" strokeweight="1.2pt" strokecolor="#d4d4d4">
                <v:path arrowok="t"/>
              </v:shape>
            </v:group>
            <v:group style="position:absolute;left:1162;top:12168;width:2638;height:353" coordorigin="1162,12168" coordsize="2638,353">
              <v:shape style="position:absolute;left:1162;top:12168;width:2638;height:353" coordorigin="1162,12168" coordsize="2638,353" path="m1162,12521l3799,12521,3799,12168,1162,12168,1162,12521xe" filled="true" fillcolor="#d4d4d4" stroked="false">
                <v:path arrowok="t"/>
                <v:fill type="solid"/>
              </v:shape>
            </v:group>
            <v:group style="position:absolute;left:1162;top:12521;width:2638;height:312" coordorigin="1162,12521" coordsize="2638,312">
              <v:shape style="position:absolute;left:1162;top:12521;width:2638;height:312" coordorigin="1162,12521" coordsize="2638,312" path="m1162,12833l3799,12833,3799,12521,1162,12521,1162,12833xe" filled="true" fillcolor="#d4d4d4" stroked="false">
                <v:path arrowok="t"/>
                <v:fill type="solid"/>
              </v:shape>
            </v:group>
            <v:group style="position:absolute;left:1162;top:12833;width:2638;height:312" coordorigin="1162,12833" coordsize="2638,312">
              <v:shape style="position:absolute;left:1162;top:12833;width:2638;height:312" coordorigin="1162,12833" coordsize="2638,312" path="m1162,13145l3799,13145,3799,12833,1162,12833,1162,13145xe" filled="true" fillcolor="#d4d4d4" stroked="false">
                <v:path arrowok="t"/>
                <v:fill type="solid"/>
              </v:shape>
            </v:group>
            <v:group style="position:absolute;left:1162;top:13145;width:2638;height:351" coordorigin="1162,13145" coordsize="2638,351">
              <v:shape style="position:absolute;left:1162;top:13145;width:2638;height:351" coordorigin="1162,13145" coordsize="2638,351" path="m1162,13495l3799,13495,3799,13145,1162,13145,1162,13495xe" filled="true" fillcolor="#d4d4d4" stroked="false">
                <v:path arrowok="t"/>
                <v:fill type="solid"/>
              </v:shape>
            </v:group>
            <v:group style="position:absolute;left:1138;top:12163;width:2686;height:2" coordorigin="1138,12163" coordsize="2686,2">
              <v:shape style="position:absolute;left:1138;top:12163;width:2686;height:2" coordorigin="1138,12163" coordsize="2686,0" path="m1138,12163l3823,12163e" filled="false" stroked="true" strokeweight=".48pt" strokecolor="#000000">
                <v:path arrowok="t"/>
              </v:shape>
            </v:group>
            <v:group style="position:absolute;left:3833;top:12163;width:4164;height:2" coordorigin="3833,12163" coordsize="4164,2">
              <v:shape style="position:absolute;left:3833;top:12163;width:4164;height:2" coordorigin="3833,12163" coordsize="4164,0" path="m3833,12163l7997,12163e" filled="false" stroked="true" strokeweight=".48pt" strokecolor="#000000">
                <v:path arrowok="t"/>
              </v:shape>
            </v:group>
            <v:group style="position:absolute;left:8006;top:12163;width:1340;height:2" coordorigin="8006,12163" coordsize="1340,2">
              <v:shape style="position:absolute;left:8006;top:12163;width:1340;height:2" coordorigin="8006,12163" coordsize="1340,0" path="m8006,12163l9346,12163e" filled="false" stroked="true" strokeweight=".48pt" strokecolor="#000000">
                <v:path arrowok="t"/>
              </v:shape>
            </v:group>
            <v:group style="position:absolute;left:9355;top:12163;width:1344;height:2" coordorigin="9355,12163" coordsize="1344,2">
              <v:shape style="position:absolute;left:9355;top:12163;width:1344;height:2" coordorigin="9355,12163" coordsize="1344,0" path="m9355,12163l10699,12163e" filled="false" stroked="true" strokeweight=".48pt" strokecolor="#000000">
                <v:path arrowok="t"/>
              </v:shape>
            </v:group>
            <v:group style="position:absolute;left:1140;top:13505;width:2684;height:312" coordorigin="1140,13505" coordsize="2684,312">
              <v:shape style="position:absolute;left:1140;top:13505;width:2684;height:312" coordorigin="1140,13505" coordsize="2684,312" path="m1140,13817l3823,13817,3823,13505,1140,13505,1140,13817xe" filled="true" fillcolor="#d4d4d4" stroked="false">
                <v:path arrowok="t"/>
                <v:fill type="solid"/>
              </v:shape>
            </v:group>
            <v:group style="position:absolute;left:1151;top:13817;width:2;height:706" coordorigin="1151,13817" coordsize="2,706">
              <v:shape style="position:absolute;left:1151;top:13817;width:2;height:706" coordorigin="1151,13817" coordsize="0,706" path="m1151,13817l1151,14522e" filled="false" stroked="true" strokeweight="1.08pt" strokecolor="#d4d4d4">
                <v:path arrowok="t"/>
              </v:shape>
            </v:group>
            <v:group style="position:absolute;left:3811;top:13817;width:2;height:706" coordorigin="3811,13817" coordsize="2,706">
              <v:shape style="position:absolute;left:3811;top:13817;width:2;height:706" coordorigin="3811,13817" coordsize="0,706" path="m3811,13817l3811,14522e" filled="false" stroked="true" strokeweight="1.2pt" strokecolor="#d4d4d4">
                <v:path arrowok="t"/>
              </v:shape>
            </v:group>
            <v:group style="position:absolute;left:1140;top:14522;width:2684;height:312" coordorigin="1140,14522" coordsize="2684,312">
              <v:shape style="position:absolute;left:1140;top:14522;width:2684;height:312" coordorigin="1140,14522" coordsize="2684,312" path="m1140,14834l3823,14834,3823,14522,1140,14522,1140,14834xe" filled="true" fillcolor="#d4d4d4" stroked="false">
                <v:path arrowok="t"/>
                <v:fill type="solid"/>
              </v:shape>
            </v:group>
            <v:group style="position:absolute;left:1162;top:13817;width:2638;height:353" coordorigin="1162,13817" coordsize="2638,353">
              <v:shape style="position:absolute;left:1162;top:13817;width:2638;height:353" coordorigin="1162,13817" coordsize="2638,353" path="m1162,14170l3799,14170,3799,13817,1162,13817,1162,14170xe" filled="true" fillcolor="#d4d4d4" stroked="false">
                <v:path arrowok="t"/>
                <v:fill type="solid"/>
              </v:shape>
            </v:group>
            <v:group style="position:absolute;left:1162;top:14170;width:2638;height:353" coordorigin="1162,14170" coordsize="2638,353">
              <v:shape style="position:absolute;left:1162;top:14170;width:2638;height:353" coordorigin="1162,14170" coordsize="2638,353" path="m1162,14522l3799,14522,3799,14170,1162,14170,1162,14522xe" filled="true" fillcolor="#d4d4d4" stroked="false">
                <v:path arrowok="t"/>
                <v:fill type="solid"/>
              </v:shape>
            </v:group>
            <v:group style="position:absolute;left:1138;top:13500;width:2686;height:2" coordorigin="1138,13500" coordsize="2686,2">
              <v:shape style="position:absolute;left:1138;top:13500;width:2686;height:2" coordorigin="1138,13500" coordsize="2686,0" path="m1138,13500l3823,13500e" filled="false" stroked="true" strokeweight=".48pt" strokecolor="#000000">
                <v:path arrowok="t"/>
              </v:shape>
            </v:group>
            <v:group style="position:absolute;left:3833;top:13500;width:6867;height:2" coordorigin="3833,13500" coordsize="6867,2">
              <v:shape style="position:absolute;left:3833;top:13500;width:6867;height:2" coordorigin="3833,13500" coordsize="6867,0" path="m3833,13500l10699,13500e" filled="false" stroked="true" strokeweight=".48pt" strokecolor="#000000">
                <v:path arrowok="t"/>
              </v:shape>
            </v:group>
            <v:group style="position:absolute;left:1133;top:1440;width:2;height:13404" coordorigin="1133,1440" coordsize="2,13404">
              <v:shape style="position:absolute;left:1133;top:1440;width:2;height:13404" coordorigin="1133,1440" coordsize="0,13404" path="m1133,1440l1133,14844e" filled="false" stroked="true" strokeweight=".48pt" strokecolor="#000000">
                <v:path arrowok="t"/>
              </v:shape>
            </v:group>
            <v:group style="position:absolute;left:1138;top:14839;width:2686;height:2" coordorigin="1138,14839" coordsize="2686,2">
              <v:shape style="position:absolute;left:1138;top:14839;width:2686;height:2" coordorigin="1138,14839" coordsize="2686,0" path="m1138,14839l3823,14839e" filled="false" stroked="true" strokeweight=".48pt" strokecolor="#000000">
                <v:path arrowok="t"/>
              </v:shape>
            </v:group>
            <v:group style="position:absolute;left:3828;top:6398;width:2;height:8446" coordorigin="3828,6398" coordsize="2,8446">
              <v:shape style="position:absolute;left:3828;top:6398;width:2;height:8446" coordorigin="3828,6398" coordsize="0,8446" path="m3828,6398l3828,14844e" filled="false" stroked="true" strokeweight=".48pt" strokecolor="#000000">
                <v:path arrowok="t"/>
              </v:shape>
            </v:group>
            <v:group style="position:absolute;left:3833;top:14839;width:6867;height:2" coordorigin="3833,14839" coordsize="6867,2">
              <v:shape style="position:absolute;left:3833;top:14839;width:6867;height:2" coordorigin="3833,14839" coordsize="6867,0" path="m3833,14839l10699,14839e" filled="false" stroked="true" strokeweight=".48pt" strokecolor="#000000">
                <v:path arrowok="t"/>
              </v:shape>
            </v:group>
            <v:group style="position:absolute;left:10704;top:1440;width:2;height:13404" coordorigin="10704,1440" coordsize="2,13404">
              <v:shape style="position:absolute;left:10704;top:1440;width:2;height:13404" coordorigin="10704,1440" coordsize="0,13404" path="m10704,1440l10704,14844e" filled="false" stroked="true" strokeweight=".48pt" strokecolor="#000000">
                <v:path arrowok="t"/>
              </v:shape>
            </v:group>
            <w10:wrap type="none"/>
          </v:group>
        </w:pict>
      </w:r>
    </w:p>
    <w:p>
      <w:pPr>
        <w:pStyle w:val="BodyText"/>
        <w:spacing w:line="240" w:lineRule="auto" w:before="44"/>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报告期内，出任公司董事长兼总经理</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6"/>
        <w:gridCol w:w="2122"/>
        <w:gridCol w:w="41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报告期内，出任公司董事长兼总经理</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景晓军自公司上市至今，一直为公司的控股股东、实际控制人</w:t>
            </w:r>
          </w:p>
        </w:tc>
      </w:tr>
    </w:tbl>
    <w:p>
      <w:pPr>
        <w:pStyle w:val="BodyText"/>
        <w:spacing w:line="240" w:lineRule="auto" w:before="68"/>
        <w:ind w:right="0"/>
        <w:jc w:val="left"/>
      </w:pPr>
      <w:r>
        <w:rPr/>
        <w:t>实际控制人报告期内变更</w:t>
      </w:r>
    </w:p>
    <w:p>
      <w:pPr>
        <w:pStyle w:val="BodyText"/>
        <w:spacing w:line="348"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4005" w:lineRule="exact"/>
        <w:ind w:left="1362"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590172" cy="25431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4590172" cy="2543175"/>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9"/>
        <w:rPr>
          <w:rFonts w:ascii="宋体" w:hAnsi="宋体" w:cs="宋体" w:eastAsia="宋体" w:hint="default"/>
          <w:sz w:val="20"/>
          <w:szCs w:val="20"/>
        </w:rPr>
      </w:pPr>
    </w:p>
    <w:p>
      <w:pPr>
        <w:pStyle w:val="Heading4"/>
        <w:spacing w:line="240" w:lineRule="auto" w:before="36"/>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第七节 优先股相关情况" w:id="113"/>
      <w:bookmarkEnd w:id="113"/>
      <w:r>
        <w:rPr>
          <w:b w:val="0"/>
          <w:bCs w:val="0"/>
        </w:rPr>
      </w:r>
      <w:bookmarkStart w:name="_bookmark6" w:id="114"/>
      <w:bookmarkEnd w:id="114"/>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第八节 董事、监事、高级管理人员和员工情况" w:id="115"/>
      <w:bookmarkEnd w:id="115"/>
      <w:r>
        <w:rPr>
          <w:b w:val="0"/>
          <w:bCs w:val="0"/>
        </w:rPr>
      </w:r>
      <w:bookmarkStart w:name="_bookmark7" w:id="116"/>
      <w:bookmarkEnd w:id="116"/>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240" w:lineRule="auto" w:before="44"/>
        <w:ind w:left="0" w:right="2642"/>
        <w:jc w:val="right"/>
      </w:pPr>
      <w:r>
        <w:rPr/>
        <w:pict>
          <v:shape style="position:absolute;margin-left:56.400002pt;margin-top:-24.129295pt;width:484.1pt;height:536.050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710"/>
                    <w:gridCol w:w="566"/>
                    <w:gridCol w:w="425"/>
                    <w:gridCol w:w="425"/>
                    <w:gridCol w:w="1135"/>
                    <w:gridCol w:w="1133"/>
                    <w:gridCol w:w="994"/>
                    <w:gridCol w:w="991"/>
                    <w:gridCol w:w="64"/>
                    <w:gridCol w:w="788"/>
                    <w:gridCol w:w="708"/>
                    <w:gridCol w:w="1020"/>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8"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2"/>
                            <w:sz w:val="18"/>
                            <w:szCs w:val="18"/>
                          </w:rPr>
                          <w:t>份数量（股</w:t>
                        </w:r>
                      </w:p>
                    </w:tc>
                    <w:tc>
                      <w:tcPr>
                        <w:tcW w:w="64" w:type="dxa"/>
                        <w:tcBorders>
                          <w:top w:val="single" w:sz="4" w:space="0" w:color="000000"/>
                          <w:left w:val="single" w:sz="4" w:space="0" w:color="000000"/>
                          <w:bottom w:val="single" w:sz="4" w:space="0" w:color="000000"/>
                          <w:right w:val="nil" w:sz="6" w:space="0" w:color="auto"/>
                        </w:tcBorders>
                        <w:shd w:val="clear" w:color="auto" w:fill="D4D4D4"/>
                      </w:tcPr>
                      <w:p>
                        <w:pPr/>
                      </w:p>
                    </w:tc>
                    <w:tc>
                      <w:tcPr>
                        <w:tcW w:w="788"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316" w:lineRule="auto" w:before="49"/>
                          <w:ind w:left="1"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60,460,800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60,460,800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120,921,600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景晓东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1,128,000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1,128,000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2,256,000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古元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660,000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付昭阳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闵锐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独董</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肖建军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独董</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师召辉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300,800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601,600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翁长文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何小荣</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沈智杰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601,600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601,600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1,203,200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960,000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孙文杰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1" w:right="77" w:hanging="180"/>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张冰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2" w:right="77" w:hanging="92"/>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63,387,200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63,391,200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126,732,400</w:t>
                        </w: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8"/>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49"/>
        <w:gridCol w:w="1346"/>
        <w:gridCol w:w="1349"/>
        <w:gridCol w:w="1656"/>
        <w:gridCol w:w="3996"/>
      </w:tblGrid>
      <w:tr>
        <w:trPr>
          <w:trHeight w:val="401" w:hRule="exact"/>
        </w:trPr>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二、公司董事、监事、高级管理人员变动情况" w:id="118"/>
            <w:bookmarkEnd w:id="118"/>
            <w:r>
              <w:rPr/>
            </w:r>
            <w:r>
              <w:rPr>
                <w:rFonts w:ascii="宋体" w:hAnsi="宋体" w:cs="宋体" w:eastAsia="宋体" w:hint="default"/>
                <w:sz w:val="18"/>
                <w:szCs w:val="18"/>
              </w:rPr>
              <w:t>姓名</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87"/>
              <w:jc w:val="right"/>
              <w:rPr>
                <w:rFonts w:ascii="宋体" w:hAnsi="宋体" w:cs="宋体" w:eastAsia="宋体" w:hint="default"/>
                <w:sz w:val="18"/>
                <w:szCs w:val="18"/>
              </w:rPr>
            </w:pPr>
            <w:r>
              <w:rPr>
                <w:rFonts w:ascii="宋体" w:hAnsi="宋体" w:cs="宋体" w:eastAsia="宋体" w:hint="default"/>
                <w:sz w:val="18"/>
                <w:szCs w:val="18"/>
              </w:rPr>
              <w:t>类型</w:t>
            </w:r>
          </w:p>
        </w:tc>
        <w:tc>
          <w:tcPr>
            <w:tcW w:w="1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付昭阳</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7"/>
              <w:jc w:val="right"/>
              <w:rPr>
                <w:rFonts w:ascii="宋体" w:hAnsi="宋体" w:cs="宋体" w:eastAsia="宋体" w:hint="default"/>
                <w:sz w:val="18"/>
                <w:szCs w:val="18"/>
              </w:rPr>
            </w:pPr>
            <w:r>
              <w:rPr>
                <w:rFonts w:ascii="宋体" w:hAnsi="宋体" w:cs="宋体" w:eastAsia="宋体" w:hint="default"/>
                <w:sz w:val="18"/>
                <w:szCs w:val="18"/>
              </w:rPr>
              <w:t>离任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个人原因，主动离职</w:t>
            </w:r>
          </w:p>
        </w:tc>
      </w:tr>
    </w:tbl>
    <w:p>
      <w:pPr>
        <w:spacing w:line="240" w:lineRule="auto" w:before="1"/>
        <w:rPr>
          <w:rFonts w:ascii="宋体" w:hAnsi="宋体" w:cs="宋体" w:eastAsia="宋体" w:hint="default"/>
          <w:b/>
          <w:bCs/>
          <w:sz w:val="18"/>
          <w:szCs w:val="18"/>
        </w:rPr>
      </w:pPr>
    </w:p>
    <w:p>
      <w:pPr>
        <w:pStyle w:val="Heading2"/>
        <w:spacing w:line="240" w:lineRule="auto" w:before="26"/>
        <w:ind w:right="98"/>
        <w:jc w:val="left"/>
        <w:rPr>
          <w:b w:val="0"/>
          <w:bCs w:val="0"/>
        </w:rPr>
      </w:pPr>
      <w:bookmarkStart w:name="三、任职情况" w:id="119"/>
      <w:bookmarkEnd w:id="119"/>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公司现任董事、监事、高级管理人员专业背景、主要工作经历以及目前在公司的主要职责</w:t>
      </w:r>
    </w:p>
    <w:p>
      <w:pPr>
        <w:pStyle w:val="BodyText"/>
        <w:spacing w:line="309" w:lineRule="auto" w:before="117"/>
        <w:ind w:right="98"/>
        <w:jc w:val="left"/>
      </w:pPr>
      <w:r>
        <w:rPr/>
        <w:t>（一）、董事： </w:t>
      </w:r>
      <w:r>
        <w:rPr>
          <w:rFonts w:ascii="Times New Roman" w:hAnsi="Times New Roman" w:cs="Times New Roman" w:eastAsia="Times New Roman" w:hint="default"/>
          <w:spacing w:val="-2"/>
        </w:rPr>
        <w:t>1</w:t>
      </w:r>
      <w:r>
        <w:rPr>
          <w:spacing w:val="-2"/>
        </w:rPr>
        <w:t>、景晓军先生：</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月至今任职于任子行，现任公司董事长、总经理。主要职责：主持股东大会，召集、主持董事会会</w:t>
      </w:r>
      <w:r>
        <w:rPr>
          <w:spacing w:val="-62"/>
        </w:rPr>
        <w:t> </w:t>
      </w:r>
      <w:r>
        <w:rPr>
          <w:spacing w:val="-62"/>
        </w:rPr>
      </w:r>
      <w:r>
        <w:rPr>
          <w:spacing w:val="-2"/>
        </w:rPr>
        <w:t>议；督促、检查董事会会议决议的执行；行使法定代表人的职权；在权限范围内决定公司的对外投资、购买出售资产、关联</w:t>
      </w:r>
      <w:r>
        <w:rPr>
          <w:spacing w:val="-68"/>
        </w:rPr>
        <w:t> </w:t>
      </w:r>
      <w:r>
        <w:rPr>
          <w:spacing w:val="-68"/>
        </w:rPr>
      </w:r>
      <w:r>
        <w:rPr/>
        <w:t>交易等事项。 </w:t>
      </w:r>
      <w:r>
        <w:rPr>
          <w:rFonts w:ascii="Times New Roman" w:hAnsi="Times New Roman" w:cs="Times New Roman" w:eastAsia="Times New Roman" w:hint="default"/>
        </w:rPr>
        <w:t>2</w:t>
      </w:r>
      <w:r>
        <w:rPr/>
        <w:t>、景晓东先生：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月至今任任网游执行董事兼总经理，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月至今任公司董事。主要职责：出席公司董事会会议 并对董事会会议审议事项进行表决；审议公司的定期报告并签署书面确认意见，保证公司信息披露的真实、准确、完整； </w:t>
      </w:r>
      <w:r>
        <w:rPr>
          <w:rFonts w:ascii="Times New Roman" w:hAnsi="Times New Roman" w:cs="Times New Roman" w:eastAsia="Times New Roman" w:hint="default"/>
        </w:rPr>
        <w:t>3</w:t>
      </w:r>
      <w:r>
        <w:rPr/>
        <w:t>、古元先生：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月始就职于深圳市任子行网络技术有限公司，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月至今任公司董事。主要职责：主要职责：出 </w:t>
      </w:r>
      <w:r>
        <w:rPr>
          <w:spacing w:val="-4"/>
        </w:rPr>
        <w:t>席公司董事会会议并对董事会会议审议事项进行表决；审议公司的定期报告并签署书面确认意见，保证公司信息披露的真实、</w:t>
      </w:r>
      <w:r>
        <w:rPr>
          <w:spacing w:val="-44"/>
        </w:rPr>
        <w:t> </w:t>
      </w:r>
      <w:r>
        <w:rPr>
          <w:spacing w:val="-44"/>
        </w:rPr>
      </w:r>
      <w:r>
        <w:rPr/>
        <w:t>准确、完整； </w:t>
      </w:r>
      <w:r>
        <w:rPr>
          <w:rFonts w:ascii="Times New Roman" w:hAnsi="Times New Roman" w:cs="Times New Roman" w:eastAsia="Times New Roman" w:hint="default"/>
          <w:spacing w:val="-2"/>
        </w:rPr>
        <w:t>4</w:t>
      </w:r>
      <w:r>
        <w:rPr>
          <w:spacing w:val="-2"/>
        </w:rPr>
        <w:t>、闵锐女士：</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月为深圳日正会计师事务所合伙人，现为深圳众环会计师事务所合伙人、副所长，</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2</w:t>
      </w:r>
      <w:r>
        <w:rPr/>
        <w:t>月至今任公司独立董事。主要职责：出席公司董事会会议、股东大会，对董事会会议审议事项进行表决，在权限范围内 对相关事项发表独立意见。 </w:t>
      </w:r>
      <w:r>
        <w:rPr>
          <w:rFonts w:ascii="Times New Roman" w:hAnsi="Times New Roman" w:cs="Times New Roman" w:eastAsia="Times New Roman" w:hint="default"/>
          <w:spacing w:val="-2"/>
        </w:rPr>
        <w:t>5</w:t>
      </w:r>
      <w:r>
        <w:rPr>
          <w:spacing w:val="-2"/>
        </w:rPr>
        <w:t>、肖建军先生：</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月至今任深圳市美银投资管理有限公司执行董事；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月任五矿证券有限公司投资</w:t>
      </w:r>
      <w:r>
        <w:rPr>
          <w:spacing w:val="-57"/>
        </w:rPr>
        <w:t> </w:t>
      </w:r>
      <w:r>
        <w:rPr>
          <w:spacing w:val="-57"/>
        </w:rPr>
      </w:r>
      <w:r>
        <w:rPr/>
        <w:t>咨询部总经理；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月日至今任公司独立董事。主要职责：出席公司董事会会议、股东大会，对董事会会议审议事项进 行表决，在权限范围内对相关事项发表独立意见。</w:t>
      </w:r>
    </w:p>
    <w:p>
      <w:pPr>
        <w:pStyle w:val="BodyText"/>
        <w:spacing w:line="309" w:lineRule="auto" w:before="24"/>
        <w:ind w:left="153" w:right="183"/>
        <w:jc w:val="left"/>
      </w:pPr>
      <w:r>
        <w:rPr/>
        <w:t>（二）、监事： </w:t>
      </w:r>
      <w:r>
        <w:rPr>
          <w:rFonts w:ascii="Times New Roman" w:hAnsi="Times New Roman" w:cs="Times New Roman" w:eastAsia="Times New Roman" w:hint="default"/>
          <w:spacing w:val="-2"/>
        </w:rPr>
        <w:t>1</w:t>
      </w:r>
      <w:r>
        <w:rPr>
          <w:spacing w:val="-2"/>
        </w:rPr>
        <w:t>、师召辉先生：</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月，先后担任任子行有限专用产品事业部总经理、副总经理；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月至今任公司监</w:t>
      </w:r>
      <w:r>
        <w:rPr>
          <w:spacing w:val="-56"/>
        </w:rPr>
        <w:t> </w:t>
      </w:r>
      <w:r>
        <w:rPr>
          <w:spacing w:val="-56"/>
        </w:rPr>
      </w:r>
      <w:r>
        <w:rPr>
          <w:spacing w:val="-2"/>
        </w:rPr>
        <w:t>事。主要职责：检查公司财务，对公司定期报告发表意见；对董事和高级管理人员执行公司职务的行为进行监督；列席公司</w:t>
      </w:r>
      <w:r>
        <w:rPr>
          <w:spacing w:val="-67"/>
        </w:rPr>
        <w:t> </w:t>
      </w:r>
      <w:r>
        <w:rPr>
          <w:spacing w:val="-67"/>
        </w:rPr>
      </w:r>
      <w:r>
        <w:rPr/>
        <w:t>股东大会、董事会会议。 </w:t>
      </w:r>
      <w:r>
        <w:rPr>
          <w:rFonts w:ascii="Times New Roman" w:hAnsi="Times New Roman" w:cs="Times New Roman" w:eastAsia="Times New Roman" w:hint="default"/>
        </w:rPr>
        <w:t>2</w:t>
      </w:r>
      <w:r>
        <w:rPr/>
        <w:t>、何小荣先生：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月至今任公司研发管理部经理；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月至今任公司监事。主要职责：检查公司财务，对公司定 期报告发表意见；对董事和高级管理人员执行公司职务的行为进行监督；列席公司股东大会、董事会会议。 </w:t>
      </w:r>
      <w:r>
        <w:rPr>
          <w:rFonts w:ascii="Times New Roman" w:hAnsi="Times New Roman" w:cs="Times New Roman" w:eastAsia="Times New Roman" w:hint="default"/>
          <w:spacing w:val="-2"/>
        </w:rPr>
        <w:t>3</w:t>
      </w:r>
      <w:r>
        <w:rPr>
          <w:spacing w:val="-2"/>
        </w:rPr>
        <w:t>、翁长文先生：</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月至今就职于任子行网络技术股份有限公司，现任公司业务中心技术主管。主要职责：检查公司财</w:t>
      </w:r>
      <w:r>
        <w:rPr>
          <w:spacing w:val="-64"/>
        </w:rPr>
        <w:t> </w:t>
      </w:r>
      <w:r>
        <w:rPr>
          <w:spacing w:val="-64"/>
        </w:rPr>
      </w:r>
      <w:r>
        <w:rPr/>
        <w:t>务，对公司定期报告发表意见；对董事和高级管理人员执行公司职务的行为进行监督；列席公司股东大会、董事会会议。</w:t>
      </w:r>
    </w:p>
    <w:p>
      <w:pPr>
        <w:pStyle w:val="BodyText"/>
        <w:spacing w:line="312" w:lineRule="auto" w:before="24"/>
        <w:ind w:left="153" w:right="98"/>
        <w:jc w:val="left"/>
      </w:pPr>
      <w:r>
        <w:rPr/>
        <w:t>（三）、高级管理人员： </w:t>
      </w:r>
      <w:r>
        <w:rPr>
          <w:rFonts w:ascii="Times New Roman" w:hAnsi="Times New Roman" w:cs="Times New Roman" w:eastAsia="Times New Roman" w:hint="default"/>
        </w:rPr>
        <w:t>1</w:t>
      </w:r>
      <w:r>
        <w:rPr/>
        <w:t>、景晓军先生，公司总经理，其工作经历见上述</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。主要职责：主持公司生产经营管理工作，组织实施董事 </w:t>
      </w:r>
      <w:r>
        <w:rPr>
          <w:spacing w:val="-4"/>
        </w:rPr>
        <w:t>会会议决议，并向董事会报告；组织实施公司的年度经营计划和投资方案；提请董事会聘任和解聘公司副总经理和财务总监；</w:t>
      </w:r>
      <w:r>
        <w:rPr>
          <w:spacing w:val="-44"/>
        </w:rPr>
        <w:t> </w:t>
      </w:r>
      <w:r>
        <w:rPr>
          <w:spacing w:val="-44"/>
        </w:rPr>
      </w:r>
      <w:r>
        <w:rPr/>
        <w:t>决定公司的内部管理机构设置方案，制定公司的基本管理制度和具体规章。</w:t>
      </w:r>
    </w:p>
    <w:p>
      <w:pPr>
        <w:pStyle w:val="BodyText"/>
        <w:spacing w:line="309" w:lineRule="auto" w:before="22"/>
        <w:ind w:left="153" w:right="98"/>
        <w:jc w:val="left"/>
      </w:pPr>
      <w:r>
        <w:rPr>
          <w:rFonts w:ascii="Times New Roman" w:hAnsi="Times New Roman" w:cs="Times New Roman" w:eastAsia="Times New Roman" w:hint="default"/>
        </w:rPr>
        <w:t>2</w:t>
      </w:r>
      <w:r>
        <w:rPr/>
        <w:t>、沈智杰先生：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月在深圳市任子行网络技术有限任技术总监；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月至今任公司副总经理兼研发中 心总经理。主要职责：协助总经理工作，组织、监督公司各项规划和计划的实施。 </w:t>
      </w:r>
      <w:r>
        <w:rPr>
          <w:rFonts w:ascii="Times New Roman" w:hAnsi="Times New Roman" w:cs="Times New Roman" w:eastAsia="Times New Roman" w:hint="default"/>
          <w:spacing w:val="-2"/>
        </w:rPr>
        <w:t>3</w:t>
      </w:r>
      <w:r>
        <w:rPr>
          <w:spacing w:val="-2"/>
        </w:rPr>
        <w:t>、李工先生：</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月，任黑龙江斯达浩普系统工程有限公司总经理；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月加入公司，现任公司副总经</w:t>
      </w:r>
      <w:r>
        <w:rPr>
          <w:spacing w:val="-56"/>
        </w:rPr>
        <w:t> </w:t>
      </w:r>
      <w:r>
        <w:rPr>
          <w:spacing w:val="-56"/>
        </w:rPr>
      </w:r>
      <w:r>
        <w:rPr/>
        <w:t>理。主要职责：协助总经理工作，组织、监督公司各项规划和计划的实施。 </w:t>
      </w:r>
      <w:r>
        <w:rPr>
          <w:rFonts w:ascii="Times New Roman" w:hAnsi="Times New Roman" w:cs="Times New Roman" w:eastAsia="Times New Roman" w:hint="default"/>
          <w:spacing w:val="-2"/>
        </w:rPr>
        <w:t>4</w:t>
      </w:r>
      <w:r>
        <w:rPr>
          <w:spacing w:val="-2"/>
        </w:rPr>
        <w:t>、孙文杰女士：</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月先后在深圳市惠程电气股份有限公司财务部、审计部工作，</w:t>
      </w:r>
      <w:r>
        <w:rPr>
          <w:rFonts w:ascii="Times New Roman" w:hAnsi="Times New Roman" w:cs="Times New Roman" w:eastAsia="Times New Roman" w:hint="default"/>
          <w:spacing w:val="-2"/>
        </w:rPr>
        <w:t>2010</w:t>
      </w:r>
      <w:r>
        <w:rPr>
          <w:spacing w:val="-2"/>
        </w:rPr>
        <w:t>年始任内审负责人。</w:t>
      </w:r>
    </w:p>
    <w:p>
      <w:pPr>
        <w:pStyle w:val="BodyText"/>
        <w:spacing w:line="307" w:lineRule="auto" w:before="5"/>
        <w:ind w:left="154" w:right="18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月加入公司，现任公司财务总监。主要职责：全面负责公司财务中心工作，定期或不定期向总经理、董事会、监事 会报告工作。 </w:t>
      </w:r>
      <w:r>
        <w:rPr>
          <w:rFonts w:ascii="Times New Roman" w:hAnsi="Times New Roman" w:cs="Times New Roman" w:eastAsia="Times New Roman" w:hint="default"/>
          <w:spacing w:val="-2"/>
        </w:rPr>
        <w:t>5</w:t>
      </w:r>
      <w:r>
        <w:rPr>
          <w:spacing w:val="-2"/>
        </w:rPr>
        <w:t>、张冰先生：</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月加入公司，历任公司证券事务代表、证券投资部经理，现任公司董事会秘书。主要职责：组织筹备</w:t>
      </w:r>
      <w:r>
        <w:rPr>
          <w:spacing w:val="-69"/>
        </w:rPr>
        <w:t> </w:t>
      </w:r>
      <w:r>
        <w:rPr>
          <w:spacing w:val="-69"/>
        </w:rPr>
      </w:r>
      <w:r>
        <w:rPr/>
        <w:t>参加公司董事会会议、股东大会，参加公司监事会会议和高级经理会议；组织协调管理公司信息披露事务等。</w:t>
      </w:r>
    </w:p>
    <w:p>
      <w:pPr>
        <w:spacing w:after="0" w:line="307"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8"/>
        <w:jc w:val="left"/>
      </w:pPr>
      <w:r>
        <w:rPr/>
        <w:t>在股东单位任职情况</w:t>
      </w:r>
    </w:p>
    <w:p>
      <w:pPr>
        <w:pStyle w:val="BodyText"/>
        <w:spacing w:line="240" w:lineRule="auto" w:before="117"/>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2894"/>
        <w:gridCol w:w="991"/>
        <w:gridCol w:w="1560"/>
        <w:gridCol w:w="1560"/>
        <w:gridCol w:w="134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8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新余市华信远景投资咨询有限公司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0"/>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1" w:right="29"/>
              <w:jc w:val="center"/>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除此之外，公司其他董事、监事及高级管理人员不存在在股东单位任职情况。并且，以上董事兼职情况不 影响其作为公司董事的时间投入以及对公司真实情况的了解。如上表所示，景晓军先生所在兼职单位与公 司不存在任何利益冲突。</w:t>
            </w:r>
          </w:p>
        </w:tc>
      </w:tr>
    </w:tbl>
    <w:p>
      <w:pPr>
        <w:pStyle w:val="BodyText"/>
        <w:spacing w:line="240" w:lineRule="auto" w:before="49"/>
        <w:ind w:right="98"/>
        <w:jc w:val="left"/>
      </w:pPr>
      <w:r>
        <w:rPr/>
        <w:t>在其他单位任职情况</w:t>
      </w:r>
    </w:p>
    <w:p>
      <w:pPr>
        <w:pStyle w:val="BodyText"/>
        <w:spacing w:line="240" w:lineRule="auto" w:before="115"/>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594"/>
        <w:gridCol w:w="1274"/>
        <w:gridCol w:w="1560"/>
        <w:gridCol w:w="1529"/>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中国计算机学会计算机安全专业 委员会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6"/>
                <w:sz w:val="18"/>
                <w:szCs w:val="18"/>
              </w:rPr>
              <w:t>执行董事、总经</w:t>
            </w:r>
            <w:r>
              <w:rPr>
                <w:rFonts w:ascii="宋体" w:hAnsi="宋体" w:cs="宋体" w:eastAsia="宋体" w:hint="default"/>
                <w:sz w:val="18"/>
                <w:szCs w:val="18"/>
              </w:rPr>
              <w:t>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成都网娱互动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闵锐</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深圳众环会计师事务所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合伙人、副所长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广东柏宝龙服饰股份有限公司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肖建军</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深圳市美银投资管理有限公司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除此之外，公司其他董事、监事及高级管理人员不存在在其他单位任职情况。并且，以上董事及高管兼职 情况不影响其作为公司董事的时间投入以及对公司真实情况的了解。如上表所示，以上董事及高管所在兼 职单位与公司不存在任何关联关系，或有关联关系的，该关系与公司不存在任何利益冲突。</w:t>
            </w:r>
          </w:p>
        </w:tc>
      </w:tr>
    </w:tbl>
    <w:p>
      <w:pPr>
        <w:pStyle w:val="BodyText"/>
        <w:spacing w:line="240" w:lineRule="auto" w:before="49"/>
        <w:ind w:right="98"/>
        <w:jc w:val="left"/>
      </w:pPr>
      <w:r>
        <w:rPr/>
        <w:t>公司现任及报告期内离任董事、监事和高级管理人员近三年证券监管机构处罚的情况</w:t>
      </w:r>
    </w:p>
    <w:p>
      <w:pPr>
        <w:pStyle w:val="BodyText"/>
        <w:spacing w:line="240" w:lineRule="auto" w:before="115"/>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
        <w:jc w:val="left"/>
      </w:pPr>
      <w:r>
        <w:rPr/>
        <w:t>董事、监事、高级管理人员报酬的决策程序、确定依据、实际支付情况</w:t>
      </w:r>
    </w:p>
    <w:p>
      <w:pPr>
        <w:pStyle w:val="BodyText"/>
        <w:spacing w:line="316" w:lineRule="auto" w:before="117"/>
        <w:ind w:right="94"/>
        <w:jc w:val="left"/>
      </w:pPr>
      <w:r>
        <w:rPr/>
        <w:t>（一）、决策程序 公司董事（包括独立董事）、监事报酬由股东大会决定，高级管理人员报酬由董事会决定；在公司承担职务的董事、监事、 高级管理人员报酬由公司支付，其担任的董事、监事职务不另外享有津贴。</w:t>
      </w:r>
    </w:p>
    <w:p>
      <w:pPr>
        <w:pStyle w:val="BodyText"/>
        <w:spacing w:line="316" w:lineRule="auto" w:before="18"/>
        <w:ind w:right="98"/>
        <w:jc w:val="left"/>
      </w:pPr>
      <w:r>
        <w:rPr/>
        <w:t>（二）、确定依据 </w:t>
      </w:r>
      <w:r>
        <w:rPr>
          <w:spacing w:val="-2"/>
        </w:rPr>
        <w:t>董事、监事和高级管理人员的报酬按照公司董事会《薪酬与考核委员会工作制度》等规定，结合其经营绩效、工作能力、岗</w:t>
      </w:r>
      <w:r>
        <w:rPr>
          <w:spacing w:val="-70"/>
        </w:rPr>
        <w:t> </w:t>
      </w:r>
      <w:r>
        <w:rPr>
          <w:spacing w:val="-70"/>
        </w:rPr>
      </w:r>
      <w:r>
        <w:rPr/>
        <w:t>位职责等考核确定并发放。</w:t>
      </w:r>
    </w:p>
    <w:p>
      <w:pPr>
        <w:pStyle w:val="BodyText"/>
        <w:spacing w:line="316" w:lineRule="auto" w:before="18"/>
        <w:ind w:right="8014"/>
        <w:jc w:val="left"/>
      </w:pPr>
      <w:r>
        <w:rPr/>
        <w:t>（三）、实际支付情况 实际支付情况见下表</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5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景晓东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古元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付昭阳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闵锐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肖建军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师召辉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何小荣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翁长文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沈智杰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孙文杰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344.42</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公司董事、监事、高级管理人员报告期内被授予的股权激励情况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80" w:left="980" w:right="980"/>
          <w:cols w:num="2" w:equalWidth="0">
            <w:col w:w="5193" w:space="3725"/>
            <w:col w:w="103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4"/>
        <w:ind w:left="0" w:right="167"/>
        <w:jc w:val="right"/>
      </w:pPr>
      <w:r>
        <w:rPr/>
        <w:pict>
          <v:shape style="position:absolute;margin-left:56.400002pt;margin-top:-123.368286pt;width:478.95pt;height:158.9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2"/>
                    <w:gridCol w:w="868"/>
                    <w:gridCol w:w="871"/>
                    <w:gridCol w:w="869"/>
                    <w:gridCol w:w="869"/>
                    <w:gridCol w:w="871"/>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5" w:right="41"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before="1"/>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孙文杰</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38.73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25.48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1027"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至本报告期末，公司副总经理李工，持有公司股票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股限制性股票，其中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股解锁，</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672,000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股未解锁；公司董事会秘书，张冰持有公司股票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股限制性股票，其中</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股解锁</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股未解锁。公司的监事未参与公司的股权激励计划。</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871</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871</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154</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871</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硕士、博士</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中专、高中及以下</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871</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jc w:val="both"/>
      </w:pPr>
      <w:r>
        <w:rPr>
          <w:spacing w:val="-2"/>
        </w:rPr>
        <w:t>公司根据公司实际经营情况制订相应的薪酬政策，并根据有关政策及市场情况的变化及时进行调整。员工薪酬主要包括基本</w:t>
      </w:r>
      <w:r>
        <w:rPr>
          <w:spacing w:val="-64"/>
        </w:rPr>
        <w:t> </w:t>
      </w:r>
      <w:r>
        <w:rPr>
          <w:spacing w:val="-64"/>
        </w:rPr>
      </w:r>
      <w:r>
        <w:rPr/>
        <w:t>工资、绩效工资、社保、住房公积金等。</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51"/>
        <w:jc w:val="both"/>
      </w:pPr>
      <w:r>
        <w:rPr/>
        <w:t>公司一向重视人才的引进与培养</w:t>
      </w:r>
      <w:r>
        <w:rPr>
          <w:rFonts w:ascii="Times New Roman" w:hAnsi="Times New Roman" w:cs="Times New Roman" w:eastAsia="Times New Roman" w:hint="default"/>
        </w:rPr>
        <w:t>,</w:t>
      </w:r>
      <w:r>
        <w:rPr/>
        <w:t>不断持续完善和优化培训机制</w:t>
      </w:r>
      <w:r>
        <w:rPr>
          <w:rFonts w:ascii="Times New Roman" w:hAnsi="Times New Roman" w:cs="Times New Roman" w:eastAsia="Times New Roman" w:hint="default"/>
        </w:rPr>
        <w:t>,</w:t>
      </w:r>
      <w:r>
        <w:rPr/>
        <w:t>促进公司与员工的共同发展。</w:t>
      </w:r>
      <w:r>
        <w:rPr>
          <w:rFonts w:ascii="Times New Roman" w:hAnsi="Times New Roman" w:cs="Times New Roman" w:eastAsia="Times New Roman" w:hint="default"/>
        </w:rPr>
        <w:t>2016</w:t>
      </w:r>
      <w:r>
        <w:rPr/>
        <w:t>年，公司将继续加速公司 </w:t>
      </w:r>
      <w:r>
        <w:rPr>
          <w:spacing w:val="-2"/>
        </w:rPr>
        <w:t>骨干人员锻炼与培养，根据公司发展的需要和员工多样化培训需求，加强内部培训力度，完善内部培训机制，提高公司员工</w:t>
      </w:r>
      <w:r>
        <w:rPr>
          <w:spacing w:val="-64"/>
        </w:rPr>
        <w:t> </w:t>
      </w:r>
      <w:r>
        <w:rPr>
          <w:spacing w:val="-64"/>
        </w:rPr>
      </w:r>
      <w:r>
        <w:rPr>
          <w:spacing w:val="-2"/>
        </w:rPr>
        <w:t>业务技能的同时，充分调动公司员工主观能动性，为公司员工提供更多施展才华的机会和舞台，为公司未来几年的持续快速</w:t>
      </w:r>
      <w:r>
        <w:rPr>
          <w:spacing w:val="-63"/>
        </w:rPr>
        <w:t> </w:t>
      </w:r>
      <w:r>
        <w:rPr>
          <w:spacing w:val="-63"/>
        </w:rPr>
      </w:r>
      <w:r>
        <w:rPr/>
        <w:t>发展，提供人力资源保障。</w:t>
      </w:r>
    </w:p>
    <w:p>
      <w:pPr>
        <w:spacing w:line="240" w:lineRule="auto" w:before="1"/>
        <w:rPr>
          <w:rFonts w:ascii="宋体" w:hAnsi="宋体" w:cs="宋体" w:eastAsia="宋体" w:hint="default"/>
          <w:sz w:val="23"/>
          <w:szCs w:val="23"/>
        </w:rPr>
      </w:pPr>
    </w:p>
    <w:p>
      <w:pPr>
        <w:pStyle w:val="Heading4"/>
        <w:spacing w:line="240" w:lineRule="auto"/>
        <w:ind w:right="0"/>
        <w:jc w:val="both"/>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8"/>
        <w:jc w:val="center"/>
        <w:rPr>
          <w:b w:val="0"/>
          <w:bCs w:val="0"/>
        </w:rPr>
      </w:pPr>
      <w:bookmarkStart w:name="第九节 公司治理" w:id="126"/>
      <w:bookmarkEnd w:id="126"/>
      <w:r>
        <w:rPr>
          <w:b w:val="0"/>
          <w:bCs w:val="0"/>
        </w:rPr>
      </w:r>
      <w:bookmarkStart w:name="_bookmark8" w:id="127"/>
      <w:bookmarkEnd w:id="127"/>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8"/>
        <w:jc w:val="left"/>
      </w:pPr>
      <w:r>
        <w:rPr>
          <w:spacing w:val="-4"/>
        </w:rPr>
        <w:t>报告期内，公司严格按照《公司法》、《证券法》、《上市公司治理准则》、《深圳证券交易所创业板股票上市规则》、</w:t>
      </w:r>
    </w:p>
    <w:p>
      <w:pPr>
        <w:pStyle w:val="BodyText"/>
        <w:spacing w:line="316" w:lineRule="auto" w:before="76"/>
        <w:ind w:right="94"/>
        <w:jc w:val="left"/>
      </w:pPr>
      <w:r>
        <w:rPr>
          <w:spacing w:val="-2"/>
        </w:rPr>
        <w:t>《深圳证券交易所创业板上市公司规范运作指引》和其他有关法律法规、规范性文件的要求，不断完善公司治理结构，进一</w:t>
      </w:r>
      <w:r>
        <w:rPr>
          <w:spacing w:val="-64"/>
        </w:rPr>
        <w:t> </w:t>
      </w:r>
      <w:r>
        <w:rPr>
          <w:spacing w:val="-64"/>
        </w:rPr>
      </w:r>
      <w:r>
        <w:rPr/>
        <w:t>步提高公司治理水平。公司确立了由股东大会、董事会、监事会和经营管理层组成的公司治理结构，建立健全了股东大会、 </w:t>
      </w:r>
      <w:r>
        <w:rPr>
          <w:spacing w:val="-2"/>
        </w:rPr>
        <w:t>董事会、监事会、独立董事、董事会秘书等相关制度，并在公司董事会下设立了审计和薪酬与考核专门委员会。公司治理的</w:t>
      </w:r>
      <w:r>
        <w:rPr>
          <w:spacing w:val="-65"/>
        </w:rPr>
        <w:t> </w:t>
      </w:r>
      <w:r>
        <w:rPr>
          <w:spacing w:val="-65"/>
        </w:rPr>
      </w:r>
      <w:r>
        <w:rPr/>
        <w:t>实际状况符合《上市公司治理准则》和《深圳证券交易所创业板上市公司规范运作指引》的要求。</w:t>
      </w:r>
    </w:p>
    <w:p>
      <w:pPr>
        <w:pStyle w:val="BodyText"/>
        <w:spacing w:line="300" w:lineRule="auto" w:before="18"/>
        <w:ind w:left="512" w:right="98"/>
        <w:jc w:val="left"/>
      </w:pPr>
      <w:r>
        <w:rPr>
          <w:rFonts w:ascii="Times New Roman" w:hAnsi="Times New Roman" w:cs="Times New Roman" w:eastAsia="Times New Roman" w:hint="default"/>
        </w:rPr>
        <w:t>1</w:t>
      </w:r>
      <w:r>
        <w:rPr/>
        <w:t>、关于股东与股东大会 </w:t>
      </w:r>
      <w:r>
        <w:rPr>
          <w:spacing w:val="-2"/>
        </w:rPr>
        <w:t>公司股东大会均严格按照《上市公司股东大会规则》、《公司章程》、《股东大会议事规则》等规定召集、召开，平等</w:t>
      </w:r>
    </w:p>
    <w:p>
      <w:pPr>
        <w:pStyle w:val="BodyText"/>
        <w:spacing w:line="316" w:lineRule="auto" w:before="31"/>
        <w:ind w:right="111"/>
        <w:jc w:val="both"/>
      </w:pPr>
      <w:r>
        <w:rPr/>
        <w:t>对待所有股东，并尽可能为股东参加股东大会提供便利，使其充分行使股东权利。同时，公司聘请专业律师见证股东大会， 确保会议召集召开以及表决程序符合相关法律规定，维护股东的合法权益。</w:t>
      </w:r>
    </w:p>
    <w:p>
      <w:pPr>
        <w:pStyle w:val="BodyText"/>
        <w:spacing w:line="300" w:lineRule="auto" w:before="18"/>
        <w:ind w:left="512" w:right="98"/>
        <w:jc w:val="left"/>
      </w:pPr>
      <w:r>
        <w:rPr>
          <w:rFonts w:ascii="Times New Roman" w:hAnsi="Times New Roman" w:cs="Times New Roman" w:eastAsia="Times New Roman" w:hint="default"/>
        </w:rPr>
        <w:t>2</w:t>
      </w:r>
      <w:r>
        <w:rPr/>
        <w:t>、关于公司与控股股东、实际控制人 </w:t>
      </w:r>
      <w:r>
        <w:rPr>
          <w:spacing w:val="-2"/>
        </w:rPr>
        <w:t>公司控股股东、实际控制人严格规范自己的行为，没有超越股东大会直接或间接干预公司的决策和经营活动，未损害公</w:t>
      </w:r>
    </w:p>
    <w:p>
      <w:pPr>
        <w:pStyle w:val="BodyText"/>
        <w:spacing w:line="316" w:lineRule="auto" w:before="31"/>
        <w:ind w:right="190"/>
        <w:jc w:val="both"/>
      </w:pPr>
      <w:r>
        <w:rPr>
          <w:spacing w:val="-2"/>
        </w:rPr>
        <w:t>司及其他股东的利益，不存在控股股东占用公司资金的现象，公司亦无为控股股东提供担保的情形。公司拥有独立完整的业</w:t>
      </w:r>
      <w:r>
        <w:rPr>
          <w:spacing w:val="-63"/>
        </w:rPr>
        <w:t> </w:t>
      </w:r>
      <w:r>
        <w:rPr>
          <w:spacing w:val="-63"/>
        </w:rPr>
      </w:r>
      <w:r>
        <w:rPr/>
        <w:t>务和自主经营能力，在业务、人员、资产、机构、财务上独立于控股股东，公司董事会、监事会和内部机构独立运作。</w:t>
      </w:r>
    </w:p>
    <w:p>
      <w:pPr>
        <w:pStyle w:val="BodyText"/>
        <w:spacing w:line="300" w:lineRule="auto" w:before="18"/>
        <w:ind w:left="512" w:right="98"/>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6" w:lineRule="auto" w:before="13"/>
        <w:ind w:right="190"/>
        <w:jc w:val="both"/>
      </w:pPr>
      <w:r>
        <w:rPr>
          <w:spacing w:val="-2"/>
        </w:rPr>
        <w:t>能够依据《深圳证券交易所创业板上市公司规范运作指引》、《董事会议事规则》、《独立董事工作制度》等开展工作，出</w:t>
      </w:r>
      <w:r>
        <w:rPr>
          <w:spacing w:val="-70"/>
        </w:rPr>
        <w:t> </w:t>
      </w:r>
      <w:r>
        <w:rPr>
          <w:spacing w:val="-70"/>
        </w:rPr>
      </w:r>
      <w:r>
        <w:rPr>
          <w:spacing w:val="-2"/>
        </w:rPr>
        <w:t>席董事会和股东大会，勤勉尽责地履行职责和义务，同时积极参加相关培训，熟悉相关法律法规。公司按照《深圳证券交易</w:t>
      </w:r>
      <w:r>
        <w:rPr>
          <w:spacing w:val="-67"/>
        </w:rPr>
        <w:t> </w:t>
      </w:r>
      <w:r>
        <w:rPr>
          <w:spacing w:val="-67"/>
        </w:rPr>
      </w:r>
      <w:r>
        <w:rPr>
          <w:spacing w:val="-2"/>
        </w:rPr>
        <w:t>所创业板上市公司规范运作指引》的要求，下设审计委员会和薪酬与考核委员会两个专门委员会。专门委员会委员全部由董</w:t>
      </w:r>
      <w:r>
        <w:rPr>
          <w:spacing w:val="-66"/>
        </w:rPr>
        <w:t> </w:t>
      </w:r>
      <w:r>
        <w:rPr>
          <w:spacing w:val="-66"/>
        </w:rPr>
      </w:r>
      <w:r>
        <w:rPr>
          <w:spacing w:val="-2"/>
        </w:rPr>
        <w:t>事组成，主任委员全部由独立董事担任，且独立董事人数占其他专门委员会委员的比例均达到三分之二，为董事会的决策提</w:t>
      </w:r>
      <w:r>
        <w:rPr>
          <w:spacing w:val="-63"/>
        </w:rPr>
        <w:t> </w:t>
      </w:r>
      <w:r>
        <w:rPr>
          <w:spacing w:val="-63"/>
        </w:rPr>
      </w:r>
      <w:r>
        <w:rPr>
          <w:spacing w:val="-2"/>
        </w:rPr>
        <w:t>供了科学和专业的意见和参考。各委员会依据《公司章程》和各委员会议事规则的规定履行职权，不受公司任何其他部门和</w:t>
      </w:r>
      <w:r>
        <w:rPr>
          <w:spacing w:val="-66"/>
        </w:rPr>
        <w:t> </w:t>
      </w:r>
      <w:r>
        <w:rPr>
          <w:spacing w:val="-66"/>
        </w:rPr>
      </w:r>
      <w:r>
        <w:rPr/>
        <w:t>个人的干预。</w:t>
      </w:r>
    </w:p>
    <w:p>
      <w:pPr>
        <w:pStyle w:val="BodyText"/>
        <w:spacing w:line="307" w:lineRule="auto" w:before="18"/>
        <w:ind w:right="98" w:firstLine="360"/>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名，监事会的人数和构成符合法律、法规的要求。公司监事能够按照《深圳证券交易</w:t>
      </w:r>
      <w:r>
        <w:rPr>
          <w:spacing w:val="-63"/>
        </w:rPr>
        <w:t> </w:t>
      </w:r>
      <w:r>
        <w:rPr>
          <w:spacing w:val="-63"/>
        </w:rPr>
      </w:r>
      <w:r>
        <w:rPr>
          <w:spacing w:val="-2"/>
        </w:rPr>
        <w:t>所创业板上市公司规范运作指引》、《监事会议事规则》的要求，认真履行自己的职责，对公司重大事项、财务状况、董事</w:t>
      </w:r>
      <w:r>
        <w:rPr>
          <w:spacing w:val="-65"/>
        </w:rPr>
        <w:t> </w:t>
      </w:r>
      <w:r>
        <w:rPr>
          <w:spacing w:val="-65"/>
        </w:rPr>
      </w:r>
      <w:r>
        <w:rPr/>
        <w:t>和高级管理人员的履行职责的合法合规性进行监督，维护公司及股东的合法权益。</w:t>
      </w:r>
    </w:p>
    <w:p>
      <w:pPr>
        <w:pStyle w:val="BodyText"/>
        <w:spacing w:line="312" w:lineRule="auto" w:before="26"/>
        <w:ind w:right="94" w:firstLine="360"/>
        <w:jc w:val="left"/>
      </w:pPr>
      <w:r>
        <w:rPr>
          <w:rFonts w:ascii="Times New Roman" w:hAnsi="Times New Roman" w:cs="Times New Roman" w:eastAsia="Times New Roman" w:hint="default"/>
        </w:rPr>
        <w:t>5</w:t>
      </w:r>
      <w:r>
        <w:rPr/>
        <w:t>、关于绩效评价与激励约束机制 公司已建立企业绩效激励与评价体系，并不断完善。公司董事、监事和高级管理人员的绩效评价标准和激励约束机制公开、 </w:t>
      </w:r>
      <w:r>
        <w:rPr>
          <w:spacing w:val="-2"/>
        </w:rPr>
        <w:t>透明，符合法律、法规的规定。公司董事会下设的薪酬和考核委员会负责对公司的董事、监事、高管进行绩效考核。公司现</w:t>
      </w:r>
      <w:r>
        <w:rPr>
          <w:spacing w:val="-68"/>
        </w:rPr>
        <w:t> </w:t>
      </w:r>
      <w:r>
        <w:rPr>
          <w:spacing w:val="-68"/>
        </w:rPr>
      </w:r>
      <w:r>
        <w:rPr/>
        <w:t>有的考核机制符合相关法律法规，同时符合公司的发展情况。</w:t>
      </w:r>
    </w:p>
    <w:p>
      <w:pPr>
        <w:pStyle w:val="BodyText"/>
        <w:spacing w:line="300" w:lineRule="auto" w:before="22"/>
        <w:ind w:right="98" w:firstLine="360"/>
        <w:jc w:val="left"/>
      </w:pPr>
      <w:r>
        <w:rPr>
          <w:rFonts w:ascii="Times New Roman" w:hAnsi="Times New Roman" w:cs="Times New Roman" w:eastAsia="Times New Roman" w:hint="default"/>
        </w:rPr>
        <w:t>6</w:t>
      </w:r>
      <w:r>
        <w:rPr/>
        <w:t>、关于信息披露与透明度 </w:t>
      </w:r>
      <w:r>
        <w:rPr>
          <w:spacing w:val="-2"/>
        </w:rPr>
        <w:t>公司严格按照《上市公司信息披露管理办法》、深圳证券交易所创业板上市公司的信息披露格式指引等规定以及公司制定的</w:t>
      </w:r>
    </w:p>
    <w:p>
      <w:pPr>
        <w:pStyle w:val="BodyText"/>
        <w:spacing w:line="316" w:lineRule="auto" w:before="31"/>
        <w:ind w:right="101"/>
        <w:jc w:val="both"/>
      </w:pPr>
      <w:r>
        <w:rPr>
          <w:spacing w:val="-2"/>
        </w:rPr>
        <w:t>《信息披露制度》等要求，真实、准确、及时、公平、完整地披露有关信息；并指定公司董事会秘书负责信息披露工作，协</w:t>
      </w:r>
      <w:r>
        <w:rPr>
          <w:spacing w:val="-65"/>
        </w:rPr>
        <w:t> </w:t>
      </w:r>
      <w:r>
        <w:rPr>
          <w:spacing w:val="-65"/>
        </w:rPr>
      </w:r>
      <w:r>
        <w:rPr>
          <w:spacing w:val="-2"/>
        </w:rPr>
        <w:t>调公司与投资者的关系，接待股东来访，回答投资者咨询；并指定《证券时报》、《证券时报》、《中国证券报》等法定报</w:t>
      </w:r>
      <w:r>
        <w:rPr>
          <w:spacing w:val="-68"/>
        </w:rPr>
        <w:t> </w:t>
      </w:r>
      <w:r>
        <w:rPr>
          <w:spacing w:val="-68"/>
        </w:rPr>
      </w:r>
      <w:r>
        <w:rPr>
          <w:spacing w:val="-1"/>
        </w:rPr>
        <w:t>纸和巨潮资讯网（</w:t>
      </w:r>
      <w:hyperlink r:id="rId12">
        <w:r>
          <w:rPr>
            <w:rFonts w:ascii="Times New Roman" w:hAnsi="Times New Roman" w:cs="Times New Roman" w:eastAsia="Times New Roman" w:hint="default"/>
            <w:spacing w:val="-1"/>
          </w:rPr>
          <w:t>www.cninfo.com.cn</w:t>
        </w:r>
      </w:hyperlink>
      <w:r>
        <w:rPr>
          <w:spacing w:val="-1"/>
        </w:rPr>
        <w:t>）为公司信息披露的指定报纸和网站，确保公司所有股东能够以平等的机会获得信息。</w:t>
      </w:r>
    </w:p>
    <w:p>
      <w:pPr>
        <w:pStyle w:val="BodyText"/>
        <w:spacing w:line="309" w:lineRule="auto"/>
        <w:ind w:right="98" w:firstLine="360"/>
        <w:jc w:val="left"/>
      </w:pPr>
      <w:r>
        <w:rPr>
          <w:rFonts w:ascii="Times New Roman" w:hAnsi="Times New Roman" w:cs="Times New Roman" w:eastAsia="Times New Roman" w:hint="default"/>
        </w:rPr>
        <w:t>7</w:t>
      </w:r>
      <w:r>
        <w:rPr/>
        <w:t>、关于相关利益者 </w:t>
      </w:r>
      <w:r>
        <w:rPr>
          <w:spacing w:val="-2"/>
        </w:rPr>
        <w:t>公司充分尊重和维护相关利益者的合法权益，实现社会、股东、公司、员工等各方面利益的协调平衡，诚信对待供应商和客</w:t>
      </w:r>
      <w:r>
        <w:rPr>
          <w:spacing w:val="-67"/>
        </w:rPr>
        <w:t> </w:t>
      </w:r>
      <w:r>
        <w:rPr>
          <w:spacing w:val="-67"/>
        </w:rPr>
      </w:r>
      <w:r>
        <w:rPr/>
        <w:t>户，坚持与相关利益者互利共赢的原则，共同推动公司持续、稳健发展。</w:t>
      </w:r>
    </w:p>
    <w:p>
      <w:pPr>
        <w:spacing w:after="0" w:line="309"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8"/>
        <w:jc w:val="left"/>
      </w:pPr>
      <w:r>
        <w:rPr/>
        <w:t>公司治理的实际状况与中国证监会发布的有关上市公司治理的规范性文件是否存在重大差异</w:t>
      </w:r>
    </w:p>
    <w:p>
      <w:pPr>
        <w:pStyle w:val="BodyText"/>
        <w:spacing w:line="338" w:lineRule="auto" w:before="117"/>
        <w:ind w:right="26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98"/>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
        <w:jc w:val="left"/>
      </w:pPr>
      <w:r>
        <w:rPr/>
        <w:t>（一）业务独立 </w:t>
      </w:r>
      <w:r>
        <w:rPr>
          <w:spacing w:val="-4"/>
        </w:rPr>
        <w:t>公司拥有独立完整的业务体系和自主经营能力，公司不依赖股东及其它关联方进行生产经营活动。控股股东除投资本公司外，</w:t>
      </w:r>
      <w:r>
        <w:rPr>
          <w:spacing w:val="-44"/>
        </w:rPr>
        <w:t> </w:t>
      </w:r>
      <w:r>
        <w:rPr>
          <w:spacing w:val="-44"/>
        </w:rPr>
      </w:r>
      <w:r>
        <w:rPr/>
        <w:t>并无其他经营性投资和参与经营的事项，其他主要股东也未从事与公司可能存在同业竞争的业务。</w:t>
      </w:r>
    </w:p>
    <w:p>
      <w:pPr>
        <w:pStyle w:val="BodyText"/>
        <w:spacing w:line="316" w:lineRule="auto" w:before="18"/>
        <w:ind w:right="98"/>
        <w:jc w:val="left"/>
      </w:pPr>
      <w:r>
        <w:rPr/>
        <w:t>（二）人员独立 </w:t>
      </w:r>
      <w:r>
        <w:rPr>
          <w:spacing w:val="-2"/>
        </w:rPr>
        <w:t>公司拥有独立的人事管理体系，公司董事、监事及高级管理人员按照《公司法》、《公司章程》等有关法律、法规和规定合</w:t>
      </w:r>
      <w:r>
        <w:rPr>
          <w:spacing w:val="-65"/>
        </w:rPr>
        <w:t> </w:t>
      </w:r>
      <w:r>
        <w:rPr>
          <w:spacing w:val="-65"/>
        </w:rPr>
      </w:r>
      <w:r>
        <w:rPr>
          <w:spacing w:val="-2"/>
        </w:rPr>
        <w:t>法产生；公司高级管理人员不存在在股东关联单位、业务相同或相近的其他单位担任除董事、监事以外职务的情况。公司员</w:t>
      </w:r>
      <w:r>
        <w:rPr>
          <w:spacing w:val="-64"/>
        </w:rPr>
        <w:t> </w:t>
      </w:r>
      <w:r>
        <w:rPr>
          <w:spacing w:val="-64"/>
        </w:rPr>
      </w:r>
      <w:r>
        <w:rPr/>
        <w:t>工独立，薪酬、社会保障等独立管理，具有完善的管理制度和体系。</w:t>
      </w:r>
    </w:p>
    <w:p>
      <w:pPr>
        <w:pStyle w:val="BodyText"/>
        <w:spacing w:line="316" w:lineRule="auto" w:before="18"/>
        <w:ind w:right="98"/>
        <w:jc w:val="left"/>
      </w:pPr>
      <w:r>
        <w:rPr/>
        <w:t>（三）资产独立 </w:t>
      </w:r>
      <w:r>
        <w:rPr>
          <w:spacing w:val="-2"/>
        </w:rPr>
        <w:t>公司具备资产的独立性和完整性，截至目前，不存在以自身资产、权益或信誉为控股股东提供担保的情形，不存在资产、资</w:t>
      </w:r>
      <w:r>
        <w:rPr>
          <w:spacing w:val="-67"/>
        </w:rPr>
        <w:t> </w:t>
      </w:r>
      <w:r>
        <w:rPr>
          <w:spacing w:val="-67"/>
        </w:rPr>
      </w:r>
      <w:r>
        <w:rPr/>
        <w:t>金被控股股东占用而损害公司利益的情况，公司对所有资产均具有完全控制支配权。</w:t>
      </w:r>
    </w:p>
    <w:p>
      <w:pPr>
        <w:pStyle w:val="BodyText"/>
        <w:spacing w:line="316" w:lineRule="auto" w:before="18"/>
        <w:ind w:right="98"/>
        <w:jc w:val="left"/>
      </w:pPr>
      <w:r>
        <w:rPr/>
        <w:t>（四）机构独立 </w:t>
      </w:r>
      <w:r>
        <w:rPr>
          <w:spacing w:val="-2"/>
        </w:rPr>
        <w:t>公司建立了股东大会、董事会、监事会等完备的治理结构，根据经营发展的需要，建立了符合公司实际情况的独立、完整的</w:t>
      </w:r>
      <w:r>
        <w:rPr>
          <w:spacing w:val="-67"/>
        </w:rPr>
        <w:t> </w:t>
      </w:r>
      <w:r>
        <w:rPr>
          <w:spacing w:val="-67"/>
        </w:rPr>
      </w:r>
      <w:r>
        <w:rPr>
          <w:spacing w:val="-2"/>
        </w:rPr>
        <w:t>经营管理机构。该等机构依照《公司章程》和内部管理制度体系独立行使自己的职权。公司自设立以来，生产经营和办公机</w:t>
      </w:r>
      <w:r>
        <w:rPr>
          <w:spacing w:val="-67"/>
        </w:rPr>
        <w:t> </w:t>
      </w:r>
      <w:r>
        <w:rPr>
          <w:spacing w:val="-67"/>
        </w:rPr>
      </w:r>
      <w:r>
        <w:rPr>
          <w:spacing w:val="-2"/>
        </w:rPr>
        <w:t>构完全独立，不存在与股东混合经营的情形。股东大会、董事会、监事会及董事会下属专业委员会等内部机构独立运作，不</w:t>
      </w:r>
      <w:r>
        <w:rPr>
          <w:spacing w:val="-67"/>
        </w:rPr>
        <w:t> </w:t>
      </w:r>
      <w:r>
        <w:rPr>
          <w:spacing w:val="-67"/>
        </w:rPr>
      </w:r>
      <w:r>
        <w:rPr/>
        <w:t>受其他单位或个人的干涉。</w:t>
      </w:r>
    </w:p>
    <w:p>
      <w:pPr>
        <w:pStyle w:val="BodyText"/>
        <w:spacing w:line="316" w:lineRule="auto" w:before="18"/>
        <w:ind w:right="98"/>
        <w:jc w:val="left"/>
      </w:pPr>
      <w:r>
        <w:rPr/>
        <w:t>（五）财务独立 </w:t>
      </w:r>
      <w:r>
        <w:rPr>
          <w:spacing w:val="-2"/>
        </w:rPr>
        <w:t>公司设有完整、独立的财务机构，配备了充足的专职财务会计人员，建立了独立的会计核算体系和财务管理制度，并独立开</w:t>
      </w:r>
      <w:r>
        <w:rPr>
          <w:spacing w:val="-65"/>
        </w:rPr>
        <w:t> </w:t>
      </w:r>
      <w:r>
        <w:rPr>
          <w:spacing w:val="-65"/>
        </w:rPr>
      </w:r>
      <w:r>
        <w:rPr>
          <w:spacing w:val="-2"/>
        </w:rPr>
        <w:t>设银行账户、独立纳税、独立做出财务决策。公司与控股股东在业务、人员、资产、机构、财务等方面完全分开，具有独立</w:t>
      </w:r>
      <w:r>
        <w:rPr>
          <w:spacing w:val="-65"/>
        </w:rPr>
        <w:t> </w:t>
      </w:r>
      <w:r>
        <w:rPr>
          <w:spacing w:val="-65"/>
        </w:rPr>
      </w:r>
      <w:r>
        <w:rPr/>
        <w:t>完整的业务及自主经营能力。</w:t>
      </w:r>
    </w:p>
    <w:p>
      <w:pPr>
        <w:spacing w:line="240" w:lineRule="auto" w:before="12"/>
        <w:rPr>
          <w:rFonts w:ascii="宋体" w:hAnsi="宋体" w:cs="宋体" w:eastAsia="宋体" w:hint="default"/>
          <w:sz w:val="20"/>
          <w:szCs w:val="20"/>
        </w:rPr>
      </w:pPr>
    </w:p>
    <w:p>
      <w:pPr>
        <w:pStyle w:val="Heading2"/>
        <w:spacing w:line="240" w:lineRule="auto"/>
        <w:ind w:right="98"/>
        <w:jc w:val="left"/>
        <w:rPr>
          <w:b w:val="0"/>
          <w:bCs w:val="0"/>
        </w:rPr>
      </w:pPr>
      <w:bookmarkStart w:name="三、同业竞争情况" w:id="130"/>
      <w:bookmarkEnd w:id="130"/>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315"/>
        <w:gridCol w:w="1498"/>
        <w:gridCol w:w="1594"/>
        <w:gridCol w:w="1594"/>
        <w:gridCol w:w="1810"/>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37"/>
              <w:jc w:val="center"/>
              <w:rPr>
                <w:rFonts w:ascii="宋体" w:hAnsi="宋体" w:cs="宋体" w:eastAsia="宋体" w:hint="default"/>
                <w:sz w:val="18"/>
                <w:szCs w:val="18"/>
              </w:rPr>
            </w:pPr>
            <w:r>
              <w:rPr>
                <w:rFonts w:ascii="宋体" w:hAnsi="宋体" w:cs="宋体" w:eastAsia="宋体" w:hint="default"/>
                <w:spacing w:val="-1"/>
                <w:sz w:val="18"/>
                <w:szCs w:val="18"/>
              </w:rPr>
              <w:t>（</w:t>
            </w:r>
            <w:hyperlink r:id="rId12">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98"/>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8"/>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付昭阳</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闵锐</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肖建军</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8"/>
        <w:jc w:val="left"/>
      </w:pPr>
      <w:r>
        <w:rPr/>
        <w:t>连续两次未亲自出席董事会的说明</w:t>
      </w:r>
    </w:p>
    <w:p>
      <w:pPr>
        <w:pStyle w:val="BodyText"/>
        <w:spacing w:line="307" w:lineRule="auto" w:before="117"/>
        <w:ind w:right="101" w:firstLine="360"/>
        <w:jc w:val="left"/>
      </w:pPr>
      <w:r>
        <w:rPr/>
        <w:t>公司第二届董事会第二十一次会议于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4 </w:t>
      </w:r>
      <w:r>
        <w:rPr/>
        <w:t>日在公司会议室以现场与网络连线的方式召开，独立董事肖建军先 </w:t>
      </w:r>
      <w:r>
        <w:rPr>
          <w:spacing w:val="-2"/>
        </w:rPr>
        <w:t>生因公出差未能亲自出席会议，特授权委托独立董事闵锐女士代为出席本次会议并行使表决权；公司第二届董事会第二十二</w:t>
      </w:r>
      <w:r>
        <w:rPr>
          <w:spacing w:val="-64"/>
        </w:rPr>
        <w:t> </w:t>
      </w:r>
      <w:r>
        <w:rPr>
          <w:spacing w:val="-64"/>
        </w:rPr>
      </w:r>
      <w:r>
        <w:rPr/>
        <w:t>次会议于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12 </w:t>
      </w:r>
      <w:r>
        <w:rPr/>
        <w:t>日在公司会议室以现场与网络连线的方式召开，独立董事肖建军先生因公出差未能亲自出席会议， 特授权委托独立董事闵锐女士代为出席本次会议并行使表决权。</w:t>
      </w:r>
    </w:p>
    <w:p>
      <w:pPr>
        <w:spacing w:line="240" w:lineRule="auto" w:before="2"/>
        <w:rPr>
          <w:rFonts w:ascii="宋体" w:hAnsi="宋体" w:cs="宋体" w:eastAsia="宋体" w:hint="default"/>
          <w:sz w:val="23"/>
          <w:szCs w:val="23"/>
        </w:rPr>
      </w:pPr>
    </w:p>
    <w:p>
      <w:pPr>
        <w:pStyle w:val="Heading4"/>
        <w:spacing w:line="240" w:lineRule="auto"/>
        <w:ind w:right="98"/>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98"/>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
        <w:jc w:val="left"/>
      </w:pPr>
      <w:r>
        <w:rPr/>
        <w:t>独立董事对公司有关建议是否被采纳</w:t>
      </w:r>
    </w:p>
    <w:p>
      <w:pPr>
        <w:pStyle w:val="BodyText"/>
        <w:spacing w:line="338" w:lineRule="auto" w:before="117"/>
        <w:ind w:right="58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3"/>
        <w:ind w:right="190" w:firstLine="360"/>
        <w:jc w:val="both"/>
      </w:pPr>
      <w:r>
        <w:rPr>
          <w:spacing w:val="-12"/>
        </w:rPr>
        <w:t>报告期内，公司独立董事严格按照《公司法》、《证券法》、《深圳证券交易所创业板股票上市规则》、《深圳证券交易所创</w:t>
      </w:r>
      <w:r>
        <w:rPr/>
        <w:t> </w:t>
      </w:r>
      <w:r>
        <w:rPr>
          <w:spacing w:val="-5"/>
        </w:rPr>
        <w:t>业板上市公司规范运作指引》、《公司章程》及《独立董事工作细则》等法律法规及规章制度的相关规定，忠实勤勉地履行独</w:t>
      </w:r>
      <w:r>
        <w:rPr>
          <w:spacing w:val="-79"/>
        </w:rPr>
        <w:t> </w:t>
      </w:r>
      <w:r>
        <w:rPr>
          <w:spacing w:val="-79"/>
        </w:rPr>
      </w:r>
      <w:r>
        <w:rPr>
          <w:spacing w:val="-2"/>
        </w:rPr>
        <w:t>立董事职责，积极出席报告期内公司召开的相关会议，认真审议董事会各项议案，对相关事项发表了独立意见，也在公司的</w:t>
      </w:r>
      <w:r>
        <w:rPr>
          <w:spacing w:val="-65"/>
        </w:rPr>
        <w:t> </w:t>
      </w:r>
      <w:r>
        <w:rPr>
          <w:spacing w:val="-65"/>
        </w:rPr>
      </w:r>
      <w:r>
        <w:rPr>
          <w:spacing w:val="-2"/>
        </w:rPr>
        <w:t>制度完善和日常经营决策等方面提出了专业性建议，并被公司予以采纳，较好的发挥了独立董事的作用，切实维护了公司和</w:t>
      </w:r>
      <w:r>
        <w:rPr>
          <w:spacing w:val="-63"/>
        </w:rPr>
        <w:t> </w:t>
      </w:r>
      <w:r>
        <w:rPr>
          <w:spacing w:val="-63"/>
        </w:rPr>
      </w:r>
      <w:r>
        <w:rPr/>
        <w:t>股东尤其是中小股东利益。</w:t>
      </w:r>
    </w:p>
    <w:p>
      <w:pPr>
        <w:spacing w:line="240" w:lineRule="auto" w:before="11"/>
        <w:rPr>
          <w:rFonts w:ascii="宋体" w:hAnsi="宋体" w:cs="宋体" w:eastAsia="宋体" w:hint="default"/>
          <w:sz w:val="20"/>
          <w:szCs w:val="20"/>
        </w:rPr>
      </w:pPr>
    </w:p>
    <w:p>
      <w:pPr>
        <w:pStyle w:val="Heading2"/>
        <w:spacing w:line="240" w:lineRule="auto"/>
        <w:ind w:right="98"/>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9" w:firstLine="360"/>
        <w:jc w:val="left"/>
      </w:pPr>
      <w:r>
        <w:rPr>
          <w:spacing w:val="-1"/>
        </w:rPr>
        <w:t>公司董事会下设审计委员会和薪酬与考核委员会。</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32"/>
        </w:rPr>
        <w:t> </w:t>
      </w:r>
      <w:r>
        <w:rPr>
          <w:spacing w:val="-2"/>
        </w:rPr>
        <w:t>年度，各专门委员会就公司相关事项开展会议，履行相关职责，</w:t>
      </w:r>
      <w:r>
        <w:rPr/>
        <w:t> 为公司经营发展提出科学合理的意见与建议，对公司的内部控制与规范管理发挥了积极作用：</w:t>
      </w:r>
    </w:p>
    <w:p>
      <w:pPr>
        <w:pStyle w:val="BodyText"/>
        <w:spacing w:line="340" w:lineRule="auto" w:before="70"/>
        <w:ind w:left="512" w:right="89"/>
        <w:jc w:val="left"/>
      </w:pPr>
      <w:r>
        <w:rPr>
          <w:rFonts w:ascii="Times New Roman" w:hAnsi="Times New Roman" w:cs="Times New Roman" w:eastAsia="Times New Roman" w:hint="default"/>
        </w:rPr>
        <w:t>1</w:t>
      </w:r>
      <w:r>
        <w:rPr/>
        <w:t>、审计委员会履职情况 </w:t>
      </w:r>
      <w:r>
        <w:rPr>
          <w:spacing w:val="-2"/>
        </w:rPr>
        <w:t>报告期内，公司审计委员会严格按照《董事会审计委员会工作制度》的相关要求，召开会议，对公司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w:t>
      </w:r>
    </w:p>
    <w:p>
      <w:pPr>
        <w:pStyle w:val="BodyText"/>
        <w:spacing w:line="228" w:lineRule="exact"/>
        <w:ind w:right="98"/>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年第一季度报告、</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年半年度报告、</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年三季度报告等有关重大财务信息披露进行了内部审核、阅读，保证公司</w:t>
      </w:r>
    </w:p>
    <w:p>
      <w:pPr>
        <w:pStyle w:val="BodyText"/>
        <w:spacing w:line="240" w:lineRule="auto" w:before="62"/>
        <w:ind w:right="98"/>
        <w:jc w:val="left"/>
      </w:pPr>
      <w:r>
        <w:rPr/>
        <w:t>重大财务信息的完整、真实。</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53" w:firstLine="360"/>
        <w:jc w:val="both"/>
      </w:pPr>
      <w:r>
        <w:rPr>
          <w:spacing w:val="-2"/>
        </w:rPr>
        <w:t>公司审计委员会还对公司审计部门的日常工作进行检查、考核、评估与指导，督促公司内部审计体制的建设与完善。委</w:t>
      </w:r>
      <w:r>
        <w:rPr/>
        <w:t> 员会还不断加强内部审计与外部审计的沟通，确保审计工作尤其是对重大财务报告审计工作的顺利进行。</w:t>
      </w:r>
    </w:p>
    <w:p>
      <w:pPr>
        <w:pStyle w:val="BodyText"/>
        <w:spacing w:line="338" w:lineRule="auto" w:before="59"/>
        <w:ind w:left="512" w:right="0"/>
        <w:jc w:val="left"/>
      </w:pPr>
      <w:r>
        <w:rPr>
          <w:rFonts w:ascii="Times New Roman" w:hAnsi="Times New Roman" w:cs="Times New Roman" w:eastAsia="Times New Roman" w:hint="default"/>
        </w:rPr>
        <w:t>2</w:t>
      </w:r>
      <w:r>
        <w:rPr/>
        <w:t>、薪酬与考核委员会履职情况 </w:t>
      </w:r>
      <w:r>
        <w:rPr>
          <w:spacing w:val="-2"/>
        </w:rPr>
        <w:t>报告期内，董事会薪酬与考核委员会严格按照《董事会薪酬与考核委员会工作制度》的相关要求，制定及审查公司董事</w:t>
      </w:r>
    </w:p>
    <w:p>
      <w:pPr>
        <w:pStyle w:val="BodyText"/>
        <w:spacing w:line="316" w:lineRule="auto" w:before="2"/>
        <w:ind w:right="0"/>
        <w:jc w:val="left"/>
      </w:pPr>
      <w:r>
        <w:rPr>
          <w:spacing w:val="-2"/>
        </w:rPr>
        <w:t>及高级管理人员的薪酬政策与考核方案，按照绩效评价标准对董事高级管理人员的工作情况进行评估、审核，提出合理化建</w:t>
      </w:r>
      <w:r>
        <w:rPr>
          <w:spacing w:val="-66"/>
        </w:rPr>
        <w:t> </w:t>
      </w:r>
      <w:r>
        <w:rPr>
          <w:spacing w:val="-66"/>
        </w:rPr>
      </w:r>
      <w:r>
        <w:rPr/>
        <w:t>议，积极履行薪酬与考核委员会委员的职责。</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38" w:lineRule="auto" w:before="117"/>
        <w:ind w:right="63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50" w:firstLine="360"/>
        <w:jc w:val="both"/>
      </w:pPr>
      <w:r>
        <w:rPr>
          <w:spacing w:val="-2"/>
        </w:rPr>
        <w:t>公司按照《高级管理人员薪酬管理制度》，建立了高级管理人员的薪酬与公司业绩挂钩的绩效考核与激励约束机制，公</w:t>
      </w:r>
      <w:r>
        <w:rPr/>
        <w:t> </w:t>
      </w:r>
      <w:r>
        <w:rPr>
          <w:spacing w:val="-2"/>
        </w:rPr>
        <w:t>司高级管理人员实行基本年薪的年终绩效考核相结合的薪酬制度。规范高级管理人员薪酬决策机制。年末根据公司年度经营</w:t>
      </w:r>
      <w:r>
        <w:rPr>
          <w:spacing w:val="-64"/>
        </w:rPr>
        <w:t> </w:t>
      </w:r>
      <w:r>
        <w:rPr>
          <w:spacing w:val="-64"/>
        </w:rPr>
      </w:r>
      <w:r>
        <w:rPr>
          <w:spacing w:val="-2"/>
        </w:rPr>
        <w:t>目标完成情况以及高级管理人员的工作业绩，由董事会薪酬与考核委员会对高级管理人员进行年度绩效考核，并监督薪酬制</w:t>
      </w:r>
      <w:r>
        <w:rPr>
          <w:spacing w:val="-64"/>
        </w:rPr>
        <w:t> </w:t>
      </w:r>
      <w:r>
        <w:rPr>
          <w:spacing w:val="-64"/>
        </w:rPr>
      </w:r>
      <w:r>
        <w:rPr>
          <w:spacing w:val="-2"/>
        </w:rPr>
        <w:t>度执行情况。公司则根据绩效考核结果兑现其绩效年薪，并进行奖惩。公司董事会薪酬与考核委员会根据实际情况对高级管</w:t>
      </w:r>
      <w:r>
        <w:rPr>
          <w:spacing w:val="-63"/>
        </w:rPr>
        <w:t> </w:t>
      </w:r>
      <w:r>
        <w:rPr>
          <w:spacing w:val="-63"/>
        </w:rPr>
      </w:r>
      <w:r>
        <w:rPr>
          <w:spacing w:val="-2"/>
        </w:rPr>
        <w:t>理人员进行考核后，一致认为：</w:t>
      </w:r>
      <w:r>
        <w:rPr>
          <w:rFonts w:ascii="Times New Roman" w:hAnsi="Times New Roman" w:cs="Times New Roman" w:eastAsia="Times New Roman" w:hint="default"/>
          <w:spacing w:val="-2"/>
        </w:rPr>
        <w:t>2015</w:t>
      </w:r>
      <w:r>
        <w:rPr>
          <w:spacing w:val="-2"/>
        </w:rPr>
        <w:t>年度，公司高级管理人员薪酬方案严格执行相关考核制度，与公司经营业绩挂钩，薪酬</w:t>
      </w:r>
      <w:r>
        <w:rPr>
          <w:spacing w:val="-65"/>
        </w:rPr>
        <w:t> </w:t>
      </w:r>
      <w:r>
        <w:rPr>
          <w:spacing w:val="-65"/>
        </w:rPr>
      </w:r>
      <w:r>
        <w:rPr/>
        <w:t>方案合理，薪酬发放的程序符合有关法律法规及《公司章程》的规定。</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p>
      <w:pPr>
        <w:spacing w:line="350" w:lineRule="exact"/>
        <w:ind w:left="627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70.8pt;height:17.55pt;mso-position-horizontal-relative:char;mso-position-vertical-relative:line" coordorigin="0,0" coordsize="3416,351">
            <v:group style="position:absolute;left:0;top:0;width:3416;height:351" coordorigin="0,0" coordsize="3416,351">
              <v:shape style="position:absolute;left:0;top:0;width:3416;height:351" coordorigin="0,0" coordsize="3416,351" path="m0,350l3415,350,3415,0,0,0,0,350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1"/>
        <w:rPr>
          <w:rFonts w:ascii="宋体" w:hAnsi="宋体" w:cs="宋体" w:eastAsia="宋体" w:hint="default"/>
          <w:b/>
          <w:bCs/>
          <w:sz w:val="21"/>
          <w:szCs w:val="21"/>
        </w:rPr>
      </w:pPr>
    </w:p>
    <w:p>
      <w:pPr>
        <w:pStyle w:val="BodyText"/>
        <w:spacing w:line="240" w:lineRule="auto" w:before="44"/>
        <w:ind w:left="0" w:right="160"/>
        <w:jc w:val="right"/>
      </w:pPr>
      <w:r>
        <w:rPr/>
        <w:pict>
          <v:shape style="position:absolute;margin-left:56.400002pt;margin-top:-152.529282pt;width:479.2pt;height:217.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2824"/>
                    <w:gridCol w:w="875"/>
                    <w:gridCol w:w="3461"/>
                  </w:tblGrid>
                  <w:tr>
                    <w:trPr>
                      <w:trHeight w:val="403" w:hRule="exact"/>
                    </w:trPr>
                    <w:tc>
                      <w:tcPr>
                        <w:tcW w:w="52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58"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336"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4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2" w:hRule="exact"/>
                    </w:trPr>
                    <w:tc>
                      <w:tcPr>
                        <w:tcW w:w="52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58"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336"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805"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52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336"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52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336"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66" w:hRule="exact"/>
                    </w:trPr>
                    <w:tc>
                      <w:tcPr>
                        <w:tcW w:w="2410" w:type="dxa"/>
                        <w:tcBorders>
                          <w:top w:val="single" w:sz="4" w:space="0" w:color="000000"/>
                          <w:left w:val="single" w:sz="4" w:space="0" w:color="000000"/>
                          <w:bottom w:val="nil" w:sz="6" w:space="0" w:color="auto"/>
                          <w:right w:val="single" w:sz="4" w:space="0" w:color="000000"/>
                        </w:tcBorders>
                        <w:shd w:val="clear" w:color="auto" w:fill="D4D4D4"/>
                      </w:tcPr>
                      <w:p>
                        <w:pPr/>
                      </w:p>
                    </w:tc>
                    <w:tc>
                      <w:tcPr>
                        <w:tcW w:w="3698" w:type="dxa"/>
                        <w:gridSpan w:val="2"/>
                        <w:vMerge w:val="restart"/>
                        <w:tcBorders>
                          <w:top w:val="single" w:sz="4" w:space="0" w:color="000000"/>
                          <w:left w:val="single" w:sz="10" w:space="0" w:color="D4D4D4"/>
                          <w:right w:val="single" w:sz="13" w:space="0" w:color="FFFFFF"/>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重大缺陷认定标准</w:t>
                        </w:r>
                        <w:r>
                          <w:rPr>
                            <w:rFonts w:ascii="宋体" w:hAnsi="宋体" w:cs="宋体" w:eastAsia="宋体" w:hint="default"/>
                            <w:spacing w:val="-32"/>
                            <w:sz w:val="18"/>
                            <w:szCs w:val="18"/>
                          </w:rPr>
                          <w:t>：</w:t>
                        </w:r>
                        <w:r>
                          <w:rPr>
                            <w:rFonts w:ascii="宋体" w:hAnsi="宋体" w:cs="宋体" w:eastAsia="宋体" w:hint="default"/>
                            <w:spacing w:val="-1"/>
                            <w:sz w:val="18"/>
                            <w:szCs w:val="18"/>
                          </w:rPr>
                          <w:t>①</w:t>
                        </w:r>
                        <w:r>
                          <w:rPr>
                            <w:rFonts w:ascii="宋体" w:hAnsi="宋体" w:cs="宋体" w:eastAsia="宋体" w:hint="default"/>
                            <w:sz w:val="18"/>
                            <w:szCs w:val="18"/>
                          </w:rPr>
                          <w:t>管理</w:t>
                        </w:r>
                        <w:r>
                          <w:rPr>
                            <w:rFonts w:ascii="宋体" w:hAnsi="宋体" w:cs="宋体" w:eastAsia="宋体" w:hint="default"/>
                            <w:spacing w:val="2"/>
                            <w:sz w:val="18"/>
                            <w:szCs w:val="18"/>
                          </w:rPr>
                          <w:t>层</w:t>
                        </w:r>
                        <w:r>
                          <w:rPr>
                            <w:rFonts w:ascii="宋体" w:hAnsi="宋体" w:cs="宋体" w:eastAsia="宋体" w:hint="default"/>
                            <w:sz w:val="18"/>
                            <w:szCs w:val="18"/>
                          </w:rPr>
                          <w:t>存在舞弊</w:t>
                        </w:r>
                        <w:r>
                          <w:rPr>
                            <w:rFonts w:ascii="宋体" w:hAnsi="宋体" w:cs="宋体" w:eastAsia="宋体" w:hint="default"/>
                            <w:spacing w:val="-32"/>
                            <w:sz w:val="18"/>
                            <w:szCs w:val="18"/>
                          </w:rPr>
                          <w:t>、</w:t>
                        </w:r>
                        <w:r>
                          <w:rPr>
                            <w:rFonts w:ascii="宋体" w:hAnsi="宋体" w:cs="宋体" w:eastAsia="宋体" w:hint="default"/>
                            <w:sz w:val="18"/>
                            <w:szCs w:val="18"/>
                          </w:rPr>
                          <w:t>违规</w:t>
                        </w:r>
                        <w:r>
                          <w:rPr>
                            <w:rFonts w:ascii="宋体" w:hAnsi="宋体" w:cs="宋体" w:eastAsia="宋体" w:hint="default"/>
                            <w:spacing w:val="-34"/>
                            <w:sz w:val="18"/>
                            <w:szCs w:val="18"/>
                          </w:rPr>
                          <w:t>；</w:t>
                        </w:r>
                        <w:r>
                          <w:rPr>
                            <w:rFonts w:ascii="宋体" w:hAnsi="宋体" w:cs="宋体" w:eastAsia="宋体" w:hint="default"/>
                            <w:sz w:val="18"/>
                            <w:szCs w:val="18"/>
                          </w:rPr>
                        </w:r>
                      </w:p>
                      <w:p>
                        <w:pPr>
                          <w:pStyle w:val="TableParagraph"/>
                          <w:spacing w:line="316" w:lineRule="auto" w:before="74"/>
                          <w:ind w:left="16" w:right="19"/>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2"/>
                            <w:sz w:val="18"/>
                            <w:szCs w:val="18"/>
                          </w:rPr>
                          <w:t> </w:t>
                        </w:r>
                        <w:r>
                          <w:rPr>
                            <w:rFonts w:ascii="宋体" w:hAnsi="宋体" w:cs="宋体" w:eastAsia="宋体" w:hint="default"/>
                            <w:spacing w:val="-4"/>
                            <w:sz w:val="18"/>
                            <w:szCs w:val="18"/>
                          </w:rPr>
                          <w:t>当期财务报告存在重大差错，而内部控制运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行过程中未发现该差错；③</w:t>
                        </w:r>
                        <w:r>
                          <w:rPr>
                            <w:rFonts w:ascii="宋体" w:hAnsi="宋体" w:cs="宋体" w:eastAsia="宋体" w:hint="default"/>
                            <w:spacing w:val="1"/>
                            <w:sz w:val="18"/>
                            <w:szCs w:val="18"/>
                          </w:rPr>
                          <w:t> </w:t>
                        </w:r>
                        <w:r>
                          <w:rPr>
                            <w:rFonts w:ascii="宋体" w:hAnsi="宋体" w:cs="宋体" w:eastAsia="宋体" w:hint="default"/>
                            <w:sz w:val="18"/>
                            <w:szCs w:val="18"/>
                          </w:rPr>
                          <w:t>公司审计委员会和</w:t>
                        </w:r>
                        <w:r>
                          <w:rPr>
                            <w:rFonts w:ascii="宋体" w:hAnsi="宋体" w:cs="宋体" w:eastAsia="宋体" w:hint="default"/>
                            <w:sz w:val="18"/>
                            <w:szCs w:val="18"/>
                          </w:rPr>
                          <w:t> 审计部门对财务报告内部控制监督无效。重要 缺陷认定标准：①未建立反舞弊程序和控制措 </w:t>
                        </w:r>
                        <w:r>
                          <w:rPr>
                            <w:rFonts w:ascii="宋体" w:hAnsi="宋体" w:cs="宋体" w:eastAsia="宋体" w:hint="default"/>
                            <w:spacing w:val="-20"/>
                            <w:sz w:val="18"/>
                            <w:szCs w:val="18"/>
                          </w:rPr>
                          <w:t>施；②</w:t>
                        </w:r>
                        <w:r>
                          <w:rPr>
                            <w:rFonts w:ascii="宋体" w:hAnsi="宋体" w:cs="宋体" w:eastAsia="宋体" w:hint="default"/>
                            <w:spacing w:val="1"/>
                            <w:sz w:val="18"/>
                            <w:szCs w:val="18"/>
                          </w:rPr>
                          <w:t> </w:t>
                        </w:r>
                        <w:r>
                          <w:rPr>
                            <w:rFonts w:ascii="宋体" w:hAnsi="宋体" w:cs="宋体" w:eastAsia="宋体" w:hint="default"/>
                            <w:sz w:val="18"/>
                            <w:szCs w:val="18"/>
                          </w:rPr>
                          <w:t>存在一项或多项缺陷且不能合理保证编</w:t>
                        </w:r>
                      </w:p>
                    </w:tc>
                    <w:tc>
                      <w:tcPr>
                        <w:tcW w:w="3461" w:type="dxa"/>
                        <w:vMerge w:val="restart"/>
                        <w:tcBorders>
                          <w:top w:val="single" w:sz="4" w:space="0" w:color="000000"/>
                          <w:left w:val="single" w:sz="13" w:space="0" w:color="FFFFFF"/>
                          <w:right w:val="single" w:sz="4" w:space="0" w:color="000000"/>
                        </w:tcBorders>
                      </w:tcPr>
                      <w:p>
                        <w:pPr>
                          <w:pStyle w:val="TableParagraph"/>
                          <w:spacing w:line="316" w:lineRule="auto" w:before="51"/>
                          <w:ind w:right="17"/>
                          <w:jc w:val="left"/>
                          <w:rPr>
                            <w:rFonts w:ascii="宋体" w:hAnsi="宋体" w:cs="宋体" w:eastAsia="宋体" w:hint="default"/>
                            <w:sz w:val="18"/>
                            <w:szCs w:val="18"/>
                          </w:rPr>
                        </w:pPr>
                        <w:r>
                          <w:rPr>
                            <w:rFonts w:ascii="宋体" w:hAnsi="宋体" w:cs="宋体" w:eastAsia="宋体" w:hint="default"/>
                            <w:sz w:val="18"/>
                            <w:szCs w:val="18"/>
                          </w:rPr>
                          <w:t>根据以下情况的影响程度认定为一般缺陷、 重要缺陷和重大缺陷。①公司经营活动违反 </w:t>
                        </w:r>
                        <w:r>
                          <w:rPr>
                            <w:rFonts w:ascii="宋体" w:hAnsi="宋体" w:cs="宋体" w:eastAsia="宋体" w:hint="default"/>
                            <w:spacing w:val="-6"/>
                            <w:sz w:val="18"/>
                            <w:szCs w:val="18"/>
                          </w:rPr>
                          <w:t>国家法律、法规；②媒体负面新闻频频曝光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对公司声誉造成重大影响；③内部控制缺陷</w:t>
                        </w:r>
                        <w:r>
                          <w:rPr>
                            <w:rFonts w:ascii="宋体" w:hAnsi="宋体" w:cs="宋体" w:eastAsia="宋体" w:hint="default"/>
                            <w:sz w:val="18"/>
                            <w:szCs w:val="18"/>
                          </w:rPr>
                          <w:t> 未得到整改；④重大事项决策程序失误或违 反公司决策程序导致公司经济损失；</w:t>
                        </w:r>
                        <w:r>
                          <w:rPr>
                            <w:rFonts w:ascii="宋体" w:hAnsi="宋体" w:cs="宋体" w:eastAsia="宋体" w:hint="default"/>
                            <w:spacing w:val="1"/>
                            <w:sz w:val="18"/>
                            <w:szCs w:val="18"/>
                          </w:rPr>
                          <w:t> </w:t>
                        </w:r>
                        <w:r>
                          <w:rPr>
                            <w:rFonts w:ascii="宋体" w:hAnsi="宋体" w:cs="宋体" w:eastAsia="宋体" w:hint="default"/>
                            <w:sz w:val="18"/>
                            <w:szCs w:val="18"/>
                          </w:rPr>
                          <w:t>⑤其</w:t>
                        </w:r>
                      </w:p>
                    </w:tc>
                  </w:tr>
                  <w:tr>
                    <w:trPr>
                      <w:trHeight w:val="394" w:hRule="exact"/>
                    </w:trPr>
                    <w:tc>
                      <w:tcPr>
                        <w:tcW w:w="24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3698" w:type="dxa"/>
                        <w:gridSpan w:val="2"/>
                        <w:vMerge/>
                        <w:tcBorders>
                          <w:left w:val="single" w:sz="10" w:space="0" w:color="D4D4D4"/>
                          <w:right w:val="single" w:sz="13" w:space="0" w:color="FFFFFF"/>
                        </w:tcBorders>
                      </w:tcPr>
                      <w:p>
                        <w:pPr/>
                      </w:p>
                    </w:tc>
                    <w:tc>
                      <w:tcPr>
                        <w:tcW w:w="3461" w:type="dxa"/>
                        <w:vMerge/>
                        <w:tcBorders>
                          <w:left w:val="single" w:sz="13" w:space="0" w:color="FFFFFF"/>
                          <w:right w:val="single" w:sz="4" w:space="0" w:color="000000"/>
                        </w:tcBorders>
                      </w:tcPr>
                      <w:p>
                        <w:pPr/>
                      </w:p>
                    </w:tc>
                  </w:tr>
                  <w:tr>
                    <w:trPr>
                      <w:trHeight w:val="763" w:hRule="exact"/>
                    </w:trPr>
                    <w:tc>
                      <w:tcPr>
                        <w:tcW w:w="2410" w:type="dxa"/>
                        <w:tcBorders>
                          <w:top w:val="nil" w:sz="6" w:space="0" w:color="auto"/>
                          <w:left w:val="single" w:sz="4" w:space="0" w:color="000000"/>
                          <w:bottom w:val="single" w:sz="4" w:space="0" w:color="000000"/>
                          <w:right w:val="single" w:sz="4" w:space="0" w:color="000000"/>
                        </w:tcBorders>
                        <w:shd w:val="clear" w:color="auto" w:fill="D4D4D4"/>
                      </w:tcPr>
                      <w:p>
                        <w:pPr/>
                      </w:p>
                    </w:tc>
                    <w:tc>
                      <w:tcPr>
                        <w:tcW w:w="3698" w:type="dxa"/>
                        <w:gridSpan w:val="2"/>
                        <w:vMerge/>
                        <w:tcBorders>
                          <w:left w:val="single" w:sz="10" w:space="0" w:color="D4D4D4"/>
                          <w:bottom w:val="single" w:sz="4" w:space="0" w:color="000000"/>
                          <w:right w:val="single" w:sz="13" w:space="0" w:color="FFFFFF"/>
                        </w:tcBorders>
                      </w:tcPr>
                      <w:p>
                        <w:pPr/>
                      </w:p>
                    </w:tc>
                    <w:tc>
                      <w:tcPr>
                        <w:tcW w:w="3461" w:type="dxa"/>
                        <w:vMerge/>
                        <w:tcBorders>
                          <w:left w:val="single" w:sz="13"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2"/>
        <w:rPr>
          <w:rFonts w:ascii="宋体" w:hAnsi="宋体" w:cs="宋体" w:eastAsia="宋体" w:hint="default"/>
          <w:sz w:val="28"/>
          <w:szCs w:val="28"/>
        </w:rPr>
      </w:pPr>
    </w:p>
    <w:p>
      <w:pPr>
        <w:spacing w:line="5198" w:lineRule="exact"/>
        <w:ind w:left="148" w:right="0" w:firstLine="0"/>
        <w:rPr>
          <w:rFonts w:ascii="宋体" w:hAnsi="宋体" w:cs="宋体" w:eastAsia="宋体" w:hint="default"/>
          <w:sz w:val="20"/>
          <w:szCs w:val="20"/>
        </w:rPr>
      </w:pPr>
      <w:r>
        <w:rPr>
          <w:rFonts w:ascii="宋体" w:hAnsi="宋体" w:cs="宋体" w:eastAsia="宋体" w:hint="default"/>
          <w:position w:val="-103"/>
          <w:sz w:val="20"/>
          <w:szCs w:val="20"/>
        </w:rPr>
        <w:pict>
          <v:group style="width:481.8pt;height:259.95pt;mso-position-horizontal-relative:char;mso-position-vertical-relative:line" coordorigin="0,0" coordsize="9636,5199">
            <v:group style="position:absolute;left:12;top:14;width:2400;height:1289" coordorigin="12,14" coordsize="2400,1289">
              <v:shape style="position:absolute;left:12;top:14;width:2400;height:1289" coordorigin="12,14" coordsize="2400,1289" path="m12,1303l2412,1303,2412,14,12,14,12,1303xe" filled="true" fillcolor="#d4d4d4" stroked="false">
                <v:path arrowok="t"/>
                <v:fill type="solid"/>
              </v:shape>
            </v:group>
            <v:group style="position:absolute;left:10;top:10;width:2400;height:2" coordorigin="10,10" coordsize="2400,2">
              <v:shape style="position:absolute;left:10;top:10;width:2400;height:2" coordorigin="10,10" coordsize="2400,0" path="m10,10l2410,10e" filled="false" stroked="true" strokeweight=".481pt" strokecolor="#000000">
                <v:path arrowok="t"/>
              </v:shape>
            </v:group>
            <v:group style="position:absolute;left:2419;top:10;width:3677;height:2" coordorigin="2419,10" coordsize="3677,2">
              <v:shape style="position:absolute;left:2419;top:10;width:3677;height:2" coordorigin="2419,10" coordsize="3677,0" path="m2419,10l6096,10e" filled="false" stroked="true" strokeweight=".481pt" strokecolor="#000000">
                <v:path arrowok="t"/>
              </v:shape>
            </v:group>
            <v:group style="position:absolute;left:6106;top:10;width:3464;height:2" coordorigin="6106,10" coordsize="3464,2">
              <v:shape style="position:absolute;left:6106;top:10;width:3464;height:2" coordorigin="6106,10" coordsize="3464,0" path="m6106,10l9569,10e" filled="false" stroked="true" strokeweight=".481pt" strokecolor="#000000">
                <v:path arrowok="t"/>
              </v:shape>
            </v:group>
            <v:group style="position:absolute;left:12;top:1313;width:2400;height:936" coordorigin="12,1313" coordsize="2400,936">
              <v:shape style="position:absolute;left:12;top:1313;width:2400;height:936" coordorigin="12,1313" coordsize="2400,936" path="m12,2249l2412,2249,2412,1313,12,1313,12,2249xe" filled="true" fillcolor="#d4d4d4" stroked="false">
                <v:path arrowok="t"/>
                <v:fill type="solid"/>
              </v:shape>
            </v:group>
            <v:group style="position:absolute;left:23;top:2249;width:2;height:392" coordorigin="23,2249" coordsize="2,392">
              <v:shape style="position:absolute;left:23;top:2249;width:2;height:392" coordorigin="23,2249" coordsize="0,392" path="m23,2249l23,2640e" filled="false" stroked="true" strokeweight="1.08pt" strokecolor="#d4d4d4">
                <v:path arrowok="t"/>
              </v:shape>
            </v:group>
            <v:group style="position:absolute;left:2400;top:2249;width:2;height:392" coordorigin="2400,2249" coordsize="2,392">
              <v:shape style="position:absolute;left:2400;top:2249;width:2;height:392" coordorigin="2400,2249" coordsize="0,392" path="m2400,2249l2400,2640e" filled="false" stroked="true" strokeweight="1.2pt" strokecolor="#d4d4d4">
                <v:path arrowok="t"/>
              </v:shape>
            </v:group>
            <v:group style="position:absolute;left:12;top:2640;width:2400;height:936" coordorigin="12,2640" coordsize="2400,936">
              <v:shape style="position:absolute;left:12;top:2640;width:2400;height:936" coordorigin="12,2640" coordsize="2400,936" path="m12,3576l2412,3576,2412,2640,12,2640,12,3576xe" filled="true" fillcolor="#d4d4d4" stroked="false">
                <v:path arrowok="t"/>
                <v:fill type="solid"/>
              </v:shape>
            </v:group>
            <v:group style="position:absolute;left:34;top:2249;width:2355;height:392" coordorigin="34,2249" coordsize="2355,392">
              <v:shape style="position:absolute;left:34;top:2249;width:2355;height:392" coordorigin="34,2249" coordsize="2355,392" path="m34,2640l2388,2640,2388,2249,34,2249,34,2640xe" filled="true" fillcolor="#d4d4d4" stroked="false">
                <v:path arrowok="t"/>
                <v:fill type="solid"/>
              </v:shape>
            </v:group>
            <v:group style="position:absolute;left:6119;top:1313;width:2;height:2264" coordorigin="6119,1313" coordsize="2,2264">
              <v:shape style="position:absolute;left:6119;top:1313;width:2;height:2264" coordorigin="6119,1313" coordsize="0,2264" path="m6119,1313l6119,3576e" filled="false" stroked="true" strokeweight="1.08pt" strokecolor="#ffffff">
                <v:path arrowok="t"/>
              </v:shape>
            </v:group>
            <v:group style="position:absolute;left:6130;top:1313;width:3416;height:353" coordorigin="6130,1313" coordsize="3416,353">
              <v:shape style="position:absolute;left:6130;top:1313;width:3416;height:353" coordorigin="6130,1313" coordsize="3416,353" path="m6130,1666l9545,1666,9545,1313,6130,1313,6130,1666xe" filled="true" fillcolor="#ffffff" stroked="false">
                <v:path arrowok="t"/>
                <v:fill type="solid"/>
              </v:shape>
            </v:group>
            <v:group style="position:absolute;left:6130;top:1666;width:3416;height:312" coordorigin="6130,1666" coordsize="3416,312">
              <v:shape style="position:absolute;left:6130;top:1666;width:3416;height:312" coordorigin="6130,1666" coordsize="3416,312" path="m6130,1978l9545,1978,9545,1666,6130,1666,6130,1978xe" filled="true" fillcolor="#ffffff" stroked="false">
                <v:path arrowok="t"/>
                <v:fill type="solid"/>
              </v:shape>
            </v:group>
            <v:group style="position:absolute;left:10;top:1308;width:2400;height:2" coordorigin="10,1308" coordsize="2400,2">
              <v:shape style="position:absolute;left:10;top:1308;width:2400;height:2" coordorigin="10,1308" coordsize="2400,0" path="m10,1308l2410,1308e" filled="false" stroked="true" strokeweight=".48pt" strokecolor="#000000">
                <v:path arrowok="t"/>
              </v:shape>
            </v:group>
            <v:group style="position:absolute;left:2419;top:1308;width:3677;height:2" coordorigin="2419,1308" coordsize="3677,2">
              <v:shape style="position:absolute;left:2419;top:1308;width:3677;height:2" coordorigin="2419,1308" coordsize="3677,0" path="m2419,1308l6096,1308e" filled="false" stroked="true" strokeweight=".48pt" strokecolor="#000000">
                <v:path arrowok="t"/>
              </v:shape>
            </v:group>
            <v:group style="position:absolute;left:6106;top:1308;width:3464;height:2" coordorigin="6106,1308" coordsize="3464,2">
              <v:shape style="position:absolute;left:6106;top:1308;width:3464;height:2" coordorigin="6106,1308" coordsize="3464,0" path="m6106,1308l9569,1308e" filled="false" stroked="true" strokeweight=".48pt" strokecolor="#000000">
                <v:path arrowok="t"/>
              </v:shape>
            </v:group>
            <v:group style="position:absolute;left:6101;top:5;width:2;height:3581" coordorigin="6101,5" coordsize="2,3581">
              <v:shape style="position:absolute;left:6101;top:5;width:2;height:3581" coordorigin="6101,5" coordsize="0,3581" path="m6101,5l6101,3586e" filled="false" stroked="true" strokeweight=".481pt" strokecolor="#000000">
                <v:path arrowok="t"/>
              </v:shape>
            </v:group>
            <v:group style="position:absolute;left:23;top:3586;width:2;height:394" coordorigin="23,3586" coordsize="2,394">
              <v:shape style="position:absolute;left:23;top:3586;width:2;height:394" coordorigin="23,3586" coordsize="0,394" path="m23,3586l23,3979e" filled="false" stroked="true" strokeweight="1.08pt" strokecolor="#d4d4d4">
                <v:path arrowok="t"/>
              </v:shape>
            </v:group>
            <v:group style="position:absolute;left:2400;top:3586;width:2;height:394" coordorigin="2400,3586" coordsize="2,394">
              <v:shape style="position:absolute;left:2400;top:3586;width:2;height:394" coordorigin="2400,3586" coordsize="0,394" path="m2400,3586l2400,3979e" filled="false" stroked="true" strokeweight="1.2pt" strokecolor="#d4d4d4">
                <v:path arrowok="t"/>
              </v:shape>
            </v:group>
            <v:group style="position:absolute;left:34;top:3586;width:2355;height:394" coordorigin="34,3586" coordsize="2355,394">
              <v:shape style="position:absolute;left:34;top:3586;width:2355;height:394" coordorigin="34,3586" coordsize="2355,394" path="m34,3979l2388,3979,2388,3586,34,3586,34,3979xe" filled="true" fillcolor="#d4d4d4" stroked="false">
                <v:path arrowok="t"/>
                <v:fill type="solid"/>
              </v:shape>
            </v:group>
            <v:group style="position:absolute;left:10;top:3581;width:2400;height:2" coordorigin="10,3581" coordsize="2400,2">
              <v:shape style="position:absolute;left:10;top:3581;width:2400;height:2" coordorigin="10,3581" coordsize="2400,0" path="m10,3581l2410,3581e" filled="false" stroked="true" strokeweight=".481pt" strokecolor="#000000">
                <v:path arrowok="t"/>
              </v:shape>
            </v:group>
            <v:group style="position:absolute;left:2419;top:3581;width:3677;height:2" coordorigin="2419,3581" coordsize="3677,2">
              <v:shape style="position:absolute;left:2419;top:3581;width:3677;height:2" coordorigin="2419,3581" coordsize="3677,0" path="m2419,3581l6096,3581e" filled="false" stroked="true" strokeweight=".481pt" strokecolor="#000000">
                <v:path arrowok="t"/>
              </v:shape>
            </v:group>
            <v:group style="position:absolute;left:6106;top:3581;width:3464;height:2" coordorigin="6106,3581" coordsize="3464,2">
              <v:shape style="position:absolute;left:6106;top:3581;width:3464;height:2" coordorigin="6106,3581" coordsize="3464,0" path="m6106,3581l9569,3581e" filled="false" stroked="true" strokeweight=".481pt" strokecolor="#000000">
                <v:path arrowok="t"/>
              </v:shape>
            </v:group>
            <v:group style="position:absolute;left:23;top:3989;width:2;height:392" coordorigin="23,3989" coordsize="2,392">
              <v:shape style="position:absolute;left:23;top:3989;width:2;height:392" coordorigin="23,3989" coordsize="0,392" path="m23,3989l23,4380e" filled="false" stroked="true" strokeweight="1.08pt" strokecolor="#d4d4d4">
                <v:path arrowok="t"/>
              </v:shape>
            </v:group>
            <v:group style="position:absolute;left:2400;top:3989;width:2;height:392" coordorigin="2400,3989" coordsize="2,392">
              <v:shape style="position:absolute;left:2400;top:3989;width:2;height:392" coordorigin="2400,3989" coordsize="0,392" path="m2400,3989l2400,4380e" filled="false" stroked="true" strokeweight="1.2pt" strokecolor="#d4d4d4">
                <v:path arrowok="t"/>
              </v:shape>
            </v:group>
            <v:group style="position:absolute;left:34;top:3989;width:2355;height:392" coordorigin="34,3989" coordsize="2355,392">
              <v:shape style="position:absolute;left:34;top:3989;width:2355;height:392" coordorigin="34,3989" coordsize="2355,392" path="m34,4380l2388,4380,2388,3989,34,3989,34,4380xe" filled="true" fillcolor="#d4d4d4" stroked="false">
                <v:path arrowok="t"/>
                <v:fill type="solid"/>
              </v:shape>
            </v:group>
            <v:group style="position:absolute;left:2432;top:3989;width:2;height:392" coordorigin="2432,3989" coordsize="2,392">
              <v:shape style="position:absolute;left:2432;top:3989;width:2;height:392" coordorigin="2432,3989" coordsize="0,392" path="m2432,3989l2432,4380e" filled="false" stroked="true" strokeweight="1.08pt" strokecolor="#ffffff">
                <v:path arrowok="t"/>
              </v:shape>
            </v:group>
            <v:group style="position:absolute;left:2443;top:3989;width:7102;height:392" coordorigin="2443,3989" coordsize="7102,392">
              <v:shape style="position:absolute;left:2443;top:3989;width:7102;height:392" coordorigin="2443,3989" coordsize="7102,392" path="m2443,4380l9545,4380,9545,3989,2443,3989,2443,4380xe" filled="true" fillcolor="#ffffff" stroked="false">
                <v:path arrowok="t"/>
                <v:fill type="solid"/>
              </v:shape>
            </v:group>
            <v:group style="position:absolute;left:10;top:3984;width:2400;height:2" coordorigin="10,3984" coordsize="2400,2">
              <v:shape style="position:absolute;left:10;top:3984;width:2400;height:2" coordorigin="10,3984" coordsize="2400,0" path="m10,3984l2410,3984e" filled="false" stroked="true" strokeweight=".481pt" strokecolor="#000000">
                <v:path arrowok="t"/>
              </v:shape>
            </v:group>
            <v:group style="position:absolute;left:2419;top:3984;width:7150;height:2" coordorigin="2419,3984" coordsize="7150,2">
              <v:shape style="position:absolute;left:2419;top:3984;width:7150;height:2" coordorigin="2419,3984" coordsize="7150,0" path="m2419,3984l9569,3984e" filled="false" stroked="true" strokeweight=".481pt" strokecolor="#000000">
                <v:path arrowok="t"/>
              </v:shape>
            </v:group>
            <v:group style="position:absolute;left:23;top:4390;width:2;height:394" coordorigin="23,4390" coordsize="2,394">
              <v:shape style="position:absolute;left:23;top:4390;width:2;height:394" coordorigin="23,4390" coordsize="0,394" path="m23,4390l23,4783e" filled="false" stroked="true" strokeweight="1.08pt" strokecolor="#d4d4d4">
                <v:path arrowok="t"/>
              </v:shape>
            </v:group>
            <v:group style="position:absolute;left:2400;top:4390;width:2;height:394" coordorigin="2400,4390" coordsize="2,394">
              <v:shape style="position:absolute;left:2400;top:4390;width:2;height:394" coordorigin="2400,4390" coordsize="0,394" path="m2400,4390l2400,4783e" filled="false" stroked="true" strokeweight="1.2pt" strokecolor="#d4d4d4">
                <v:path arrowok="t"/>
              </v:shape>
            </v:group>
            <v:group style="position:absolute;left:34;top:4390;width:2355;height:394" coordorigin="34,4390" coordsize="2355,394">
              <v:shape style="position:absolute;left:34;top:4390;width:2355;height:394" coordorigin="34,4390" coordsize="2355,394" path="m34,4783l2388,4783,2388,4390,34,4390,34,4783xe" filled="true" fillcolor="#d4d4d4" stroked="false">
                <v:path arrowok="t"/>
                <v:fill type="solid"/>
              </v:shape>
            </v:group>
            <v:group style="position:absolute;left:10;top:4385;width:2400;height:2" coordorigin="10,4385" coordsize="2400,2">
              <v:shape style="position:absolute;left:10;top:4385;width:2400;height:2" coordorigin="10,4385" coordsize="2400,0" path="m10,4385l2410,4385e" filled="false" stroked="true" strokeweight=".48pt" strokecolor="#000000">
                <v:path arrowok="t"/>
              </v:shape>
            </v:group>
            <v:group style="position:absolute;left:2419;top:4385;width:7150;height:2" coordorigin="2419,4385" coordsize="7150,2">
              <v:shape style="position:absolute;left:2419;top:4385;width:7150;height:2" coordorigin="2419,4385" coordsize="7150,0" path="m2419,4385l9569,4385e" filled="false" stroked="true" strokeweight=".48pt" strokecolor="#000000">
                <v:path arrowok="t"/>
              </v:shape>
            </v:group>
            <v:group style="position:absolute;left:23;top:4793;width:2;height:392" coordorigin="23,4793" coordsize="2,392">
              <v:shape style="position:absolute;left:23;top:4793;width:2;height:392" coordorigin="23,4793" coordsize="0,392" path="m23,4793l23,5184e" filled="false" stroked="true" strokeweight="1.08pt" strokecolor="#d4d4d4">
                <v:path arrowok="t"/>
              </v:shape>
            </v:group>
            <v:group style="position:absolute;left:2400;top:4793;width:2;height:392" coordorigin="2400,4793" coordsize="2,392">
              <v:shape style="position:absolute;left:2400;top:4793;width:2;height:392" coordorigin="2400,4793" coordsize="0,392" path="m2400,4793l2400,5184e" filled="false" stroked="true" strokeweight="1.2pt" strokecolor="#d4d4d4">
                <v:path arrowok="t"/>
              </v:shape>
            </v:group>
            <v:group style="position:absolute;left:34;top:4793;width:2355;height:392" coordorigin="34,4793" coordsize="2355,392">
              <v:shape style="position:absolute;left:34;top:4793;width:2355;height:392" coordorigin="34,4793" coordsize="2355,392" path="m34,5184l2388,5184,2388,4793,34,4793,34,5184xe" filled="true" fillcolor="#d4d4d4" stroked="false">
                <v:path arrowok="t"/>
                <v:fill type="solid"/>
              </v:shape>
            </v:group>
            <v:group style="position:absolute;left:2432;top:4793;width:2;height:392" coordorigin="2432,4793" coordsize="2,392">
              <v:shape style="position:absolute;left:2432;top:4793;width:2;height:392" coordorigin="2432,4793" coordsize="0,392" path="m2432,4793l2432,5184e" filled="false" stroked="true" strokeweight="1.08pt" strokecolor="#ffffff">
                <v:path arrowok="t"/>
              </v:shape>
            </v:group>
            <v:group style="position:absolute;left:2443;top:4793;width:7102;height:392" coordorigin="2443,4793" coordsize="7102,392">
              <v:shape style="position:absolute;left:2443;top:4793;width:7102;height:392" coordorigin="2443,4793" coordsize="7102,392" path="m2443,5184l9545,5184,9545,4793,2443,4793,2443,5184xe" filled="true" fillcolor="#ffffff" stroked="false">
                <v:path arrowok="t"/>
                <v:fill type="solid"/>
              </v:shape>
            </v:group>
            <v:group style="position:absolute;left:10;top:4788;width:2400;height:2" coordorigin="10,4788" coordsize="2400,2">
              <v:shape style="position:absolute;left:10;top:4788;width:2400;height:2" coordorigin="10,4788" coordsize="2400,0" path="m10,4788l2410,4788e" filled="false" stroked="true" strokeweight=".48pt" strokecolor="#000000">
                <v:path arrowok="t"/>
              </v:shape>
            </v:group>
            <v:group style="position:absolute;left:2419;top:4788;width:7150;height:2" coordorigin="2419,4788" coordsize="7150,2">
              <v:shape style="position:absolute;left:2419;top:4788;width:7150;height:2" coordorigin="2419,4788" coordsize="7150,0" path="m2419,4788l9569,4788e" filled="false" stroked="true" strokeweight=".48pt" strokecolor="#000000">
                <v:path arrowok="t"/>
              </v:shape>
            </v:group>
            <v:group style="position:absolute;left:5;top:5;width:2;height:5189" coordorigin="5,5" coordsize="2,5189">
              <v:shape style="position:absolute;left:5;top:5;width:2;height:5189" coordorigin="5,5" coordsize="0,5189" path="m5,5l5,5194e" filled="false" stroked="true" strokeweight=".48pt" strokecolor="#000000">
                <v:path arrowok="t"/>
              </v:shape>
            </v:group>
            <v:group style="position:absolute;left:10;top:5189;width:2400;height:2" coordorigin="10,5189" coordsize="2400,2">
              <v:shape style="position:absolute;left:10;top:5189;width:2400;height:2" coordorigin="10,5189" coordsize="2400,0" path="m10,5189l2410,5189e" filled="false" stroked="true" strokeweight=".48pt" strokecolor="#000000">
                <v:path arrowok="t"/>
              </v:shape>
            </v:group>
            <v:group style="position:absolute;left:2414;top:5;width:2;height:5189" coordorigin="2414,5" coordsize="2,5189">
              <v:shape style="position:absolute;left:2414;top:5;width:2;height:5189" coordorigin="2414,5" coordsize="0,5189" path="m2414,5l2414,5194e" filled="false" stroked="true" strokeweight=".481pt" strokecolor="#000000">
                <v:path arrowok="t"/>
              </v:shape>
            </v:group>
            <v:group style="position:absolute;left:2419;top:5189;width:7150;height:2" coordorigin="2419,5189" coordsize="7150,2">
              <v:shape style="position:absolute;left:2419;top:5189;width:7150;height:2" coordorigin="2419,5189" coordsize="7150,0" path="m2419,5189l9569,5189e" filled="false" stroked="true" strokeweight=".48pt" strokecolor="#000000">
                <v:path arrowok="t"/>
              </v:shape>
            </v:group>
            <v:group style="position:absolute;left:9574;top:5;width:2;height:5189" coordorigin="9574,5" coordsize="2,5189">
              <v:shape style="position:absolute;left:9574;top:5;width:2;height:5189" coordorigin="9574,5" coordsize="0,5189" path="m9574,5l9574,5194e" filled="false" stroked="true" strokeweight=".48pt" strokecolor="#000000">
                <v:path arrowok="t"/>
              </v:shape>
              <v:shape style="position:absolute;left:2414;top:10;width:3699;height:1299" type="#_x0000_t202" filled="false" stroked="false">
                <v:textbox inset="0,0,0,0">
                  <w:txbxContent>
                    <w:p>
                      <w:pPr>
                        <w:spacing w:line="316" w:lineRule="auto" w:before="13"/>
                        <w:ind w:left="43" w:right="53" w:firstLine="0"/>
                        <w:jc w:val="center"/>
                        <w:rPr>
                          <w:rFonts w:ascii="宋体" w:hAnsi="宋体" w:cs="宋体" w:eastAsia="宋体" w:hint="default"/>
                          <w:sz w:val="18"/>
                          <w:szCs w:val="18"/>
                        </w:rPr>
                      </w:pPr>
                      <w:r>
                        <w:rPr>
                          <w:rFonts w:ascii="宋体" w:hAnsi="宋体" w:cs="宋体" w:eastAsia="宋体" w:hint="default"/>
                          <w:sz w:val="18"/>
                          <w:szCs w:val="18"/>
                        </w:rPr>
                        <w:t>制的财务报表达到真实、准确的目标；③未依 照公认会计准则选择和应用会计政策。一般缺 陷认定标准：不构成重大缺陷或重要缺陷的其 他内部控制缺陷认定为一般缺陷。</w:t>
                      </w:r>
                    </w:p>
                  </w:txbxContent>
                </v:textbox>
                <w10:wrap type="none"/>
              </v:shape>
              <v:shape style="position:absolute;left:6113;top:10;width:3461;height:1299" type="#_x0000_t202" filled="false" stroked="false">
                <v:textbox inset="0,0,0,0">
                  <w:txbxContent>
                    <w:p>
                      <w:pPr>
                        <w:spacing w:before="13"/>
                        <w:ind w:left="16" w:right="0" w:firstLine="0"/>
                        <w:jc w:val="left"/>
                        <w:rPr>
                          <w:rFonts w:ascii="宋体" w:hAnsi="宋体" w:cs="宋体" w:eastAsia="宋体" w:hint="default"/>
                          <w:sz w:val="18"/>
                          <w:szCs w:val="18"/>
                        </w:rPr>
                      </w:pPr>
                      <w:r>
                        <w:rPr>
                          <w:rFonts w:ascii="宋体" w:hAnsi="宋体" w:cs="宋体" w:eastAsia="宋体" w:hint="default"/>
                          <w:sz w:val="18"/>
                          <w:szCs w:val="18"/>
                        </w:rPr>
                        <w:t>他可能导致公司偏离预期控制目标的缺陷。</w:t>
                      </w:r>
                    </w:p>
                  </w:txbxContent>
                </v:textbox>
                <w10:wrap type="none"/>
              </v:shape>
              <v:shape style="position:absolute;left:850;top:235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定量标准</w:t>
                      </w:r>
                    </w:p>
                  </w:txbxContent>
                </v:textbox>
                <w10:wrap type="none"/>
              </v:shape>
              <v:shape style="position:absolute;left:2414;top:1308;width:3699;height:2273" type="#_x0000_t202" filled="false" stroked="false">
                <v:textbox inset="0,0,0,0">
                  <w:txbxContent>
                    <w:p>
                      <w:pPr>
                        <w:spacing w:line="240" w:lineRule="auto" w:before="0"/>
                        <w:rPr>
                          <w:rFonts w:ascii="宋体" w:hAnsi="宋体" w:cs="宋体" w:eastAsia="宋体" w:hint="default"/>
                          <w:sz w:val="16"/>
                          <w:szCs w:val="16"/>
                        </w:rPr>
                      </w:pPr>
                    </w:p>
                    <w:p>
                      <w:pPr>
                        <w:spacing w:line="304" w:lineRule="auto" w:before="0"/>
                        <w:ind w:left="28" w:right="41" w:hanging="84"/>
                        <w:jc w:val="center"/>
                        <w:rPr>
                          <w:rFonts w:ascii="宋体" w:hAnsi="宋体" w:cs="宋体" w:eastAsia="宋体" w:hint="default"/>
                          <w:sz w:val="18"/>
                          <w:szCs w:val="18"/>
                        </w:rPr>
                      </w:pPr>
                      <w:r>
                        <w:rPr>
                          <w:rFonts w:ascii="宋体" w:hAnsi="宋体" w:cs="宋体" w:eastAsia="宋体" w:hint="default"/>
                          <w:spacing w:val="-5"/>
                          <w:sz w:val="18"/>
                          <w:szCs w:val="18"/>
                        </w:rPr>
                        <w:t>重大缺陷认定标准：错报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营业收入总额的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。重要缺陷认定标准：营 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错报＜营业收入总额的的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一般缺陷认定标准：错报＜营业收入总额的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xbxContent>
                </v:textbox>
                <w10:wrap type="none"/>
              </v:shape>
              <v:shape style="position:absolute;left:6;top:3581;width:2409;height:404" type="#_x0000_t202" filled="false" stroked="false">
                <v:textbox inset="0,0,0,0">
                  <w:txbxContent>
                    <w:p>
                      <w:pPr>
                        <w:spacing w:before="53"/>
                        <w:ind w:left="34" w:right="0" w:firstLine="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xbxContent>
                </v:textbox>
                <w10:wrap type="none"/>
              </v:shape>
              <v:shape style="position:absolute;left:5947;top:3700;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6;top:3984;width:2409;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非财务报告重大缺陷数</w:t>
                      </w:r>
                      <w:r>
                        <w:rPr>
                          <w:rFonts w:ascii="宋体" w:hAnsi="宋体" w:cs="宋体" w:eastAsia="宋体" w:hint="default"/>
                          <w:spacing w:val="-77"/>
                          <w:sz w:val="18"/>
                          <w:szCs w:val="18"/>
                        </w:rPr>
                        <w:t>量</w:t>
                      </w:r>
                      <w:r>
                        <w:rPr>
                          <w:rFonts w:ascii="宋体" w:hAnsi="宋体" w:cs="宋体" w:eastAsia="宋体" w:hint="default"/>
                          <w:sz w:val="18"/>
                          <w:szCs w:val="18"/>
                        </w:rPr>
                        <w:t>（个</w:t>
                      </w:r>
                    </w:p>
                  </w:txbxContent>
                </v:textbox>
                <w10:wrap type="none"/>
              </v:shape>
              <v:shape style="position:absolute;left:6;top:4385;width:2409;height:404" type="#_x0000_t202" filled="false" stroked="false">
                <v:textbox inset="0,0,0,0">
                  <w:txbxContent>
                    <w:p>
                      <w:pPr>
                        <w:spacing w:before="53"/>
                        <w:ind w:left="34" w:right="0" w:firstLine="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xbxContent>
                </v:textbox>
                <w10:wrap type="none"/>
              </v:shape>
              <v:shape style="position:absolute;left:5947;top:4504;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6;top:4788;width:2409;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非财务报告重要缺陷数</w:t>
                      </w:r>
                      <w:r>
                        <w:rPr>
                          <w:rFonts w:ascii="宋体" w:hAnsi="宋体" w:cs="宋体" w:eastAsia="宋体" w:hint="default"/>
                          <w:spacing w:val="-77"/>
                          <w:sz w:val="18"/>
                          <w:szCs w:val="18"/>
                        </w:rPr>
                        <w:t>量</w:t>
                      </w:r>
                      <w:r>
                        <w:rPr>
                          <w:rFonts w:ascii="宋体" w:hAnsi="宋体" w:cs="宋体" w:eastAsia="宋体" w:hint="default"/>
                          <w:sz w:val="18"/>
                          <w:szCs w:val="18"/>
                        </w:rPr>
                        <w:t>（个</w:t>
                      </w:r>
                    </w:p>
                  </w:txbxContent>
                </v:textbox>
                <w10:wrap type="none"/>
              </v:shape>
              <v:shape style="position:absolute;left:5983;top:1417;width:3653;height:2052" type="#_x0000_t202" filled="false" stroked="false">
                <v:textbox inset="0,0,0,0">
                  <w:txbxContent>
                    <w:p>
                      <w:pPr>
                        <w:spacing w:line="140" w:lineRule="exact" w:before="0"/>
                        <w:ind w:left="146" w:right="0" w:firstLine="0"/>
                        <w:jc w:val="left"/>
                        <w:rPr>
                          <w:rFonts w:ascii="宋体" w:hAnsi="宋体" w:cs="宋体" w:eastAsia="宋体" w:hint="default"/>
                          <w:sz w:val="18"/>
                          <w:szCs w:val="18"/>
                        </w:rPr>
                      </w:pPr>
                      <w:r>
                        <w:rPr>
                          <w:rFonts w:ascii="宋体" w:hAnsi="宋体" w:cs="宋体" w:eastAsia="宋体" w:hint="default"/>
                          <w:sz w:val="18"/>
                          <w:szCs w:val="18"/>
                        </w:rPr>
                        <w:t>根据以下情况的影响程度认定为一般缺陷、</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196" w:lineRule="exact" w:before="0"/>
                        <w:ind w:left="146" w:right="0" w:firstLine="0"/>
                        <w:jc w:val="left"/>
                        <w:rPr>
                          <w:rFonts w:ascii="宋体" w:hAnsi="宋体" w:cs="宋体" w:eastAsia="宋体" w:hint="default"/>
                          <w:sz w:val="18"/>
                          <w:szCs w:val="18"/>
                        </w:rPr>
                      </w:pPr>
                      <w:r>
                        <w:rPr>
                          <w:rFonts w:ascii="宋体" w:hAnsi="宋体" w:cs="宋体" w:eastAsia="宋体" w:hint="default"/>
                          <w:sz w:val="18"/>
                          <w:szCs w:val="18"/>
                        </w:rPr>
                        <w:t>重要缺陷和重大缺陷。①公司经营活动违反</w:t>
                      </w:r>
                    </w:p>
                    <w:p>
                      <w:pPr>
                        <w:spacing w:line="310" w:lineRule="atLeast" w:before="2"/>
                        <w:ind w:left="146" w:right="0" w:firstLine="0"/>
                        <w:jc w:val="left"/>
                        <w:rPr>
                          <w:rFonts w:ascii="宋体" w:hAnsi="宋体" w:cs="宋体" w:eastAsia="宋体" w:hint="default"/>
                          <w:sz w:val="18"/>
                          <w:szCs w:val="18"/>
                        </w:rPr>
                      </w:pPr>
                      <w:r>
                        <w:rPr>
                          <w:rFonts w:ascii="宋体" w:hAnsi="宋体" w:cs="宋体" w:eastAsia="宋体" w:hint="default"/>
                          <w:spacing w:val="-5"/>
                          <w:sz w:val="18"/>
                          <w:szCs w:val="18"/>
                        </w:rPr>
                        <w:t>国家法律、法规；②媒体负面新闻频频曝光，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对公司声誉造成重大影响；③内部控制缺陷</w:t>
                      </w:r>
                      <w:r>
                        <w:rPr>
                          <w:rFonts w:ascii="宋体" w:hAnsi="宋体" w:cs="宋体" w:eastAsia="宋体" w:hint="default"/>
                          <w:sz w:val="18"/>
                          <w:szCs w:val="18"/>
                        </w:rPr>
                        <w:t> 未得到整改；④重大事项决策程序失误或违 反公司决策程序导致公司经济损失；</w:t>
                      </w:r>
                      <w:r>
                        <w:rPr>
                          <w:rFonts w:ascii="宋体" w:hAnsi="宋体" w:cs="宋体" w:eastAsia="宋体" w:hint="default"/>
                          <w:spacing w:val="1"/>
                          <w:sz w:val="18"/>
                          <w:szCs w:val="18"/>
                        </w:rPr>
                        <w:t> </w:t>
                      </w:r>
                      <w:r>
                        <w:rPr>
                          <w:rFonts w:ascii="宋体" w:hAnsi="宋体" w:cs="宋体" w:eastAsia="宋体" w:hint="default"/>
                          <w:sz w:val="18"/>
                          <w:szCs w:val="18"/>
                        </w:rPr>
                        <w:t>⑤其</w:t>
                      </w:r>
                      <w:r>
                        <w:rPr>
                          <w:rFonts w:ascii="宋体" w:hAnsi="宋体" w:cs="宋体" w:eastAsia="宋体" w:hint="default"/>
                          <w:sz w:val="18"/>
                          <w:szCs w:val="18"/>
                        </w:rPr>
                        <w:t> 他可能导致公司偏离预期控制目标的缺陷。</w:t>
                      </w:r>
                    </w:p>
                  </w:txbxContent>
                </v:textbox>
                <w10:wrap type="none"/>
              </v:shape>
              <v:shape style="position:absolute;left:2297;top:409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5947;top:4103;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2297;top:489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5947;top:4907;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group>
          </v:group>
        </w:pict>
      </w:r>
      <w:r>
        <w:rPr>
          <w:rFonts w:ascii="宋体" w:hAnsi="宋体" w:cs="宋体" w:eastAsia="宋体" w:hint="default"/>
          <w:position w:val="-103"/>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602"/>
        <w:jc w:val="center"/>
        <w:rPr>
          <w:b w:val="0"/>
          <w:bCs w:val="0"/>
        </w:rPr>
      </w:pPr>
      <w:bookmarkStart w:name="第十节 财务报告" w:id="145"/>
      <w:bookmarkEnd w:id="145"/>
      <w:r>
        <w:rPr>
          <w:b w:val="0"/>
          <w:bCs w:val="0"/>
        </w:rPr>
      </w:r>
      <w:bookmarkStart w:name="_bookmark9" w:id="146"/>
      <w:bookmarkEnd w:id="146"/>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京永审字（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吕润波、黄冠伟</w:t>
            </w:r>
          </w:p>
        </w:tc>
      </w:tr>
    </w:tbl>
    <w:p>
      <w:pPr>
        <w:pStyle w:val="BodyText"/>
        <w:spacing w:line="240" w:lineRule="auto" w:before="49"/>
        <w:ind w:left="2602" w:right="2602"/>
        <w:jc w:val="center"/>
      </w:pPr>
      <w:r>
        <w:rPr/>
        <w:t>审计报告正文</w:t>
      </w:r>
    </w:p>
    <w:p>
      <w:pPr>
        <w:pStyle w:val="Heading3"/>
        <w:spacing w:line="240" w:lineRule="auto"/>
        <w:ind w:left="2602" w:right="2602"/>
        <w:jc w:val="center"/>
      </w:pPr>
      <w:r>
        <w:rPr/>
        <w:t>审计报告</w:t>
      </w:r>
    </w:p>
    <w:p>
      <w:pPr>
        <w:spacing w:line="240" w:lineRule="auto" w:before="1"/>
        <w:rPr>
          <w:rFonts w:ascii="宋体" w:hAnsi="宋体" w:cs="宋体" w:eastAsia="宋体" w:hint="default"/>
          <w:sz w:val="29"/>
          <w:szCs w:val="29"/>
        </w:rPr>
      </w:pPr>
    </w:p>
    <w:p>
      <w:pPr>
        <w:pStyle w:val="Heading5"/>
        <w:spacing w:line="240" w:lineRule="auto" w:before="36"/>
        <w:ind w:left="0" w:right="153"/>
        <w:jc w:val="right"/>
      </w:pPr>
      <w:r>
        <w:rPr>
          <w:spacing w:val="-2"/>
        </w:rPr>
        <w:t>京永审字（</w:t>
      </w:r>
      <w:r>
        <w:rPr>
          <w:rFonts w:ascii="宋体" w:hAnsi="宋体" w:cs="宋体" w:eastAsia="宋体" w:hint="default"/>
          <w:spacing w:val="-2"/>
        </w:rPr>
        <w:t>2016</w:t>
      </w:r>
      <w:r>
        <w:rPr>
          <w:spacing w:val="-2"/>
        </w:rPr>
        <w:t>）第</w:t>
      </w:r>
      <w:r>
        <w:rPr>
          <w:rFonts w:ascii="宋体" w:hAnsi="宋体" w:cs="宋体" w:eastAsia="宋体" w:hint="default"/>
          <w:spacing w:val="-2"/>
        </w:rPr>
        <w:t>11006</w:t>
      </w:r>
      <w:r>
        <w:rPr>
          <w:spacing w:val="-2"/>
        </w:rPr>
        <w:t>号</w:t>
      </w:r>
    </w:p>
    <w:p>
      <w:pPr>
        <w:pStyle w:val="Heading5"/>
        <w:spacing w:line="240" w:lineRule="auto" w:before="114"/>
        <w:ind w:right="0"/>
        <w:jc w:val="left"/>
      </w:pPr>
      <w:r>
        <w:rPr/>
        <w:t>任子行网络技术股份有限公司全体股东：</w:t>
      </w:r>
    </w:p>
    <w:p>
      <w:pPr>
        <w:spacing w:line="240" w:lineRule="auto" w:before="13"/>
        <w:rPr>
          <w:rFonts w:ascii="宋体" w:hAnsi="宋体" w:cs="宋体" w:eastAsia="宋体" w:hint="default"/>
          <w:sz w:val="11"/>
          <w:szCs w:val="11"/>
        </w:rPr>
      </w:pPr>
    </w:p>
    <w:p>
      <w:pPr>
        <w:pStyle w:val="Heading5"/>
        <w:spacing w:line="408" w:lineRule="auto" w:before="36"/>
        <w:ind w:right="147" w:firstLine="480"/>
        <w:jc w:val="both"/>
      </w:pPr>
      <w:r>
        <w:rPr/>
        <w:t>我们审计了后附的任子行网络技术股份有限公司（以下简称</w:t>
      </w:r>
      <w:r>
        <w:rPr>
          <w:rFonts w:ascii="宋体" w:hAnsi="宋体" w:cs="宋体" w:eastAsia="宋体" w:hint="default"/>
        </w:rPr>
        <w:t>“</w:t>
      </w:r>
      <w:r>
        <w:rPr/>
        <w:t>贵公司</w:t>
      </w:r>
      <w:r>
        <w:rPr>
          <w:rFonts w:ascii="宋体" w:hAnsi="宋体" w:cs="宋体" w:eastAsia="宋体" w:hint="default"/>
        </w:rPr>
        <w:t>”</w:t>
      </w:r>
      <w:r>
        <w:rPr/>
        <w:t>）财务报表，包括</w:t>
      </w:r>
      <w:r>
        <w:rPr>
          <w:rFonts w:ascii="宋体" w:hAnsi="宋体" w:cs="宋体" w:eastAsia="宋体" w:hint="default"/>
        </w:rPr>
        <w:t>2015</w:t>
      </w:r>
      <w:r>
        <w:rPr/>
        <w:t>年</w:t>
      </w:r>
      <w:r>
        <w:rPr>
          <w:rFonts w:ascii="宋体" w:hAnsi="宋体" w:cs="宋体" w:eastAsia="宋体" w:hint="default"/>
        </w:rPr>
        <w:t>12</w:t>
      </w:r>
      <w:r>
        <w:rPr>
          <w:rFonts w:ascii="宋体" w:hAnsi="宋体" w:cs="宋体" w:eastAsia="宋体" w:hint="default"/>
          <w:spacing w:val="-3"/>
          <w:w w:val="100"/>
        </w:rPr>
        <w:t> </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2015</w:t>
      </w:r>
      <w:r>
        <w:rPr>
          <w:spacing w:val="-2"/>
        </w:rPr>
        <w:t>年度的合并及母公司利润表、合并及母公司现金流量表、合并及</w:t>
      </w:r>
      <w:r>
        <w:rPr>
          <w:spacing w:val="-38"/>
        </w:rPr>
        <w:t> </w:t>
      </w:r>
      <w:r>
        <w:rPr>
          <w:spacing w:val="-38"/>
        </w:rPr>
      </w:r>
      <w:r>
        <w:rPr/>
        <w:t>母公司所有者权益变动表以及财务报表附注。</w:t>
      </w:r>
    </w:p>
    <w:p>
      <w:pPr>
        <w:spacing w:line="408" w:lineRule="auto" w:before="46"/>
        <w:ind w:left="632"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4"/>
          <w:sz w:val="21"/>
          <w:szCs w:val="21"/>
        </w:rPr>
        <w:t>编制和公允列报财务报表是贵公司管理层的责任，这种责任包括</w:t>
      </w:r>
      <w:r>
        <w:rPr>
          <w:rFonts w:ascii="宋体" w:hAnsi="宋体" w:cs="宋体" w:eastAsia="宋体" w:hint="default"/>
          <w:spacing w:val="-4"/>
          <w:sz w:val="21"/>
          <w:szCs w:val="21"/>
        </w:rPr>
        <w:t>:(1)</w:t>
      </w:r>
      <w:r>
        <w:rPr>
          <w:rFonts w:ascii="宋体" w:hAnsi="宋体" w:cs="宋体" w:eastAsia="宋体" w:hint="default"/>
          <w:spacing w:val="-4"/>
          <w:sz w:val="21"/>
          <w:szCs w:val="21"/>
        </w:rPr>
        <w:t>按照企业会计准则的规定编制财</w:t>
      </w:r>
    </w:p>
    <w:p>
      <w:pPr>
        <w:pStyle w:val="Heading5"/>
        <w:spacing w:line="408" w:lineRule="auto"/>
        <w:ind w:left="153" w:right="0" w:hanging="1"/>
        <w:jc w:val="left"/>
      </w:pPr>
      <w:r>
        <w:rPr/>
        <w:t>务报表，并使其实现公允反映；</w:t>
      </w:r>
      <w:r>
        <w:rPr>
          <w:rFonts w:ascii="宋体" w:hAnsi="宋体" w:cs="宋体" w:eastAsia="宋体" w:hint="default"/>
        </w:rPr>
        <w:t>(2)</w:t>
      </w:r>
      <w:r>
        <w:rPr/>
        <w:t>设计、执行和维护必要的内部控制，以使财务报表不存在由于舞弊或</w:t>
      </w:r>
      <w:r>
        <w:rPr>
          <w:spacing w:val="-28"/>
        </w:rPr>
        <w:t> </w:t>
      </w:r>
      <w:r>
        <w:rPr>
          <w:spacing w:val="-28"/>
        </w:rPr>
      </w:r>
      <w:r>
        <w:rPr/>
        <w:t>错误导致的重大错报。</w:t>
      </w:r>
    </w:p>
    <w:p>
      <w:pPr>
        <w:pStyle w:val="Heading5"/>
        <w:spacing w:line="408" w:lineRule="auto"/>
        <w:ind w:left="632" w:right="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4"/>
        </w:rPr>
        <w:t>我们的责任是在执行审计工作的基础上对财务报表发表审计意见。我们按照中国注册会计师审计准则</w:t>
      </w:r>
    </w:p>
    <w:p>
      <w:pPr>
        <w:pStyle w:val="Heading5"/>
        <w:spacing w:line="408" w:lineRule="auto"/>
        <w:ind w:right="0"/>
        <w:jc w:val="left"/>
      </w:pPr>
      <w:r>
        <w:rPr>
          <w:spacing w:val="-2"/>
        </w:rPr>
        <w:t>的规定执行了审计工作。中国注册会计师审计准则要求我们遵守职业道德守则，计划和执行审计工作以对</w:t>
      </w:r>
      <w:r>
        <w:rPr>
          <w:spacing w:val="-43"/>
        </w:rPr>
        <w:t> </w:t>
      </w:r>
      <w:r>
        <w:rPr>
          <w:spacing w:val="-43"/>
        </w:rPr>
      </w:r>
      <w:r>
        <w:rPr/>
        <w:t>财务报表是否不存在重大错报获取合理保证。</w:t>
      </w:r>
    </w:p>
    <w:p>
      <w:pPr>
        <w:pStyle w:val="Heading5"/>
        <w:spacing w:line="408" w:lineRule="auto"/>
        <w:ind w:right="148"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3"/>
        </w:rPr>
        <w:t> </w:t>
      </w:r>
      <w:r>
        <w:rPr>
          <w:spacing w:val="-43"/>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Heading5"/>
        <w:spacing w:line="240" w:lineRule="auto"/>
        <w:ind w:left="632" w:right="0"/>
        <w:jc w:val="left"/>
      </w:pPr>
      <w:r>
        <w:rPr/>
        <w:t>我们相信，我们获取的审计证据是充分、适当的，为发表审计意见提供了基础。</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pStyle w:val="Heading5"/>
        <w:spacing w:line="408" w:lineRule="auto" w:before="175"/>
        <w:ind w:left="632" w:right="0" w:firstLine="2"/>
        <w:jc w:val="left"/>
        <w:rPr>
          <w:rFonts w:ascii="宋体" w:hAnsi="宋体" w:cs="宋体" w:eastAsia="宋体" w:hint="default"/>
        </w:rPr>
      </w:pPr>
      <w:r>
        <w:rPr>
          <w:rFonts w:ascii="宋体" w:hAnsi="宋体" w:cs="宋体" w:eastAsia="宋体" w:hint="default"/>
          <w:b/>
          <w:bCs/>
        </w:rPr>
        <w:t>三、审计意见</w:t>
      </w:r>
      <w:r>
        <w:rPr>
          <w:rFonts w:ascii="宋体" w:hAnsi="宋体" w:cs="宋体" w:eastAsia="宋体" w:hint="default"/>
          <w:b/>
          <w:bCs/>
          <w:w w:val="100"/>
        </w:rPr>
        <w:t> </w:t>
      </w:r>
      <w:r>
        <w:rPr/>
        <w:t>我们认为，贵公司财务报表在所有重大方面按照企业会计准则的规定编制，公允反映了贵公司</w:t>
      </w:r>
      <w:r>
        <w:rPr>
          <w:rFonts w:ascii="宋体" w:hAnsi="宋体" w:cs="宋体" w:eastAsia="宋体" w:hint="default"/>
        </w:rPr>
        <w:t>2015</w:t>
      </w:r>
    </w:p>
    <w:p>
      <w:pPr>
        <w:pStyle w:val="Heading5"/>
        <w:spacing w:line="240" w:lineRule="auto"/>
        <w:ind w:right="0"/>
        <w:jc w:val="left"/>
      </w:pP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2015</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5192" w:val="left" w:leader="none"/>
        </w:tabs>
        <w:spacing w:line="240" w:lineRule="auto" w:before="137"/>
        <w:ind w:left="1712" w:right="0" w:hanging="1440"/>
        <w:jc w:val="left"/>
      </w:pPr>
      <w:r>
        <w:rPr>
          <w:spacing w:val="-2"/>
        </w:rPr>
        <w:t>北京永拓会计师事务所（特殊普通合伙）</w:t>
        <w:tab/>
        <w:t>中国注册会计师：吕润波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5178" w:val="left" w:leader="none"/>
        </w:tabs>
        <w:spacing w:line="240" w:lineRule="auto" w:before="137"/>
        <w:ind w:left="1712" w:right="0"/>
        <w:jc w:val="left"/>
      </w:pPr>
      <w:r>
        <w:rPr>
          <w:spacing w:val="-1"/>
        </w:rPr>
        <w:t>中国•北京</w:t>
        <w:tab/>
      </w:r>
      <w:r>
        <w:rPr>
          <w:spacing w:val="-2"/>
        </w:rPr>
        <w:t>中国注册会计师：黄冠伟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left="0" w:right="570"/>
        <w:jc w:val="right"/>
      </w:pPr>
      <w:r>
        <w:rPr>
          <w:spacing w:val="-2"/>
        </w:rPr>
        <w:t>二〇一六年四月十五日</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bookmarkStart w:name="二、财务报表" w:id="148"/>
      <w:bookmarkEnd w:id="148"/>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编制单位：任子行网络技术股份有限公司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393" w:space="68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345,247,620.77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262,791,873.40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879,833.75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121,662,141.06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65,405,800.53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16,035,543.04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26,943,883.81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12,264,852.12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6,717,384.69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62,051,601.78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37,437,936.39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2,797,478.75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3,970,791.18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560,109,237.52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404,147,503.75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98,981,350.00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8,073,701.22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33,614,177.52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40,004,871.01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528,285.72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147,136,237.91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153,513,674.29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11,782,765.10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1,218,111.55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1,028,860.64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517,631.72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707,679,949.75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10,582,857.06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8,989,704.63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25,575,940.00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1,025,270,592.69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223,957,525.43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1,585,379,830.21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628,105,029.18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60,656,510.19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30,298,256.33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60,266,068.34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29,257,850.70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21,864,112.49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12,226,482.68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15,332,047.77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14,888,678.83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126,724.65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28,995,040.71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12,727,575.79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17,971,904.34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9,005,683.44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8,199,188.63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213,411,597.12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108,404,527.77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200,020,000.00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47,751,000.00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1,435,452.00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20,973,798.82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21,013,261.36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268,429,250.82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68,764,261.36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481,840,847.94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177,168,789.13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298,958,771.00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116,411,549.00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644,695,158.29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215,996,061.00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38,945,703.16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21,383,182.47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16,469,696.40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191,618,291.60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137,563,341.60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1,117,709,700.20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456,421,703.20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-14,170,717.93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-5,485,463.15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1,103,538,982.27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450,936,240.05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1,585,379,830.21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628,105,029.18</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513" w:val="left" w:leader="none"/>
          <w:tab w:pos="7745" w:val="left" w:leader="none"/>
        </w:tabs>
        <w:spacing w:line="240" w:lineRule="auto" w:before="44"/>
        <w:ind w:left="0" w:right="246"/>
        <w:jc w:val="right"/>
      </w:pPr>
      <w:r>
        <w:rPr/>
        <w:t>法定代表人：景晓军</w:t>
        <w:tab/>
      </w:r>
      <w:r>
        <w:rPr>
          <w:spacing w:val="-1"/>
        </w:rPr>
        <w:t>主管会计工作负责人：孙文杰</w:t>
        <w:tab/>
      </w:r>
      <w:r>
        <w:rPr/>
        <w:t>会计机构负责人：李艺</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144,497,222.22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195,821,006.54</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79,438.60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86,695,552.35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60,789,659.40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15,035,165.49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26,446,022.90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10,446,863.65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19,438,144.99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48,812,050.71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27,181,170.10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313,536,854.42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329,755,442.53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98,981,350.00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905,653,701.22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95,534,177.52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40,004,871.01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528,285.72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136,386,401.12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151,986,302.12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2,040,317.55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1,218,111.55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1,028,860.64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517,631.72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11,806,669.45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8,583,339.33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25,575,940.00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1,195,902,170.99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283,943,787.96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1,509,439,025.41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613,699,230.49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44,479,077.98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23,085,844.09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43,415,932.92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22,617,729.70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10,017,464.99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9,210,407.41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6,535,981.04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11,876,010.23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126,724.65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23,674,715.81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17,967,655.92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17,971,904.34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9,005,683.44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146,221,801.73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93,763,330.79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200,020,000.00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45,580,000.00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47,331,000.00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20,973,798.82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21,013,261.36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266,573,798.82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68,344,261.36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412,795,600.55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162,107,592.15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298,958,771.00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116,411,549.00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649,276,093.81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220,576,996.52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38,945,703.16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21,383,182.47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16,469,696.40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165,971,080.74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128,152,341.22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1,096,643,424.86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451,591,638.34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1,509,439,025.41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613,699,230.49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r>
        <w:rPr/>
        <w:pict>
          <v:group style="position:absolute;margin-left:210.960007pt;margin-top:629.339966pt;width:158.9pt;height:20.65pt;mso-position-horizontal-relative:page;mso-position-vertical-relative:page;z-index:-847312" coordorigin="4219,12587" coordsize="3178,413">
            <v:group style="position:absolute;left:4230;top:12598;width:2;height:392" coordorigin="4230,12598" coordsize="2,392">
              <v:shape style="position:absolute;left:4230;top:12598;width:2;height:392" coordorigin="4230,12598" coordsize="0,392" path="m4230,12598l4230,12989e" filled="false" stroked="true" strokeweight="1.08pt" strokecolor="#ffffff">
                <v:path arrowok="t"/>
              </v:shape>
            </v:group>
            <v:group style="position:absolute;left:4241;top:12598;width:3156;height:392" coordorigin="4241,12598" coordsize="3156,392">
              <v:shape style="position:absolute;left:4241;top:12598;width:3156;height:392" coordorigin="4241,12598" coordsize="3156,392" path="m4241,12989l7397,12989,7397,12598,4241,12598,4241,12989xe" filled="true" fillcolor="#ffffff" stroked="false">
                <v:path arrowok="t"/>
                <v:fill type="solid"/>
              </v:shape>
            </v:group>
            <w10:wrap type="none"/>
          </v:group>
        </w:pict>
      </w: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合并利润表" w:id="151"/>
      <w:bookmarkEnd w:id="151"/>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359,912,426.63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296,780,115.60</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359,912,426.63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296,780,115.60</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313,473,377.38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264,671,429.57</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125,000,064.78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124,065,569.57</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3,130,055.06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1,811,628.31</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43,320,060.59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33,181,237.40</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137,661,472.71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99,851,238.51</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-8,487,502.05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-3,512,708.44</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12,849,226.29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9,274,464.22</w:t>
            </w:r>
            <w:r>
              <w:rPr>
                <w:rFonts w:ascii="Times New Roman"/>
                <w:sz w:val="18"/>
              </w:rPr>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-40,476.30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-2,117,546.01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46,398,572.95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31,001,153.13</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21,197,551.98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12,514,672.46</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157,888.98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24,882.30</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826,576.49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738,277.78</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452,600.43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296,004.68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71.939980pt;width:158.9pt;height:20.65pt;mso-position-horizontal-relative:page;mso-position-vertical-relative:page;z-index:-847288" coordorigin="4219,1439" coordsize="3178,413">
            <v:group style="position:absolute;left:4230;top:1450;width:2;height:392" coordorigin="4230,1450" coordsize="2,392">
              <v:shape style="position:absolute;left:4230;top:1450;width:2;height:392" coordorigin="4230,1450" coordsize="0,392" path="m4230,1450l4230,1841e" filled="false" stroked="true" strokeweight="1.08pt" strokecolor="#ffffff">
                <v:path arrowok="t"/>
              </v:shape>
            </v:group>
            <v:group style="position:absolute;left:4241;top:1450;width:3156;height:392" coordorigin="4241,1450" coordsize="3156,392">
              <v:shape style="position:absolute;left:4241;top:1450;width:3156;height:392" coordorigin="4241,1450" coordsize="3156,392" path="m4241,1841l7397,1841,7397,1450,4241,1450,4241,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1117"/>
        <w:gridCol w:w="2105"/>
        <w:gridCol w:w="3276"/>
      </w:tblGrid>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66,769,548.44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42,777,547.81</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9,690,262.52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5,335,516.59</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57,079,285.92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37,442,031.22</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65,371,071.24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41,356,224.36</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-8,291,785.32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-3,914,193.14</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57,079,285.92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37,442,031.22</w:t>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65,371,071.24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41,356,224.36</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-8,291,785.32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-3,914,193.14</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0.26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母公司利润表" w:id="152"/>
      <w:bookmarkEnd w:id="152"/>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242,298,736.04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251,439,225.27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107,403,952.73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116,245,545.94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2,580,845.14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1,723,270.03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32,868,944.64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30,155,102.29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89,727,572.72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79,671,097.89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-4,038,203.87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-3,138,227.56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33,452,116.87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4,564,259.54</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48,951,043.66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-2,117,546.01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29,254,551.47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21,110,644.24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19,470,905.10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12,149,353.52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17,362.49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118,814.89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17,262.49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118,664.89</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48,708,094.08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33,141,182.87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-426,766.68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2,158,200.51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49,134,860.76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30,982,982.36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权益法下在被投资单位</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49,134,860.76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30,982,982.36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382,098,421.52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263,933,634.30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14,539,053.52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10,607,470.30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38,723,886.94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30,152,837.10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435,361,361.98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304,693,941.70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134,357,847.86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131,313,908.15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89,777,714.10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75,591,453.58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44,864,127.04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16,425,881.23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91,193,679.90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50,059,971.23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360,193,368.90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273,391,214.19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75,167,993.08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31,302,727.51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233,723.33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20,733,723.33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12,037,934.07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76,208,616.09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79,107,280.10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121,793,375.04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212,938,589.21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122,208,616.09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-192,204,865.88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-122,067,616.09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214,782,419.29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214,782,419.29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30,018,944.80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218,148.35</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6,273,195.03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7,070,000.00</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12,523,195.03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7,288,148.35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202,259,224.26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22,730,796.45</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85,222,351.46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-68,034,092.13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260,000,857.39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328,034,949.52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345,223,208.85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260,000,857.39</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272,404,310.12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215,871,607.78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12,983,363.62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5,578,576.54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19,375,775.40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26,974,023.83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304,763,449.14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248,424,208.15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129,013,212.08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122,989,471.49</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53,995,628.52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59,306,992.49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34,729,800.95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13,261,874.59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65,024,924.92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48,020,431.57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282,763,566.47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243,578,770.14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21,999,882.67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4,845,438.01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48,991,519.96</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69,506,519.96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9,398,061.21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75,946,213.59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326,541,350.00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348,939,411.21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121,946,213.59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-279,432,891.25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-121,946,213.59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214,782,419.29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30,018,944.80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219,782,419.29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30,018,944.80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6,273,195.03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11,273,195.03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208,509,224.26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22,948,944.80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-48,923,784.32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-94,151,830.78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193,421,006.54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287,572,837.32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144,497,222.22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193,421,006.54</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7"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116,41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215,996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,061.00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944.80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696.40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137,563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,341.60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-5,485,4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63.15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450,936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,240.05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116,41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215,996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,061.00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944.80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16,469,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696.40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137,563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,341.60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-5,485,4</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63.15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450,936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,240.05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182,54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7,222.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428,699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,097.29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8,926,7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4,913,4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54,054,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-8,685,2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54.78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652,602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,742.22</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65,371,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071.24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-8,291,7</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85.32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57,079,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285.92</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66,135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545,110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,646.29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8,926,7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-393,46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9.46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601,926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,091.47</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65,431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516,418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,089.49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-9,005,6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83.44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-393,46</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9.46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590,462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,191.47</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97"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703,78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28,692,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556.80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17,932,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441.80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11,463,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900.00</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4,913,4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86.07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-11,316,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121.24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35.17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4,913,4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86.07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-4,913,4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86.07</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3"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35.17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35.17</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116,41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-116,41</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1,549.0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116,41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-116,41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1,549.0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298,95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8,771.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644,695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,158.29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38,945,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703.16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21,383,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182.47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191,618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,291.60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-14,170,</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717.93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27"/>
        <w:gridCol w:w="572"/>
        <w:gridCol w:w="530"/>
        <w:gridCol w:w="530"/>
        <w:gridCol w:w="533"/>
        <w:gridCol w:w="662"/>
        <w:gridCol w:w="665"/>
        <w:gridCol w:w="667"/>
        <w:gridCol w:w="665"/>
        <w:gridCol w:w="662"/>
        <w:gridCol w:w="665"/>
        <w:gridCol w:w="679"/>
        <w:gridCol w:w="653"/>
        <w:gridCol w:w="658"/>
      </w:tblGrid>
      <w:tr>
        <w:trPr>
          <w:trHeight w:val="401" w:hRule="exact"/>
        </w:trPr>
        <w:tc>
          <w:tcPr>
            <w:tcW w:w="1427" w:type="dxa"/>
            <w:vMerge w:val="restart"/>
            <w:tcBorders>
              <w:top w:val="single" w:sz="4" w:space="0" w:color="000000"/>
              <w:left w:val="single" w:sz="4" w:space="0" w:color="000000"/>
              <w:right w:val="single" w:sz="4" w:space="0" w:color="000000"/>
            </w:tcBorders>
            <w:shd w:val="clear" w:color="auto" w:fill="D4D4D4"/>
          </w:tcPr>
          <w:p>
            <w:pPr/>
          </w:p>
        </w:tc>
        <w:tc>
          <w:tcPr>
            <w:tcW w:w="8142"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7" w:type="dxa"/>
            <w:vMerge/>
            <w:tcBorders>
              <w:left w:val="single" w:sz="4" w:space="0" w:color="000000"/>
              <w:right w:val="single" w:sz="4" w:space="0" w:color="000000"/>
            </w:tcBorders>
            <w:shd w:val="clear" w:color="auto" w:fill="D4D4D4"/>
          </w:tcPr>
          <w:p>
            <w:pPr/>
          </w:p>
        </w:tc>
        <w:tc>
          <w:tcPr>
            <w:tcW w:w="6832"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4D4D4"/>
          </w:tcPr>
          <w:p>
            <w:pPr/>
          </w:p>
        </w:tc>
        <w:tc>
          <w:tcPr>
            <w:tcW w:w="6832"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2" w:hRule="exact"/>
        </w:trPr>
        <w:tc>
          <w:tcPr>
            <w:tcW w:w="1427"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3"/>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9" w:hRule="exact"/>
        </w:trPr>
        <w:tc>
          <w:tcPr>
            <w:tcW w:w="1427"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27"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,665.20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13,371,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398.16</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106,375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,415.48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270.01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416,928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,208.83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744"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,665.20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398.16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106,375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,415.48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270.01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416,928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,208.83</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45,711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-12,056,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604.20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944.80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31,187,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926.12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193.14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34,008,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031.22</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41,356,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224.36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193.14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37,442,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031.22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3,291,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549.00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30,363,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395.80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944.80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3,636,0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3,291,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549.00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395.80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944.80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3,636,0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-10,168,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298.24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98.24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-42,420,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-42,420,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116,41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215,996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,061.00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944.80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16,469,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696.40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137,563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,341.60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-5,485,</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463.15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450,936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,240.05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398"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4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40"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40"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549.00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220,576,9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96.52</w:t>
            </w:r>
          </w:p>
        </w:tc>
        <w:tc>
          <w:tcPr>
            <w:tcW w:w="797" w:type="dxa"/>
            <w:vMerge w:val="restart"/>
            <w:tcBorders>
              <w:top w:val="single" w:sz="18" w:space="0" w:color="D4D4D4"/>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vMerge w:val="restart"/>
            <w:tcBorders>
              <w:top w:val="single" w:sz="18"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16,469,69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6.40</w:t>
            </w:r>
          </w:p>
        </w:tc>
        <w:tc>
          <w:tcPr>
            <w:tcW w:w="677" w:type="dxa"/>
            <w:vMerge w:val="restart"/>
            <w:tcBorders>
              <w:top w:val="single" w:sz="18" w:space="0" w:color="D4D4D4"/>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128,152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,341.22</w:t>
            </w:r>
          </w:p>
        </w:tc>
        <w:tc>
          <w:tcPr>
            <w:tcW w:w="780" w:type="dxa"/>
            <w:vMerge w:val="restart"/>
            <w:tcBorders>
              <w:top w:val="single" w:sz="18" w:space="0" w:color="D4D4D4"/>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451,591,6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38.34</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549.00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220,576,9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96.52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16,469,69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128,152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,341.22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451,591,6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38.34</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182,547,</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222.00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428,699,0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8,926,758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4,913,486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37,818,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739.52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645,051,7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86.52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49,134,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860.76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49,134,86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0.76</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66,135,6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545,110,6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8,926,758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602,319,5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60.93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65,431,8</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516,418,0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89.49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-9,005,68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590,855,6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60.93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70"/>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703,785.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28,692,55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17,932,44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11,463,90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4,913,486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121.24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-6,402,63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5.17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4,913,486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-4,913,4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86.07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-6,402,63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5.17</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549.00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549.00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549.00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549.00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298,958,</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771.00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649,276,0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38,945,70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21,383,18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165,971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1,096,643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,424.86</w:t>
            </w:r>
          </w:p>
        </w:tc>
      </w:tr>
    </w:tbl>
    <w:p>
      <w:pPr>
        <w:pStyle w:val="BodyText"/>
        <w:spacing w:line="240" w:lineRule="auto" w:before="49"/>
        <w:ind w:right="0"/>
        <w:jc w:val="left"/>
      </w:pPr>
      <w:r>
        <w:rPr/>
        <w:t>上期金额</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4D4D4"/>
          </w:tcPr>
          <w:p>
            <w:pPr/>
          </w:p>
        </w:tc>
        <w:tc>
          <w:tcPr>
            <w:tcW w:w="69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232,633,6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00.72</w:t>
            </w:r>
          </w:p>
        </w:tc>
        <w:tc>
          <w:tcPr>
            <w:tcW w:w="797" w:type="dxa"/>
            <w:vMerge w:val="restart"/>
            <w:tcBorders>
              <w:top w:val="single" w:sz="22" w:space="0" w:color="D4D4D4"/>
              <w:left w:val="single" w:sz="4" w:space="0" w:color="000000"/>
              <w:right w:val="single" w:sz="4" w:space="0" w:color="000000"/>
            </w:tcBorders>
          </w:tcPr>
          <w:p>
            <w:pPr/>
          </w:p>
        </w:tc>
        <w:tc>
          <w:tcPr>
            <w:tcW w:w="797" w:type="dxa"/>
            <w:vMerge w:val="restart"/>
            <w:tcBorders>
              <w:top w:val="single" w:sz="22"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13,371,39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8.16</w:t>
            </w:r>
          </w:p>
        </w:tc>
        <w:tc>
          <w:tcPr>
            <w:tcW w:w="677" w:type="dxa"/>
            <w:vMerge w:val="restart"/>
            <w:tcBorders>
              <w:top w:val="single" w:sz="22" w:space="0" w:color="D4D4D4"/>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107,337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,657.10</w:t>
            </w:r>
          </w:p>
        </w:tc>
        <w:tc>
          <w:tcPr>
            <w:tcW w:w="780" w:type="dxa"/>
            <w:vMerge w:val="restart"/>
            <w:tcBorders>
              <w:top w:val="single" w:sz="22" w:space="0" w:color="D4D4D4"/>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424,042,6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55.98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70,700,0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232,633,6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13,371,39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107,337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424,042,6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00.72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8.16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,657.10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55.98</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45,711,5</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-12,056,6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3,098,298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20,814,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684.12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27,548,98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2.36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982.36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30,982,98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2.36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3,291,54</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30,363,39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3,291,54</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30,363,39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3,098,298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-10,168,</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298.24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3,098,298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98.24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-7,070,0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-7,070,00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-42,420,0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116,411,</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549.00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220,576,9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96.52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30,018,94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16,469,69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128,152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451,591,6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38.34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98"/>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bookmarkStart w:name="三、公司基本情况" w:id="157"/>
      <w:bookmarkEnd w:id="157"/>
      <w:r>
        <w:rPr/>
      </w:r>
      <w:r>
        <w:rPr/>
        <w:t>本公司系由景晓军、深圳市华信远景投资咨询有限公司、景晓东、吴宁莉、沈智杰、唐海林、古元、师召辉共同发起， 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8</w:t>
      </w:r>
      <w:r>
        <w:rPr/>
        <w:t>日在原深圳市任子行网络技术有限公司基础上整体变更设立的股份有限公司。公司股票于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日在深</w:t>
      </w:r>
      <w:r>
        <w:rPr>
          <w:spacing w:val="-3"/>
        </w:rPr>
        <w:t> </w:t>
      </w:r>
      <w:r>
        <w:rPr/>
        <w:t>圳交易所上市交易，股票代码为</w:t>
      </w:r>
      <w:r>
        <w:rPr>
          <w:rFonts w:ascii="宋体" w:hAnsi="宋体" w:cs="宋体" w:eastAsia="宋体" w:hint="default"/>
        </w:rPr>
        <w:t>300311</w:t>
      </w:r>
      <w:r>
        <w:rPr/>
        <w:t>。公司现持有注册号为</w:t>
      </w:r>
      <w:r>
        <w:rPr>
          <w:rFonts w:ascii="宋体" w:hAnsi="宋体" w:cs="宋体" w:eastAsia="宋体" w:hint="default"/>
        </w:rPr>
        <w:t>440301103406723</w:t>
      </w:r>
      <w:r>
        <w:rPr/>
        <w:t>的《企业法人营业执照》，注册资本 </w:t>
      </w:r>
      <w:r>
        <w:rPr>
          <w:rFonts w:ascii="宋体" w:hAnsi="宋体" w:cs="宋体" w:eastAsia="宋体" w:hint="default"/>
        </w:rPr>
        <w:t>298,958,771.00</w:t>
      </w:r>
      <w:r>
        <w:rPr/>
        <w:t>元，股份总数</w:t>
      </w:r>
      <w:r>
        <w:rPr>
          <w:rFonts w:ascii="宋体" w:hAnsi="宋体" w:cs="宋体" w:eastAsia="宋体" w:hint="default"/>
        </w:rPr>
        <w:t>298,958,771</w:t>
      </w:r>
      <w:r>
        <w:rPr/>
        <w:t>股（每股面值</w:t>
      </w:r>
      <w:r>
        <w:rPr>
          <w:rFonts w:ascii="宋体" w:hAnsi="宋体" w:cs="宋体" w:eastAsia="宋体" w:hint="default"/>
        </w:rPr>
        <w:t>1</w:t>
      </w:r>
      <w:r>
        <w:rPr/>
        <w:t>元），其中，有限售条件的流通股</w:t>
      </w:r>
      <w:r>
        <w:rPr>
          <w:rFonts w:ascii="宋体" w:hAnsi="宋体" w:cs="宋体" w:eastAsia="宋体" w:hint="default"/>
        </w:rPr>
        <w:t>165,192,642</w:t>
      </w:r>
      <w:r>
        <w:rPr/>
        <w:t>股，无限售条件的 流通股</w:t>
      </w:r>
      <w:r>
        <w:rPr>
          <w:rFonts w:ascii="宋体" w:hAnsi="宋体" w:cs="宋体" w:eastAsia="宋体" w:hint="default"/>
        </w:rPr>
        <w:t>133,766,129</w:t>
      </w:r>
      <w:r>
        <w:rPr/>
        <w:t>股。</w:t>
      </w:r>
    </w:p>
    <w:p>
      <w:pPr>
        <w:pStyle w:val="BodyText"/>
        <w:spacing w:line="316" w:lineRule="auto" w:before="18"/>
        <w:ind w:left="513" w:right="98" w:hanging="1"/>
        <w:jc w:val="left"/>
      </w:pPr>
      <w:r>
        <w:rPr/>
        <w:t>公司注册地、总部地址：深圳市南山区高新区科技中</w:t>
      </w:r>
      <w:r>
        <w:rPr>
          <w:rFonts w:ascii="宋体" w:hAnsi="宋体" w:cs="宋体" w:eastAsia="宋体" w:hint="default"/>
        </w:rPr>
        <w:t>2</w:t>
      </w:r>
      <w:r>
        <w:rPr/>
        <w:t>路软件园</w:t>
      </w:r>
      <w:r>
        <w:rPr>
          <w:rFonts w:ascii="宋体" w:hAnsi="宋体" w:cs="宋体" w:eastAsia="宋体" w:hint="default"/>
        </w:rPr>
        <w:t>2</w:t>
      </w:r>
      <w:r>
        <w:rPr/>
        <w:t>栋</w:t>
      </w:r>
      <w:r>
        <w:rPr>
          <w:rFonts w:ascii="宋体" w:hAnsi="宋体" w:cs="宋体" w:eastAsia="宋体" w:hint="default"/>
        </w:rPr>
        <w:t>6</w:t>
      </w:r>
      <w:r>
        <w:rPr/>
        <w:t>楼。</w:t>
      </w:r>
      <w:r>
        <w:rPr>
          <w:spacing w:val="-87"/>
        </w:rPr>
        <w:t> </w:t>
      </w:r>
      <w:r>
        <w:rPr>
          <w:spacing w:val="-2"/>
        </w:rPr>
        <w:t>公司所属行业和主要产品：本公司所属行业为软件和信息技术服务业。主要产品为网络内容与行为审计系列产品、网络</w:t>
      </w:r>
    </w:p>
    <w:p>
      <w:pPr>
        <w:pStyle w:val="BodyText"/>
        <w:spacing w:line="316" w:lineRule="auto" w:before="18"/>
        <w:ind w:left="513" w:right="98" w:hanging="360"/>
        <w:jc w:val="left"/>
      </w:pPr>
      <w:r>
        <w:rPr/>
        <w:t>内容与行为监管系列产品，其中网络内容与行为审计产品包括专用安全审计产品和通用安全审计产品；网络游戏软件。 </w:t>
      </w:r>
      <w:r>
        <w:rPr>
          <w:spacing w:val="-2"/>
        </w:rPr>
        <w:t>许可经营项目：第二类增值电信业务中的信息服务业务（不含固定网电话信息服务和互联网信息服务）；第二类增值电</w:t>
      </w:r>
    </w:p>
    <w:p>
      <w:pPr>
        <w:pStyle w:val="BodyText"/>
        <w:spacing w:line="316" w:lineRule="auto" w:before="18"/>
        <w:ind w:left="153" w:right="98"/>
        <w:jc w:val="left"/>
      </w:pPr>
      <w:r>
        <w:rPr>
          <w:spacing w:val="-2"/>
        </w:rPr>
        <w:t>信业务中的因特网信息服务业务（因特网信息服务不含新闻、出版、教育、医疗保健、药品和医疗器械、电子公告服务等内</w:t>
      </w:r>
      <w:r>
        <w:rPr>
          <w:spacing w:val="-70"/>
        </w:rPr>
        <w:t> </w:t>
      </w:r>
      <w:r>
        <w:rPr>
          <w:spacing w:val="-70"/>
        </w:rPr>
      </w:r>
      <w:r>
        <w:rPr/>
        <w:t>容）（按《增值电信业务经营许可证》经营）。</w:t>
      </w:r>
    </w:p>
    <w:p>
      <w:pPr>
        <w:pStyle w:val="BodyText"/>
        <w:spacing w:line="316" w:lineRule="auto" w:before="18"/>
        <w:ind w:left="153" w:right="190" w:firstLine="360"/>
        <w:jc w:val="both"/>
      </w:pPr>
      <w:r>
        <w:rPr/>
        <w:t>一般经营项目：计算机软硬件技术开发、销售及相关技术服务；计算机信息系统集成；电子商务</w:t>
      </w:r>
      <w:r>
        <w:rPr>
          <w:rFonts w:ascii="宋体" w:hAnsi="宋体" w:cs="宋体" w:eastAsia="宋体" w:hint="default"/>
        </w:rPr>
        <w:t>(</w:t>
      </w:r>
      <w:r>
        <w:rPr/>
        <w:t>以上各项不含国家法 </w:t>
      </w:r>
      <w:r>
        <w:rPr>
          <w:spacing w:val="-2"/>
        </w:rPr>
        <w:t>律、行政法规、国务院决定规定需报经审批的项目），经营进出口业务（法律、行政法规、国务院决定禁止的项目除外，限</w:t>
      </w:r>
      <w:r>
        <w:rPr>
          <w:spacing w:val="-65"/>
        </w:rPr>
        <w:t> </w:t>
      </w:r>
      <w:r>
        <w:rPr>
          <w:spacing w:val="-65"/>
        </w:rPr>
      </w:r>
      <w:r>
        <w:rPr/>
        <w:t>制的项目须取得许可后方可经营）。</w:t>
      </w:r>
    </w:p>
    <w:p>
      <w:pPr>
        <w:pStyle w:val="BodyText"/>
        <w:spacing w:line="316" w:lineRule="auto" w:before="18"/>
        <w:ind w:left="153" w:right="190" w:firstLine="360"/>
        <w:jc w:val="both"/>
      </w:pPr>
      <w:r>
        <w:rPr>
          <w:spacing w:val="-2"/>
        </w:rPr>
        <w:t>公司主要经营活动为：公司系网络内容与行为审计和监管整体解决方案提供商，主要从事网络内容与行为审计和监管产</w:t>
      </w:r>
      <w:r>
        <w:rPr/>
        <w:t> </w:t>
      </w:r>
      <w:r>
        <w:rPr>
          <w:spacing w:val="-2"/>
        </w:rPr>
        <w:t>品的研发、生产和销售，并提供安全集成、安全审计相关服务，形成从计算机终端到网络在线分析等全面的网络内容与行为</w:t>
      </w:r>
      <w:r>
        <w:rPr>
          <w:spacing w:val="-64"/>
        </w:rPr>
        <w:t> </w:t>
      </w:r>
      <w:r>
        <w:rPr>
          <w:spacing w:val="-64"/>
        </w:rPr>
      </w:r>
      <w:r>
        <w:rPr/>
        <w:t>审计产品线。以及网络游戏软件的开发、销售、维护。</w:t>
      </w:r>
    </w:p>
    <w:p>
      <w:pPr>
        <w:spacing w:line="240" w:lineRule="auto" w:before="12"/>
        <w:rPr>
          <w:rFonts w:ascii="宋体" w:hAnsi="宋体" w:cs="宋体" w:eastAsia="宋体" w:hint="default"/>
          <w:sz w:val="20"/>
          <w:szCs w:val="20"/>
        </w:rPr>
      </w:pPr>
    </w:p>
    <w:p>
      <w:pPr>
        <w:pStyle w:val="Heading2"/>
        <w:spacing w:line="240" w:lineRule="auto"/>
        <w:ind w:right="98"/>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
        <w:jc w:val="left"/>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8"/>
        <w:jc w:val="left"/>
      </w:pPr>
      <w:r>
        <w:rPr>
          <w:spacing w:val="-4"/>
        </w:rPr>
        <w:t>本公司财务报表以持续经营假设为基础，根据实际发生的交易和事项，按照财政部发布的《企业会计准则</w:t>
      </w:r>
      <w:r>
        <w:rPr>
          <w:rFonts w:ascii="宋体" w:hAnsi="宋体" w:cs="宋体" w:eastAsia="宋体" w:hint="default"/>
          <w:spacing w:val="-4"/>
        </w:rPr>
        <w:t>——</w:t>
      </w:r>
      <w:r>
        <w:rPr>
          <w:spacing w:val="-4"/>
        </w:rPr>
        <w:t>基本准则》</w:t>
      </w:r>
    </w:p>
    <w:p>
      <w:pPr>
        <w:pStyle w:val="BodyText"/>
        <w:spacing w:line="316" w:lineRule="auto" w:before="76"/>
        <w:ind w:right="94"/>
        <w:jc w:val="left"/>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日及其后颁布和修订的具体会计准则、企业会计准则应用 </w:t>
      </w:r>
      <w:r>
        <w:rPr>
          <w:spacing w:val="-2"/>
        </w:rPr>
        <w:t>指南、企业会计准则解释及其他相关规定（以下合称</w:t>
      </w:r>
      <w:r>
        <w:rPr>
          <w:rFonts w:ascii="宋体" w:hAnsi="宋体" w:cs="宋体" w:eastAsia="宋体" w:hint="default"/>
          <w:spacing w:val="-2"/>
        </w:rPr>
        <w:t>“</w:t>
      </w:r>
      <w:r>
        <w:rPr>
          <w:spacing w:val="-2"/>
        </w:rPr>
        <w:t>企业会计准则</w:t>
      </w:r>
      <w:r>
        <w:rPr>
          <w:rFonts w:ascii="宋体" w:hAnsi="宋体" w:cs="宋体" w:eastAsia="宋体" w:hint="default"/>
          <w:spacing w:val="-2"/>
        </w:rPr>
        <w:t>”</w:t>
      </w:r>
      <w:r>
        <w:rPr>
          <w:spacing w:val="-2"/>
        </w:rPr>
        <w:t>），以及中国证券监督管理委员会《公开发行证券的</w:t>
      </w:r>
      <w:r>
        <w:rPr>
          <w:spacing w:val="-67"/>
        </w:rPr>
        <w:t> </w:t>
      </w:r>
      <w:r>
        <w:rPr>
          <w:spacing w:val="-67"/>
        </w:rPr>
      </w:r>
      <w:r>
        <w:rPr/>
        <w:t>公司信息披露编报规则第</w:t>
      </w:r>
      <w:r>
        <w:rPr>
          <w:rFonts w:ascii="宋体" w:hAnsi="宋体" w:cs="宋体" w:eastAsia="宋体" w:hint="default"/>
        </w:rPr>
        <w:t>15</w:t>
      </w:r>
      <w:r>
        <w:rPr/>
        <w:t>号</w:t>
      </w:r>
      <w:r>
        <w:rPr>
          <w:rFonts w:ascii="宋体" w:hAnsi="宋体" w:cs="宋体" w:eastAsia="宋体" w:hint="default"/>
        </w:rPr>
        <w:t>——</w:t>
      </w:r>
      <w:r>
        <w:rPr/>
        <w:t>财务报告的一般规定》（</w:t>
      </w:r>
      <w:r>
        <w:rPr>
          <w:rFonts w:ascii="宋体" w:hAnsi="宋体" w:cs="宋体" w:eastAsia="宋体" w:hint="default"/>
        </w:rPr>
        <w:t>2014</w:t>
      </w:r>
      <w:r>
        <w:rPr/>
        <w:t>年修订）的披露规定编制。根据企业会计准则的相关规定， </w:t>
      </w:r>
      <w:r>
        <w:rPr>
          <w:spacing w:val="-2"/>
        </w:rPr>
        <w:t>本公司会计核算以权责发生制为基础。除某些金融工具外，本财务报表均以历史成本为计量基础。资产如果发生减值，则按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11"/>
        <w:rPr>
          <w:rFonts w:ascii="宋体" w:hAnsi="宋体" w:cs="宋体" w:eastAsia="宋体" w:hint="default"/>
          <w:sz w:val="22"/>
          <w:szCs w:val="22"/>
        </w:rPr>
      </w:pPr>
    </w:p>
    <w:p>
      <w:pPr>
        <w:pStyle w:val="Heading4"/>
        <w:spacing w:line="240" w:lineRule="auto"/>
        <w:ind w:right="98"/>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8"/>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98"/>
        <w:jc w:val="left"/>
      </w:pPr>
      <w:r>
        <w:rPr/>
        <w:t>详见具体会计政策。</w:t>
      </w:r>
    </w:p>
    <w:p>
      <w:pPr>
        <w:spacing w:line="240" w:lineRule="auto" w:before="0"/>
        <w:rPr>
          <w:rFonts w:ascii="宋体" w:hAnsi="宋体" w:cs="宋体" w:eastAsia="宋体" w:hint="default"/>
          <w:sz w:val="18"/>
          <w:szCs w:val="18"/>
        </w:rPr>
      </w:pPr>
    </w:p>
    <w:p>
      <w:pPr>
        <w:pStyle w:val="Heading4"/>
        <w:spacing w:line="240" w:lineRule="auto" w:before="120"/>
        <w:ind w:right="98"/>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8"/>
        <w:jc w:val="left"/>
      </w:pPr>
      <w:r>
        <w:rPr/>
        <w:t>本财务报表符合企业会计准则的要求，真实、完整地反映了本公司的财务状况、经营成果和现金流量等有关信息。</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8"/>
        <w:jc w:val="left"/>
      </w:pPr>
      <w:bookmarkStart w:name="2、会计期间" w:id="163"/>
      <w:bookmarkEnd w:id="163"/>
      <w:r>
        <w:rPr/>
      </w:r>
      <w:r>
        <w:rPr/>
        <w:t>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89" w:firstLine="360"/>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8"/>
        <w:jc w:val="left"/>
      </w:pPr>
      <w:r>
        <w:rPr/>
        <w:t>本公司以人民币为记账本位币。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2" w:right="98"/>
        <w:jc w:val="left"/>
      </w:pPr>
      <w:r>
        <w:rPr/>
        <w:t>（</w:t>
      </w:r>
      <w:r>
        <w:rPr>
          <w:rFonts w:ascii="宋体" w:hAnsi="宋体" w:cs="宋体" w:eastAsia="宋体" w:hint="default"/>
        </w:rPr>
        <w:t>1</w:t>
      </w:r>
      <w:r>
        <w:rPr/>
        <w:t>）同一控制下的企业合并 </w:t>
      </w:r>
      <w:r>
        <w:rPr>
          <w:spacing w:val="-2"/>
        </w:rPr>
        <w:t>参与合并的企业在合并前后均受同一方或相同的多方最终控制，且该控制并非暂时的，为同一控制下的企业合并。同一</w:t>
      </w:r>
    </w:p>
    <w:p>
      <w:pPr>
        <w:pStyle w:val="BodyText"/>
        <w:spacing w:line="316" w:lineRule="auto" w:before="18"/>
        <w:ind w:right="94"/>
        <w:jc w:val="left"/>
      </w:pPr>
      <w:r>
        <w:rPr/>
        <w:t>控制下的企业合并，在合并日取得对其他参与合并企业控制权的一方为合并方，参与合并的其他企业为被合并方。合并日， 是指合并方实际取得对被合并方控制权的日期。</w:t>
      </w:r>
    </w:p>
    <w:p>
      <w:pPr>
        <w:pStyle w:val="BodyText"/>
        <w:spacing w:line="316" w:lineRule="auto" w:before="18"/>
        <w:ind w:right="190" w:firstLine="359"/>
        <w:jc w:val="both"/>
      </w:pPr>
      <w:r>
        <w:rPr>
          <w:spacing w:val="-2"/>
        </w:rPr>
        <w:t>合并方在同一控制下企业合并中取得的资产和负债</w:t>
      </w:r>
      <w:r>
        <w:rPr>
          <w:rFonts w:ascii="宋体" w:hAnsi="宋体" w:cs="宋体" w:eastAsia="宋体" w:hint="default"/>
          <w:spacing w:val="-2"/>
        </w:rPr>
        <w:t>(</w:t>
      </w:r>
      <w:r>
        <w:rPr>
          <w:spacing w:val="-2"/>
        </w:rPr>
        <w:t>包括最终控制方收购被合并方而形成的商誉</w:t>
      </w:r>
      <w:r>
        <w:rPr>
          <w:rFonts w:ascii="宋体" w:hAnsi="宋体" w:cs="宋体" w:eastAsia="宋体" w:hint="default"/>
          <w:spacing w:val="-2"/>
        </w:rPr>
        <w:t>)</w:t>
      </w:r>
      <w:r>
        <w:rPr>
          <w:spacing w:val="-2"/>
        </w:rPr>
        <w:t>，按合并日在最终控制</w:t>
      </w:r>
      <w:r>
        <w:rPr/>
        <w:t> 方财务报表中的账面价值为基础进行相关会计处理。合并方取得的净资产账面价值与支付的合并对价的账面价值</w:t>
      </w:r>
      <w:r>
        <w:rPr>
          <w:rFonts w:ascii="宋体" w:hAnsi="宋体" w:cs="宋体" w:eastAsia="宋体" w:hint="default"/>
        </w:rPr>
        <w:t>(</w:t>
      </w:r>
      <w:r>
        <w:rPr/>
        <w:t>或发行股 份面值总额</w:t>
      </w:r>
      <w:r>
        <w:rPr>
          <w:rFonts w:ascii="宋体" w:hAnsi="宋体" w:cs="宋体" w:eastAsia="宋体" w:hint="default"/>
        </w:rPr>
        <w:t>)</w:t>
      </w:r>
      <w:r>
        <w:rPr/>
        <w:t>的差额，调整资本公积中的股本溢价，不足冲减的则调整留存收益。</w:t>
      </w:r>
    </w:p>
    <w:p>
      <w:pPr>
        <w:pStyle w:val="BodyText"/>
        <w:spacing w:line="316" w:lineRule="auto" w:before="18"/>
        <w:ind w:left="512" w:right="98"/>
        <w:jc w:val="left"/>
      </w:pPr>
      <w:r>
        <w:rPr/>
        <w:t>（</w:t>
      </w:r>
      <w:r>
        <w:rPr>
          <w:rFonts w:ascii="宋体" w:hAnsi="宋体" w:cs="宋体" w:eastAsia="宋体" w:hint="default"/>
        </w:rPr>
        <w:t>2</w:t>
      </w:r>
      <w:r>
        <w:rPr/>
        <w:t>）非同一控制下的企业合并 </w:t>
      </w:r>
      <w:r>
        <w:rPr>
          <w:spacing w:val="-4"/>
        </w:rPr>
        <w:t>参与合并的企业在合并前后不受同一方或相同多方最终控制的，为非同一控制下的企业合并。非同一控制下的企业合并，</w:t>
      </w:r>
    </w:p>
    <w:p>
      <w:pPr>
        <w:pStyle w:val="BodyText"/>
        <w:spacing w:line="316" w:lineRule="auto" w:before="18"/>
        <w:ind w:right="98"/>
        <w:jc w:val="left"/>
      </w:pPr>
      <w:r>
        <w:rPr>
          <w:spacing w:val="-2"/>
        </w:rPr>
        <w:t>在购买日取得对其他参与合并企业控制权的一方为购买方，参与合并的其他企业为被购买方。购买日是指为购买方实际取得</w:t>
      </w:r>
      <w:r>
        <w:rPr>
          <w:spacing w:val="-64"/>
        </w:rPr>
        <w:t> </w:t>
      </w:r>
      <w:r>
        <w:rPr>
          <w:spacing w:val="-64"/>
        </w:rPr>
      </w:r>
      <w:r>
        <w:rPr/>
        <w:t>对被购买方控制权的日期。</w:t>
      </w:r>
    </w:p>
    <w:p>
      <w:pPr>
        <w:pStyle w:val="BodyText"/>
        <w:spacing w:line="316" w:lineRule="auto" w:before="18"/>
        <w:ind w:left="512" w:right="98"/>
        <w:jc w:val="left"/>
      </w:pPr>
      <w:r>
        <w:rPr/>
        <w:t>非同一控制下企业合并中所取得的被购买方可辨认资产、负债及或有负债在收购日以公允价值计量。 </w:t>
      </w:r>
      <w:r>
        <w:rPr>
          <w:spacing w:val="-2"/>
        </w:rPr>
        <w:t>公司在购买日对合并成本大于合并中取得的被购买方可辨认净资产公允价值份额的差额，确认为商誉；如果合并成本小</w:t>
      </w:r>
    </w:p>
    <w:p>
      <w:pPr>
        <w:pStyle w:val="BodyText"/>
        <w:spacing w:line="316" w:lineRule="auto" w:before="18"/>
        <w:ind w:right="193"/>
        <w:jc w:val="both"/>
      </w:pP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pStyle w:val="BodyText"/>
        <w:spacing w:line="316" w:lineRule="auto" w:before="18"/>
        <w:ind w:right="193" w:firstLine="360"/>
        <w:jc w:val="both"/>
      </w:pPr>
      <w:r>
        <w:rPr>
          <w:spacing w:val="-2"/>
        </w:rPr>
        <w:t>通过多次交易分步实现非同一控制下企业合并的，对于购买日之前持有的被购买方的股权，按照该股权在购买日的公允</w:t>
      </w:r>
      <w:r>
        <w:rPr/>
        <w:t> </w:t>
      </w:r>
      <w:r>
        <w:rPr>
          <w:spacing w:val="-2"/>
        </w:rPr>
        <w:t>价值进行重新计量，公允价值与其账面价值的差额计入当期投资收益；购买日之前持有的被购买方的股权涉及权益法核算下</w:t>
      </w:r>
      <w:r>
        <w:rPr>
          <w:spacing w:val="-64"/>
        </w:rPr>
        <w:t> </w:t>
      </w:r>
      <w:r>
        <w:rPr>
          <w:spacing w:val="-64"/>
        </w:rPr>
      </w:r>
      <w:r>
        <w:rPr>
          <w:spacing w:val="-2"/>
        </w:rPr>
        <w:t>的其他综合收益的，采用与被投资单位直接处置相关资产或负债相同的基础进行会计处理，除净损益、其他综合收益和利润</w:t>
      </w:r>
      <w:r>
        <w:rPr>
          <w:spacing w:val="-66"/>
        </w:rPr>
        <w:t> </w:t>
      </w:r>
      <w:r>
        <w:rPr>
          <w:spacing w:val="-66"/>
        </w:rPr>
      </w:r>
      <w:r>
        <w:rPr/>
        <w:t>分配外的其他股东权益变动，转为购买日所属当期损益。</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 w:firstLine="360"/>
        <w:jc w:val="both"/>
      </w:pPr>
      <w:r>
        <w:rPr>
          <w:spacing w:val="-4"/>
        </w:rPr>
        <w:t>合并财务报表的合并范围以控制为基础确定，包括本公司及全部子公司截至</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日止年度的财务报表。子公司，</w:t>
      </w:r>
      <w:r>
        <w:rPr/>
        <w:t> 是指被本公司控制的主体</w:t>
      </w:r>
      <w:r>
        <w:rPr>
          <w:rFonts w:ascii="宋体" w:hAnsi="宋体" w:cs="宋体" w:eastAsia="宋体" w:hint="default"/>
        </w:rPr>
        <w:t>(</w:t>
      </w:r>
      <w:r>
        <w:rPr/>
        <w:t>含企业、被投资单位中可分割的部分，以及本公司所控制的结构化主体等</w:t>
      </w:r>
      <w:r>
        <w:rPr>
          <w:rFonts w:ascii="宋体" w:hAnsi="宋体" w:cs="宋体" w:eastAsia="宋体" w:hint="default"/>
        </w:rPr>
        <w:t>)</w:t>
      </w:r>
      <w:r>
        <w:rPr/>
        <w:t>。</w:t>
      </w:r>
    </w:p>
    <w:p>
      <w:pPr>
        <w:pStyle w:val="BodyText"/>
        <w:spacing w:line="316" w:lineRule="auto" w:before="18"/>
        <w:ind w:right="104" w:firstLine="360"/>
        <w:jc w:val="both"/>
      </w:pPr>
      <w:r>
        <w:rPr>
          <w:spacing w:val="-4"/>
        </w:rPr>
        <w:t>编制合并财务报表时，子公司采用与本公司一致的会计年度和会计政策。本集团内部各公司之间的所有交易产生的资产、</w:t>
      </w:r>
      <w:r>
        <w:rPr/>
        <w:t> 负债、权益、收入、费用和现金流量于合并时全额抵消。</w:t>
      </w:r>
    </w:p>
    <w:p>
      <w:pPr>
        <w:pStyle w:val="BodyText"/>
        <w:spacing w:line="316" w:lineRule="auto" w:before="18"/>
        <w:ind w:right="193" w:firstLine="360"/>
        <w:jc w:val="both"/>
      </w:pPr>
      <w:r>
        <w:rPr>
          <w:spacing w:val="-2"/>
        </w:rPr>
        <w:t>子公司少数股东分担的当期亏损超过了少数股东在该子公司期初股东权益中所享有的份额的，其余额仍冲减少数股东权</w:t>
      </w:r>
      <w:r>
        <w:rPr/>
        <w:t> 益。</w:t>
      </w:r>
    </w:p>
    <w:p>
      <w:pPr>
        <w:pStyle w:val="BodyText"/>
        <w:spacing w:line="240" w:lineRule="auto" w:before="18"/>
        <w:ind w:left="512" w:right="98"/>
        <w:jc w:val="left"/>
      </w:pPr>
      <w:r>
        <w:rPr/>
        <w:t>对于通过非同一控制下的企业合并取得的子公司</w:t>
      </w:r>
      <w:r>
        <w:rPr>
          <w:spacing w:val="-82"/>
        </w:rPr>
        <w:t>，</w:t>
      </w:r>
      <w:r>
        <w:rPr/>
        <w:t>被购买方的经营成果和现金流量自本集团取得控制权之日起纳入合并</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1"/>
        <w:jc w:val="both"/>
      </w:pPr>
      <w:r>
        <w:rPr>
          <w:spacing w:val="-2"/>
        </w:rPr>
        <w:t>财务报表，直至本集团对其控制权终止。在编制合并财务报表时，以购买日确定的各项可辨认资产、负债及或有负债的公允</w:t>
      </w:r>
      <w:r>
        <w:rPr>
          <w:spacing w:val="-65"/>
        </w:rPr>
        <w:t> </w:t>
      </w:r>
      <w:r>
        <w:rPr>
          <w:spacing w:val="-65"/>
        </w:rPr>
      </w:r>
      <w:r>
        <w:rPr/>
        <w:t>价值为基础对子公司的财务报表进行调整。</w:t>
      </w:r>
    </w:p>
    <w:p>
      <w:pPr>
        <w:pStyle w:val="BodyText"/>
        <w:spacing w:line="316" w:lineRule="auto" w:before="18"/>
        <w:ind w:right="193" w:firstLine="360"/>
        <w:jc w:val="both"/>
      </w:pPr>
      <w:r>
        <w:rPr>
          <w:spacing w:val="-2"/>
        </w:rPr>
        <w:t>对于通过同一控制下的企业合并取得的子公司，被合并方的经营成果和现金流量自合并当期期初纳入合并财务报表。编</w:t>
      </w:r>
      <w:r>
        <w:rPr/>
        <w:t> </w:t>
      </w:r>
      <w:r>
        <w:rPr>
          <w:spacing w:val="-2"/>
        </w:rPr>
        <w:t>制比较合并财务报表时，对前期财务报表的相关项目进行调整，视同合并后形成的报告主体自最终控制方开始实施控制时一</w:t>
      </w:r>
      <w:r>
        <w:rPr>
          <w:spacing w:val="-64"/>
        </w:rPr>
        <w:t> </w:t>
      </w:r>
      <w:r>
        <w:rPr>
          <w:spacing w:val="-64"/>
        </w:rPr>
      </w:r>
      <w:r>
        <w:rPr/>
        <w:t>直存在。</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合营安排是一项由本公司作为一个参与方共同控制的安排。合营安排分为两类：共同经营和合营企业。共同经营是指共</w:t>
      </w:r>
      <w:r>
        <w:rPr/>
        <w:t> </w:t>
      </w:r>
      <w:r>
        <w:rPr>
          <w:spacing w:val="-2"/>
        </w:rPr>
        <w:t>同控制一项安排的参与方享有与该安排相关资产的权利，并承担与该安排相关负债的合营安排；合营企业是共同控制一项安</w:t>
      </w:r>
      <w:r>
        <w:rPr>
          <w:spacing w:val="-64"/>
        </w:rPr>
        <w:t> </w:t>
      </w:r>
      <w:r>
        <w:rPr>
          <w:spacing w:val="-64"/>
        </w:rPr>
      </w:r>
      <w:r>
        <w:rPr/>
        <w:t>排的参与方仅对该安排的净资产享有权利的合营安排。</w:t>
      </w:r>
    </w:p>
    <w:p>
      <w:pPr>
        <w:pStyle w:val="BodyText"/>
        <w:spacing w:line="316" w:lineRule="auto" w:before="18"/>
        <w:ind w:left="512" w:right="98"/>
        <w:jc w:val="left"/>
      </w:pPr>
      <w:r>
        <w:rPr/>
        <w:t>（</w:t>
      </w:r>
      <w:r>
        <w:rPr>
          <w:rFonts w:ascii="宋体" w:hAnsi="宋体" w:cs="宋体" w:eastAsia="宋体" w:hint="default"/>
        </w:rPr>
        <w:t>1</w:t>
      </w:r>
      <w:r>
        <w:rPr/>
        <w:t>）合营安排的认定 </w:t>
      </w:r>
      <w:r>
        <w:rPr>
          <w:spacing w:val="-2"/>
        </w:rPr>
        <w:t>只要两个或两个以上的参与方对该安排实施共同控制，一项安排就可以被认定为合营安排，并不要求所有参与方都对该</w:t>
      </w:r>
    </w:p>
    <w:p>
      <w:pPr>
        <w:pStyle w:val="BodyText"/>
        <w:spacing w:line="240" w:lineRule="auto" w:before="18"/>
        <w:ind w:right="0"/>
        <w:jc w:val="both"/>
      </w:pPr>
      <w:r>
        <w:rPr/>
        <w:t>安排享有共同控制。</w:t>
      </w:r>
    </w:p>
    <w:p>
      <w:pPr>
        <w:pStyle w:val="BodyText"/>
        <w:spacing w:line="316" w:lineRule="auto" w:before="76"/>
        <w:ind w:left="512" w:right="98"/>
        <w:jc w:val="left"/>
      </w:pPr>
      <w:r>
        <w:rPr/>
        <w:t>（</w:t>
      </w:r>
      <w:r>
        <w:rPr>
          <w:rFonts w:ascii="宋体" w:hAnsi="宋体" w:cs="宋体" w:eastAsia="宋体" w:hint="default"/>
        </w:rPr>
        <w:t>2</w:t>
      </w:r>
      <w:r>
        <w:rPr/>
        <w:t>）重新评估 </w:t>
      </w:r>
      <w:r>
        <w:rPr>
          <w:spacing w:val="-2"/>
        </w:rPr>
        <w:t>如果法律形式、合同条款等相关事实和情况发生变化，合营安排参与方应当对合营安排进行重新评估：一是评估原合营</w:t>
      </w:r>
    </w:p>
    <w:p>
      <w:pPr>
        <w:pStyle w:val="BodyText"/>
        <w:spacing w:line="240" w:lineRule="auto" w:before="18"/>
        <w:ind w:right="0"/>
        <w:jc w:val="both"/>
      </w:pPr>
      <w:r>
        <w:rPr/>
        <w:t>方是否仍对该安排拥有共同控制权；二是评估合营安排的类型是否发生变化。</w:t>
      </w:r>
    </w:p>
    <w:p>
      <w:pPr>
        <w:pStyle w:val="BodyText"/>
        <w:spacing w:line="240" w:lineRule="auto" w:before="76"/>
        <w:ind w:left="512" w:right="98"/>
        <w:jc w:val="left"/>
      </w:pPr>
      <w:r>
        <w:rPr/>
        <w:t>（</w:t>
      </w:r>
      <w:r>
        <w:rPr>
          <w:rFonts w:ascii="宋体" w:hAnsi="宋体" w:cs="宋体" w:eastAsia="宋体" w:hint="default"/>
        </w:rPr>
        <w:t>3</w:t>
      </w:r>
      <w:r>
        <w:rPr/>
        <w:t>）共同经营参与方的会计处理</w:t>
      </w:r>
    </w:p>
    <w:p>
      <w:pPr>
        <w:pStyle w:val="BodyText"/>
        <w:spacing w:line="240" w:lineRule="auto" w:before="76"/>
        <w:ind w:left="512" w:right="98"/>
        <w:jc w:val="left"/>
      </w:pPr>
      <w:r>
        <w:rPr/>
        <w:t>①</w:t>
      </w:r>
      <w:r>
        <w:rPr>
          <w:spacing w:val="1"/>
        </w:rPr>
        <w:t> </w:t>
      </w:r>
      <w:r>
        <w:rPr/>
        <w:t>共同经营中，合营方的会计处理</w:t>
      </w:r>
    </w:p>
    <w:p>
      <w:pPr>
        <w:pStyle w:val="BodyText"/>
        <w:spacing w:line="316" w:lineRule="auto" w:before="76"/>
        <w:ind w:left="512" w:right="98"/>
        <w:jc w:val="left"/>
      </w:pPr>
      <w:r>
        <w:rPr>
          <w:rFonts w:ascii="宋体" w:hAnsi="宋体" w:cs="宋体" w:eastAsia="宋体" w:hint="default"/>
        </w:rPr>
        <w:t>A</w:t>
      </w:r>
      <w:r>
        <w:rPr/>
        <w:t>、一般会计处理原则 </w:t>
      </w:r>
      <w:r>
        <w:rPr>
          <w:spacing w:val="-2"/>
        </w:rPr>
        <w:t>合营方应当确认其与共同经营中利益份额相关的下列项目，并按照相关企业会计准则的规定进行会计处理：一是确认单</w:t>
      </w:r>
    </w:p>
    <w:p>
      <w:pPr>
        <w:pStyle w:val="BodyText"/>
        <w:spacing w:line="316" w:lineRule="auto" w:before="18"/>
        <w:ind w:right="190"/>
        <w:jc w:val="both"/>
      </w:pPr>
      <w:r>
        <w:rPr>
          <w:spacing w:val="-2"/>
        </w:rPr>
        <w:t>独所持有的资产，以及按其份额确认共同持有的资产；二是确认单独所承担的负债，以及按其份额确认共同承担的负债；三</w:t>
      </w:r>
      <w:r>
        <w:rPr>
          <w:spacing w:val="-64"/>
        </w:rPr>
        <w:t> </w:t>
      </w:r>
      <w:r>
        <w:rPr>
          <w:spacing w:val="-64"/>
        </w:rPr>
      </w:r>
      <w:r>
        <w:rPr>
          <w:spacing w:val="-2"/>
        </w:rPr>
        <w:t>是确认出售其享有的共同经营产出份额所产生的收入；四是按其份额确认共同经营因出售产出所产生的收入；五是确认单独</w:t>
      </w:r>
      <w:r>
        <w:rPr>
          <w:spacing w:val="-64"/>
        </w:rPr>
        <w:t> </w:t>
      </w:r>
      <w:r>
        <w:rPr>
          <w:spacing w:val="-64"/>
        </w:rPr>
      </w:r>
      <w:r>
        <w:rPr/>
        <w:t>所发生的费用，以及按其份额确认共同经营发生的费用。</w:t>
      </w:r>
    </w:p>
    <w:p>
      <w:pPr>
        <w:pStyle w:val="BodyText"/>
        <w:spacing w:line="316" w:lineRule="auto" w:before="18"/>
        <w:ind w:right="193" w:firstLine="360"/>
        <w:jc w:val="both"/>
      </w:pPr>
      <w:r>
        <w:rPr>
          <w:spacing w:val="-2"/>
        </w:rPr>
        <w:t>合营方可能将其自有资产用于共同经营，如果合营方保留了对这些资产的全部所有权或控制权，则这些资产的会计处理</w:t>
      </w:r>
      <w:r>
        <w:rPr/>
        <w:t> 与合营方自有资产的会计处理并无差别。</w:t>
      </w:r>
    </w:p>
    <w:p>
      <w:pPr>
        <w:pStyle w:val="BodyText"/>
        <w:spacing w:line="316" w:lineRule="auto" w:before="18"/>
        <w:ind w:right="190" w:firstLine="360"/>
        <w:jc w:val="both"/>
      </w:pPr>
      <w:r>
        <w:rPr>
          <w:spacing w:val="-2"/>
        </w:rPr>
        <w:t>合营方也可能与其他合营方共同购买资产来投入共同经营，并共同承担共同经营的负债，此时，合营方应当按照企业会</w:t>
      </w:r>
      <w:r>
        <w:rPr/>
        <w:t> 计准则相关规定确认在这些资产和负债中的利益份额。如按照《企业会计准则第</w:t>
      </w:r>
      <w:r>
        <w:rPr>
          <w:rFonts w:ascii="宋体" w:hAnsi="宋体" w:cs="宋体" w:eastAsia="宋体" w:hint="default"/>
        </w:rPr>
        <w:t>4</w:t>
      </w:r>
      <w:r>
        <w:rPr/>
        <w:t>号－固定资产》来确认在相关固定资产中 的利益份额，按照金融工具确认和计量准则来确认在相关金融资产和金融负债中的份额。</w:t>
      </w:r>
    </w:p>
    <w:p>
      <w:pPr>
        <w:pStyle w:val="BodyText"/>
        <w:spacing w:line="316" w:lineRule="auto" w:before="18"/>
        <w:ind w:right="94" w:firstLine="360"/>
        <w:jc w:val="left"/>
      </w:pPr>
      <w:r>
        <w:rPr>
          <w:spacing w:val="-2"/>
        </w:rPr>
        <w:t>共同经营通过单独主体达成时，合营方应确认按照上述原则单独所承担的负债，以及按本企业的份额确认共同承担的负</w:t>
      </w:r>
      <w:r>
        <w:rPr/>
        <w:t> 债。但合营方对于因其他股东未按约定向合营安排提供资金，按照我国相关法律或相关合同约定等规定而承担连带责任的， 从其规定，在会计处理上应遵循《企业会计准则第</w:t>
      </w:r>
      <w:r>
        <w:rPr>
          <w:rFonts w:ascii="宋体" w:hAnsi="宋体" w:cs="宋体" w:eastAsia="宋体" w:hint="default"/>
        </w:rPr>
        <w:t>13</w:t>
      </w:r>
      <w:r>
        <w:rPr/>
        <w:t>号一一或有事项》。</w:t>
      </w:r>
    </w:p>
    <w:p>
      <w:pPr>
        <w:pStyle w:val="BodyText"/>
        <w:spacing w:line="316" w:lineRule="auto" w:before="18"/>
        <w:ind w:left="513" w:right="98" w:hanging="1"/>
        <w:jc w:val="left"/>
      </w:pPr>
      <w:r>
        <w:rPr>
          <w:rFonts w:ascii="宋体" w:hAnsi="宋体" w:cs="宋体" w:eastAsia="宋体" w:hint="default"/>
        </w:rPr>
        <w:t>B</w:t>
      </w:r>
      <w:r>
        <w:rPr/>
        <w:t>、合营方向共同经营投出或者出售不构成业务的资产的会计处理 </w:t>
      </w:r>
      <w:r>
        <w:rPr>
          <w:spacing w:val="-2"/>
        </w:rPr>
        <w:t>合营方向共同经营投出或出售资产等（该资产构成业务的除外），在共同经营将相关资产出售给第三方或相关资产消耗</w:t>
      </w:r>
    </w:p>
    <w:p>
      <w:pPr>
        <w:pStyle w:val="BodyText"/>
        <w:spacing w:line="316" w:lineRule="auto" w:before="18"/>
        <w:ind w:left="153" w:right="192"/>
        <w:jc w:val="both"/>
      </w:pPr>
      <w:r>
        <w:rPr>
          <w:spacing w:val="-2"/>
        </w:rPr>
        <w:t>之前（即，未实现内部利润仍包括在共同经营持有的资产账面价值中时），应当仅确认归属于共同经营其他参与方的利得或</w:t>
      </w:r>
      <w:r>
        <w:rPr>
          <w:spacing w:val="-66"/>
        </w:rPr>
        <w:t> </w:t>
      </w:r>
      <w:r>
        <w:rPr>
          <w:spacing w:val="-66"/>
        </w:rPr>
      </w:r>
      <w:r>
        <w:rPr/>
        <w:t>损失。交易表明投出或出售的资产发生符合《企业会计准则第</w:t>
      </w:r>
      <w:r>
        <w:rPr>
          <w:rFonts w:ascii="宋体" w:hAnsi="宋体" w:cs="宋体" w:eastAsia="宋体" w:hint="default"/>
        </w:rPr>
        <w:t>8</w:t>
      </w:r>
      <w:r>
        <w:rPr/>
        <w:t>号一一资产减值》（以下简称</w:t>
      </w:r>
      <w:r>
        <w:rPr>
          <w:rFonts w:ascii="宋体" w:hAnsi="宋体" w:cs="宋体" w:eastAsia="宋体" w:hint="default"/>
        </w:rPr>
        <w:t>“</w:t>
      </w:r>
      <w:r>
        <w:rPr/>
        <w:t>资产减值损失准则</w:t>
      </w:r>
      <w:r>
        <w:rPr>
          <w:rFonts w:ascii="宋体" w:hAnsi="宋体" w:cs="宋体" w:eastAsia="宋体" w:hint="default"/>
        </w:rPr>
        <w:t>”</w:t>
      </w:r>
      <w:r>
        <w:rPr/>
        <w:t>）等规 定的资产减值损失的，合营方应当全额确认该损失。</w:t>
      </w:r>
    </w:p>
    <w:p>
      <w:pPr>
        <w:pStyle w:val="BodyText"/>
        <w:spacing w:line="316" w:lineRule="auto" w:before="18"/>
        <w:ind w:left="513" w:right="98" w:hanging="1"/>
        <w:jc w:val="left"/>
      </w:pPr>
      <w:r>
        <w:rPr>
          <w:rFonts w:ascii="宋体" w:hAnsi="宋体" w:cs="宋体" w:eastAsia="宋体" w:hint="default"/>
        </w:rPr>
        <w:t>C</w:t>
      </w:r>
      <w:r>
        <w:rPr/>
        <w:t>、合营方自共同经营购买不构成业务的资产的会计处理 </w:t>
      </w:r>
      <w:r>
        <w:rPr>
          <w:spacing w:val="-2"/>
        </w:rPr>
        <w:t>合营方自共同经营购买资产等（该资产构成业务的除外），在将该资产等出售给第三方之前（即，未实现内部利润仍包</w:t>
      </w:r>
    </w:p>
    <w:p>
      <w:pPr>
        <w:pStyle w:val="BodyText"/>
        <w:spacing w:line="316" w:lineRule="auto" w:before="18"/>
        <w:ind w:left="153" w:right="192"/>
        <w:jc w:val="both"/>
      </w:pPr>
      <w:r>
        <w:rPr>
          <w:spacing w:val="-2"/>
        </w:rPr>
        <w:t>括在合营方持有的资产账面价值中时），不应当确认因该交易产生的损益中该合营方应享有的部分。即，此时应当仅确认因</w:t>
      </w:r>
      <w:r>
        <w:rPr>
          <w:spacing w:val="-66"/>
        </w:rPr>
        <w:t> </w:t>
      </w:r>
      <w:r>
        <w:rPr>
          <w:spacing w:val="-66"/>
        </w:rPr>
      </w:r>
      <w:r>
        <w:rPr/>
        <w:t>该交易产生的损益中归属于共同经营其他参与方的部分。</w:t>
      </w:r>
    </w:p>
    <w:p>
      <w:pPr>
        <w:pStyle w:val="BodyText"/>
        <w:spacing w:line="316" w:lineRule="auto" w:before="18"/>
        <w:ind w:left="513" w:right="98" w:hanging="1"/>
        <w:jc w:val="left"/>
      </w:pPr>
      <w:r>
        <w:rPr>
          <w:rFonts w:ascii="宋体" w:hAnsi="宋体" w:cs="宋体" w:eastAsia="宋体" w:hint="default"/>
        </w:rPr>
        <w:t>D</w:t>
      </w:r>
      <w:r>
        <w:rPr/>
        <w:t>、合营方取得构成业务的共同经营的利益份额的会计处理 </w:t>
      </w:r>
      <w:r>
        <w:rPr>
          <w:spacing w:val="-4"/>
        </w:rPr>
        <w:t>合营方取得共同经营中的利益份额，且该共同经营构成业务时，应当按照企业合并准则等相关准则进行相应的会计处理，</w:t>
      </w:r>
    </w:p>
    <w:p>
      <w:pPr>
        <w:pStyle w:val="BodyText"/>
        <w:spacing w:line="240" w:lineRule="auto" w:before="18"/>
        <w:ind w:left="153" w:right="0"/>
        <w:jc w:val="both"/>
      </w:pPr>
      <w:r>
        <w:rPr/>
        <w:t>但其他相关准则的规定不能与本准则的规定相冲突。企业应当按照企业合并准则的相关规定判断该共同经营是否构成业务。</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3"/>
        <w:jc w:val="both"/>
      </w:pPr>
      <w:r>
        <w:rPr>
          <w:spacing w:val="-2"/>
        </w:rPr>
        <w:t>该处理原则不仅适用于收购现有的构成业务的共同经营中的利益份额，也适用于与其他参与方一起设立共同经营，且由于有</w:t>
      </w:r>
      <w:r>
        <w:rPr>
          <w:spacing w:val="-64"/>
        </w:rPr>
        <w:t> </w:t>
      </w:r>
      <w:r>
        <w:rPr>
          <w:spacing w:val="-64"/>
        </w:rPr>
      </w:r>
      <w:r>
        <w:rPr/>
        <w:t>其他参与方注入既存业务，使共同经营设立时即构成业务。</w:t>
      </w:r>
    </w:p>
    <w:p>
      <w:pPr>
        <w:pStyle w:val="BodyText"/>
        <w:spacing w:line="316" w:lineRule="auto" w:before="18"/>
        <w:ind w:left="512" w:right="98" w:hanging="1"/>
        <w:jc w:val="left"/>
      </w:pPr>
      <w:r>
        <w:rPr/>
        <w:t>②</w:t>
      </w:r>
      <w:r>
        <w:rPr>
          <w:spacing w:val="1"/>
        </w:rPr>
        <w:t> </w:t>
      </w:r>
      <w:r>
        <w:rPr/>
        <w:t>对共同经营不享有共同控制的参与方的会计处理原则</w:t>
      </w:r>
      <w:r>
        <w:rPr/>
        <w:t> </w:t>
      </w:r>
      <w:r>
        <w:rPr>
          <w:spacing w:val="-2"/>
        </w:rPr>
        <w:t>对共同经营不享有共同控制的参与方（非合营方），如果享有该共同经营相关资产且承担该共同经营相关负债的，比照</w:t>
      </w:r>
    </w:p>
    <w:p>
      <w:pPr>
        <w:pStyle w:val="BodyText"/>
        <w:spacing w:line="316" w:lineRule="auto" w:before="18"/>
        <w:ind w:right="190"/>
        <w:jc w:val="both"/>
      </w:pPr>
      <w:r>
        <w:rPr>
          <w:spacing w:val="-2"/>
        </w:rPr>
        <w:t>合营方进行会计处理。即，共同经营的参与方，不论其是否具有共同控制，只要能够享有共同经营相关资产的权利、并承担</w:t>
      </w:r>
      <w:r>
        <w:rPr>
          <w:spacing w:val="-67"/>
        </w:rPr>
        <w:t> </w:t>
      </w:r>
      <w:r>
        <w:rPr>
          <w:spacing w:val="-67"/>
        </w:rPr>
      </w:r>
      <w:r>
        <w:rPr>
          <w:spacing w:val="-2"/>
        </w:rPr>
        <w:t>共同经营相关负债的义务，对在共同经营中的利益份额采用与合营方相同的会计处理。否则，应当按照相关企业会计准则的</w:t>
      </w:r>
      <w:r>
        <w:rPr>
          <w:spacing w:val="-63"/>
        </w:rPr>
        <w:t> </w:t>
      </w:r>
      <w:r>
        <w:rPr>
          <w:spacing w:val="-63"/>
        </w:rPr>
      </w:r>
      <w:r>
        <w:rPr/>
        <w:t>规定对其利益份额进行会计处理。</w:t>
      </w:r>
    </w:p>
    <w:p>
      <w:pPr>
        <w:pStyle w:val="BodyText"/>
        <w:spacing w:line="240" w:lineRule="auto" w:before="18"/>
        <w:ind w:left="512" w:right="98"/>
        <w:jc w:val="left"/>
      </w:pPr>
      <w:r>
        <w:rPr/>
        <w:t>（</w:t>
      </w:r>
      <w:r>
        <w:rPr>
          <w:rFonts w:ascii="宋体" w:hAnsi="宋体" w:cs="宋体" w:eastAsia="宋体" w:hint="default"/>
        </w:rPr>
        <w:t>4</w:t>
      </w:r>
      <w:r>
        <w:rPr/>
        <w:t>）关于合营企业参与方的会计处理</w:t>
      </w:r>
    </w:p>
    <w:p>
      <w:pPr>
        <w:pStyle w:val="BodyText"/>
        <w:spacing w:line="316" w:lineRule="auto" w:before="76"/>
        <w:ind w:left="153" w:right="98" w:firstLine="360"/>
        <w:jc w:val="left"/>
      </w:pPr>
      <w:r>
        <w:rPr/>
        <w:t>合营企业中，参与方应当按照《企业会计准则第</w:t>
      </w:r>
      <w:r>
        <w:rPr>
          <w:rFonts w:ascii="宋体" w:hAnsi="宋体" w:cs="宋体" w:eastAsia="宋体" w:hint="default"/>
        </w:rPr>
        <w:t>2</w:t>
      </w:r>
      <w:r>
        <w:rPr/>
        <w:t>号</w:t>
      </w:r>
      <w:r>
        <w:rPr>
          <w:rFonts w:ascii="宋体" w:hAnsi="宋体" w:cs="宋体" w:eastAsia="宋体" w:hint="default"/>
        </w:rPr>
        <w:t>-</w:t>
      </w:r>
      <w:r>
        <w:rPr/>
        <w:t>长期股权投资》的规定核算其对合营企业的投资。 对合营企业不 </w:t>
      </w:r>
      <w:r>
        <w:rPr>
          <w:spacing w:val="-4"/>
        </w:rPr>
        <w:t>享有共同控制的参与方（非合营方）应当根据其对该合营企业的影响程度进行相关会计处理：对该合营企业具有重大影响的，</w:t>
      </w:r>
      <w:r>
        <w:rPr>
          <w:spacing w:val="-44"/>
        </w:rPr>
        <w:t> </w:t>
      </w:r>
      <w:r>
        <w:rPr>
          <w:spacing w:val="-44"/>
        </w:rPr>
      </w:r>
      <w:r>
        <w:rPr>
          <w:spacing w:val="-2"/>
        </w:rPr>
        <w:t>应当按照长期股权投资准则的规定核算其对该合营企业的投资；对该合营企业不具有重大影响的，应当按照金融工具确认和</w:t>
      </w:r>
      <w:r>
        <w:rPr>
          <w:spacing w:val="-64"/>
        </w:rPr>
        <w:t> </w:t>
      </w:r>
      <w:r>
        <w:rPr>
          <w:spacing w:val="-64"/>
        </w:rPr>
      </w:r>
      <w:r>
        <w:rPr/>
        <w:t>计量准则的规定核算其对该合营企业的投资。</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 w:firstLine="360"/>
        <w:jc w:val="left"/>
      </w:pPr>
      <w:r>
        <w:rPr>
          <w:spacing w:val="-2"/>
        </w:rPr>
        <w:t>本公司现金包括库存现金、可以随时用于支付的存款；现金等价物包括本公司持有的期限短（一般指从购买日起三个月</w:t>
      </w:r>
      <w:r>
        <w:rPr/>
        <w:t> 内到期）、流动性强、易于转换为已知金额现金、价值变动风险很小的投资。</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2" w:right="4054"/>
        <w:jc w:val="left"/>
      </w:pPr>
      <w:r>
        <w:rPr/>
        <w:t>（</w:t>
      </w:r>
      <w:r>
        <w:rPr>
          <w:rFonts w:ascii="宋体" w:hAnsi="宋体" w:cs="宋体" w:eastAsia="宋体" w:hint="default"/>
        </w:rPr>
        <w:t>1</w:t>
      </w:r>
      <w:r>
        <w:rPr/>
        <w:t>）外币业务 本公司外币交易按照交易发生日的即期汇率折算为记账本位币金额。</w:t>
      </w:r>
    </w:p>
    <w:p>
      <w:pPr>
        <w:pStyle w:val="BodyText"/>
        <w:spacing w:line="316" w:lineRule="auto" w:before="18"/>
        <w:ind w:right="98" w:firstLine="360"/>
        <w:jc w:val="left"/>
      </w:pPr>
      <w:r>
        <w:rPr>
          <w:spacing w:val="-2"/>
        </w:rPr>
        <w:t>在资产负债表日，按照下列规定对外币货币性项目和外币非货币性项目进行处理：外币货币性项目，采用资产负债表日</w:t>
      </w:r>
      <w:r>
        <w:rPr/>
        <w:t> </w:t>
      </w:r>
      <w:r>
        <w:rPr>
          <w:spacing w:val="-4"/>
        </w:rPr>
        <w:t>即期汇率折算。因资产负债表日即期汇率与初始确认时或前一资产负债表日即期汇率不同而产生的汇兑差额，计入当期损益；</w:t>
      </w:r>
      <w:r>
        <w:rPr>
          <w:spacing w:val="-44"/>
        </w:rPr>
        <w:t> </w:t>
      </w:r>
      <w:r>
        <w:rPr>
          <w:spacing w:val="-44"/>
        </w:rPr>
      </w:r>
      <w:r>
        <w:rPr>
          <w:spacing w:val="-2"/>
        </w:rPr>
        <w:t>以历史成本计量的外币非货币性项目，仍采用交易发生日的即期汇率折算，不改变其记账本位币金额；以公允价值计量的外</w:t>
      </w:r>
      <w:r>
        <w:rPr>
          <w:spacing w:val="-63"/>
        </w:rPr>
        <w:t> </w:t>
      </w:r>
      <w:r>
        <w:rPr>
          <w:spacing w:val="-63"/>
        </w:rPr>
      </w:r>
      <w:r>
        <w:rPr>
          <w:spacing w:val="-2"/>
        </w:rPr>
        <w:t>币非货币性项目，采用公允价值确定日的即期汇率折算，折算后的记账本位币金额与原记账本位币金额的差额，作为公允价</w:t>
      </w:r>
      <w:r>
        <w:rPr>
          <w:spacing w:val="-63"/>
        </w:rPr>
        <w:t> </w:t>
      </w:r>
      <w:r>
        <w:rPr>
          <w:spacing w:val="-63"/>
        </w:rPr>
      </w:r>
      <w:r>
        <w:rPr>
          <w:spacing w:val="-2"/>
        </w:rPr>
        <w:t>值变动（含汇率变动）处理，计入当期损益；在资本化期间内，外币专门借款本金及利息的汇兑差额，予以资本化，计入符</w:t>
      </w:r>
      <w:r>
        <w:rPr>
          <w:spacing w:val="-73"/>
        </w:rPr>
        <w:t> </w:t>
      </w:r>
      <w:r>
        <w:rPr>
          <w:spacing w:val="-73"/>
        </w:rPr>
      </w:r>
      <w:r>
        <w:rPr/>
        <w:t>合资本化条件的资产的成本。</w:t>
      </w:r>
    </w:p>
    <w:p>
      <w:pPr>
        <w:pStyle w:val="BodyText"/>
        <w:spacing w:line="316" w:lineRule="auto" w:before="18"/>
        <w:ind w:left="512" w:right="94"/>
        <w:jc w:val="left"/>
      </w:pPr>
      <w:r>
        <w:rPr/>
        <w:t>（</w:t>
      </w:r>
      <w:r>
        <w:rPr>
          <w:rFonts w:ascii="宋体" w:hAnsi="宋体" w:cs="宋体" w:eastAsia="宋体" w:hint="default"/>
        </w:rPr>
        <w:t>2</w:t>
      </w:r>
      <w:r>
        <w:rPr/>
        <w:t>）外币财务报表的折算 本公司对外币财务报表折算时，遵循下列规定：资产负债表中的资产和负债项目，采用资产负债表日的即期汇率折算，</w:t>
      </w:r>
    </w:p>
    <w:p>
      <w:pPr>
        <w:pStyle w:val="BodyText"/>
        <w:spacing w:line="316" w:lineRule="auto" w:before="18"/>
        <w:ind w:right="190"/>
        <w:jc w:val="both"/>
      </w:pPr>
      <w:r>
        <w:rPr>
          <w:spacing w:val="-2"/>
        </w:rPr>
        <w:t>所有者权益项目除</w:t>
      </w:r>
      <w:r>
        <w:rPr>
          <w:rFonts w:ascii="宋体" w:hAnsi="宋体" w:cs="宋体" w:eastAsia="宋体" w:hint="default"/>
          <w:spacing w:val="-2"/>
        </w:rPr>
        <w:t>“</w:t>
      </w:r>
      <w:r>
        <w:rPr>
          <w:spacing w:val="-2"/>
        </w:rPr>
        <w:t>未分配利润</w:t>
      </w:r>
      <w:r>
        <w:rPr>
          <w:rFonts w:ascii="宋体" w:hAnsi="宋体" w:cs="宋体" w:eastAsia="宋体" w:hint="default"/>
          <w:spacing w:val="-2"/>
        </w:rPr>
        <w:t>”</w:t>
      </w:r>
      <w:r>
        <w:rPr>
          <w:spacing w:val="-2"/>
        </w:rPr>
        <w:t>项目外，其他项目采用发生时的即期汇率折算；利润表中的收入和费用项目，采用交易发</w:t>
      </w:r>
      <w:r>
        <w:rPr>
          <w:spacing w:val="-63"/>
        </w:rPr>
        <w:t> </w:t>
      </w:r>
      <w:r>
        <w:rPr>
          <w:spacing w:val="-63"/>
        </w:rPr>
      </w:r>
      <w:r>
        <w:rPr>
          <w:spacing w:val="-2"/>
        </w:rPr>
        <w:t>生日的即期汇率（通常指中国人民银行公布的当日外汇牌价的中间价，下同）折算。按照上述折算产生的外币财务报表折算</w:t>
      </w:r>
      <w:r>
        <w:rPr>
          <w:spacing w:val="-66"/>
        </w:rPr>
        <w:t> </w:t>
      </w:r>
      <w:r>
        <w:rPr>
          <w:spacing w:val="-66"/>
        </w:rPr>
      </w:r>
      <w:r>
        <w:rPr/>
        <w:t>差额，确认为其他综合收益。比较财务报表的折算比照上述规定处理。</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8"/>
        <w:jc w:val="left"/>
      </w:pPr>
      <w:r>
        <w:rPr/>
        <w:t>（</w:t>
      </w:r>
      <w:r>
        <w:rPr>
          <w:rFonts w:ascii="宋体" w:hAnsi="宋体" w:cs="宋体" w:eastAsia="宋体" w:hint="default"/>
        </w:rPr>
        <w:t>1</w:t>
      </w:r>
      <w:r>
        <w:rPr/>
        <w:t>）金融工具的分类、确认依据和计量方法</w:t>
      </w:r>
    </w:p>
    <w:p>
      <w:pPr>
        <w:pStyle w:val="BodyText"/>
        <w:spacing w:line="316" w:lineRule="auto" w:before="76"/>
        <w:ind w:left="512" w:right="98"/>
        <w:jc w:val="left"/>
      </w:pPr>
      <w:r>
        <w:rPr/>
        <w:t>①金融工具的分类 </w:t>
      </w:r>
      <w:r>
        <w:rPr>
          <w:spacing w:val="-2"/>
        </w:rPr>
        <w:t>金融工具是指形成一个企业的金融资产，并形成其他单位的金融负债或权益工具的合同，包括：金融资产、金融负债和</w:t>
      </w:r>
    </w:p>
    <w:p>
      <w:pPr>
        <w:pStyle w:val="BodyText"/>
        <w:spacing w:line="240" w:lineRule="auto" w:before="18"/>
        <w:ind w:right="0"/>
        <w:jc w:val="both"/>
      </w:pPr>
      <w:r>
        <w:rPr/>
        <w:t>权益工具。</w:t>
      </w:r>
    </w:p>
    <w:p>
      <w:pPr>
        <w:pStyle w:val="BodyText"/>
        <w:spacing w:line="316" w:lineRule="auto" w:before="76"/>
        <w:ind w:right="98" w:firstLine="360"/>
        <w:jc w:val="left"/>
      </w:pPr>
      <w:r>
        <w:rPr>
          <w:spacing w:val="-2"/>
        </w:rPr>
        <w:t>本公司金融资产和金融负债划分为以公允价值计量且其变动计入当期损益的金融资产或金融负债、持有至到期投资、应</w:t>
      </w:r>
      <w:r>
        <w:rPr/>
        <w:t> 收款项和可供出售金融资产四类。</w:t>
      </w:r>
    </w:p>
    <w:p>
      <w:pPr>
        <w:pStyle w:val="BodyText"/>
        <w:spacing w:line="240" w:lineRule="auto" w:before="18"/>
        <w:ind w:left="512" w:right="98"/>
        <w:jc w:val="left"/>
      </w:pPr>
      <w:r>
        <w:rPr/>
        <w:t>②金融工具的确认依据和计量方法</w:t>
      </w:r>
    </w:p>
    <w:p>
      <w:pPr>
        <w:pStyle w:val="BodyText"/>
        <w:spacing w:line="316" w:lineRule="auto" w:before="76"/>
        <w:ind w:left="512" w:right="98"/>
        <w:jc w:val="left"/>
      </w:pPr>
      <w:r>
        <w:rPr>
          <w:rFonts w:ascii="宋体" w:hAnsi="宋体" w:cs="宋体" w:eastAsia="宋体" w:hint="default"/>
        </w:rPr>
        <w:t>A</w:t>
      </w:r>
      <w:r>
        <w:rPr/>
        <w:t>、以公允价值计量且其变动计入当期损益的金融资产或金融负债 </w:t>
      </w:r>
      <w:r>
        <w:rPr>
          <w:spacing w:val="-2"/>
        </w:rPr>
        <w:t>确认依据：此类金融资产或金融负债可进一步分为交易性金融资产或金融负债、直接指定为以公允价值计量且其变动计</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1"/>
        <w:jc w:val="both"/>
      </w:pPr>
      <w:r>
        <w:rPr>
          <w:spacing w:val="-2"/>
        </w:rPr>
        <w:t>入当期损益的金融资产或金融负债。交易性金融资产或金融负债，主要指企业为了近期内出售而持有的股票、债券、基金以</w:t>
      </w:r>
      <w:r>
        <w:rPr>
          <w:spacing w:val="-64"/>
        </w:rPr>
        <w:t> </w:t>
      </w:r>
      <w:r>
        <w:rPr>
          <w:spacing w:val="-64"/>
        </w:rPr>
      </w:r>
      <w:r>
        <w:rPr>
          <w:spacing w:val="-2"/>
        </w:rPr>
        <w:t>及不作为有效套期工具的衍生工具或近期内回购而承担的金融负债；直接指定以公允价值计量且其变动计入当期损益的金融</w:t>
      </w:r>
      <w:r>
        <w:rPr>
          <w:spacing w:val="-64"/>
        </w:rPr>
        <w:t> </w:t>
      </w:r>
      <w:r>
        <w:rPr>
          <w:spacing w:val="-64"/>
        </w:rPr>
      </w:r>
      <w:r>
        <w:rPr/>
        <w:t>资产或金融负债，主要是指企业基于风险管理、战略投资需要等所作的指定。</w:t>
      </w:r>
    </w:p>
    <w:p>
      <w:pPr>
        <w:pStyle w:val="BodyText"/>
        <w:spacing w:line="316" w:lineRule="auto" w:before="18"/>
        <w:ind w:right="98" w:firstLine="360"/>
        <w:jc w:val="left"/>
      </w:pPr>
      <w:r>
        <w:rPr>
          <w:spacing w:val="-2"/>
        </w:rPr>
        <w:t>计量方法：以公允价值计量且其变动计入当期损益的金融资产或金融负债，取得时以公允价值（扣除已宣告但尚未发放</w:t>
      </w:r>
      <w:r>
        <w:rPr/>
        <w:t> 的现金股利或已到付息期但尚未领取的债券利息）作为初始确认金额。</w:t>
      </w:r>
    </w:p>
    <w:p>
      <w:pPr>
        <w:pStyle w:val="BodyText"/>
        <w:spacing w:line="316" w:lineRule="auto" w:before="18"/>
        <w:ind w:left="512" w:right="1714"/>
        <w:jc w:val="left"/>
      </w:pPr>
      <w:r>
        <w:rPr/>
        <w:t>持有期间将取得的利息或现金股利确认为投资收益，资产负债表日将公允价值变动计入当期损益。 处置时，公允价值与初始入账金额之间的差额确认为投资收益，同时调整公允价值变动损益。 </w:t>
      </w:r>
      <w:r>
        <w:rPr>
          <w:rFonts w:ascii="宋体" w:hAnsi="宋体" w:cs="宋体" w:eastAsia="宋体" w:hint="default"/>
        </w:rPr>
        <w:t>B</w:t>
      </w:r>
      <w:r>
        <w:rPr/>
        <w:t>、持有至到期投资</w:t>
      </w:r>
    </w:p>
    <w:p>
      <w:pPr>
        <w:pStyle w:val="BodyText"/>
        <w:spacing w:line="316" w:lineRule="auto" w:before="18"/>
        <w:ind w:right="98" w:firstLine="360"/>
        <w:jc w:val="left"/>
      </w:pPr>
      <w:r>
        <w:rPr>
          <w:spacing w:val="-2"/>
        </w:rPr>
        <w:t>确认依据：指本公司购入的到期日固定、回收金额固定或可确定，且本公司有明确意图和能力持有至到期的固定利率国</w:t>
      </w:r>
      <w:r>
        <w:rPr/>
        <w:t> 债、浮动利率公司债券等非衍生金融资产。</w:t>
      </w:r>
    </w:p>
    <w:p>
      <w:pPr>
        <w:pStyle w:val="BodyText"/>
        <w:spacing w:line="316" w:lineRule="auto" w:before="18"/>
        <w:ind w:left="512" w:right="94"/>
        <w:jc w:val="left"/>
      </w:pPr>
      <w:r>
        <w:rPr/>
        <w:t>计量方法：取得时按公允价值（扣除已到付息期但尚未领取的债券利息）和相关交易费用之和作为初始确认金额。 持有期间按照摊余成本计量，采用实际利率法（如实际利率与票面利率差别较小的，按票面利率）计算确认利息收入，</w:t>
      </w:r>
    </w:p>
    <w:p>
      <w:pPr>
        <w:pStyle w:val="BodyText"/>
        <w:spacing w:line="316" w:lineRule="auto" w:before="18"/>
        <w:ind w:left="512" w:right="98" w:hanging="360"/>
        <w:jc w:val="left"/>
      </w:pPr>
      <w:r>
        <w:rPr/>
        <w:t>计入投资收益。实际利率在取得时确定，在该预期存续期间或适用的更短期间内保持不变。 处置时，将所取得价款与该投资账面价值之间的差额计入投资收益。 </w:t>
      </w:r>
      <w:r>
        <w:rPr>
          <w:spacing w:val="-2"/>
        </w:rPr>
        <w:t>若本公司于到期日前出售或重分类了较大金额的持有至到期投资（较大金额是指相对该类投资出售或重分类前的总金额</w:t>
      </w:r>
    </w:p>
    <w:p>
      <w:pPr>
        <w:pStyle w:val="BodyText"/>
        <w:spacing w:line="316" w:lineRule="auto" w:before="18"/>
        <w:ind w:right="191"/>
        <w:jc w:val="both"/>
      </w:pPr>
      <w:r>
        <w:rPr>
          <w:spacing w:val="-2"/>
        </w:rPr>
        <w:t>而言），则本公司将该类投资的剩余部分重分类为可供出售金融资产，且在本会计期间及以后两个完整的会计年度内不再将</w:t>
      </w:r>
      <w:r>
        <w:rPr>
          <w:spacing w:val="-66"/>
        </w:rPr>
        <w:t> </w:t>
      </w:r>
      <w:r>
        <w:rPr>
          <w:spacing w:val="-66"/>
        </w:rPr>
      </w:r>
      <w:r>
        <w:rPr>
          <w:spacing w:val="-2"/>
        </w:rPr>
        <w:t>该金融资产划分为持有至到期投资，但下列情况除外：出售日或重分类日距离该项投资到期日或赎回日较近（如到期前三个</w:t>
      </w:r>
      <w:r>
        <w:rPr>
          <w:spacing w:val="-66"/>
        </w:rPr>
        <w:t> </w:t>
      </w:r>
      <w:r>
        <w:rPr>
          <w:spacing w:val="-66"/>
        </w:rPr>
      </w:r>
      <w:r>
        <w:rPr>
          <w:spacing w:val="-2"/>
        </w:rPr>
        <w:t>月内），市场利率变化对该项投资的公允价值没有显著影响；根据合同约定的定期偿付或提前还款方式收回该投资几乎所有</w:t>
      </w:r>
      <w:r>
        <w:rPr>
          <w:spacing w:val="-66"/>
        </w:rPr>
        <w:t> </w:t>
      </w:r>
      <w:r>
        <w:rPr>
          <w:spacing w:val="-66"/>
        </w:rPr>
      </w:r>
      <w:r>
        <w:rPr>
          <w:spacing w:val="-2"/>
        </w:rPr>
        <w:t>初始本金后，将剩余部分予以出售或重分类；出售或重分类是由于本公司无法控制、预期不会重复发生且难以合理预计的独</w:t>
      </w:r>
      <w:r>
        <w:rPr>
          <w:spacing w:val="-63"/>
        </w:rPr>
        <w:t> </w:t>
      </w:r>
      <w:r>
        <w:rPr>
          <w:spacing w:val="-63"/>
        </w:rPr>
      </w:r>
      <w:r>
        <w:rPr/>
        <w:t>立事项所引起。</w:t>
      </w:r>
    </w:p>
    <w:p>
      <w:pPr>
        <w:pStyle w:val="BodyText"/>
        <w:spacing w:line="316" w:lineRule="auto" w:before="18"/>
        <w:ind w:left="512" w:right="98"/>
        <w:jc w:val="left"/>
      </w:pPr>
      <w:r>
        <w:rPr>
          <w:rFonts w:ascii="宋体" w:hAnsi="宋体" w:cs="宋体" w:eastAsia="宋体" w:hint="default"/>
        </w:rPr>
        <w:t>C</w:t>
      </w:r>
      <w:r>
        <w:rPr/>
        <w:t>、可供出售金融资产 </w:t>
      </w:r>
      <w:r>
        <w:rPr>
          <w:spacing w:val="-2"/>
        </w:rPr>
        <w:t>确认依据：指本公司没有划分为以公允价值计量且其变动计入当期损益的金融资产、持有至到期投资、应收款项的金融</w:t>
      </w:r>
    </w:p>
    <w:p>
      <w:pPr>
        <w:pStyle w:val="BodyText"/>
        <w:spacing w:line="240" w:lineRule="auto" w:before="18"/>
        <w:ind w:right="0"/>
        <w:jc w:val="both"/>
      </w:pPr>
      <w:r>
        <w:rPr/>
        <w:t>资产。</w:t>
      </w:r>
    </w:p>
    <w:p>
      <w:pPr>
        <w:pStyle w:val="BodyText"/>
        <w:spacing w:line="316" w:lineRule="auto" w:before="76"/>
        <w:ind w:right="98" w:firstLine="360"/>
        <w:jc w:val="left"/>
      </w:pPr>
      <w:r>
        <w:rPr>
          <w:spacing w:val="-2"/>
        </w:rPr>
        <w:t>计量方法：取得时按公允价值（扣除已宣告但尚未发放的现金股利或已到付息期但尚未领取的债券利息）和相关交易费</w:t>
      </w:r>
      <w:r>
        <w:rPr/>
        <w:t> 用之和作为初始确认金额。</w:t>
      </w:r>
    </w:p>
    <w:p>
      <w:pPr>
        <w:pStyle w:val="BodyText"/>
        <w:spacing w:line="316" w:lineRule="auto" w:before="18"/>
        <w:ind w:left="512" w:right="98"/>
        <w:jc w:val="left"/>
      </w:pPr>
      <w:r>
        <w:rPr/>
        <w:t>持有期间将取得的利息或现金股利确认为投资收益。资产负债表日将公允价值变动计入其他综合收益。 </w:t>
      </w:r>
      <w:r>
        <w:rPr>
          <w:spacing w:val="-2"/>
        </w:rPr>
        <w:t>处置时，将取得的价款与该金融资产账面价值之间的差额，计入投资损益；同时，将原直接计入其他综合收益的公允价</w:t>
      </w:r>
    </w:p>
    <w:p>
      <w:pPr>
        <w:pStyle w:val="BodyText"/>
        <w:spacing w:line="240" w:lineRule="auto" w:before="18"/>
        <w:ind w:right="0"/>
        <w:jc w:val="both"/>
      </w:pPr>
      <w:r>
        <w:rPr/>
        <w:t>值变动累计额对应处置部分的金额转出，计入投资损益。</w:t>
      </w:r>
    </w:p>
    <w:p>
      <w:pPr>
        <w:pStyle w:val="BodyText"/>
        <w:spacing w:line="240" w:lineRule="auto" w:before="76"/>
        <w:ind w:left="512" w:right="98"/>
        <w:jc w:val="left"/>
      </w:pPr>
      <w:r>
        <w:rPr/>
        <w:t>（</w:t>
      </w:r>
      <w:r>
        <w:rPr>
          <w:rFonts w:ascii="宋体" w:hAnsi="宋体" w:cs="宋体" w:eastAsia="宋体" w:hint="default"/>
        </w:rPr>
        <w:t>2</w:t>
      </w:r>
      <w:r>
        <w:rPr/>
        <w:t>）金融资产转移的确认依据和计量方法</w:t>
      </w:r>
    </w:p>
    <w:p>
      <w:pPr>
        <w:pStyle w:val="BodyText"/>
        <w:spacing w:line="316" w:lineRule="auto" w:before="76"/>
        <w:ind w:left="512" w:right="274"/>
        <w:jc w:val="left"/>
      </w:pPr>
      <w:r>
        <w:rPr/>
        <w:t>①金融资产转移的确认依据 本公司已将金融资产所有权上几乎所有的风险和报酬转移给转入方的或既没有转移也没有保留金融资产所有权上几乎</w:t>
      </w:r>
    </w:p>
    <w:p>
      <w:pPr>
        <w:pStyle w:val="BodyText"/>
        <w:spacing w:line="240" w:lineRule="auto" w:before="18"/>
        <w:ind w:right="0"/>
        <w:jc w:val="both"/>
      </w:pPr>
      <w:r>
        <w:rPr/>
        <w:t>所有的风险和报酬，但放弃了对该金融资产控制的，终止对该金融资产的确认。</w:t>
      </w:r>
    </w:p>
    <w:p>
      <w:pPr>
        <w:pStyle w:val="BodyText"/>
        <w:spacing w:line="316" w:lineRule="auto" w:before="76"/>
        <w:ind w:left="512" w:right="184"/>
        <w:jc w:val="left"/>
      </w:pPr>
      <w:r>
        <w:rPr/>
        <w:t>②金融资产转移的计量方法 </w:t>
      </w:r>
      <w:r>
        <w:rPr>
          <w:rFonts w:ascii="宋体" w:hAnsi="宋体" w:cs="宋体" w:eastAsia="宋体" w:hint="default"/>
        </w:rPr>
        <w:t>A</w:t>
      </w:r>
      <w:r>
        <w:rPr/>
        <w:t>、整体转移满足终止确认条件时的计量：金融资产整体转移满足终止确认条件的，将下列两项的差额计入当期损益： 所转移金融资产的账面价值；</w:t>
      </w:r>
    </w:p>
    <w:p>
      <w:pPr>
        <w:pStyle w:val="BodyText"/>
        <w:spacing w:line="240" w:lineRule="auto" w:before="18"/>
        <w:ind w:left="512" w:right="98"/>
        <w:jc w:val="left"/>
      </w:pPr>
      <w:r>
        <w:rPr/>
        <w:t>因转移而收到的对价，与原直接计入所有者权益的公允价值变动累计额之和。</w:t>
      </w:r>
    </w:p>
    <w:p>
      <w:pPr>
        <w:pStyle w:val="BodyText"/>
        <w:spacing w:line="316" w:lineRule="auto" w:before="76"/>
        <w:ind w:right="98" w:firstLine="360"/>
        <w:jc w:val="left"/>
      </w:pPr>
      <w:r>
        <w:rPr>
          <w:rFonts w:ascii="宋体" w:hAnsi="宋体" w:cs="宋体" w:eastAsia="宋体" w:hint="default"/>
          <w:spacing w:val="-2"/>
        </w:rPr>
        <w:t>B</w:t>
      </w:r>
      <w:r>
        <w:rPr>
          <w:spacing w:val="-2"/>
        </w:rPr>
        <w:t>、部分转移满足终止确认条件时的计量：金融资产部分转移满足终止确认条件的，将所转移金融资产整体的账面价值，</w:t>
      </w:r>
      <w:r>
        <w:rPr/>
        <w:t> 在终止确认部分和未终止确认部分之间，按照各自的相对公允价值进行分摊，并将下列两项金额的差额计入当期损益：</w:t>
      </w:r>
    </w:p>
    <w:p>
      <w:pPr>
        <w:pStyle w:val="BodyText"/>
        <w:spacing w:line="316" w:lineRule="auto" w:before="18"/>
        <w:ind w:left="512" w:right="184"/>
        <w:jc w:val="left"/>
      </w:pPr>
      <w:r>
        <w:rPr/>
        <w:t>终止确认部分的账面价值； 终止确认部分的对价，与原直接计入所有者权益的公允价值变动累计额中对应终止确认部分的金额之和。 </w:t>
      </w:r>
      <w:r>
        <w:rPr>
          <w:rFonts w:ascii="宋体" w:hAnsi="宋体" w:cs="宋体" w:eastAsia="宋体" w:hint="default"/>
        </w:rPr>
        <w:t>C</w:t>
      </w:r>
      <w:r>
        <w:rPr/>
        <w:t>、金融资产转移不满足终止确认条件的，继续确认该金融资产，将所收到的对价确认为一项金融负债。 </w:t>
      </w:r>
      <w:r>
        <w:rPr>
          <w:rFonts w:ascii="宋体" w:hAnsi="宋体" w:cs="宋体" w:eastAsia="宋体" w:hint="default"/>
        </w:rPr>
        <w:t>D</w:t>
      </w:r>
      <w:r>
        <w:rPr/>
        <w:t>、对于采用继续涉入方式的金融资产转移，本公司按照继续涉入所转移金融资产的程度确认一项金融资产，同时确认</w:t>
      </w:r>
    </w:p>
    <w:p>
      <w:pPr>
        <w:pStyle w:val="BodyText"/>
        <w:spacing w:line="240" w:lineRule="auto" w:before="18"/>
        <w:ind w:right="0"/>
        <w:jc w:val="both"/>
      </w:pPr>
      <w:r>
        <w:rPr/>
        <w:t>一项金融负债。</w:t>
      </w:r>
    </w:p>
    <w:p>
      <w:pPr>
        <w:pStyle w:val="BodyText"/>
        <w:spacing w:line="240" w:lineRule="auto" w:before="76"/>
        <w:ind w:left="512" w:right="98"/>
        <w:jc w:val="left"/>
      </w:pPr>
      <w:r>
        <w:rPr/>
        <w:t>（</w:t>
      </w:r>
      <w:r>
        <w:rPr>
          <w:rFonts w:ascii="宋体" w:hAnsi="宋体" w:cs="宋体" w:eastAsia="宋体" w:hint="default"/>
        </w:rPr>
        <w:t>3</w:t>
      </w:r>
      <w:r>
        <w:rPr/>
        <w:t>）金融负债终止确认条件</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2" w:right="98"/>
        <w:jc w:val="left"/>
      </w:pPr>
      <w:r>
        <w:rPr/>
        <w:t>本公司在金融负债的现实义务全部或部分已经解除时终止确认该金融负债或其一部分。</w:t>
      </w:r>
    </w:p>
    <w:p>
      <w:pPr>
        <w:pStyle w:val="BodyText"/>
        <w:spacing w:line="240" w:lineRule="auto" w:before="76"/>
        <w:ind w:left="512" w:right="98"/>
        <w:jc w:val="left"/>
      </w:pPr>
      <w:r>
        <w:rPr/>
        <w:t>（</w:t>
      </w:r>
      <w:r>
        <w:rPr>
          <w:rFonts w:ascii="宋体" w:hAnsi="宋体" w:cs="宋体" w:eastAsia="宋体" w:hint="default"/>
        </w:rPr>
        <w:t>4</w:t>
      </w:r>
      <w:r>
        <w:rPr/>
        <w:t>）金融资产和金融负债的公允价值确定方法</w:t>
      </w:r>
    </w:p>
    <w:p>
      <w:pPr>
        <w:pStyle w:val="BodyText"/>
        <w:spacing w:line="240" w:lineRule="auto" w:before="76"/>
        <w:ind w:left="512" w:right="98"/>
        <w:jc w:val="left"/>
      </w:pPr>
      <w:r>
        <w:rPr/>
        <w:t>①存在活跃市场的金融资产或金融负债，用活跃市场中的报价来确定公允价值；</w:t>
      </w:r>
    </w:p>
    <w:p>
      <w:pPr>
        <w:pStyle w:val="BodyText"/>
        <w:spacing w:line="240" w:lineRule="auto" w:before="76"/>
        <w:ind w:left="512" w:right="98"/>
        <w:jc w:val="left"/>
      </w:pPr>
      <w:r>
        <w:rPr/>
        <w:t>②金融工具不存在活跃市场的，本公司采用估值技术确定其公允价值。</w:t>
      </w:r>
    </w:p>
    <w:p>
      <w:pPr>
        <w:pStyle w:val="BodyText"/>
        <w:spacing w:line="316" w:lineRule="auto" w:before="76"/>
        <w:ind w:left="512" w:right="98"/>
        <w:jc w:val="left"/>
      </w:pPr>
      <w:r>
        <w:rPr/>
        <w:t>（</w:t>
      </w:r>
      <w:r>
        <w:rPr>
          <w:rFonts w:ascii="宋体" w:hAnsi="宋体" w:cs="宋体" w:eastAsia="宋体" w:hint="default"/>
        </w:rPr>
        <w:t>5</w:t>
      </w:r>
      <w:r>
        <w:rPr/>
        <w:t>）金融资产（不含应收款项）减值测试方法 </w:t>
      </w:r>
      <w:r>
        <w:rPr>
          <w:spacing w:val="-4"/>
        </w:rPr>
        <w:t>本公司在资产负债表日对金融资产（不含应收款项）的账面价值进行检查，有客观证据表明发生减值的，计提减值准备。</w:t>
      </w:r>
    </w:p>
    <w:p>
      <w:pPr>
        <w:pStyle w:val="BodyText"/>
        <w:spacing w:line="316" w:lineRule="auto" w:before="18"/>
        <w:ind w:right="193" w:firstLine="360"/>
        <w:jc w:val="both"/>
      </w:pPr>
      <w:r>
        <w:rPr>
          <w:spacing w:val="-2"/>
        </w:rPr>
        <w:t>①持有至到期投资：根据账面价值与预计未来现金流量的现值之间的差额计算确认减值损失，具体比照应收款项减值损</w:t>
      </w:r>
      <w:r>
        <w:rPr/>
        <w:t> 失计量方法处理。</w:t>
      </w:r>
    </w:p>
    <w:p>
      <w:pPr>
        <w:pStyle w:val="BodyText"/>
        <w:spacing w:line="316" w:lineRule="auto" w:before="18"/>
        <w:ind w:right="193" w:firstLine="360"/>
        <w:jc w:val="both"/>
      </w:pPr>
      <w:r>
        <w:rPr>
          <w:spacing w:val="-2"/>
        </w:rPr>
        <w:t>②可供出售金融资产：当综合相关因素判断可供出售权益工具投资公允价值下跌是严重或非暂时性下跌时，表明该可供</w:t>
      </w:r>
      <w:r>
        <w:rPr/>
        <w:t> 出售权益工具投资发生减值。其中</w:t>
      </w:r>
      <w:r>
        <w:rPr>
          <w:rFonts w:ascii="宋体" w:hAnsi="宋体" w:cs="宋体" w:eastAsia="宋体" w:hint="default"/>
        </w:rPr>
        <w:t>“</w:t>
      </w:r>
      <w:r>
        <w:rPr/>
        <w:t>严重下跌</w:t>
      </w:r>
      <w:r>
        <w:rPr>
          <w:rFonts w:ascii="宋体" w:hAnsi="宋体" w:cs="宋体" w:eastAsia="宋体" w:hint="default"/>
        </w:rPr>
        <w:t>”</w:t>
      </w:r>
      <w:r>
        <w:rPr/>
        <w:t>是指公允价值下跌幅度累计超过</w:t>
      </w:r>
      <w:r>
        <w:rPr>
          <w:rFonts w:ascii="宋体" w:hAnsi="宋体" w:cs="宋体" w:eastAsia="宋体" w:hint="default"/>
        </w:rPr>
        <w:t>20%</w:t>
      </w:r>
      <w:r>
        <w:rPr/>
        <w:t>；</w:t>
      </w:r>
      <w:r>
        <w:rPr>
          <w:rFonts w:ascii="宋体" w:hAnsi="宋体" w:cs="宋体" w:eastAsia="宋体" w:hint="default"/>
        </w:rPr>
        <w:t>“</w:t>
      </w:r>
      <w:r>
        <w:rPr/>
        <w:t>非暂时性下跌</w:t>
      </w:r>
      <w:r>
        <w:rPr>
          <w:rFonts w:ascii="宋体" w:hAnsi="宋体" w:cs="宋体" w:eastAsia="宋体" w:hint="default"/>
        </w:rPr>
        <w:t>”</w:t>
      </w:r>
      <w:r>
        <w:rPr/>
        <w:t>是指公允价值连续 下跌时间超过</w:t>
      </w:r>
      <w:r>
        <w:rPr>
          <w:rFonts w:ascii="宋体" w:hAnsi="宋体" w:cs="宋体" w:eastAsia="宋体" w:hint="default"/>
        </w:rPr>
        <w:t>12</w:t>
      </w:r>
      <w:r>
        <w:rPr>
          <w:rFonts w:ascii="宋体" w:hAnsi="宋体" w:cs="宋体" w:eastAsia="宋体" w:hint="default"/>
          <w:spacing w:val="3"/>
        </w:rPr>
        <w:t> </w:t>
      </w:r>
      <w:r>
        <w:rPr/>
        <w:t>个月。</w:t>
      </w:r>
    </w:p>
    <w:p>
      <w:pPr>
        <w:pStyle w:val="BodyText"/>
        <w:spacing w:line="316" w:lineRule="auto" w:before="18"/>
        <w:ind w:right="111"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8"/>
        <w:ind w:right="191"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的减值损失予以转回，可供出售权益工具投资的减值损失转回计入其他综合收益，可供出售债务工具的减值损失转回计入当</w:t>
      </w:r>
      <w:r>
        <w:rPr>
          <w:spacing w:val="-64"/>
        </w:rPr>
        <w:t> </w:t>
      </w:r>
      <w:r>
        <w:rPr>
          <w:spacing w:val="-64"/>
        </w:rPr>
      </w:r>
      <w:r>
        <w:rPr/>
        <w:t>期损益。</w:t>
      </w:r>
    </w:p>
    <w:p>
      <w:pPr>
        <w:pStyle w:val="BodyText"/>
        <w:spacing w:line="316" w:lineRule="auto" w:before="18"/>
        <w:ind w:right="193"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spacing w:line="240" w:lineRule="auto" w:before="11"/>
        <w:rPr>
          <w:rFonts w:ascii="宋体" w:hAnsi="宋体" w:cs="宋体" w:eastAsia="宋体" w:hint="default"/>
          <w:sz w:val="22"/>
          <w:szCs w:val="22"/>
        </w:rPr>
      </w:pPr>
    </w:p>
    <w:p>
      <w:pPr>
        <w:pStyle w:val="Heading4"/>
        <w:spacing w:line="240" w:lineRule="auto"/>
        <w:ind w:right="98"/>
        <w:jc w:val="left"/>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
        <w:jc w:val="left"/>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 单项金额重大的应收款项为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万元以上（含）的款项</w:t>
            </w:r>
            <w:r>
              <w:rPr>
                <w:rFonts w:ascii="宋体" w:hAnsi="宋体" w:cs="宋体" w:eastAsia="宋体" w:hint="default"/>
                <w:spacing w:val="-44"/>
                <w:sz w:val="18"/>
                <w:szCs w:val="18"/>
              </w:rPr>
              <w:t> </w:t>
            </w:r>
            <w:r>
              <w:rPr>
                <w:rFonts w:ascii="宋体" w:hAnsi="宋体" w:cs="宋体" w:eastAsia="宋体" w:hint="default"/>
                <w:sz w:val="18"/>
                <w:szCs w:val="18"/>
              </w:rPr>
              <w:t>。</w:t>
            </w:r>
          </w:p>
        </w:tc>
      </w:tr>
      <w:tr>
        <w:trPr>
          <w:trHeight w:val="102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值的差额计提坏账准备；经单独测试未发生减值的，以账龄 为信用风险特征根据账龄分析法计提坏账准备。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98"/>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23"/>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47"/>
              <w:jc w:val="right"/>
              <w:rPr>
                <w:rFonts w:ascii="宋体" w:hAnsi="宋体" w:cs="宋体" w:eastAsia="宋体" w:hint="default"/>
                <w:sz w:val="18"/>
                <w:szCs w:val="18"/>
              </w:rPr>
            </w:pPr>
            <w:r>
              <w:rPr>
                <w:rFonts w:ascii="宋体" w:hAnsi="宋体" w:cs="宋体" w:eastAsia="宋体" w:hint="default"/>
                <w:sz w:val="18"/>
                <w:szCs w:val="18"/>
              </w:rPr>
              <w:t>以账龄为信用风险组合的应收款项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98"/>
        <w:jc w:val="left"/>
      </w:pPr>
      <w:r>
        <w:rPr/>
        <w:t>组合中，采用账龄分析法计提坏账准备的：</w:t>
      </w:r>
    </w:p>
    <w:p>
      <w:pPr>
        <w:pStyle w:val="BodyText"/>
        <w:spacing w:line="240" w:lineRule="auto" w:before="115"/>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98"/>
        <w:jc w:val="left"/>
      </w:pPr>
      <w:r>
        <w:rPr/>
        <w:t>组合中，采用余额百分比法计提坏账准备的：</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40" w:lineRule="auto" w:before="44"/>
        <w:ind w:right="65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102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 单项金额不重大的应收款项为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万元以下，且账龄在三年以</w:t>
            </w:r>
            <w:r>
              <w:rPr>
                <w:rFonts w:ascii="宋体" w:hAnsi="宋体" w:cs="宋体" w:eastAsia="宋体" w:hint="default"/>
                <w:sz w:val="18"/>
                <w:szCs w:val="18"/>
              </w:rPr>
              <w:t> 上的款项</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1027"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值的差额计提坏账准备；经单独测试未发生减值的，以账龄 为信用风险特征根据账龄分析法计提坏账准备。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98"/>
        <w:jc w:val="left"/>
      </w:pPr>
      <w:r>
        <w:rPr/>
        <w:t>（</w:t>
      </w:r>
      <w:r>
        <w:rPr>
          <w:rFonts w:ascii="宋体" w:hAnsi="宋体" w:cs="宋体" w:eastAsia="宋体" w:hint="default"/>
        </w:rPr>
        <w:t>1</w:t>
      </w:r>
      <w:r>
        <w:rPr/>
        <w:t>）存货的分类 </w:t>
      </w:r>
      <w:r>
        <w:rPr>
          <w:spacing w:val="-2"/>
        </w:rPr>
        <w:t>本公司存货是指企业在日常活动中持有以备出售的产成品或商品、处在生产过程中的在产品、在生产过程中或提供劳务</w:t>
      </w:r>
    </w:p>
    <w:p>
      <w:pPr>
        <w:pStyle w:val="BodyText"/>
        <w:spacing w:line="240" w:lineRule="auto" w:before="18"/>
        <w:ind w:right="0"/>
        <w:jc w:val="both"/>
      </w:pPr>
      <w:r>
        <w:rPr/>
        <w:t>过程中耗用的材料和物料等，包括库存商品、库存材料、低值易耗品、包装物、发出商品、在产品等。</w:t>
      </w:r>
    </w:p>
    <w:p>
      <w:pPr>
        <w:pStyle w:val="BodyText"/>
        <w:spacing w:line="316" w:lineRule="auto" w:before="76"/>
        <w:ind w:left="512" w:right="2614"/>
        <w:jc w:val="left"/>
      </w:pPr>
      <w:r>
        <w:rPr/>
        <w:t>（</w:t>
      </w:r>
      <w:r>
        <w:rPr>
          <w:rFonts w:ascii="宋体" w:hAnsi="宋体" w:cs="宋体" w:eastAsia="宋体" w:hint="default"/>
        </w:rPr>
        <w:t>2</w:t>
      </w:r>
      <w:r>
        <w:rPr/>
        <w:t>）发出存货的计价方法 存货的取得按实际成本核算，库存商品、库存材料发出采用月末一次加权平均法核算。</w:t>
      </w:r>
    </w:p>
    <w:p>
      <w:pPr>
        <w:pStyle w:val="BodyText"/>
        <w:spacing w:line="316" w:lineRule="auto" w:before="18"/>
        <w:ind w:left="512" w:right="98"/>
        <w:jc w:val="left"/>
      </w:pPr>
      <w:r>
        <w:rPr/>
        <w:t>（</w:t>
      </w:r>
      <w:r>
        <w:rPr>
          <w:rFonts w:ascii="宋体" w:hAnsi="宋体" w:cs="宋体" w:eastAsia="宋体" w:hint="default"/>
        </w:rPr>
        <w:t>3</w:t>
      </w:r>
      <w:r>
        <w:rPr/>
        <w:t>）存货可变现净值的确定依据及存货跌价准备的计提方法 存货可变现净值系根据本公司在正常经营过程中，以估计售价减去估计完工成本及销售所必须的估计费用后的价值。 </w:t>
      </w:r>
      <w:r>
        <w:rPr>
          <w:spacing w:val="-2"/>
        </w:rPr>
        <w:t>存货跌价准备的计提方法：本公司于每年中期期末及年度终了在对存货进行全面盘点的基础上，对遭受损失，全部或部</w:t>
      </w:r>
    </w:p>
    <w:p>
      <w:pPr>
        <w:pStyle w:val="BodyText"/>
        <w:spacing w:line="316" w:lineRule="auto" w:before="18"/>
        <w:ind w:right="193"/>
        <w:jc w:val="both"/>
      </w:pPr>
      <w:r>
        <w:rPr>
          <w:spacing w:val="-2"/>
        </w:rPr>
        <w:t>分陈旧过时或销售价格低于成本的存货，根据存货成本与可变现净值孰低计量，按单个存货项目对同类存货项目的可变现净</w:t>
      </w:r>
      <w:r>
        <w:rPr>
          <w:spacing w:val="-64"/>
        </w:rPr>
        <w:t> </w:t>
      </w:r>
      <w:r>
        <w:rPr>
          <w:spacing w:val="-64"/>
        </w:rPr>
      </w:r>
      <w:r>
        <w:rPr>
          <w:spacing w:val="-2"/>
        </w:rPr>
        <w:t>值低于存货成本的差额计提存货跌价准备，并计入当期损益。确定可变现净值时，除考虑持有目的和资产负债表日该存货的</w:t>
      </w:r>
      <w:r>
        <w:rPr>
          <w:spacing w:val="-66"/>
        </w:rPr>
        <w:t> </w:t>
      </w:r>
      <w:r>
        <w:rPr>
          <w:spacing w:val="-66"/>
        </w:rPr>
      </w:r>
      <w:r>
        <w:rPr/>
        <w:t>价格与成本波动外，还需要考虑未来事项的影响。</w:t>
      </w:r>
    </w:p>
    <w:p>
      <w:pPr>
        <w:pStyle w:val="BodyText"/>
        <w:spacing w:line="316" w:lineRule="auto" w:before="18"/>
        <w:ind w:left="512" w:right="6754"/>
        <w:jc w:val="left"/>
      </w:pPr>
      <w:r>
        <w:rPr/>
        <w:t>（</w:t>
      </w:r>
      <w:r>
        <w:rPr>
          <w:rFonts w:ascii="宋体" w:hAnsi="宋体" w:cs="宋体" w:eastAsia="宋体" w:hint="default"/>
        </w:rPr>
        <w:t>4</w:t>
      </w:r>
      <w:r>
        <w:rPr/>
        <w:t>）存货的盘存制度 存货的盘存制度采用永续盘存法。</w:t>
      </w:r>
    </w:p>
    <w:p>
      <w:pPr>
        <w:pStyle w:val="BodyText"/>
        <w:spacing w:line="316" w:lineRule="auto" w:before="18"/>
        <w:ind w:left="512" w:right="2254"/>
        <w:jc w:val="left"/>
      </w:pPr>
      <w:r>
        <w:rPr/>
        <w:t>（</w:t>
      </w:r>
      <w:r>
        <w:rPr>
          <w:rFonts w:ascii="宋体" w:hAnsi="宋体" w:cs="宋体" w:eastAsia="宋体" w:hint="default"/>
        </w:rPr>
        <w:t>5</w:t>
      </w:r>
      <w:r>
        <w:rPr/>
        <w:t>）低值易耗品和包装物的摊销方法 低值易耗品于其领用时采用一次性摊销法摊销；包装物于其领用时采用一次性摊销法摊销。</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98" w:hanging="1"/>
        <w:jc w:val="left"/>
      </w:pPr>
      <w:r>
        <w:rPr/>
        <w:t>（</w:t>
      </w:r>
      <w:r>
        <w:rPr>
          <w:rFonts w:ascii="宋体" w:hAnsi="宋体" w:cs="宋体" w:eastAsia="宋体" w:hint="default"/>
        </w:rPr>
        <w:t>1</w:t>
      </w:r>
      <w:r>
        <w:rPr/>
        <w:t>）共同控制、重要影响的判断 </w:t>
      </w:r>
      <w:r>
        <w:rPr>
          <w:spacing w:val="-2"/>
        </w:rPr>
        <w:t>按照相关约定对某项安排所共有的控制，并且该安排的相关活动必须经过分享控制权的参与方一致同意后才能决策，认</w:t>
      </w:r>
    </w:p>
    <w:p>
      <w:pPr>
        <w:pStyle w:val="BodyText"/>
        <w:spacing w:line="316" w:lineRule="auto" w:before="18"/>
        <w:ind w:right="98"/>
        <w:jc w:val="left"/>
      </w:pPr>
      <w:r>
        <w:rPr>
          <w:spacing w:val="-2"/>
        </w:rPr>
        <w:t>定为共同控制。对被投资单位的财务和经营政策有参与决策的权力，但并不能够控制或者与其他方一起共同控制这些政策的</w:t>
      </w:r>
      <w:r>
        <w:rPr>
          <w:spacing w:val="-64"/>
        </w:rPr>
        <w:t> </w:t>
      </w:r>
      <w:r>
        <w:rPr>
          <w:spacing w:val="-64"/>
        </w:rPr>
      </w:r>
      <w:r>
        <w:rPr/>
        <w:t>制定，认定为重大影响。</w:t>
      </w:r>
    </w:p>
    <w:p>
      <w:pPr>
        <w:pStyle w:val="BodyText"/>
        <w:spacing w:line="240" w:lineRule="auto" w:before="18"/>
        <w:ind w:left="512" w:right="98"/>
        <w:jc w:val="left"/>
      </w:pPr>
      <w:r>
        <w:rPr/>
        <w:t>（</w:t>
      </w:r>
      <w:r>
        <w:rPr>
          <w:rFonts w:ascii="宋体" w:hAnsi="宋体" w:cs="宋体" w:eastAsia="宋体" w:hint="default"/>
        </w:rPr>
        <w:t>2</w:t>
      </w:r>
      <w:r>
        <w:rPr/>
        <w:t>）投资成本的确定</w:t>
      </w:r>
    </w:p>
    <w:p>
      <w:pPr>
        <w:pStyle w:val="BodyText"/>
        <w:spacing w:line="316" w:lineRule="auto" w:before="76"/>
        <w:ind w:right="89" w:firstLine="360"/>
        <w:jc w:val="left"/>
      </w:pPr>
      <w:r>
        <w:rPr/>
        <w:t>①</w:t>
      </w:r>
      <w:r>
        <w:rPr>
          <w:spacing w:val="17"/>
        </w:rPr>
        <w:t> </w:t>
      </w:r>
      <w:r>
        <w:rPr>
          <w:spacing w:val="-2"/>
        </w:rPr>
        <w:t>同一控制下的企业合并形成的，合并方以支付现金、转让非现金资产、承担债务或发行权益性证券作为合并对价的，</w:t>
      </w:r>
      <w:r>
        <w:rPr/>
        <w:t> </w:t>
      </w:r>
      <w:r>
        <w:rPr>
          <w:spacing w:val="-2"/>
        </w:rPr>
        <w:t>在合并日按照取得被合并方所有者权益在最终控制方合并财务报表中的账面价值的份额作为其初始投资成本。长期股权投资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初始投资成本与支付的合并对价的账面价值或发行股份的面值总额之间的差额调整资本公积；资本公积不足冲减的，调整留</w:t>
      </w:r>
      <w:r>
        <w:rPr>
          <w:spacing w:val="-64"/>
        </w:rPr>
        <w:t> </w:t>
      </w:r>
      <w:r>
        <w:rPr>
          <w:spacing w:val="-64"/>
        </w:rPr>
      </w:r>
      <w:r>
        <w:rPr/>
        <w:t>存收益。</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94"/>
        <w:jc w:val="left"/>
      </w:pPr>
      <w:r>
        <w:rPr/>
        <w:t>公司通过多次交易分步实现同一控制下企业合并形成的长期股权投资，判断是否属于</w:t>
      </w:r>
      <w:r>
        <w:rPr>
          <w:rFonts w:ascii="宋体" w:hAnsi="宋体" w:cs="宋体" w:eastAsia="宋体" w:hint="default"/>
        </w:rPr>
        <w:t>“</w:t>
      </w:r>
      <w:r>
        <w:rPr/>
        <w:t>一揽子交易</w:t>
      </w:r>
      <w:r>
        <w:rPr>
          <w:rFonts w:ascii="宋体" w:hAnsi="宋体" w:cs="宋体" w:eastAsia="宋体" w:hint="default"/>
        </w:rPr>
        <w:t>”</w:t>
      </w:r>
      <w:r>
        <w:rPr/>
        <w:t>。 属于</w:t>
      </w:r>
      <w:r>
        <w:rPr>
          <w:rFonts w:ascii="宋体" w:hAnsi="宋体" w:cs="宋体" w:eastAsia="宋体" w:hint="default"/>
        </w:rPr>
        <w:t>“</w:t>
      </w:r>
      <w:r>
        <w:rPr/>
        <w:t>一揽子交易</w:t>
      </w:r>
      <w:r>
        <w:rPr>
          <w:rFonts w:ascii="宋体" w:hAnsi="宋体" w:cs="宋体" w:eastAsia="宋体" w:hint="default"/>
        </w:rPr>
        <w:t>”</w:t>
      </w:r>
      <w:r>
        <w:rPr/>
        <w:t>的，把各项交易作为一项取得控制权的交易进行会计处理。不属于</w:t>
      </w:r>
      <w:r>
        <w:rPr>
          <w:rFonts w:ascii="宋体" w:hAnsi="宋体" w:cs="宋体" w:eastAsia="宋体" w:hint="default"/>
        </w:rPr>
        <w:t>“</w:t>
      </w:r>
      <w:r>
        <w:rPr/>
        <w:t>一揽子交易</w:t>
      </w:r>
      <w:r>
        <w:rPr>
          <w:rFonts w:ascii="宋体" w:hAnsi="宋体" w:cs="宋体" w:eastAsia="宋体" w:hint="default"/>
        </w:rPr>
        <w:t>”</w:t>
      </w:r>
      <w:r>
        <w:rPr/>
        <w:t>的，在合并日，</w:t>
      </w:r>
    </w:p>
    <w:p>
      <w:pPr>
        <w:pStyle w:val="BodyText"/>
        <w:spacing w:line="316" w:lineRule="auto" w:before="18"/>
        <w:ind w:right="193"/>
        <w:jc w:val="both"/>
      </w:pPr>
      <w:r>
        <w:rPr>
          <w:spacing w:val="-2"/>
        </w:rPr>
        <w:t>根据合并后应享有被合并方净资产在最终控制方合并财务报表中的账面价值的份额确定初始投资成本。合并日长期股权投资</w:t>
      </w:r>
      <w:r>
        <w:rPr>
          <w:spacing w:val="-64"/>
        </w:rPr>
        <w:t> </w:t>
      </w:r>
      <w:r>
        <w:rPr>
          <w:spacing w:val="-64"/>
        </w:rPr>
      </w:r>
      <w:r>
        <w:rPr>
          <w:spacing w:val="-2"/>
        </w:rPr>
        <w:t>的初始投资成本，与达到合并前的长期股权投资账面价值加上合并日进一步取得股份新支付对价的账面价值之和的差额，调</w:t>
      </w:r>
      <w:r>
        <w:rPr>
          <w:spacing w:val="-64"/>
        </w:rPr>
        <w:t> </w:t>
      </w:r>
      <w:r>
        <w:rPr>
          <w:spacing w:val="-64"/>
        </w:rPr>
      </w:r>
      <w:r>
        <w:rPr/>
        <w:t>整资本公积；资本公积不足冲减的，调整留存收益。</w:t>
      </w:r>
    </w:p>
    <w:p>
      <w:pPr>
        <w:pStyle w:val="BodyText"/>
        <w:spacing w:line="316" w:lineRule="auto" w:before="18"/>
        <w:ind w:left="512" w:right="98"/>
        <w:jc w:val="left"/>
      </w:pPr>
      <w:r>
        <w:rPr/>
        <w:t>②非同一控制下的企业合并形成的，在购买日按照支付的合并对价的公允价值作为其初始投资成本。 </w:t>
      </w:r>
      <w:r>
        <w:rPr>
          <w:spacing w:val="-2"/>
        </w:rPr>
        <w:t>公司通过多次交易分步实现非同一控制下企业合并形成的长期股权投资，区分个别财务报表和合并财务报表进行相关会</w:t>
      </w:r>
    </w:p>
    <w:p>
      <w:pPr>
        <w:pStyle w:val="BodyText"/>
        <w:spacing w:line="240" w:lineRule="auto" w:before="18"/>
        <w:ind w:right="0"/>
        <w:jc w:val="both"/>
      </w:pPr>
      <w:r>
        <w:rPr/>
        <w:t>计处理：</w:t>
      </w:r>
    </w:p>
    <w:p>
      <w:pPr>
        <w:pStyle w:val="BodyText"/>
        <w:spacing w:line="316" w:lineRule="auto" w:before="76"/>
        <w:ind w:right="200" w:firstLine="360"/>
        <w:jc w:val="both"/>
      </w:pPr>
      <w:r>
        <w:rPr>
          <w:rFonts w:ascii="宋体" w:hAnsi="宋体" w:cs="宋体" w:eastAsia="宋体" w:hint="default"/>
        </w:rPr>
        <w:t>A</w:t>
      </w:r>
      <w:r>
        <w:rPr/>
        <w:t>、在个别财务报表中，按照原持有的股权投资的账面价值加上新增投资成本之和，作为改按成本法核算的初始投资成 本。</w:t>
      </w:r>
    </w:p>
    <w:p>
      <w:pPr>
        <w:pStyle w:val="BodyText"/>
        <w:spacing w:line="316" w:lineRule="auto" w:before="18"/>
        <w:ind w:left="512" w:right="98" w:hanging="1"/>
        <w:jc w:val="left"/>
      </w:pPr>
      <w:r>
        <w:rPr>
          <w:rFonts w:ascii="宋体" w:hAnsi="宋体" w:cs="宋体" w:eastAsia="宋体" w:hint="default"/>
        </w:rPr>
        <w:t>B</w:t>
      </w:r>
      <w:r>
        <w:rPr/>
        <w:t>、在合并财务报表中，判断是否属于</w:t>
      </w:r>
      <w:r>
        <w:rPr>
          <w:rFonts w:ascii="宋体" w:hAnsi="宋体" w:cs="宋体" w:eastAsia="宋体" w:hint="default"/>
        </w:rPr>
        <w:t>“</w:t>
      </w:r>
      <w:r>
        <w:rPr/>
        <w:t>一揽子交易</w:t>
      </w:r>
      <w:r>
        <w:rPr>
          <w:rFonts w:ascii="宋体" w:hAnsi="宋体" w:cs="宋体" w:eastAsia="宋体" w:hint="default"/>
        </w:rPr>
        <w:t>”</w:t>
      </w:r>
      <w:r>
        <w:rPr/>
        <w:t>。 </w:t>
      </w:r>
      <w:r>
        <w:rPr>
          <w:spacing w:val="-2"/>
        </w:rPr>
        <w:t>属于</w:t>
      </w:r>
      <w:r>
        <w:rPr>
          <w:rFonts w:ascii="宋体" w:hAnsi="宋体" w:cs="宋体" w:eastAsia="宋体" w:hint="default"/>
          <w:spacing w:val="-2"/>
        </w:rPr>
        <w:t>“</w:t>
      </w:r>
      <w:r>
        <w:rPr>
          <w:spacing w:val="-2"/>
        </w:rPr>
        <w:t>一揽子交易</w:t>
      </w:r>
      <w:r>
        <w:rPr>
          <w:rFonts w:ascii="宋体" w:hAnsi="宋体" w:cs="宋体" w:eastAsia="宋体" w:hint="default"/>
          <w:spacing w:val="-2"/>
        </w:rPr>
        <w:t>”</w:t>
      </w:r>
      <w:r>
        <w:rPr>
          <w:spacing w:val="-2"/>
        </w:rPr>
        <w:t>的，把各项交易作为一项取得控制权的交易进行会计处理。不属于</w:t>
      </w:r>
      <w:r>
        <w:rPr>
          <w:rFonts w:ascii="宋体" w:hAnsi="宋体" w:cs="宋体" w:eastAsia="宋体" w:hint="default"/>
          <w:spacing w:val="-2"/>
        </w:rPr>
        <w:t>“</w:t>
      </w:r>
      <w:r>
        <w:rPr>
          <w:spacing w:val="-2"/>
        </w:rPr>
        <w:t>一揽子交易</w:t>
      </w:r>
      <w:r>
        <w:rPr>
          <w:rFonts w:ascii="宋体" w:hAnsi="宋体" w:cs="宋体" w:eastAsia="宋体" w:hint="default"/>
          <w:spacing w:val="-2"/>
        </w:rPr>
        <w:t>”</w:t>
      </w:r>
      <w:r>
        <w:rPr>
          <w:spacing w:val="-2"/>
        </w:rPr>
        <w:t>的，对于购买日</w:t>
      </w:r>
    </w:p>
    <w:p>
      <w:pPr>
        <w:pStyle w:val="BodyText"/>
        <w:spacing w:line="316" w:lineRule="auto" w:before="18"/>
        <w:ind w:right="193"/>
        <w:jc w:val="both"/>
      </w:pPr>
      <w:r>
        <w:rPr>
          <w:spacing w:val="-2"/>
        </w:rPr>
        <w:t>之前持有的被购买方的股权，按照该股权在购买日的公允价值进行重新计量，公允价值与其账面价值的差额计入当期投资收</w:t>
      </w:r>
      <w:r>
        <w:rPr>
          <w:spacing w:val="-64"/>
        </w:rPr>
        <w:t> </w:t>
      </w:r>
      <w:r>
        <w:rPr>
          <w:spacing w:val="-64"/>
        </w:rPr>
      </w:r>
      <w:r>
        <w:rPr>
          <w:spacing w:val="-2"/>
        </w:rPr>
        <w:t>益；购买日之前持有的被购买方的股权涉及权益法核算下的其他综合收益等的，与其相关的其他综合收益等转为购买日所属</w:t>
      </w:r>
      <w:r>
        <w:rPr>
          <w:spacing w:val="-64"/>
        </w:rPr>
        <w:t> </w:t>
      </w:r>
      <w:r>
        <w:rPr>
          <w:spacing w:val="-64"/>
        </w:rPr>
      </w:r>
      <w:r>
        <w:rPr/>
        <w:t>当期收益。但由于被投资方重新计量设定受益计划净负债或净资产变动而产生的其他综合收益除外。</w:t>
      </w:r>
    </w:p>
    <w:p>
      <w:pPr>
        <w:pStyle w:val="BodyText"/>
        <w:spacing w:line="316" w:lineRule="auto" w:before="18"/>
        <w:ind w:right="190" w:firstLine="360"/>
        <w:jc w:val="both"/>
      </w:pPr>
      <w:r>
        <w:rPr/>
        <w:t>③</w:t>
      </w:r>
      <w:r>
        <w:rPr>
          <w:spacing w:val="1"/>
        </w:rPr>
        <w:t> </w:t>
      </w:r>
      <w:r>
        <w:rPr/>
        <w:t>除企业合并形成以外的：以支付现金取得的，按照实际支付的购买价款作为其初始投资成本；以发行权益性证券取</w:t>
      </w:r>
      <w:r>
        <w:rPr/>
        <w:t> </w:t>
      </w:r>
      <w:r>
        <w:rPr>
          <w:spacing w:val="-2"/>
        </w:rPr>
        <w:t>得的，按照发行权益性证券的公允价值作为其初始投资成本；以债务重组方式取得的，按《企业会计准则第</w:t>
      </w:r>
      <w:r>
        <w:rPr>
          <w:rFonts w:ascii="宋体" w:hAnsi="宋体" w:cs="宋体" w:eastAsia="宋体" w:hint="default"/>
          <w:spacing w:val="-2"/>
        </w:rPr>
        <w:t>12</w:t>
      </w:r>
      <w:r>
        <w:rPr>
          <w:spacing w:val="-2"/>
        </w:rPr>
        <w:t>号</w:t>
      </w:r>
      <w:r>
        <w:rPr>
          <w:rFonts w:ascii="宋体" w:hAnsi="宋体" w:cs="宋体" w:eastAsia="宋体" w:hint="default"/>
          <w:spacing w:val="-2"/>
        </w:rPr>
        <w:t>——</w:t>
      </w:r>
      <w:r>
        <w:rPr>
          <w:spacing w:val="-2"/>
        </w:rPr>
        <w:t>债务重</w:t>
      </w:r>
      <w:r>
        <w:rPr>
          <w:spacing w:val="-62"/>
        </w:rPr>
        <w:t> </w:t>
      </w:r>
      <w:r>
        <w:rPr/>
        <w:t>组》确定其初始投资成本；以非货币性资产交换取得的，按《企业会计准则第</w:t>
      </w:r>
      <w:r>
        <w:rPr>
          <w:rFonts w:ascii="宋体" w:hAnsi="宋体" w:cs="宋体" w:eastAsia="宋体" w:hint="default"/>
        </w:rPr>
        <w:t>7</w:t>
      </w:r>
      <w:r>
        <w:rPr/>
        <w:t>号</w:t>
      </w:r>
      <w:r>
        <w:rPr>
          <w:rFonts w:ascii="宋体" w:hAnsi="宋体" w:cs="宋体" w:eastAsia="宋体" w:hint="default"/>
        </w:rPr>
        <w:t>——</w:t>
      </w:r>
      <w:r>
        <w:rPr/>
        <w:t>非货币性资产交换》确定其初始投资 成本。</w:t>
      </w:r>
    </w:p>
    <w:p>
      <w:pPr>
        <w:pStyle w:val="BodyText"/>
        <w:spacing w:line="316" w:lineRule="auto" w:before="18"/>
        <w:ind w:left="513" w:right="273" w:hanging="1"/>
        <w:jc w:val="left"/>
      </w:pPr>
      <w:r>
        <w:rPr/>
        <w:t>（</w:t>
      </w:r>
      <w:r>
        <w:rPr>
          <w:rFonts w:ascii="宋体" w:hAnsi="宋体" w:cs="宋体" w:eastAsia="宋体" w:hint="default"/>
        </w:rPr>
        <w:t>3</w:t>
      </w:r>
      <w:r>
        <w:rPr/>
        <w:t>）后续计量及损益确认方法 对被投资单位实施控制的长期股权投资采用成本法核算；对联营企业和合营企业的长期股权投资，采用权益法核算。</w:t>
      </w:r>
    </w:p>
    <w:p>
      <w:pPr>
        <w:pStyle w:val="BodyText"/>
        <w:spacing w:line="240" w:lineRule="auto" w:before="18"/>
        <w:ind w:left="513" w:right="98"/>
        <w:jc w:val="left"/>
      </w:pPr>
      <w:r>
        <w:rPr/>
        <w:t>（</w:t>
      </w:r>
      <w:r>
        <w:rPr>
          <w:rFonts w:ascii="宋体" w:hAnsi="宋体" w:cs="宋体" w:eastAsia="宋体" w:hint="default"/>
        </w:rPr>
        <w:t>4</w:t>
      </w:r>
      <w:r>
        <w:rPr/>
        <w:t>）通过多次交易分步处置对子公司投资至丧失控制权的的处理方法</w:t>
      </w:r>
    </w:p>
    <w:p>
      <w:pPr>
        <w:pStyle w:val="BodyText"/>
        <w:spacing w:line="316" w:lineRule="auto" w:before="76"/>
        <w:ind w:left="513" w:right="98"/>
        <w:jc w:val="left"/>
      </w:pPr>
      <w:r>
        <w:rPr/>
        <w:t>①个别财务报表 </w:t>
      </w:r>
      <w:r>
        <w:rPr>
          <w:spacing w:val="-2"/>
        </w:rPr>
        <w:t>对处置的股权，其账面价值与实际取得价款之间的差额，计入当期损益。对于剩余股权，对被投资单位仍具有重大影响</w:t>
      </w:r>
    </w:p>
    <w:p>
      <w:pPr>
        <w:pStyle w:val="BodyText"/>
        <w:spacing w:line="316" w:lineRule="auto" w:before="18"/>
        <w:ind w:left="153" w:right="190"/>
        <w:jc w:val="both"/>
      </w:pPr>
      <w:r>
        <w:rPr>
          <w:spacing w:val="-2"/>
        </w:rPr>
        <w:t>或者与其他方一起实施共同控制的，转为权益法核算；不能再对被投资单位实施控制、共同控制或重大影响的，确认为可供</w:t>
      </w:r>
      <w:r>
        <w:rPr>
          <w:spacing w:val="-64"/>
        </w:rPr>
        <w:t> </w:t>
      </w:r>
      <w:r>
        <w:rPr>
          <w:spacing w:val="-64"/>
        </w:rPr>
      </w:r>
      <w:r>
        <w:rPr/>
        <w:t>出售金融资产，按公允价值计量。</w:t>
      </w:r>
    </w:p>
    <w:p>
      <w:pPr>
        <w:pStyle w:val="BodyText"/>
        <w:spacing w:line="240" w:lineRule="auto" w:before="18"/>
        <w:ind w:left="513" w:right="98"/>
        <w:jc w:val="left"/>
      </w:pPr>
      <w:r>
        <w:rPr/>
        <w:t>②合并财务报表</w:t>
      </w:r>
    </w:p>
    <w:p>
      <w:pPr>
        <w:pStyle w:val="BodyText"/>
        <w:spacing w:line="316" w:lineRule="auto" w:before="76"/>
        <w:ind w:left="513" w:right="98" w:hanging="1"/>
        <w:jc w:val="left"/>
      </w:pPr>
      <w:r>
        <w:rPr>
          <w:rFonts w:ascii="宋体" w:hAnsi="宋体" w:cs="宋体" w:eastAsia="宋体" w:hint="default"/>
        </w:rPr>
        <w:t>A</w:t>
      </w:r>
      <w:r>
        <w:rPr/>
        <w:t>、通过多次交易分步处置对子公司投资至丧失控制权，且不属于</w:t>
      </w:r>
      <w:r>
        <w:rPr>
          <w:rFonts w:ascii="宋体" w:hAnsi="宋体" w:cs="宋体" w:eastAsia="宋体" w:hint="default"/>
        </w:rPr>
        <w:t>“</w:t>
      </w:r>
      <w:r>
        <w:rPr/>
        <w:t>一揽子交易</w:t>
      </w:r>
      <w:r>
        <w:rPr>
          <w:rFonts w:ascii="宋体" w:hAnsi="宋体" w:cs="宋体" w:eastAsia="宋体" w:hint="default"/>
        </w:rPr>
        <w:t>”</w:t>
      </w:r>
      <w:r>
        <w:rPr/>
        <w:t>的 </w:t>
      </w:r>
      <w:r>
        <w:rPr>
          <w:spacing w:val="-2"/>
        </w:rPr>
        <w:t>在丧失控制权之前，处置价款与处置长期股权投资相对应享有子公司自购买日或合并日开始持续计算的净资产份额之间</w:t>
      </w:r>
    </w:p>
    <w:p>
      <w:pPr>
        <w:pStyle w:val="BodyText"/>
        <w:spacing w:line="316" w:lineRule="auto" w:before="18"/>
        <w:ind w:left="513" w:right="98" w:hanging="361"/>
        <w:jc w:val="left"/>
      </w:pPr>
      <w:r>
        <w:rPr/>
        <w:t>的差额，调整资本公积</w:t>
      </w:r>
      <w:r>
        <w:rPr>
          <w:rFonts w:ascii="宋体" w:hAnsi="宋体" w:cs="宋体" w:eastAsia="宋体" w:hint="default"/>
        </w:rPr>
        <w:t>(</w:t>
      </w:r>
      <w:r>
        <w:rPr/>
        <w:t>资本溢价</w:t>
      </w:r>
      <w:r>
        <w:rPr>
          <w:rFonts w:ascii="宋体" w:hAnsi="宋体" w:cs="宋体" w:eastAsia="宋体" w:hint="default"/>
        </w:rPr>
        <w:t>)</w:t>
      </w:r>
      <w:r>
        <w:rPr/>
        <w:t>，资本溢价不足冲减的，冲减留存收益。 </w:t>
      </w:r>
      <w:r>
        <w:rPr>
          <w:spacing w:val="-2"/>
        </w:rPr>
        <w:t>丧失对原子公司控制权时，对于剩余股权，按照其在丧失控制权日的公允价值进行重新计量。处置股权取得的对价与剩</w:t>
      </w:r>
    </w:p>
    <w:p>
      <w:pPr>
        <w:pStyle w:val="BodyText"/>
        <w:spacing w:line="316" w:lineRule="auto" w:before="18"/>
        <w:ind w:left="153" w:right="98"/>
        <w:jc w:val="left"/>
      </w:pPr>
      <w:r>
        <w:rPr/>
        <w:t>余股权公允价值之和，减去按原持股比例计算应享有原有子公司自购买日或合并日开始持续计算的净资产的份额之间的差 </w:t>
      </w:r>
      <w:r>
        <w:rPr>
          <w:spacing w:val="-2"/>
        </w:rPr>
        <w:t>额，计入丧失控制权当期的投资收益，同时冲减商誉。与原有子公司股权投资相关的其他综合收益等，应当在丧失控制权时</w:t>
      </w:r>
      <w:r>
        <w:rPr>
          <w:spacing w:val="-64"/>
        </w:rPr>
        <w:t> </w:t>
      </w:r>
      <w:r>
        <w:rPr>
          <w:spacing w:val="-64"/>
        </w:rPr>
      </w:r>
      <w:r>
        <w:rPr/>
        <w:t>转为当期投资收益。</w:t>
      </w:r>
    </w:p>
    <w:p>
      <w:pPr>
        <w:pStyle w:val="BodyText"/>
        <w:spacing w:line="316" w:lineRule="auto" w:before="18"/>
        <w:ind w:left="513" w:right="98" w:hanging="1"/>
        <w:jc w:val="left"/>
      </w:pPr>
      <w:r>
        <w:rPr>
          <w:rFonts w:ascii="宋体" w:hAnsi="宋体" w:cs="宋体" w:eastAsia="宋体" w:hint="default"/>
        </w:rPr>
        <w:t>B</w:t>
      </w:r>
      <w:r>
        <w:rPr/>
        <w:t>、通过多次交易分步处置对子公司投资至丧失控制权，且属于</w:t>
      </w:r>
      <w:r>
        <w:rPr>
          <w:rFonts w:ascii="宋体" w:hAnsi="宋体" w:cs="宋体" w:eastAsia="宋体" w:hint="default"/>
        </w:rPr>
        <w:t>“</w:t>
      </w:r>
      <w:r>
        <w:rPr/>
        <w:t>一揽子交易</w:t>
      </w:r>
      <w:r>
        <w:rPr>
          <w:rFonts w:ascii="宋体" w:hAnsi="宋体" w:cs="宋体" w:eastAsia="宋体" w:hint="default"/>
        </w:rPr>
        <w:t>”</w:t>
      </w:r>
      <w:r>
        <w:rPr/>
        <w:t>的 </w:t>
      </w:r>
      <w:r>
        <w:rPr>
          <w:spacing w:val="-2"/>
        </w:rPr>
        <w:t>将各项交易作为一项处置子公司并丧失控制权的交易进行会计处理。但是，在丧失控制权之前每一次处置价款与处置投</w:t>
      </w:r>
    </w:p>
    <w:p>
      <w:pPr>
        <w:pStyle w:val="BodyText"/>
        <w:spacing w:line="316" w:lineRule="auto" w:before="18"/>
        <w:ind w:left="153" w:right="192"/>
        <w:jc w:val="both"/>
      </w:pP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8"/>
        <w:jc w:val="left"/>
      </w:pPr>
      <w:r>
        <w:rPr/>
        <w:t>比照本固定资产的折旧执行。</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8"/>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
        <w:jc w:val="left"/>
        <w:rPr>
          <w:b w:val="0"/>
          <w:bCs w:val="0"/>
        </w:rPr>
      </w:pPr>
      <w:bookmarkStart w:name="16、固定资产" w:id="180"/>
      <w:bookmarkEnd w:id="180"/>
      <w:r>
        <w:rPr>
          <w:b w:val="0"/>
          <w:bCs w:val="0"/>
        </w:rPr>
      </w: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 w:firstLine="360"/>
        <w:jc w:val="left"/>
      </w:pPr>
      <w:r>
        <w:rPr>
          <w:spacing w:val="-4"/>
        </w:rPr>
        <w:t>本公司固定资产系使用寿命超过一个会计年度，为生产商品、提供劳务、出租或经营管理所持有的房屋、建筑物、机器、</w:t>
      </w:r>
      <w:r>
        <w:rPr/>
        <w:t> 机械、运输工具以及其他与生产、经营有关的设备、器具、工具等。</w:t>
      </w:r>
    </w:p>
    <w:p>
      <w:pPr>
        <w:spacing w:line="240" w:lineRule="auto" w:before="10"/>
        <w:rPr>
          <w:rFonts w:ascii="宋体" w:hAnsi="宋体" w:cs="宋体" w:eastAsia="宋体" w:hint="default"/>
          <w:sz w:val="22"/>
          <w:szCs w:val="22"/>
        </w:rPr>
      </w:pPr>
    </w:p>
    <w:p>
      <w:pPr>
        <w:pStyle w:val="Heading4"/>
        <w:spacing w:line="240" w:lineRule="auto"/>
        <w:ind w:right="98"/>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如果与某项租入固定资产有关的全部风险和报酬实质上已经转移，本公司认定为融资租赁。融资租入固定资产需按租赁</w:t>
      </w:r>
      <w:r>
        <w:rPr/>
        <w:t> </w:t>
      </w:r>
      <w:r>
        <w:rPr>
          <w:spacing w:val="-2"/>
        </w:rPr>
        <w:t>开始日租赁资产的公允价值与最低租赁付款额现值两者中的较低者，加上可直接归属于租赁项目的初始直接费用，作为租入</w:t>
      </w:r>
      <w:r>
        <w:rPr>
          <w:spacing w:val="-64"/>
        </w:rPr>
        <w:t> </w:t>
      </w:r>
      <w:r>
        <w:rPr>
          <w:spacing w:val="-64"/>
        </w:rPr>
      </w:r>
      <w:r>
        <w:rPr>
          <w:spacing w:val="-2"/>
        </w:rPr>
        <w:t>资产的入账价值，将最低租赁付款额作为长期应付款的入账价值，其差额作为未确认融资费用。未确认融资费用采用实际利</w:t>
      </w:r>
      <w:r>
        <w:rPr>
          <w:spacing w:val="-63"/>
        </w:rPr>
        <w:t> </w:t>
      </w:r>
      <w:r>
        <w:rPr>
          <w:spacing w:val="-63"/>
        </w:rPr>
      </w:r>
      <w:r>
        <w:rPr/>
        <w:t>率法在租赁期内分摊。租入固定资产按租赁期和估计净残值确定折旧率，计提折旧。</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17、在建工程" w:id="184"/>
      <w:bookmarkEnd w:id="1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98"/>
        <w:jc w:val="left"/>
      </w:pPr>
      <w:r>
        <w:rPr/>
        <w:t>（</w:t>
      </w:r>
      <w:r>
        <w:rPr>
          <w:rFonts w:ascii="宋体" w:hAnsi="宋体" w:cs="宋体" w:eastAsia="宋体" w:hint="default"/>
        </w:rPr>
        <w:t>1</w:t>
      </w:r>
      <w:r>
        <w:rPr/>
        <w:t>）在建工程的核算方法 </w:t>
      </w:r>
      <w:r>
        <w:rPr>
          <w:spacing w:val="-2"/>
        </w:rPr>
        <w:t>在建工程包括施工前期准备、正在施工中的建筑工程、安装工程、技术改造工程和大修理工程等。在建工程按照实际发</w:t>
      </w:r>
    </w:p>
    <w:p>
      <w:pPr>
        <w:pStyle w:val="BodyText"/>
        <w:spacing w:line="316" w:lineRule="auto" w:before="18"/>
        <w:ind w:right="190"/>
        <w:jc w:val="both"/>
      </w:pPr>
      <w:r>
        <w:rPr>
          <w:spacing w:val="-2"/>
        </w:rPr>
        <w:t>生的支出分项目核算，并在工程达到预定可使用状态时结转为固定资产。与在建工程有关的借款费用（包括借款利息、溢折</w:t>
      </w:r>
      <w:r>
        <w:rPr>
          <w:spacing w:val="-64"/>
        </w:rPr>
        <w:t> </w:t>
      </w:r>
      <w:r>
        <w:rPr>
          <w:spacing w:val="-64"/>
        </w:rPr>
      </w:r>
      <w:r>
        <w:rPr>
          <w:spacing w:val="-2"/>
        </w:rPr>
        <w:t>价摊销、汇兑损益等），在相关工程达到预定可使用状态前的计入工程成本，在相关工程达到预定可使用状态后的计入当期</w:t>
      </w:r>
      <w:r>
        <w:rPr>
          <w:spacing w:val="-66"/>
        </w:rPr>
        <w:t> </w:t>
      </w:r>
      <w:r>
        <w:rPr>
          <w:spacing w:val="-66"/>
        </w:rPr>
      </w:r>
      <w:r>
        <w:rPr/>
        <w:t>财务费用。</w:t>
      </w:r>
    </w:p>
    <w:p>
      <w:pPr>
        <w:pStyle w:val="BodyText"/>
        <w:spacing w:line="316" w:lineRule="auto" w:before="18"/>
        <w:ind w:left="966" w:right="180" w:hanging="454"/>
        <w:jc w:val="left"/>
      </w:pPr>
      <w:r>
        <w:rPr/>
        <w:t>（</w:t>
      </w:r>
      <w:r>
        <w:rPr>
          <w:rFonts w:ascii="宋体" w:hAnsi="宋体" w:cs="宋体" w:eastAsia="宋体" w:hint="default"/>
        </w:rPr>
        <w:t>2</w:t>
      </w:r>
      <w:r>
        <w:rPr/>
        <w:t>）在建工程减值准备 资产负债表日对在建工程进行全面检查，判断在建工程是否存在可能发生减值的迹象。如果存在在建工程长期停</w:t>
      </w:r>
    </w:p>
    <w:p>
      <w:pPr>
        <w:pStyle w:val="BodyText"/>
        <w:spacing w:line="316" w:lineRule="auto" w:before="18"/>
        <w:ind w:right="190"/>
        <w:jc w:val="both"/>
      </w:pPr>
      <w:r>
        <w:rPr/>
        <w:t>建并且预计在未来</w:t>
      </w:r>
      <w:r>
        <w:rPr>
          <w:rFonts w:ascii="宋体" w:hAnsi="宋体" w:cs="宋体" w:eastAsia="宋体" w:hint="default"/>
        </w:rPr>
        <w:t>3</w:t>
      </w:r>
      <w:r>
        <w:rPr>
          <w:rFonts w:ascii="宋体" w:hAnsi="宋体" w:cs="宋体" w:eastAsia="宋体" w:hint="default"/>
          <w:spacing w:val="6"/>
        </w:rPr>
        <w:t> </w:t>
      </w:r>
      <w:r>
        <w:rPr>
          <w:spacing w:val="-2"/>
        </w:rPr>
        <w:t>年内不会重新开工或者所建项目在性能上、技术上已经落后并且所带来的经济效益具有很大的不确定性</w:t>
      </w:r>
      <w:r>
        <w:rPr/>
        <w:t> </w:t>
      </w:r>
      <w:r>
        <w:rPr>
          <w:spacing w:val="-2"/>
        </w:rPr>
        <w:t>等减值迹象的，则估计其可收回金额。可收回金额的计量结果表明，在建工程的可收回金额低于其账面价值的，将在建工程</w:t>
      </w:r>
      <w:r>
        <w:rPr>
          <w:spacing w:val="-65"/>
        </w:rPr>
        <w:t> </w:t>
      </w:r>
      <w:r>
        <w:rPr>
          <w:spacing w:val="-65"/>
        </w:rPr>
      </w:r>
      <w:r>
        <w:rPr>
          <w:spacing w:val="-2"/>
        </w:rPr>
        <w:t>的账面价值减记至可收回金额，减记的金额确认为资产减值损失，计入当期损益，同时计提相应的在建工程减值准备。在建</w:t>
      </w:r>
      <w:r>
        <w:rPr>
          <w:spacing w:val="-64"/>
        </w:rPr>
        <w:t> </w:t>
      </w:r>
      <w:r>
        <w:rPr>
          <w:spacing w:val="-64"/>
        </w:rPr>
      </w:r>
      <w:r>
        <w:rPr/>
        <w:t>工程减值损失一经确认，在以后会计期间不再转回。</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18、借款费用" w:id="185"/>
      <w:bookmarkEnd w:id="18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2" w:right="98" w:hanging="1"/>
        <w:jc w:val="left"/>
      </w:pPr>
      <w:r>
        <w:rPr/>
        <w:t>（</w:t>
      </w:r>
      <w:r>
        <w:rPr>
          <w:rFonts w:ascii="宋体" w:hAnsi="宋体" w:cs="宋体" w:eastAsia="宋体" w:hint="default"/>
        </w:rPr>
        <w:t>1</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240" w:lineRule="auto" w:before="18"/>
        <w:ind w:right="0"/>
        <w:jc w:val="both"/>
      </w:pPr>
      <w:r>
        <w:rPr/>
        <w:t>借款费用，在发生时确认为费用，计入当期损益。</w:t>
      </w:r>
    </w:p>
    <w:p>
      <w:pPr>
        <w:pStyle w:val="BodyText"/>
        <w:spacing w:line="240" w:lineRule="auto" w:before="76"/>
        <w:ind w:left="512" w:right="98"/>
        <w:jc w:val="left"/>
      </w:pPr>
      <w:r>
        <w:rPr/>
        <w:t>（</w:t>
      </w:r>
      <w:r>
        <w:rPr>
          <w:rFonts w:ascii="宋体" w:hAnsi="宋体" w:cs="宋体" w:eastAsia="宋体" w:hint="default"/>
        </w:rPr>
        <w:t>2</w:t>
      </w:r>
      <w:r>
        <w:rPr/>
        <w:t>）借款费用资本化期间</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82" w:firstLine="359"/>
        <w:jc w:val="left"/>
      </w:pPr>
      <w:r>
        <w:rPr/>
        <w:t>①当借款费用同时满足下列条件时，开始资本化：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 </w:t>
      </w:r>
      <w:r>
        <w:rPr/>
        <w:t>借款费用已经发生；</w:t>
      </w:r>
      <w:r>
        <w:rPr>
          <w:rFonts w:ascii="宋体" w:hAnsi="宋体" w:cs="宋体" w:eastAsia="宋体" w:hint="default"/>
        </w:rPr>
        <w:t>3)</w:t>
      </w:r>
      <w:r>
        <w:rPr>
          <w:rFonts w:ascii="宋体" w:hAnsi="宋体" w:cs="宋体" w:eastAsia="宋体" w:hint="default"/>
          <w:spacing w:val="3"/>
        </w:rPr>
        <w:t> </w:t>
      </w:r>
      <w:r>
        <w:rPr/>
        <w:t>为使资产达到预 定可使用或可销售状态所必要的购建或者生产活动已经开始。</w:t>
      </w:r>
    </w:p>
    <w:p>
      <w:pPr>
        <w:pStyle w:val="BodyText"/>
        <w:spacing w:line="316" w:lineRule="auto" w:before="18"/>
        <w:ind w:right="184" w:firstLine="360"/>
        <w:jc w:val="left"/>
      </w:pPr>
      <w:r>
        <w:rPr/>
        <w:t>②若符合资本化条件的资产在购建或者生产过程中发生非正常中断，并且中断时间连续超过</w:t>
      </w:r>
      <w:r>
        <w:rPr>
          <w:rFonts w:ascii="宋体" w:hAnsi="宋体" w:cs="宋体" w:eastAsia="宋体" w:hint="default"/>
        </w:rPr>
        <w:t>3</w:t>
      </w:r>
      <w:r>
        <w:rPr/>
        <w:t>个月，暂停借款费用的资 本化；中断期间发生的借款费用确认为当期费用，直至资产的购建或者生产活动重新开始。</w:t>
      </w:r>
    </w:p>
    <w:p>
      <w:pPr>
        <w:pStyle w:val="BodyText"/>
        <w:spacing w:line="240" w:lineRule="auto" w:before="18"/>
        <w:ind w:left="512" w:right="98"/>
        <w:jc w:val="left"/>
      </w:pPr>
      <w:r>
        <w:rPr/>
        <w:t>③当所购建或者生产符合资本化条件的资产达到预定可使用或者可销售状态时，借款费用停止资本化。</w:t>
      </w:r>
    </w:p>
    <w:p>
      <w:pPr>
        <w:pStyle w:val="BodyText"/>
        <w:spacing w:line="316" w:lineRule="auto" w:before="76"/>
        <w:ind w:left="512" w:right="98"/>
        <w:jc w:val="left"/>
      </w:pPr>
      <w:r>
        <w:rPr/>
        <w:t>（</w:t>
      </w:r>
      <w:r>
        <w:rPr>
          <w:rFonts w:ascii="宋体" w:hAnsi="宋体" w:cs="宋体" w:eastAsia="宋体" w:hint="default"/>
        </w:rPr>
        <w:t>3</w:t>
      </w:r>
      <w:r>
        <w:rPr/>
        <w:t>）借款费用资本化金额 </w:t>
      </w:r>
      <w:r>
        <w:rPr>
          <w:spacing w:val="-2"/>
        </w:rPr>
        <w:t>为购建或者生产符合资本化条件的资产而借入专门借款的，以专门借款当期实际发生的利息费用（包括按照实际利率法</w:t>
      </w:r>
    </w:p>
    <w:p>
      <w:pPr>
        <w:pStyle w:val="BodyText"/>
        <w:spacing w:line="316" w:lineRule="auto" w:before="18"/>
        <w:ind w:right="190"/>
        <w:jc w:val="both"/>
      </w:pP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3"/>
        </w:rPr>
        <w:t> </w:t>
      </w:r>
      <w:r>
        <w:rPr>
          <w:spacing w:val="-63"/>
        </w:rPr>
      </w:r>
      <w:r>
        <w:rPr/>
        <w:t>款的资产支出加权平均数乘以占用一般借款的资本化率，计算确定一般借款应予资本化的利息金额。</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19、生物资产" w:id="186"/>
      <w:bookmarkEnd w:id="18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20、油气资产" w:id="187"/>
      <w:bookmarkEnd w:id="18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21、无形资产" w:id="188"/>
      <w:bookmarkEnd w:id="18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32" w:right="98"/>
        <w:jc w:val="left"/>
      </w:pPr>
      <w:r>
        <w:rPr/>
        <w:t>（</w:t>
      </w:r>
      <w:r>
        <w:rPr>
          <w:rFonts w:ascii="宋体" w:hAnsi="宋体" w:cs="宋体" w:eastAsia="宋体" w:hint="default"/>
        </w:rPr>
        <w:t>1</w:t>
      </w:r>
      <w:r>
        <w:rPr/>
        <w:t>）无形资产指企业拥有或控制的没有实物形态的可辨认非货币性资产，包括专有技术、土地使用权等。</w:t>
      </w:r>
    </w:p>
    <w:p>
      <w:pPr>
        <w:pStyle w:val="BodyText"/>
        <w:spacing w:line="240" w:lineRule="auto" w:before="76"/>
        <w:ind w:left="632" w:right="98"/>
        <w:jc w:val="left"/>
      </w:pPr>
      <w:r>
        <w:rPr/>
        <w:t>（</w:t>
      </w:r>
      <w:r>
        <w:rPr>
          <w:rFonts w:ascii="宋体" w:hAnsi="宋体" w:cs="宋体" w:eastAsia="宋体" w:hint="default"/>
        </w:rPr>
        <w:t>2</w:t>
      </w:r>
      <w:r>
        <w:rPr/>
        <w:t>）无形资产在取得时按照实际成本计价。</w:t>
      </w:r>
    </w:p>
    <w:p>
      <w:pPr>
        <w:pStyle w:val="BodyText"/>
        <w:spacing w:line="316" w:lineRule="auto" w:before="76"/>
        <w:ind w:right="98" w:firstLine="479"/>
        <w:jc w:val="left"/>
      </w:pPr>
      <w:r>
        <w:rPr>
          <w:spacing w:val="-1"/>
        </w:rPr>
        <w:t>（</w:t>
      </w:r>
      <w:r>
        <w:rPr>
          <w:rFonts w:ascii="宋体" w:hAnsi="宋体" w:cs="宋体" w:eastAsia="宋体" w:hint="default"/>
          <w:spacing w:val="-1"/>
        </w:rPr>
        <w:t>3</w:t>
      </w:r>
      <w:r>
        <w:rPr>
          <w:spacing w:val="-1"/>
        </w:rPr>
        <w:t>）无形资产在取得时分析判断其使用寿命。使用寿命有限的无形资产，自无形资产可供使用时起在预计使用年限、</w:t>
      </w:r>
      <w:r>
        <w:rPr/>
        <w:t> 合同规定的受益年限和法律规定有效年限三者中最短者分期平均摊销。本公司的无形资产摊销年限如下：</w:t>
      </w:r>
    </w:p>
    <w:tbl>
      <w:tblPr>
        <w:tblW w:w="0" w:type="auto"/>
        <w:jc w:val="left"/>
        <w:tblInd w:w="145" w:type="dxa"/>
        <w:tblLayout w:type="fixed"/>
        <w:tblCellMar>
          <w:top w:w="0" w:type="dxa"/>
          <w:left w:w="0" w:type="dxa"/>
          <w:bottom w:w="0" w:type="dxa"/>
          <w:right w:w="0" w:type="dxa"/>
        </w:tblCellMar>
        <w:tblLook w:val="01E0"/>
      </w:tblPr>
      <w:tblGrid>
        <w:gridCol w:w="4260"/>
        <w:gridCol w:w="4262"/>
      </w:tblGrid>
      <w:tr>
        <w:trPr>
          <w:trHeight w:val="355" w:hRule="exact"/>
        </w:trPr>
        <w:tc>
          <w:tcPr>
            <w:tcW w:w="4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2"/>
                <w:sz w:val="18"/>
                <w:szCs w:val="18"/>
              </w:rPr>
              <w:t> </w:t>
            </w:r>
            <w:r>
              <w:rPr>
                <w:rFonts w:ascii="宋体" w:hAnsi="宋体" w:cs="宋体" w:eastAsia="宋体" w:hint="default"/>
                <w:sz w:val="18"/>
                <w:szCs w:val="18"/>
              </w:rPr>
              <w:t>别</w:t>
            </w:r>
          </w:p>
        </w:tc>
        <w:tc>
          <w:tcPr>
            <w:tcW w:w="42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0" w:hRule="exact"/>
        </w:trPr>
        <w:tc>
          <w:tcPr>
            <w:tcW w:w="4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42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r>
        <w:trPr>
          <w:trHeight w:val="355" w:hRule="exact"/>
        </w:trPr>
        <w:tc>
          <w:tcPr>
            <w:tcW w:w="4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42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bl>
    <w:p>
      <w:pPr>
        <w:pStyle w:val="BodyText"/>
        <w:spacing w:line="316" w:lineRule="auto" w:before="19"/>
        <w:ind w:left="632" w:right="98"/>
        <w:jc w:val="left"/>
      </w:pPr>
      <w:r>
        <w:rPr/>
        <w:t>本公司至少于每年年度终了，对使用寿命有限的无形资产的使用寿命及摊销方法进行复核，必要时进行调整。 </w:t>
      </w:r>
      <w:r>
        <w:rPr>
          <w:spacing w:val="-1"/>
        </w:rPr>
        <w:t>无法预见无形资产为本公司带来的经济利益期限的，视为使用寿命不确定的无形资产，但每个会计期间，需对其使用</w:t>
      </w:r>
    </w:p>
    <w:p>
      <w:pPr>
        <w:pStyle w:val="BodyText"/>
        <w:spacing w:line="316" w:lineRule="auto" w:before="18"/>
        <w:ind w:right="2614"/>
        <w:jc w:val="left"/>
      </w:pPr>
      <w:r>
        <w:rPr/>
        <w:t>寿命进行复核，如果有证据表明其使用寿命有限，则转为按使用寿命有限的无形资产处理。 使用寿命不确定的无形资产不摊销。</w:t>
      </w:r>
    </w:p>
    <w:p>
      <w:pPr>
        <w:pStyle w:val="BodyText"/>
        <w:spacing w:line="316" w:lineRule="auto" w:before="18"/>
        <w:ind w:left="512" w:right="98" w:firstLine="119"/>
        <w:jc w:val="left"/>
      </w:pPr>
      <w:r>
        <w:rPr/>
        <w:t>（</w:t>
      </w:r>
      <w:r>
        <w:rPr>
          <w:rFonts w:ascii="宋体" w:hAnsi="宋体" w:cs="宋体" w:eastAsia="宋体" w:hint="default"/>
        </w:rPr>
        <w:t>4</w:t>
      </w:r>
      <w:r>
        <w:rPr/>
        <w:t>）无形资产减值准备 </w:t>
      </w:r>
      <w:r>
        <w:rPr>
          <w:spacing w:val="-2"/>
        </w:rPr>
        <w:t>期末检查各项无形资产预计给本公司带来未来经济利益的能力，当存在以下情形之一时：①某项无形资产已被其他新技</w:t>
      </w:r>
    </w:p>
    <w:p>
      <w:pPr>
        <w:pStyle w:val="BodyText"/>
        <w:spacing w:line="316" w:lineRule="auto" w:before="18"/>
        <w:ind w:right="190"/>
        <w:jc w:val="both"/>
      </w:pPr>
      <w:r>
        <w:rPr>
          <w:spacing w:val="-2"/>
        </w:rPr>
        <w:t>术等所替代，使其为企业创造经济利益的能力受到重大不利影响；②某项无形资产的市价在当期大幅下跌，在剩余摊销年限</w:t>
      </w:r>
      <w:r>
        <w:rPr>
          <w:spacing w:val="-63"/>
        </w:rPr>
        <w:t> </w:t>
      </w:r>
      <w:r>
        <w:rPr>
          <w:spacing w:val="-63"/>
        </w:rPr>
      </w:r>
      <w:r>
        <w:rPr>
          <w:spacing w:val="-2"/>
        </w:rPr>
        <w:t>内预期不会恢复；③某项无形资产已超过法律保护期限，但仍然具有部分使用价值等减值迹象的；④其他足以证明某项无形</w:t>
      </w:r>
      <w:r>
        <w:rPr>
          <w:spacing w:val="-63"/>
        </w:rPr>
        <w:t> </w:t>
      </w:r>
      <w:r>
        <w:rPr>
          <w:spacing w:val="-63"/>
        </w:rPr>
      </w:r>
      <w:r>
        <w:rPr>
          <w:spacing w:val="-2"/>
        </w:rPr>
        <w:t>资产实质上已发生了减值准备情形的情况，则估计其可收回金额。可收回金额的计量结果表明，无形资产的可收回金额低于</w:t>
      </w:r>
      <w:r>
        <w:rPr>
          <w:spacing w:val="-63"/>
        </w:rPr>
        <w:t> </w:t>
      </w:r>
      <w:r>
        <w:rPr>
          <w:spacing w:val="-63"/>
        </w:rPr>
      </w:r>
      <w:r>
        <w:rPr>
          <w:spacing w:val="-2"/>
        </w:rPr>
        <w:t>其账面价值的，将无形资产的账面价值减记至可收回金额，减记的金额确认为资产减值损失，计入当期损益，同时计提相应</w:t>
      </w:r>
      <w:r>
        <w:rPr>
          <w:spacing w:val="-64"/>
        </w:rPr>
        <w:t> </w:t>
      </w:r>
      <w:r>
        <w:rPr>
          <w:spacing w:val="-64"/>
        </w:rPr>
      </w:r>
      <w:r>
        <w:rPr/>
        <w:t>的无形资产减值准备。无形资产减值损失一经确认，在以后会计期间不再转回。</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1" w:firstLine="480"/>
        <w:jc w:val="both"/>
      </w:pPr>
      <w:r>
        <w:rPr>
          <w:spacing w:val="-1"/>
        </w:rPr>
        <w:t>本公司内部研究开发项目的支出，区分研究阶段的支出与开发阶段的支出。研究是指为获取并理解新的科学或技术知</w:t>
      </w:r>
      <w:r>
        <w:rPr/>
        <w:t> </w:t>
      </w:r>
      <w:r>
        <w:rPr>
          <w:spacing w:val="-2"/>
        </w:rPr>
        <w:t>识而进行的独创性的有计划调查。开发是指在进行商业性生产或使用前，将研究成果或其他知识应用于某项计划或设计，以</w:t>
      </w:r>
      <w:r>
        <w:rPr>
          <w:spacing w:val="-63"/>
        </w:rPr>
        <w:t> </w:t>
      </w:r>
      <w:r>
        <w:rPr>
          <w:spacing w:val="-63"/>
        </w:rPr>
      </w:r>
      <w:r>
        <w:rPr/>
        <w:t>生产出新的或具有实质性改进的材料、装置、产品等。</w:t>
      </w:r>
    </w:p>
    <w:p>
      <w:pPr>
        <w:pStyle w:val="BodyText"/>
        <w:spacing w:line="240" w:lineRule="auto" w:before="18"/>
        <w:ind w:left="632" w:right="98"/>
        <w:jc w:val="left"/>
      </w:pPr>
      <w:r>
        <w:rPr/>
        <w:t>本公司内部研究开发项目研究阶段的支出在发生时计入当期损益；开发阶段的支出，仅在同时满足下列条件时，确认</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为无形资产：</w:t>
      </w:r>
    </w:p>
    <w:p>
      <w:pPr>
        <w:pStyle w:val="BodyText"/>
        <w:spacing w:line="240" w:lineRule="auto" w:before="76"/>
        <w:ind w:left="632" w:right="0"/>
        <w:jc w:val="left"/>
      </w:pPr>
      <w:r>
        <w:rPr/>
        <w:t>①完成该无形资产以使其能够使用或出售在技术上具有可行性；</w:t>
      </w:r>
    </w:p>
    <w:p>
      <w:pPr>
        <w:pStyle w:val="BodyText"/>
        <w:spacing w:line="240" w:lineRule="auto" w:before="76"/>
        <w:ind w:left="632" w:right="0"/>
        <w:jc w:val="left"/>
      </w:pPr>
      <w:r>
        <w:rPr/>
        <w:t>②具有完成该无形资产并使用或出售的意图；</w:t>
      </w:r>
    </w:p>
    <w:p>
      <w:pPr>
        <w:pStyle w:val="BodyText"/>
        <w:spacing w:line="240" w:lineRule="auto" w:before="76"/>
        <w:ind w:left="632" w:right="0"/>
        <w:jc w:val="left"/>
      </w:pPr>
      <w:r>
        <w:rPr/>
        <w:t>③该无形资产能够带来经济利益；</w:t>
      </w:r>
    </w:p>
    <w:p>
      <w:pPr>
        <w:pStyle w:val="BodyText"/>
        <w:spacing w:line="240" w:lineRule="auto" w:before="76"/>
        <w:ind w:left="632" w:right="0"/>
        <w:jc w:val="left"/>
      </w:pPr>
      <w:r>
        <w:rPr/>
        <w:t>④有足够的技术、财务资源和其他资源支持，以完成该无形资产的开发，并有能力使用或出售该无形资产；</w:t>
      </w:r>
    </w:p>
    <w:p>
      <w:pPr>
        <w:pStyle w:val="BodyText"/>
        <w:spacing w:line="316" w:lineRule="auto" w:before="76"/>
        <w:ind w:left="632" w:right="4974"/>
        <w:jc w:val="left"/>
      </w:pPr>
      <w:r>
        <w:rPr/>
        <w:t>⑤归属于该无形资产开发阶段的支出能够可靠地计量。 不能同时满足上述条件的，于发生时计入当期损益。</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bookmarkStart w:name="22、长期资产减值" w:id="191"/>
      <w:bookmarkEnd w:id="19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3、长期待摊费用" w:id="192"/>
      <w:bookmarkEnd w:id="19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32" w:right="0"/>
        <w:jc w:val="left"/>
      </w:pPr>
      <w:r>
        <w:rPr/>
        <w:t>（</w:t>
      </w:r>
      <w:r>
        <w:rPr>
          <w:rFonts w:ascii="宋体" w:hAnsi="宋体" w:cs="宋体" w:eastAsia="宋体" w:hint="default"/>
        </w:rPr>
        <w:t>1</w:t>
      </w:r>
      <w:r>
        <w:rPr/>
        <w:t>）长期待摊费用指应由本期和以后各期负担的分摊期限在一年以上的各项费用。</w:t>
      </w:r>
    </w:p>
    <w:p>
      <w:pPr>
        <w:pStyle w:val="BodyText"/>
        <w:spacing w:line="316" w:lineRule="auto" w:before="76"/>
        <w:ind w:right="144" w:firstLine="479"/>
        <w:jc w:val="left"/>
      </w:pPr>
      <w:r>
        <w:rPr/>
        <w:t>（</w:t>
      </w:r>
      <w:r>
        <w:rPr>
          <w:rFonts w:ascii="宋体" w:hAnsi="宋体" w:cs="宋体" w:eastAsia="宋体" w:hint="default"/>
        </w:rPr>
        <w:t>2</w:t>
      </w:r>
      <w:r>
        <w:rPr/>
        <w:t>）长期待摊费用在取得时按照实际成本计价，开办费在发生时计入当期损益；经营性租赁固定资产的装修费用自 生产经营当月起</w:t>
      </w:r>
      <w:r>
        <w:rPr>
          <w:rFonts w:ascii="宋体" w:hAnsi="宋体" w:cs="宋体" w:eastAsia="宋体" w:hint="default"/>
        </w:rPr>
        <w:t>5</w:t>
      </w:r>
      <w:r>
        <w:rPr/>
        <w:t>年内平均摊销，其他长期待摊费用按项目的受益期平均摊销。对于在以后会计期间已无法带来预期经济利 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4、职工薪酬" w:id="193"/>
      <w:bookmarkEnd w:id="19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480"/>
        <w:jc w:val="left"/>
      </w:pPr>
      <w:r>
        <w:rPr>
          <w:spacing w:val="-1"/>
        </w:rPr>
        <w:t>本公司在职工为其提供服务的会计期间，将实际发生的短期薪酬确认为负债，并计入当期损益，其他会计准则要求或</w:t>
      </w:r>
      <w:r>
        <w:rPr/>
        <w:t> 允许计入资产成本的除外。</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1" w:firstLine="480"/>
        <w:jc w:val="both"/>
      </w:pPr>
      <w:r>
        <w:rPr>
          <w:spacing w:val="-1"/>
        </w:rPr>
        <w:t>本公司将离职后福利计划分类为设定提存计划和设定受益计划。离职后福利计划，是指本公司与职工就离职后福利达</w:t>
      </w:r>
      <w:r>
        <w:rPr/>
        <w:t> </w:t>
      </w:r>
      <w:r>
        <w:rPr>
          <w:spacing w:val="-2"/>
        </w:rPr>
        <w:t>成的协议，或者本公司为向职工提供离职后福利制定的规章或办法等。其中，设定提存计划，是指向独立的基金缴存固定费</w:t>
      </w:r>
      <w:r>
        <w:rPr>
          <w:spacing w:val="-64"/>
        </w:rPr>
        <w:t> </w:t>
      </w:r>
      <w:r>
        <w:rPr>
          <w:spacing w:val="-64"/>
        </w:rPr>
      </w:r>
      <w:r>
        <w:rPr/>
        <w:t>用后，本公司不再承担进一步支付义务的离职后福利计划；设定受益计划，是指除设定提存计划以外的离职后福利计划。</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480"/>
        <w:jc w:val="both"/>
      </w:pPr>
      <w:r>
        <w:rPr>
          <w:spacing w:val="-1"/>
        </w:rPr>
        <w:t>本公司向职工提供辞退福利的，在下列两者孰早日确认辞退福利产生的职工薪酬负债，并计入当期损益：本公司不能</w:t>
      </w:r>
      <w:r>
        <w:rPr/>
        <w:t> </w:t>
      </w:r>
      <w:r>
        <w:rPr>
          <w:spacing w:val="-2"/>
        </w:rPr>
        <w:t>单方面撤回因解除劳动关系计划或裁减建议所提供的辞退福利时；本公司确认与涉及支付辞退福利的重组相关的成本或费用</w:t>
      </w:r>
      <w:r>
        <w:rPr>
          <w:spacing w:val="-64"/>
        </w:rPr>
        <w:t> </w:t>
      </w:r>
      <w:r>
        <w:rPr>
          <w:spacing w:val="-64"/>
        </w:rPr>
      </w:r>
      <w:r>
        <w:rPr/>
        <w:t>时。</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480"/>
        <w:jc w:val="left"/>
      </w:pPr>
      <w:r>
        <w:rPr>
          <w:spacing w:val="-1"/>
        </w:rPr>
        <w:t>本公司向职工提供的其他长期职工福利，符合设定提存计划条件的，按照上述设定提存计划的会计政策进行处理；除</w:t>
      </w:r>
      <w:r>
        <w:rPr/>
        <w:t> 此以外的，按照上述设定受益计划的会计政策确认和计量其他长期职工福利净负债或净资产。</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5、预计负债" w:id="198"/>
      <w:bookmarkEnd w:id="19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32" w:right="0"/>
        <w:jc w:val="left"/>
      </w:pPr>
      <w:r>
        <w:rPr/>
        <w:t>（</w:t>
      </w:r>
      <w:r>
        <w:rPr>
          <w:rFonts w:ascii="宋体" w:hAnsi="宋体" w:cs="宋体" w:eastAsia="宋体" w:hint="default"/>
        </w:rPr>
        <w:t>1</w:t>
      </w:r>
      <w:r>
        <w:rPr/>
        <w:t>）因对外提供担保、诉讼事项、产品质量保证、亏损合同等或有事项形成的义务成为公司承担的现实义务，履行</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该义务很可能导致经济利益流出公司，且该义务的金额能够可靠的计量时，公司将该项义务确认为预计负债。</w:t>
      </w:r>
    </w:p>
    <w:p>
      <w:pPr>
        <w:pStyle w:val="BodyText"/>
        <w:spacing w:line="316" w:lineRule="auto" w:before="76"/>
        <w:ind w:right="245" w:firstLine="479"/>
        <w:jc w:val="left"/>
      </w:pPr>
      <w:r>
        <w:rPr/>
        <w:t>（</w:t>
      </w:r>
      <w:r>
        <w:rPr>
          <w:rFonts w:ascii="宋体" w:hAnsi="宋体" w:cs="宋体" w:eastAsia="宋体" w:hint="default"/>
        </w:rPr>
        <w:t>2</w:t>
      </w:r>
      <w:r>
        <w:rPr/>
        <w:t>）公司按照履行相关现实义务所需支出的最佳估计数对预计负债进行初始计量，并在资产负债表日对预计负债的 账面价值进行复核。</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26、股份支付" w:id="199"/>
      <w:bookmarkEnd w:id="19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632" w:right="5014"/>
        <w:jc w:val="left"/>
      </w:pPr>
      <w:r>
        <w:rPr/>
        <w:t>（</w:t>
      </w:r>
      <w:r>
        <w:rPr>
          <w:rFonts w:ascii="宋体" w:hAnsi="宋体" w:cs="宋体" w:eastAsia="宋体" w:hint="default"/>
        </w:rPr>
        <w:t>1</w:t>
      </w:r>
      <w:r>
        <w:rPr/>
        <w:t>）</w:t>
      </w:r>
      <w:r>
        <w:rPr>
          <w:spacing w:val="1"/>
        </w:rPr>
        <w:t> </w:t>
      </w:r>
      <w:r>
        <w:rPr/>
        <w:t>股份支付的种类</w:t>
      </w:r>
      <w:r>
        <w:rPr/>
        <w:t> 包括以权益结算的股份支付和以现金结算的股份支付。</w:t>
      </w:r>
    </w:p>
    <w:p>
      <w:pPr>
        <w:pStyle w:val="BodyText"/>
        <w:spacing w:line="240" w:lineRule="auto" w:before="18"/>
        <w:ind w:left="632" w:right="98"/>
        <w:jc w:val="left"/>
      </w:pPr>
      <w:r>
        <w:rPr/>
        <w:t>（</w:t>
      </w:r>
      <w:r>
        <w:rPr>
          <w:rFonts w:ascii="宋体" w:hAnsi="宋体" w:cs="宋体" w:eastAsia="宋体" w:hint="default"/>
        </w:rPr>
        <w:t>2</w:t>
      </w:r>
      <w:r>
        <w:rPr/>
        <w:t>）</w:t>
      </w:r>
      <w:r>
        <w:rPr>
          <w:spacing w:val="-1"/>
        </w:rPr>
        <w:t> </w:t>
      </w:r>
      <w:r>
        <w:rPr/>
        <w:t>实施、修改、终止股份支付计划的相关会计处理</w:t>
      </w:r>
    </w:p>
    <w:p>
      <w:pPr>
        <w:pStyle w:val="BodyText"/>
        <w:spacing w:line="316" w:lineRule="auto" w:before="76"/>
        <w:ind w:left="632" w:right="334"/>
        <w:jc w:val="left"/>
      </w:pPr>
      <w:r>
        <w:rPr/>
        <w:t>①</w:t>
      </w:r>
      <w:r>
        <w:rPr>
          <w:spacing w:val="1"/>
        </w:rPr>
        <w:t> </w:t>
      </w:r>
      <w:r>
        <w:rPr/>
        <w:t>以权益结算的股份支付</w:t>
      </w:r>
      <w:r>
        <w:rPr/>
        <w:t> 授予后立即可行权的换取职工服务的以权益结算的股份支付，在授予日按照权益工具的公允价值计入相关成本或费</w:t>
      </w:r>
    </w:p>
    <w:p>
      <w:pPr>
        <w:pStyle w:val="BodyText"/>
        <w:spacing w:line="316" w:lineRule="auto" w:before="18"/>
        <w:ind w:right="191"/>
        <w:jc w:val="both"/>
      </w:pPr>
      <w:r>
        <w:rPr>
          <w:spacing w:val="-2"/>
        </w:rPr>
        <w:t>用，相应调整资本公积。完成等待期内的服务或达到规定业绩条件才可行权的换取职工服务的以权益结算的股份支付，在等</w:t>
      </w:r>
      <w:r>
        <w:rPr>
          <w:spacing w:val="-66"/>
        </w:rPr>
        <w:t> </w:t>
      </w:r>
      <w:r>
        <w:rPr>
          <w:spacing w:val="-66"/>
        </w:rPr>
      </w:r>
      <w:r>
        <w:rPr>
          <w:spacing w:val="-2"/>
        </w:rPr>
        <w:t>待期内的每个资产负债表日，以对可行权权益工具数量的最佳估计为基础，按权益工具授予日的公允价值，将当期取得的服</w:t>
      </w:r>
      <w:r>
        <w:rPr>
          <w:spacing w:val="-63"/>
        </w:rPr>
        <w:t> </w:t>
      </w:r>
      <w:r>
        <w:rPr>
          <w:spacing w:val="-63"/>
        </w:rPr>
      </w:r>
      <w:r>
        <w:rPr/>
        <w:t>务计入相关成本或费用，相应调整资本公积。</w:t>
      </w:r>
    </w:p>
    <w:p>
      <w:pPr>
        <w:pStyle w:val="BodyText"/>
        <w:spacing w:line="316" w:lineRule="auto" w:before="18"/>
        <w:ind w:right="190" w:firstLine="479"/>
        <w:jc w:val="both"/>
      </w:pPr>
      <w:r>
        <w:rPr>
          <w:spacing w:val="-1"/>
        </w:rPr>
        <w:t>换取其他方服务的权益结算的股份支付，如果其他方服务的公允价值能够可靠计量的，按照其他方服务在取得日的公</w:t>
      </w:r>
      <w:r>
        <w:rPr/>
        <w:t> </w:t>
      </w:r>
      <w:r>
        <w:rPr>
          <w:spacing w:val="-2"/>
        </w:rPr>
        <w:t>允价值计量；如果其他方服务的公允价值不能可靠计量，但权益工具的公允价值能够可靠计量的，按照权益工具在服务取得</w:t>
      </w:r>
      <w:r>
        <w:rPr>
          <w:spacing w:val="-63"/>
        </w:rPr>
        <w:t> </w:t>
      </w:r>
      <w:r>
        <w:rPr>
          <w:spacing w:val="-63"/>
        </w:rPr>
      </w:r>
      <w:r>
        <w:rPr/>
        <w:t>日的公允价值计量，计入相关成本或费用，相应增加所有者权益。</w:t>
      </w:r>
    </w:p>
    <w:p>
      <w:pPr>
        <w:pStyle w:val="BodyText"/>
        <w:spacing w:line="316" w:lineRule="auto" w:before="18"/>
        <w:ind w:left="632" w:right="98"/>
        <w:jc w:val="left"/>
      </w:pPr>
      <w:r>
        <w:rPr/>
        <w:t>②以现金结算的股份支付 </w:t>
      </w:r>
      <w:r>
        <w:rPr>
          <w:spacing w:val="-1"/>
        </w:rPr>
        <w:t>授予后立即可行权的换取职工服务的以现金结算的股份支付，在授予日按公司承担负债的公允价值计入相关成本或费</w:t>
      </w:r>
    </w:p>
    <w:p>
      <w:pPr>
        <w:pStyle w:val="BodyText"/>
        <w:spacing w:line="316" w:lineRule="auto" w:before="18"/>
        <w:ind w:right="190"/>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内的每个资产负债表日，以对可行权情况的最佳估计为基础，按公司承担负债的公允价值，将当期取得的服务计入相关成本</w:t>
      </w:r>
      <w:r>
        <w:rPr>
          <w:spacing w:val="-63"/>
        </w:rPr>
        <w:t> </w:t>
      </w:r>
      <w:r>
        <w:rPr>
          <w:spacing w:val="-63"/>
        </w:rPr>
      </w:r>
      <w:r>
        <w:rPr/>
        <w:t>或费用和相应的负债。</w:t>
      </w:r>
    </w:p>
    <w:p>
      <w:pPr>
        <w:pStyle w:val="BodyText"/>
        <w:spacing w:line="316" w:lineRule="auto" w:before="18"/>
        <w:ind w:left="632" w:right="98"/>
        <w:jc w:val="left"/>
      </w:pPr>
      <w:r>
        <w:rPr/>
        <w:t>③修改、终止股份支付计划 </w:t>
      </w:r>
      <w:r>
        <w:rPr>
          <w:spacing w:val="-1"/>
        </w:rPr>
        <w:t>如果修改增加了所授予的权益工具的公允价值，公司按照权益工具公允价值的增加相应地确认取得服务的增加；如果</w:t>
      </w:r>
    </w:p>
    <w:p>
      <w:pPr>
        <w:pStyle w:val="BodyText"/>
        <w:spacing w:line="316" w:lineRule="auto" w:before="18"/>
        <w:ind w:right="193"/>
        <w:jc w:val="both"/>
      </w:pPr>
      <w:r>
        <w:rPr>
          <w:spacing w:val="-2"/>
        </w:rPr>
        <w:t>修改增加了所授予的权益工具的数量，公司将增加的权益工具的公允价值相应地确认为取得服务的增加；如果公司按照有利</w:t>
      </w:r>
      <w:r>
        <w:rPr>
          <w:spacing w:val="-64"/>
        </w:rPr>
        <w:t> </w:t>
      </w:r>
      <w:r>
        <w:rPr>
          <w:spacing w:val="-64"/>
        </w:rPr>
      </w:r>
      <w:r>
        <w:rPr/>
        <w:t>于职工的方式修改可行权条件，公司在处理可行权条件时，考虑修改后的可行权条件。</w:t>
      </w:r>
    </w:p>
    <w:p>
      <w:pPr>
        <w:pStyle w:val="BodyText"/>
        <w:spacing w:line="316" w:lineRule="auto" w:before="18"/>
        <w:ind w:right="98" w:firstLine="480"/>
        <w:jc w:val="left"/>
      </w:pPr>
      <w:r>
        <w:rPr>
          <w:spacing w:val="-3"/>
        </w:rPr>
        <w:t>如果修改减少了授予的权益工具的公允价值，公司继续以权益工具在授予日的公允价值为基础，确认取得服务的金额，</w:t>
      </w:r>
      <w:r>
        <w:rPr/>
        <w:t>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16" w:lineRule="auto" w:before="18"/>
        <w:ind w:right="206" w:firstLine="480"/>
        <w:jc w:val="left"/>
      </w:pPr>
      <w:r>
        <w:rPr>
          <w:spacing w:val="-1"/>
        </w:rPr>
        <w:t>如果公司在等待期内取消了所授予的权益工具或结算了所授予的权益工具</w:t>
      </w:r>
      <w:r>
        <w:rPr>
          <w:rFonts w:ascii="宋体" w:hAnsi="宋体" w:cs="宋体" w:eastAsia="宋体" w:hint="default"/>
          <w:spacing w:val="-1"/>
        </w:rPr>
        <w:t>(</w:t>
      </w:r>
      <w:r>
        <w:rPr>
          <w:spacing w:val="-1"/>
        </w:rPr>
        <w:t>因未满足可行权条件而被取消的除外</w:t>
      </w:r>
      <w:r>
        <w:rPr>
          <w:rFonts w:ascii="宋体" w:hAnsi="宋体" w:cs="宋体" w:eastAsia="宋体" w:hint="default"/>
          <w:spacing w:val="-1"/>
        </w:rPr>
        <w:t>)</w:t>
      </w:r>
      <w:r>
        <w:rPr>
          <w:spacing w:val="-1"/>
        </w:rPr>
        <w:t>，则</w:t>
      </w:r>
      <w:r>
        <w:rPr>
          <w:spacing w:val="-22"/>
        </w:rPr>
        <w:t> </w:t>
      </w:r>
      <w:r>
        <w:rPr/>
        <w:t>将取消或结算作为加速可行权处理，立即确认原本在剩余等待期内确认的金额。</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bookmarkStart w:name="27、优先股、永续债等其他金融工具" w:id="200"/>
      <w:bookmarkEnd w:id="20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28、收入" w:id="201"/>
      <w:bookmarkEnd w:id="201"/>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2" w:right="98"/>
        <w:jc w:val="left"/>
      </w:pPr>
      <w:r>
        <w:rPr/>
        <w:t>（</w:t>
      </w:r>
      <w:r>
        <w:rPr>
          <w:rFonts w:ascii="宋体" w:hAnsi="宋体" w:cs="宋体" w:eastAsia="宋体" w:hint="default"/>
        </w:rPr>
        <w:t>1</w:t>
      </w:r>
      <w:r>
        <w:rPr/>
        <w:t>）收入确认的一般原则</w:t>
      </w:r>
    </w:p>
    <w:p>
      <w:pPr>
        <w:pStyle w:val="BodyText"/>
        <w:spacing w:line="316" w:lineRule="auto" w:before="76"/>
        <w:ind w:left="632" w:right="98"/>
        <w:jc w:val="left"/>
      </w:pPr>
      <w:r>
        <w:rPr/>
        <w:t>①销售商品 </w:t>
      </w:r>
      <w:r>
        <w:rPr>
          <w:spacing w:val="-1"/>
        </w:rPr>
        <w:t>公司已将商品所有权上的主要风险和报酬转移给购买方；公司既没有保留与所有权相联系的继续管理权，也没有对已</w:t>
      </w:r>
    </w:p>
    <w:p>
      <w:pPr>
        <w:pStyle w:val="BodyText"/>
        <w:spacing w:line="316" w:lineRule="auto" w:before="18"/>
        <w:ind w:right="191"/>
        <w:jc w:val="both"/>
      </w:pPr>
      <w:r>
        <w:rPr>
          <w:spacing w:val="-2"/>
        </w:rPr>
        <w:t>售出的商品实施有效控制；收入的金额能够可靠地计量；相关的经济利益很可能流入企业；相关的已发生或将发生的成本能</w:t>
      </w:r>
      <w:r>
        <w:rPr>
          <w:spacing w:val="-63"/>
        </w:rPr>
        <w:t> </w:t>
      </w:r>
      <w:r>
        <w:rPr>
          <w:spacing w:val="-63"/>
        </w:rPr>
      </w:r>
      <w:r>
        <w:rPr/>
        <w:t>够可靠地计量时，确认商品销售收入实现。</w:t>
      </w:r>
    </w:p>
    <w:p>
      <w:pPr>
        <w:pStyle w:val="BodyText"/>
        <w:spacing w:line="316" w:lineRule="auto" w:before="18"/>
        <w:ind w:left="632" w:right="98"/>
        <w:jc w:val="left"/>
      </w:pPr>
      <w:r>
        <w:rPr/>
        <w:t>②提供劳务 </w:t>
      </w:r>
      <w:r>
        <w:rPr>
          <w:spacing w:val="-1"/>
        </w:rPr>
        <w:t>在同一会计年度内开始并完成的劳务，在完成劳务时确认收入；如劳务的开始和完成超过一个完整会计年度，在提供</w:t>
      </w:r>
    </w:p>
    <w:p>
      <w:pPr>
        <w:pStyle w:val="BodyText"/>
        <w:spacing w:line="316" w:lineRule="auto" w:before="18"/>
        <w:ind w:right="191"/>
        <w:jc w:val="both"/>
      </w:pPr>
      <w:r>
        <w:rPr>
          <w:spacing w:val="-2"/>
        </w:rPr>
        <w:t>劳务交易的结果能够可靠地估计（即劳务总收入及总成本能够可靠地计量，劳务的完成程度能够可靠地确定，相关的价款能</w:t>
      </w:r>
      <w:r>
        <w:rPr>
          <w:spacing w:val="-63"/>
        </w:rPr>
        <w:t> </w:t>
      </w:r>
      <w:r>
        <w:rPr>
          <w:spacing w:val="-63"/>
        </w:rPr>
      </w:r>
      <w:r>
        <w:rPr/>
        <w:t>够流入）时，于资产负债表日按完工百分比法确认相关的劳务收入。</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84" w:firstLine="479"/>
        <w:jc w:val="left"/>
      </w:pPr>
      <w:r>
        <w:rPr/>
        <w:t>在资产负债表日提供劳务交易结果不能够可靠估计的，分别下列情况处理：</w:t>
      </w:r>
      <w:r>
        <w:rPr>
          <w:rFonts w:ascii="宋体" w:hAnsi="宋体" w:cs="宋体" w:eastAsia="宋体" w:hint="default"/>
        </w:rPr>
        <w:t>a</w:t>
      </w:r>
      <w:r>
        <w:rPr/>
        <w:t>．已经发生的劳务成本预计能够得到补 偿的，按照已经发生的劳务成本金额确认提供劳务收入，并按相同金额结转劳务成本；</w:t>
      </w:r>
      <w:r>
        <w:rPr>
          <w:rFonts w:ascii="宋体" w:hAnsi="宋体" w:cs="宋体" w:eastAsia="宋体" w:hint="default"/>
        </w:rPr>
        <w:t>b</w:t>
      </w:r>
      <w:r>
        <w:rPr/>
        <w:t>．已经发生的劳务成本预计不能够 得到补偿的，应当将已经发生的劳务成本计入当期损益，不确认提供劳务收入。</w:t>
      </w:r>
    </w:p>
    <w:p>
      <w:pPr>
        <w:pStyle w:val="BodyText"/>
        <w:spacing w:line="316" w:lineRule="auto" w:before="18"/>
        <w:ind w:left="632" w:right="98"/>
        <w:jc w:val="left"/>
      </w:pPr>
      <w:r>
        <w:rPr/>
        <w:t>③让渡资产使用权 </w:t>
      </w:r>
      <w:r>
        <w:rPr>
          <w:spacing w:val="-3"/>
        </w:rPr>
        <w:t>与交易相关的经济利益很可能流入企业，收入的金额能够可靠地计量时。分别下列情况确定让渡资产使用权收入金额：</w:t>
      </w:r>
      <w:r>
        <w:rPr>
          <w:spacing w:val="-46"/>
        </w:rPr>
        <w:t> </w:t>
      </w:r>
      <w:r>
        <w:rPr>
          <w:spacing w:val="-46"/>
        </w:rPr>
      </w:r>
      <w:r>
        <w:rPr>
          <w:rFonts w:ascii="宋体" w:hAnsi="宋体" w:cs="宋体" w:eastAsia="宋体" w:hint="default"/>
        </w:rPr>
        <w:t>A</w:t>
      </w:r>
      <w:r>
        <w:rPr/>
        <w:t>、利息收入金额，按照他人使用本企业货币资金的时间和实际利率计算确定。 </w:t>
      </w:r>
      <w:r>
        <w:rPr>
          <w:rFonts w:ascii="宋体" w:hAnsi="宋体" w:cs="宋体" w:eastAsia="宋体" w:hint="default"/>
        </w:rPr>
        <w:t>B</w:t>
      </w:r>
      <w:r>
        <w:rPr/>
        <w:t>、使用费收入金额，按照有关合同或协议约定的收费时间和方法计算确定。 </w:t>
      </w:r>
      <w:r>
        <w:rPr>
          <w:rFonts w:ascii="宋体" w:hAnsi="宋体" w:cs="宋体" w:eastAsia="宋体" w:hint="default"/>
        </w:rPr>
        <w:t>C</w:t>
      </w:r>
      <w:r>
        <w:rPr/>
        <w:t>、出租物业收入，即对于经营租赁的租金，按照租赁期内合同总金额在租赁期内各个期间按照直线法确认为当期损</w:t>
      </w:r>
    </w:p>
    <w:p>
      <w:pPr>
        <w:pStyle w:val="BodyText"/>
        <w:spacing w:line="240" w:lineRule="auto" w:before="18"/>
        <w:ind w:left="153" w:right="98"/>
        <w:jc w:val="left"/>
      </w:pPr>
      <w:r>
        <w:rPr/>
        <w:t>益。</w:t>
      </w:r>
    </w:p>
    <w:p>
      <w:pPr>
        <w:pStyle w:val="BodyText"/>
        <w:spacing w:line="316" w:lineRule="auto" w:before="76"/>
        <w:ind w:left="633" w:right="98"/>
        <w:jc w:val="left"/>
      </w:pPr>
      <w:r>
        <w:rPr/>
        <w:t>（</w:t>
      </w:r>
      <w:r>
        <w:rPr>
          <w:rFonts w:ascii="宋体" w:hAnsi="宋体" w:cs="宋体" w:eastAsia="宋体" w:hint="default"/>
        </w:rPr>
        <w:t>2</w:t>
      </w:r>
      <w:r>
        <w:rPr/>
        <w:t>）收入确认的具体方法 </w:t>
      </w:r>
      <w:r>
        <w:rPr>
          <w:spacing w:val="-1"/>
        </w:rPr>
        <w:t>公司业务包括硬件销售收入、应用软件开发与销售、系统集成、安全审计相关服务，各类业务销售收入确认的具体方</w:t>
      </w:r>
    </w:p>
    <w:p>
      <w:pPr>
        <w:pStyle w:val="BodyText"/>
        <w:spacing w:line="240" w:lineRule="auto" w:before="18"/>
        <w:ind w:left="153" w:right="0"/>
        <w:jc w:val="both"/>
      </w:pPr>
      <w:r>
        <w:rPr/>
        <w:t>法如下：</w:t>
      </w:r>
    </w:p>
    <w:p>
      <w:pPr>
        <w:pStyle w:val="BodyText"/>
        <w:spacing w:line="316" w:lineRule="auto" w:before="76"/>
        <w:ind w:left="633" w:right="5373"/>
        <w:jc w:val="left"/>
      </w:pPr>
      <w:r>
        <w:rPr/>
        <w:t>①硬件销售收入 硬件销售收入按照商品销售的确认原则确认收入。</w:t>
      </w:r>
    </w:p>
    <w:p>
      <w:pPr>
        <w:pStyle w:val="BodyText"/>
        <w:spacing w:line="316" w:lineRule="auto" w:before="18"/>
        <w:ind w:left="633" w:right="98"/>
        <w:jc w:val="left"/>
      </w:pPr>
      <w:r>
        <w:rPr/>
        <w:t>②应用软件开发与销售：包括自行开发研制软件产品销售与定制开发软件销售。 </w:t>
      </w:r>
      <w:r>
        <w:rPr>
          <w:spacing w:val="-1"/>
        </w:rPr>
        <w:t>自行开发研制的软件产品是指公司拥有著作权，销售时不转让所有权的软件产品。该类产品，需安装调试的按合同约</w:t>
      </w:r>
    </w:p>
    <w:p>
      <w:pPr>
        <w:pStyle w:val="BodyText"/>
        <w:spacing w:line="316" w:lineRule="auto" w:before="18"/>
        <w:ind w:left="633" w:right="98" w:hanging="481"/>
        <w:jc w:val="left"/>
      </w:pPr>
      <w:r>
        <w:rPr/>
        <w:t>定在实施完成并经对方验收合格后确认收入；不需安装的以产品交付并经购货方验收合格后确认收入。 </w:t>
      </w:r>
      <w:r>
        <w:rPr>
          <w:spacing w:val="-1"/>
        </w:rPr>
        <w:t>定制软件是指根据与客户签订的技术开发、委托开发合同，对用户的业务进行充分实地调查，并根据用户的实际需求</w:t>
      </w:r>
    </w:p>
    <w:p>
      <w:pPr>
        <w:pStyle w:val="BodyText"/>
        <w:spacing w:line="316" w:lineRule="auto" w:before="18"/>
        <w:ind w:left="153" w:right="190"/>
        <w:jc w:val="both"/>
      </w:pPr>
      <w:r>
        <w:rPr>
          <w:spacing w:val="-2"/>
        </w:rPr>
        <w:t>进行专门的软件设计与开发，由此开发出来不具有通用性的软件。定制软件项目在同一会计年度内开始并完成的，按照合同</w:t>
      </w:r>
      <w:r>
        <w:rPr>
          <w:spacing w:val="-63"/>
        </w:rPr>
        <w:t> </w:t>
      </w:r>
      <w:r>
        <w:rPr>
          <w:spacing w:val="-63"/>
        </w:rPr>
      </w:r>
      <w:r>
        <w:rPr>
          <w:spacing w:val="-2"/>
        </w:rPr>
        <w:t>约定、在项目实施完成并经对方验收合格后确认收入；跨年度定制软件由公司业务技术部门根据合同分阶段提供项目开发进</w:t>
      </w:r>
      <w:r>
        <w:rPr>
          <w:spacing w:val="-64"/>
        </w:rPr>
        <w:t> </w:t>
      </w:r>
      <w:r>
        <w:rPr>
          <w:spacing w:val="-64"/>
        </w:rPr>
      </w:r>
      <w:r>
        <w:rPr/>
        <w:t>度，经用户确认后，按照完工百分比法确认收入。</w:t>
      </w:r>
    </w:p>
    <w:p>
      <w:pPr>
        <w:pStyle w:val="BodyText"/>
        <w:spacing w:line="316" w:lineRule="auto" w:before="18"/>
        <w:ind w:left="153" w:right="192" w:firstLine="480"/>
        <w:jc w:val="both"/>
      </w:pPr>
      <w:r>
        <w:rPr>
          <w:spacing w:val="-1"/>
        </w:rPr>
        <w:t>③系统集成：系统集成是指通过结构化的综合布线系统和计算机网络技术，将各个分离的设备、功能和信息等集成到</w:t>
      </w:r>
      <w:r>
        <w:rPr/>
        <w:t> 相互关联的、统一和协调的系统之中，使资源达到充分共享，实现集中、高效、便利的管理系统。</w:t>
      </w:r>
    </w:p>
    <w:p>
      <w:pPr>
        <w:pStyle w:val="BodyText"/>
        <w:spacing w:line="316" w:lineRule="auto" w:before="18"/>
        <w:ind w:left="153" w:right="93" w:firstLine="480"/>
        <w:jc w:val="left"/>
      </w:pPr>
      <w:r>
        <w:rPr/>
        <w:t>对于系统集成业务，如果软件收入与设备配件及安装服务收入能分开核算，则硬件收入按照上述商品销售收入的原则 进行确认，软件收入按照上述软件产品销售的原则进行确认。如果软件收入与设备配件及安装服务服务收入不能分开核算， 则将其一并核算，待系统集成于安装完成后确认收入。</w:t>
      </w:r>
    </w:p>
    <w:p>
      <w:pPr>
        <w:pStyle w:val="BodyText"/>
        <w:spacing w:line="316" w:lineRule="auto" w:before="18"/>
        <w:ind w:left="153" w:right="195" w:firstLine="480"/>
        <w:jc w:val="both"/>
      </w:pPr>
      <w:r>
        <w:rPr>
          <w:spacing w:val="-1"/>
        </w:rPr>
        <w:t>④安全审计相关服务：主要是指维护服务和其他服务，维护服务是在合同约定的服务期间为客户提供产品维护和升级</w:t>
      </w:r>
      <w:r>
        <w:rPr/>
        <w:t> 服务，其他服务则根据客户的需求和合同约定提供相应的服务。</w:t>
      </w:r>
    </w:p>
    <w:p>
      <w:pPr>
        <w:pStyle w:val="BodyText"/>
        <w:spacing w:line="316" w:lineRule="auto" w:before="18"/>
        <w:ind w:left="153" w:right="193" w:firstLine="480"/>
        <w:jc w:val="both"/>
      </w:pPr>
      <w:r>
        <w:rPr>
          <w:spacing w:val="-1"/>
        </w:rPr>
        <w:t>维护服务在服务期间采用直线法确认收入，其他服务（在同一年度完成）在劳务已经提供，收到价款或取得收取款项</w:t>
      </w:r>
      <w:r>
        <w:rPr/>
        <w:t> 的证据时，确认劳务收入。对于跨期提供服务的，按提供劳务确认原则确认收入。</w:t>
      </w:r>
    </w:p>
    <w:p>
      <w:pPr>
        <w:pStyle w:val="BodyText"/>
        <w:spacing w:line="316" w:lineRule="auto" w:before="18"/>
        <w:ind w:left="633" w:right="3213"/>
        <w:jc w:val="left"/>
      </w:pPr>
      <w:r>
        <w:rPr/>
        <w:t>⑤网络游戏运营： 公司目前的网络游戏运营模式主要包括公司自主运营、联合发行、代理运营。 </w:t>
      </w:r>
      <w:r>
        <w:rPr>
          <w:rFonts w:ascii="宋体" w:hAnsi="宋体" w:cs="宋体" w:eastAsia="宋体" w:hint="default"/>
        </w:rPr>
        <w:t>A</w:t>
      </w:r>
      <w:r>
        <w:rPr/>
        <w:t>、公司自主运营收入的确认原则、方式和流程</w:t>
      </w:r>
    </w:p>
    <w:p>
      <w:pPr>
        <w:pStyle w:val="BodyText"/>
        <w:spacing w:line="316" w:lineRule="auto" w:before="18"/>
        <w:ind w:left="153" w:right="192" w:firstLine="480"/>
        <w:jc w:val="both"/>
      </w:pPr>
      <w:r>
        <w:rPr>
          <w:spacing w:val="-1"/>
        </w:rPr>
        <w:t>公司是通过游戏玩家在网络游戏中按游戏对局次数使用虚拟货币支付棋牌游戏服务费、虚拟货币购买道具装备或某些</w:t>
      </w:r>
      <w:r>
        <w:rPr/>
        <w:t> </w:t>
      </w:r>
      <w:r>
        <w:rPr>
          <w:spacing w:val="-2"/>
        </w:rPr>
        <w:t>特殊游戏功能模块的方式取得网络游戏运营收入。游戏玩家可以从公司的游戏点卡经销商处购得游戏点卡，也可以从公司的</w:t>
      </w:r>
      <w:r>
        <w:rPr>
          <w:spacing w:val="-64"/>
        </w:rPr>
        <w:t> </w:t>
      </w:r>
      <w:r>
        <w:rPr>
          <w:spacing w:val="-64"/>
        </w:rPr>
      </w:r>
      <w:r>
        <w:rPr>
          <w:spacing w:val="-2"/>
        </w:rPr>
        <w:t>官方运营网站上通过银行借记卡、信用卡、第三方支付、手机支付以及银行转账等方式购得游戏点卡。游戏玩家可以使用上</w:t>
      </w:r>
      <w:r>
        <w:rPr>
          <w:spacing w:val="-66"/>
        </w:rPr>
        <w:t> </w:t>
      </w:r>
      <w:r>
        <w:rPr>
          <w:spacing w:val="-66"/>
        </w:rPr>
      </w:r>
      <w:r>
        <w:rPr/>
        <w:t>述游戏点卡进入公司运营的网络游戏中使用虚拟货币进行消费。</w:t>
      </w:r>
    </w:p>
    <w:p>
      <w:pPr>
        <w:pStyle w:val="BodyText"/>
        <w:spacing w:line="316" w:lineRule="auto" w:before="18"/>
        <w:ind w:left="153" w:right="190" w:firstLine="480"/>
        <w:jc w:val="both"/>
      </w:pPr>
      <w:r>
        <w:rPr>
          <w:spacing w:val="-1"/>
        </w:rPr>
        <w:t>公司在棋牌游戏服务费收费模式下，游戏玩家可以免费体验公司棋牌类游戏中的非财富类游戏的所有功能，如休闲类</w:t>
      </w:r>
      <w:r>
        <w:rPr/>
        <w:t> </w:t>
      </w:r>
      <w:r>
        <w:rPr>
          <w:spacing w:val="-2"/>
        </w:rPr>
        <w:t>游戏、棋类游戏等，只有游戏玩家参与财富类游戏时才需要支付费用。棋牌游戏服务费收费模式下，在游戏玩家实际使用虚</w:t>
      </w:r>
      <w:r>
        <w:rPr>
          <w:spacing w:val="-64"/>
        </w:rPr>
        <w:t> </w:t>
      </w:r>
      <w:r>
        <w:rPr>
          <w:spacing w:val="-64"/>
        </w:rPr>
      </w:r>
      <w:r>
        <w:rPr/>
        <w:t>拟货币支付每局棋牌游戏服务费时确认收入。</w:t>
      </w:r>
    </w:p>
    <w:p>
      <w:pPr>
        <w:pStyle w:val="BodyText"/>
        <w:spacing w:line="316" w:lineRule="auto" w:before="18"/>
        <w:ind w:left="153" w:right="195" w:firstLine="480"/>
        <w:jc w:val="both"/>
      </w:pPr>
      <w:r>
        <w:rPr>
          <w:spacing w:val="-1"/>
        </w:rPr>
        <w:t>公司在道具收费模式下，游戏玩家可以免费体验公司在线运营的网络游戏的基本功能，只有游戏玩家购买游戏中的虚</w:t>
      </w:r>
      <w:r>
        <w:rPr/>
        <w:t> 拟道具时才需要支付费用。在道具收费模式下，公司在游戏玩家实际使用虚拟货币购买道具时确认收入。</w:t>
      </w:r>
    </w:p>
    <w:p>
      <w:pPr>
        <w:pStyle w:val="BodyText"/>
        <w:spacing w:line="240" w:lineRule="auto" w:before="18"/>
        <w:ind w:left="633" w:right="98"/>
        <w:jc w:val="left"/>
      </w:pPr>
      <w:r>
        <w:rPr/>
        <w:t>自主运营模式下收入确认流程如下：</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5745" w:lineRule="exact"/>
        <w:ind w:left="640"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161064" cy="36480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161064" cy="3648075"/>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7"/>
        <w:rPr>
          <w:rFonts w:ascii="宋体" w:hAnsi="宋体" w:cs="宋体" w:eastAsia="宋体" w:hint="default"/>
          <w:sz w:val="27"/>
          <w:szCs w:val="27"/>
        </w:rPr>
      </w:pPr>
    </w:p>
    <w:p>
      <w:pPr>
        <w:pStyle w:val="BodyText"/>
        <w:spacing w:line="316" w:lineRule="auto" w:before="44"/>
        <w:ind w:left="632" w:right="0"/>
        <w:jc w:val="left"/>
      </w:pPr>
      <w:r>
        <w:rPr>
          <w:rFonts w:ascii="宋体" w:hAnsi="宋体" w:cs="宋体" w:eastAsia="宋体" w:hint="default"/>
        </w:rPr>
        <w:t>B</w:t>
      </w:r>
      <w:r>
        <w:rPr/>
        <w:t>、联合发行收入的会计政策、确认方式和流程 </w:t>
      </w:r>
      <w:r>
        <w:rPr>
          <w:spacing w:val="-1"/>
        </w:rPr>
        <w:t>联合发行是指公司利用自有的</w:t>
      </w:r>
      <w:r>
        <w:rPr>
          <w:rFonts w:ascii="宋体" w:hAnsi="宋体" w:cs="宋体" w:eastAsia="宋体" w:hint="default"/>
          <w:spacing w:val="-1"/>
        </w:rPr>
        <w:t>6998</w:t>
      </w:r>
      <w:r>
        <w:rPr>
          <w:spacing w:val="-1"/>
        </w:rPr>
        <w:t>平台或唐人游平台发布第三方非棋牌类游戏产品，即唐人游提供兑换通道，其平台</w:t>
      </w:r>
    </w:p>
    <w:p>
      <w:pPr>
        <w:pStyle w:val="BodyText"/>
        <w:spacing w:line="316" w:lineRule="auto" w:before="18"/>
        <w:ind w:right="150"/>
        <w:jc w:val="both"/>
      </w:pPr>
      <w:r>
        <w:rPr>
          <w:spacing w:val="-2"/>
        </w:rPr>
        <w:t>用户可以将持有的唐人游虚拟代币直接转换为第三方游戏产品定义的虚拟货币，从而将唐人游用户溢余资源转化为第三方游</w:t>
      </w:r>
      <w:r>
        <w:rPr>
          <w:spacing w:val="-64"/>
        </w:rPr>
        <w:t> </w:t>
      </w:r>
      <w:r>
        <w:rPr>
          <w:spacing w:val="-64"/>
        </w:rPr>
      </w:r>
      <w:r>
        <w:rPr>
          <w:spacing w:val="-2"/>
        </w:rPr>
        <w:t>戏产品的游戏用户。在联合发行模式下，第三方游戏研发商或运行商架设服务器并负责游戏的运营、更新维护、技术支持和</w:t>
      </w:r>
      <w:r>
        <w:rPr>
          <w:spacing w:val="-64"/>
        </w:rPr>
        <w:t> </w:t>
      </w:r>
      <w:r>
        <w:rPr>
          <w:spacing w:val="-64"/>
        </w:rPr>
      </w:r>
      <w:r>
        <w:rPr/>
        <w:t>客户服务；公司负责游戏产品的推广、导入用户和玩家账号、玩家充值服务及计费系统的管理。</w:t>
      </w:r>
    </w:p>
    <w:p>
      <w:pPr>
        <w:pStyle w:val="BodyText"/>
        <w:spacing w:line="316" w:lineRule="auto" w:before="18"/>
        <w:ind w:right="0" w:firstLine="480"/>
        <w:jc w:val="left"/>
      </w:pPr>
      <w:r>
        <w:rPr>
          <w:spacing w:val="-1"/>
        </w:rPr>
        <w:t>在联合发行模式下，唐人数码在游戏玩家实际充值并消费虚拟货币时确认收入，并将按协议约定比例分成给游戏研发</w:t>
      </w:r>
      <w:r>
        <w:rPr/>
        <w:t> 商或运营商的金额确认为营业成本。</w:t>
      </w:r>
    </w:p>
    <w:p>
      <w:pPr>
        <w:pStyle w:val="BodyText"/>
        <w:tabs>
          <w:tab w:pos="992" w:val="left" w:leader="none"/>
        </w:tabs>
        <w:spacing w:line="316" w:lineRule="auto" w:before="18"/>
        <w:ind w:left="632" w:right="131"/>
        <w:jc w:val="left"/>
      </w:pPr>
      <w:r>
        <w:rPr>
          <w:rFonts w:ascii="宋体" w:hAnsi="宋体" w:cs="宋体" w:eastAsia="宋体" w:hint="default"/>
        </w:rPr>
        <w:t>C</w:t>
        <w:tab/>
      </w:r>
      <w:r>
        <w:rPr/>
        <w:t>、代理运营收入的会计政策、确认方式和流程 公司与代理商签订合作运营协议，代理商负责游戏的发行推广、游戏运营收入的结算，公司主要负责提供游戏产品、</w:t>
      </w:r>
    </w:p>
    <w:p>
      <w:pPr>
        <w:pStyle w:val="BodyText"/>
        <w:spacing w:line="316" w:lineRule="auto" w:before="18"/>
        <w:ind w:right="153"/>
        <w:jc w:val="both"/>
      </w:pPr>
      <w:r>
        <w:rPr>
          <w:spacing w:val="-2"/>
        </w:rPr>
        <w:t>相关的软件及技术支持、部分客服等。在代理运营模式下，代理商向公司按照合作协议所约定的分成比例及双方确认的充值</w:t>
      </w:r>
      <w:r>
        <w:rPr>
          <w:spacing w:val="-65"/>
        </w:rPr>
        <w:t> </w:t>
      </w:r>
      <w:r>
        <w:rPr>
          <w:spacing w:val="-65"/>
        </w:rPr>
      </w:r>
      <w:r>
        <w:rPr>
          <w:spacing w:val="-2"/>
        </w:rPr>
        <w:t>数据进行付款，公司每月根据平台游戏终端充值数据扣除相关渠道费用后按分成比例计算后确认收入。代理运营模式下收入</w:t>
      </w:r>
      <w:r>
        <w:rPr>
          <w:spacing w:val="-64"/>
        </w:rPr>
        <w:t> </w:t>
      </w:r>
      <w:r>
        <w:rPr>
          <w:spacing w:val="-64"/>
        </w:rPr>
      </w:r>
      <w:r>
        <w:rPr/>
        <w:t>确认流程如下：</w:t>
      </w:r>
    </w:p>
    <w:p>
      <w:pPr>
        <w:spacing w:after="0" w:line="316"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4425" w:lineRule="exact"/>
        <w:ind w:left="640"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5047764" cy="28098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047764" cy="280987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316" w:lineRule="auto"/>
        <w:ind w:left="632" w:right="98"/>
        <w:jc w:val="left"/>
      </w:pPr>
      <w:r>
        <w:rPr/>
        <w:t>⑥受托开发网络游戏软件： </w:t>
      </w:r>
      <w:r>
        <w:rPr>
          <w:spacing w:val="-1"/>
        </w:rPr>
        <w:t>受托开发网络游戏软件是指根据与客户签订的技术开发、委托开发合同，根据客户的需求进行网络游戏软件的设计与</w:t>
      </w:r>
    </w:p>
    <w:p>
      <w:pPr>
        <w:pStyle w:val="BodyText"/>
        <w:spacing w:line="316" w:lineRule="auto" w:before="18"/>
        <w:ind w:right="193"/>
        <w:jc w:val="both"/>
      </w:pPr>
      <w:r>
        <w:rPr>
          <w:spacing w:val="-2"/>
        </w:rPr>
        <w:t>开发。受托开发网络游戏软件项目在同一会计年度内开始并完成的，按照合同约定、在项目实施完成并经对方验收合格后确</w:t>
      </w:r>
      <w:r>
        <w:rPr>
          <w:spacing w:val="-66"/>
        </w:rPr>
        <w:t> </w:t>
      </w:r>
      <w:r>
        <w:rPr>
          <w:spacing w:val="-66"/>
        </w:rPr>
      </w:r>
      <w:r>
        <w:rPr>
          <w:spacing w:val="-2"/>
        </w:rPr>
        <w:t>认收入；跨年度受托开发网络游戏软件由公司业务技术部门根据合同分阶段提供项目开发进度，经客户确认后，按照完工百</w:t>
      </w:r>
      <w:r>
        <w:rPr>
          <w:spacing w:val="-66"/>
        </w:rPr>
        <w:t> </w:t>
      </w:r>
      <w:r>
        <w:rPr>
          <w:spacing w:val="-66"/>
        </w:rPr>
      </w:r>
      <w:r>
        <w:rPr/>
        <w:t>分比法确认收入。</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29、政府补助" w:id="202"/>
      <w:bookmarkEnd w:id="20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与资产相关的政府补助判断依据及会计处理方法" w:id="203"/>
      <w:bookmarkEnd w:id="20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632" w:right="98"/>
        <w:jc w:val="left"/>
      </w:pPr>
      <w:r>
        <w:rPr/>
        <w:t>与资产相关的政府补助，是指本公司取得的、用于购建或以其他方式形成长期资产的政府补助。 </w:t>
      </w:r>
      <w:r>
        <w:rPr>
          <w:spacing w:val="-3"/>
        </w:rPr>
        <w:t>与资产相关的政府补助，取得时确认为递延收益，自相关资产达到预定可使用状态时，在该资产使用寿命内平均分配，</w:t>
      </w:r>
    </w:p>
    <w:p>
      <w:pPr>
        <w:pStyle w:val="BodyText"/>
        <w:spacing w:line="316" w:lineRule="auto" w:before="18"/>
        <w:ind w:right="191"/>
        <w:jc w:val="both"/>
      </w:pPr>
      <w:r>
        <w:rPr>
          <w:spacing w:val="-2"/>
        </w:rPr>
        <w:t>分次计入以后各期的损益。相关资产在使用寿命结束前被出售、转让、报废或发生毁损的，将尚未分配的递延收益余额一次</w:t>
      </w:r>
      <w:r>
        <w:rPr>
          <w:spacing w:val="-64"/>
        </w:rPr>
        <w:t> </w:t>
      </w:r>
      <w:r>
        <w:rPr>
          <w:spacing w:val="-64"/>
        </w:rPr>
      </w:r>
      <w:r>
        <w:rPr/>
        <w:t>性转入资产处置当期的损益。</w:t>
      </w:r>
    </w:p>
    <w:p>
      <w:pPr>
        <w:pStyle w:val="BodyText"/>
        <w:spacing w:line="240" w:lineRule="auto" w:before="18"/>
        <w:ind w:left="632" w:right="98"/>
        <w:jc w:val="left"/>
      </w:pPr>
      <w:r>
        <w:rPr/>
        <w:t>已确认的政府补助需要返还的，存在相关递延收益的，冲减相关递延收益账面余额，超出部分计入当期损益。</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2）与收益相关的政府补助判断依据及会计处理方法" w:id="204"/>
      <w:bookmarkEnd w:id="20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 w:firstLine="480"/>
        <w:jc w:val="left"/>
      </w:pPr>
      <w:r>
        <w:rPr>
          <w:spacing w:val="-1"/>
        </w:rPr>
        <w:t>与收益相关的政府补助，是指除与资产相关的政府补助之外的政府补助。当政府文件未明确补助对象，根据补助资金</w:t>
      </w:r>
      <w:r>
        <w:rPr/>
        <w:t> 的实际用途，将该政府补助划分为与资产相关或与收益相关。</w:t>
      </w:r>
    </w:p>
    <w:p>
      <w:pPr>
        <w:pStyle w:val="BodyText"/>
        <w:spacing w:line="316" w:lineRule="auto" w:before="18"/>
        <w:ind w:right="98" w:firstLine="480"/>
        <w:jc w:val="left"/>
      </w:pPr>
      <w:r>
        <w:rPr>
          <w:spacing w:val="-1"/>
        </w:rPr>
        <w:t>与收益相关的政府补助，用于补偿以后期间的相关费用或损失的，取得时确认为递延收益，在确认相关费用的期间计</w:t>
      </w:r>
      <w:r>
        <w:rPr/>
        <w:t> 入当期损益；用于补偿已发生的相关费用或损失的，取得时直接计入当期损益。</w:t>
      </w:r>
    </w:p>
    <w:p>
      <w:pPr>
        <w:pStyle w:val="BodyText"/>
        <w:spacing w:line="240" w:lineRule="auto" w:before="18"/>
        <w:ind w:left="632" w:right="98"/>
        <w:jc w:val="left"/>
      </w:pPr>
      <w:r>
        <w:rPr/>
        <w:t>已确认的政府补助需要返还的，不存在相关递延收益的，直接计入当期损益。</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30、递延所得税资产/递延所得税负债" w:id="205"/>
      <w:bookmarkEnd w:id="20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32" w:right="98"/>
        <w:jc w:val="left"/>
      </w:pPr>
      <w:r>
        <w:rPr/>
        <w:t>本公司采用资产负债表债务法进行所得税会计处理。</w:t>
      </w:r>
    </w:p>
    <w:p>
      <w:pPr>
        <w:pStyle w:val="BodyText"/>
        <w:spacing w:line="240" w:lineRule="auto" w:before="76"/>
        <w:ind w:left="632" w:right="98"/>
        <w:jc w:val="left"/>
      </w:pPr>
      <w:r>
        <w:rPr/>
        <w:t>（</w:t>
      </w:r>
      <w:r>
        <w:rPr>
          <w:rFonts w:ascii="宋体" w:hAnsi="宋体" w:cs="宋体" w:eastAsia="宋体" w:hint="default"/>
        </w:rPr>
        <w:t>1</w:t>
      </w:r>
      <w:r>
        <w:rPr/>
        <w:t>）递延所得税资产</w:t>
      </w:r>
    </w:p>
    <w:p>
      <w:pPr>
        <w:pStyle w:val="BodyText"/>
        <w:spacing w:line="240" w:lineRule="auto" w:before="76"/>
        <w:ind w:left="632" w:right="98"/>
        <w:jc w:val="left"/>
      </w:pPr>
      <w:r>
        <w:rPr/>
        <w:t>①资产、负债的账面价值与其计税基础存在可抵扣暂时性差异的，以未来期间很可能取得的用以抵扣可抵扣暂时性差</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8"/>
        <w:jc w:val="left"/>
      </w:pPr>
      <w:r>
        <w:rPr>
          <w:spacing w:val="-2"/>
        </w:rPr>
        <w:t>异的应纳税所得额为限，按照预期收回该资产或清偿该负债期间的适用税率，计算确认由可抵扣暂时性差异产生的递延所得</w:t>
      </w:r>
      <w:r>
        <w:rPr>
          <w:spacing w:val="-64"/>
        </w:rPr>
        <w:t> </w:t>
      </w:r>
      <w:r>
        <w:rPr>
          <w:spacing w:val="-64"/>
        </w:rPr>
      </w:r>
      <w:r>
        <w:rPr/>
        <w:t>税资产。</w:t>
      </w:r>
    </w:p>
    <w:p>
      <w:pPr>
        <w:pStyle w:val="BodyText"/>
        <w:spacing w:line="316" w:lineRule="auto" w:before="18"/>
        <w:ind w:right="195" w:firstLine="480"/>
        <w:jc w:val="both"/>
      </w:pPr>
      <w:r>
        <w:rPr>
          <w:spacing w:val="-1"/>
        </w:rPr>
        <w:t>②资产负债表日，有确凿证据表明未来期间很可能获得足够的应纳税所得额用来抵扣可抵扣暂时性差异的，确认以前</w:t>
      </w:r>
      <w:r>
        <w:rPr/>
        <w:t> 期间未确认的递延所得税资产。</w:t>
      </w:r>
    </w:p>
    <w:p>
      <w:pPr>
        <w:pStyle w:val="BodyText"/>
        <w:spacing w:line="316" w:lineRule="auto" w:before="18"/>
        <w:ind w:right="195" w:firstLine="480"/>
        <w:jc w:val="both"/>
      </w:pPr>
      <w:r>
        <w:rPr>
          <w:spacing w:val="-1"/>
        </w:rPr>
        <w:t>③资产负债表日，对递延所得税资产的账面价值进行复核。如果未来期间很可能无法获得足够的应纳税所得额用以抵</w:t>
      </w:r>
      <w:r>
        <w:rPr/>
        <w:t> 扣递延所得税资产的利益，减记递延所得税资产的账面价值。在很可能获得足够的应纳税所得额时，转回减记的金额。</w:t>
      </w:r>
    </w:p>
    <w:p>
      <w:pPr>
        <w:pStyle w:val="BodyText"/>
        <w:spacing w:line="316" w:lineRule="auto" w:before="18"/>
        <w:ind w:left="632" w:right="154"/>
        <w:jc w:val="left"/>
      </w:pPr>
      <w:r>
        <w:rPr/>
        <w:t>（</w:t>
      </w:r>
      <w:r>
        <w:rPr>
          <w:rFonts w:ascii="宋体" w:hAnsi="宋体" w:cs="宋体" w:eastAsia="宋体" w:hint="default"/>
        </w:rPr>
        <w:t>2</w:t>
      </w:r>
      <w:r>
        <w:rPr/>
        <w:t>）递延所得税负债 资产、负债的账面价值与其计税基础存在应纳税暂时性差异的，按照预期收回该资产或清偿该负债期间的适用税率，</w:t>
      </w:r>
    </w:p>
    <w:p>
      <w:pPr>
        <w:pStyle w:val="BodyText"/>
        <w:spacing w:line="240" w:lineRule="auto" w:before="18"/>
        <w:ind w:right="98"/>
        <w:jc w:val="left"/>
      </w:pPr>
      <w:r>
        <w:rPr/>
        <w:t>确认由应纳税暂时性差异产生的递延所得税负债。</w:t>
      </w:r>
    </w:p>
    <w:p>
      <w:pPr>
        <w:spacing w:line="240" w:lineRule="auto" w:before="0"/>
        <w:rPr>
          <w:rFonts w:ascii="宋体" w:hAnsi="宋体" w:cs="宋体" w:eastAsia="宋体" w:hint="default"/>
          <w:sz w:val="18"/>
          <w:szCs w:val="18"/>
        </w:rPr>
      </w:pPr>
    </w:p>
    <w:p>
      <w:pPr>
        <w:pStyle w:val="Heading4"/>
        <w:spacing w:line="240" w:lineRule="auto" w:before="120"/>
        <w:ind w:right="98"/>
        <w:jc w:val="left"/>
        <w:rPr>
          <w:b w:val="0"/>
          <w:bCs w:val="0"/>
        </w:rPr>
      </w:pPr>
      <w:bookmarkStart w:name="31、租赁" w:id="206"/>
      <w:bookmarkEnd w:id="206"/>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480"/>
        <w:jc w:val="both"/>
      </w:pPr>
      <w:r>
        <w:rPr>
          <w:spacing w:val="-1"/>
        </w:rPr>
        <w:t>本公司作为承租人，对于经营租赁的租金，在租赁期内各个期间按照直线法计入相关资产成本或当期损益；发生的初</w:t>
      </w:r>
      <w:r>
        <w:rPr/>
        <w:t> 始直接费用，计入当期损益；或有租金在实际发生时计入当期损益。</w:t>
      </w:r>
    </w:p>
    <w:p>
      <w:pPr>
        <w:pStyle w:val="BodyText"/>
        <w:spacing w:line="316" w:lineRule="auto" w:before="18"/>
        <w:ind w:right="94" w:firstLine="480"/>
        <w:jc w:val="left"/>
      </w:pPr>
      <w:r>
        <w:rPr/>
        <w:t>本公司作为出租人，按资产的性质将用作经营租赁的资产包括在资产负债表中的相关项目内；对于经营租赁的租金， 在租赁期内各个期间按照直线法确认为当期损益；发生的初始直接费用，计入当期损益；对于经营租赁资产中的固定资产， </w:t>
      </w:r>
      <w:r>
        <w:rPr>
          <w:spacing w:val="-2"/>
        </w:rPr>
        <w:t>采用类似资产的折旧政策计提折旧；对于其他经营租赁资产，采用系统合理的方法进行摊销；或有租金在实际发生时计入当</w:t>
      </w:r>
      <w:r>
        <w:rPr>
          <w:spacing w:val="-63"/>
        </w:rPr>
        <w:t> </w:t>
      </w:r>
      <w:r>
        <w:rPr>
          <w:spacing w:val="-63"/>
        </w:rPr>
      </w:r>
      <w:r>
        <w:rPr/>
        <w:t>期损益。</w:t>
      </w:r>
    </w:p>
    <w:p>
      <w:pPr>
        <w:spacing w:line="240" w:lineRule="auto" w:before="11"/>
        <w:rPr>
          <w:rFonts w:ascii="宋体" w:hAnsi="宋体" w:cs="宋体" w:eastAsia="宋体" w:hint="default"/>
          <w:sz w:val="22"/>
          <w:szCs w:val="22"/>
        </w:rPr>
      </w:pPr>
    </w:p>
    <w:p>
      <w:pPr>
        <w:pStyle w:val="Heading4"/>
        <w:spacing w:line="240" w:lineRule="auto"/>
        <w:ind w:right="98"/>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480"/>
        <w:jc w:val="both"/>
      </w:pPr>
      <w:r>
        <w:rPr>
          <w:spacing w:val="-1"/>
        </w:rPr>
        <w:t>本公司作为承租人，在租赁期开始日将租赁开始日租赁资产公允价值与最低租赁付款额现值两者中较低者作为租入资</w:t>
      </w:r>
      <w:r>
        <w:rPr/>
        <w:t> </w:t>
      </w:r>
      <w:r>
        <w:rPr>
          <w:spacing w:val="-2"/>
        </w:rPr>
        <w:t>产的入账价值，将最低租赁付款额作为长期应付款的入账价值，其差额作为未确认融资费用；在租赁谈判和签订租赁合同过</w:t>
      </w:r>
      <w:r>
        <w:rPr>
          <w:spacing w:val="-63"/>
        </w:rPr>
        <w:t> </w:t>
      </w:r>
      <w:r>
        <w:rPr>
          <w:spacing w:val="-63"/>
        </w:rPr>
      </w:r>
      <w:r>
        <w:rPr>
          <w:spacing w:val="-2"/>
        </w:rPr>
        <w:t>程中发生的，可归属于租赁项目的手续费、律师费、差旅费、印花税等初始直接费用，计入租入资产价值；未确认融资费用</w:t>
      </w:r>
      <w:r>
        <w:rPr>
          <w:spacing w:val="-68"/>
        </w:rPr>
        <w:t> </w:t>
      </w:r>
      <w:r>
        <w:rPr>
          <w:spacing w:val="-68"/>
        </w:rPr>
      </w:r>
      <w:r>
        <w:rPr/>
        <w:t>在租赁期内各个期间进行分摊，采用实际利率法计算确认当期的融资费用；或有租金在实际发生时计入当期损益。</w:t>
      </w:r>
    </w:p>
    <w:p>
      <w:pPr>
        <w:pStyle w:val="BodyText"/>
        <w:spacing w:line="316" w:lineRule="auto" w:before="18"/>
        <w:ind w:right="191" w:firstLine="480"/>
        <w:jc w:val="both"/>
      </w:pPr>
      <w:r>
        <w:rPr>
          <w:spacing w:val="-1"/>
        </w:rPr>
        <w:t>在计算最低租赁付款额的现值时，能够取得出租人租赁内含利率的，采用租赁内含利率作为折现率；否则，采用租赁</w:t>
      </w:r>
      <w:r>
        <w:rPr/>
        <w:t> </w:t>
      </w:r>
      <w:r>
        <w:rPr>
          <w:spacing w:val="-2"/>
        </w:rPr>
        <w:t>合同规定的利率作为折现率。无法取得出租人的租赁内含利率且租赁合同没有规定利率的，采用同期银行贷款利率作为折现</w:t>
      </w:r>
      <w:r>
        <w:rPr>
          <w:spacing w:val="-64"/>
        </w:rPr>
        <w:t> </w:t>
      </w:r>
      <w:r>
        <w:rPr>
          <w:spacing w:val="-64"/>
        </w:rPr>
      </w:r>
      <w:r>
        <w:rPr/>
        <w:t>率。</w:t>
      </w:r>
    </w:p>
    <w:p>
      <w:pPr>
        <w:pStyle w:val="BodyText"/>
        <w:spacing w:line="316" w:lineRule="auto" w:before="18"/>
        <w:ind w:right="98" w:firstLine="480"/>
        <w:jc w:val="left"/>
      </w:pPr>
      <w:r>
        <w:rPr/>
        <w:t>本公司采用与自有固定资产相一致的折旧政策计提租赁资产折旧。能够合理确定租赁期届满时取得租赁资产所有权 </w:t>
      </w:r>
      <w:r>
        <w:rPr>
          <w:spacing w:val="-2"/>
        </w:rPr>
        <w:t>的，在租赁资产使用寿命内计提折旧。无法合理确定租赁期届满时能够取得租赁资产所有权的，在租赁期与租赁资产使用寿</w:t>
      </w:r>
      <w:r>
        <w:rPr>
          <w:spacing w:val="-63"/>
        </w:rPr>
        <w:t> </w:t>
      </w:r>
      <w:r>
        <w:rPr>
          <w:spacing w:val="-63"/>
        </w:rPr>
      </w:r>
      <w:r>
        <w:rPr/>
        <w:t>命两者中较短的期间内计提折旧。</w:t>
      </w:r>
    </w:p>
    <w:p>
      <w:pPr>
        <w:pStyle w:val="BodyText"/>
        <w:spacing w:line="316" w:lineRule="auto" w:before="18"/>
        <w:ind w:right="98" w:firstLine="480"/>
        <w:jc w:val="left"/>
      </w:pPr>
      <w:r>
        <w:rPr/>
        <w:t>本公司作为出租人，在租赁期开始日将租赁开始日最低租赁收款额与初始直接费用之和作为应收融资租赁款的入账价 </w:t>
      </w:r>
      <w:r>
        <w:rPr>
          <w:spacing w:val="-4"/>
        </w:rPr>
        <w:t>值，同时记录未担保余值；将最低租赁收款额、初始直接费用及未担保余值之和与其现值之和的差额确认为未实现融资收益；</w:t>
      </w:r>
      <w:r>
        <w:rPr>
          <w:spacing w:val="-44"/>
        </w:rPr>
        <w:t> </w:t>
      </w:r>
      <w:r>
        <w:rPr>
          <w:spacing w:val="-44"/>
        </w:rPr>
      </w:r>
      <w:r>
        <w:rPr>
          <w:spacing w:val="-2"/>
        </w:rPr>
        <w:t>未实现融资收益在租赁期内各个期间进行分配；采用实际利率法计算确认当期的融资收入；或有租金在实际发生时计入当期</w:t>
      </w:r>
      <w:r>
        <w:rPr>
          <w:spacing w:val="-64"/>
        </w:rPr>
        <w:t> </w:t>
      </w:r>
      <w:r>
        <w:rPr>
          <w:spacing w:val="-64"/>
        </w:rPr>
      </w:r>
      <w:r>
        <w:rPr/>
        <w:t>损益。</w:t>
      </w:r>
    </w:p>
    <w:p>
      <w:pPr>
        <w:spacing w:line="240" w:lineRule="auto" w:before="11"/>
        <w:rPr>
          <w:rFonts w:ascii="宋体" w:hAnsi="宋体" w:cs="宋体" w:eastAsia="宋体" w:hint="default"/>
          <w:sz w:val="22"/>
          <w:szCs w:val="22"/>
        </w:rPr>
      </w:pPr>
    </w:p>
    <w:p>
      <w:pPr>
        <w:pStyle w:val="Heading4"/>
        <w:spacing w:line="240" w:lineRule="auto"/>
        <w:ind w:right="98"/>
        <w:jc w:val="left"/>
        <w:rPr>
          <w:b w:val="0"/>
          <w:bCs w:val="0"/>
        </w:rPr>
      </w:pPr>
      <w:bookmarkStart w:name="32、其他重要的会计政策和会计估计" w:id="209"/>
      <w:bookmarkEnd w:id="20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
        <w:jc w:val="left"/>
        <w:rPr>
          <w:b w:val="0"/>
          <w:bCs w:val="0"/>
        </w:rPr>
      </w:pPr>
      <w:bookmarkStart w:name="33、重要会计政策和会计估计变更" w:id="210"/>
      <w:bookmarkEnd w:id="21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8"/>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624" w:lineRule="exact" w:before="55"/>
        <w:ind w:left="152" w:right="8036"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34、其他" w:id="213"/>
      <w:bookmarkEnd w:id="213"/>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14"/>
      <w:bookmarkEnd w:id="214"/>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98"/>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应税增值额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98"/>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深圳市任网游科技发展有限公司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深圳市任子行科技开发有限公司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深圳市博海通讯技术有限公司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武汉任子行软件技术有限公司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成都网娱互动网络科技有限公司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632" w:right="98"/>
        <w:jc w:val="left"/>
      </w:pPr>
      <w:r>
        <w:rPr/>
        <w:t>（</w:t>
      </w:r>
      <w:r>
        <w:rPr>
          <w:rFonts w:ascii="宋体" w:hAnsi="宋体" w:cs="宋体" w:eastAsia="宋体" w:hint="default"/>
        </w:rPr>
        <w:t>1</w:t>
      </w:r>
      <w:r>
        <w:rPr/>
        <w:t>）增值税及享受的税收优惠政策 </w:t>
      </w:r>
      <w:r>
        <w:rPr>
          <w:spacing w:val="-1"/>
        </w:rPr>
        <w:t>本公司及子公司深圳市任网游科技发展有限公司（以下简称</w:t>
      </w:r>
      <w:r>
        <w:rPr>
          <w:rFonts w:ascii="宋体" w:hAnsi="宋体" w:cs="宋体" w:eastAsia="宋体" w:hint="default"/>
          <w:spacing w:val="-1"/>
        </w:rPr>
        <w:t>“</w:t>
      </w:r>
      <w:r>
        <w:rPr>
          <w:spacing w:val="-1"/>
        </w:rPr>
        <w:t>任网游公司</w:t>
      </w:r>
      <w:r>
        <w:rPr>
          <w:rFonts w:ascii="宋体" w:hAnsi="宋体" w:cs="宋体" w:eastAsia="宋体" w:hint="default"/>
          <w:spacing w:val="-1"/>
        </w:rPr>
        <w:t>”</w:t>
      </w:r>
      <w:r>
        <w:rPr>
          <w:spacing w:val="-1"/>
        </w:rPr>
        <w:t>）、深圳市任子行科技开发有限公司（以</w:t>
      </w:r>
    </w:p>
    <w:p>
      <w:pPr>
        <w:pStyle w:val="BodyText"/>
        <w:spacing w:line="316" w:lineRule="auto" w:before="18"/>
        <w:ind w:right="104"/>
        <w:jc w:val="both"/>
      </w:pPr>
      <w:r>
        <w:rPr>
          <w:spacing w:val="-2"/>
        </w:rPr>
        <w:t>下简称</w:t>
      </w:r>
      <w:r>
        <w:rPr>
          <w:rFonts w:ascii="宋体" w:hAnsi="宋体" w:cs="宋体" w:eastAsia="宋体" w:hint="default"/>
          <w:spacing w:val="-2"/>
        </w:rPr>
        <w:t>“</w:t>
      </w:r>
      <w:r>
        <w:rPr>
          <w:spacing w:val="-2"/>
        </w:rPr>
        <w:t>任子行科技</w:t>
      </w:r>
      <w:r>
        <w:rPr>
          <w:rFonts w:ascii="宋体" w:hAnsi="宋体" w:cs="宋体" w:eastAsia="宋体" w:hint="default"/>
          <w:spacing w:val="-2"/>
        </w:rPr>
        <w:t>”</w:t>
      </w:r>
      <w:r>
        <w:rPr>
          <w:spacing w:val="-2"/>
        </w:rPr>
        <w:t>）、深圳市博海通讯技术有限公司（以下简称</w:t>
      </w:r>
      <w:r>
        <w:rPr>
          <w:rFonts w:ascii="宋体" w:hAnsi="宋体" w:cs="宋体" w:eastAsia="宋体" w:hint="default"/>
          <w:spacing w:val="-2"/>
        </w:rPr>
        <w:t>“</w:t>
      </w:r>
      <w:r>
        <w:rPr>
          <w:spacing w:val="-2"/>
        </w:rPr>
        <w:t>博海通讯</w:t>
      </w:r>
      <w:r>
        <w:rPr>
          <w:rFonts w:ascii="宋体" w:hAnsi="宋体" w:cs="宋体" w:eastAsia="宋体" w:hint="default"/>
          <w:spacing w:val="-2"/>
        </w:rPr>
        <w:t>”</w:t>
      </w:r>
      <w:r>
        <w:rPr>
          <w:spacing w:val="-2"/>
        </w:rPr>
        <w:t>）、北京亚鸿世纪科技发展有限公司（以</w:t>
      </w:r>
      <w:r>
        <w:rPr>
          <w:spacing w:val="-68"/>
        </w:rPr>
        <w:t> </w:t>
      </w:r>
      <w:r>
        <w:rPr>
          <w:spacing w:val="-68"/>
        </w:rPr>
      </w:r>
      <w:r>
        <w:rPr/>
        <w:t>下简称</w:t>
      </w:r>
      <w:r>
        <w:rPr>
          <w:rFonts w:ascii="宋体" w:hAnsi="宋体" w:cs="宋体" w:eastAsia="宋体" w:hint="default"/>
        </w:rPr>
        <w:t>“</w:t>
      </w:r>
      <w:r>
        <w:rPr/>
        <w:t>亚鸿世纪</w:t>
      </w:r>
      <w:r>
        <w:rPr>
          <w:rFonts w:ascii="宋体" w:hAnsi="宋体" w:cs="宋体" w:eastAsia="宋体" w:hint="default"/>
        </w:rPr>
        <w:t>”</w:t>
      </w:r>
      <w:r>
        <w:rPr/>
        <w:t>）均为增值税一般纳税人，适用</w:t>
      </w:r>
      <w:r>
        <w:rPr>
          <w:spacing w:val="-41"/>
        </w:rPr>
        <w:t> </w:t>
      </w:r>
      <w:r>
        <w:rPr>
          <w:rFonts w:ascii="宋体" w:hAnsi="宋体" w:cs="宋体" w:eastAsia="宋体" w:hint="default"/>
        </w:rPr>
        <w:t>17%</w:t>
      </w:r>
      <w:r>
        <w:rPr/>
        <w:t>的基本税率。子公司苏州唐人数码科技有限公司（以下简称</w:t>
      </w:r>
      <w:r>
        <w:rPr>
          <w:rFonts w:ascii="宋体" w:hAnsi="宋体" w:cs="宋体" w:eastAsia="宋体" w:hint="default"/>
        </w:rPr>
        <w:t>“</w:t>
      </w:r>
      <w:r>
        <w:rPr/>
        <w:t>唐人</w:t>
      </w:r>
      <w:r>
        <w:rPr>
          <w:spacing w:val="-3"/>
        </w:rPr>
        <w:t> </w:t>
      </w:r>
      <w:r>
        <w:rPr>
          <w:spacing w:val="-2"/>
        </w:rPr>
        <w:t>数码</w:t>
      </w:r>
      <w:r>
        <w:rPr>
          <w:rFonts w:ascii="宋体" w:hAnsi="宋体" w:cs="宋体" w:eastAsia="宋体" w:hint="default"/>
          <w:spacing w:val="-2"/>
        </w:rPr>
        <w:t>”</w:t>
      </w:r>
      <w:r>
        <w:rPr>
          <w:spacing w:val="-2"/>
        </w:rPr>
        <w:t>）、唐人数码的子公司苏州争渡科技有限公司（以下简称</w:t>
      </w:r>
      <w:r>
        <w:rPr>
          <w:rFonts w:ascii="宋体" w:hAnsi="宋体" w:cs="宋体" w:eastAsia="宋体" w:hint="default"/>
          <w:spacing w:val="-2"/>
        </w:rPr>
        <w:t>“</w:t>
      </w:r>
      <w:r>
        <w:rPr>
          <w:spacing w:val="-2"/>
        </w:rPr>
        <w:t>争渡科技</w:t>
      </w:r>
      <w:r>
        <w:rPr>
          <w:rFonts w:ascii="宋体" w:hAnsi="宋体" w:cs="宋体" w:eastAsia="宋体" w:hint="default"/>
          <w:spacing w:val="-2"/>
        </w:rPr>
        <w:t>”</w:t>
      </w:r>
      <w:r>
        <w:rPr>
          <w:spacing w:val="-2"/>
        </w:rPr>
        <w:t>）为增值税一般纳税人，适用</w:t>
      </w:r>
      <w:r>
        <w:rPr>
          <w:spacing w:val="16"/>
        </w:rPr>
        <w:t> </w:t>
      </w:r>
      <w:r>
        <w:rPr>
          <w:rFonts w:ascii="宋体" w:hAnsi="宋体" w:cs="宋体" w:eastAsia="宋体" w:hint="default"/>
          <w:spacing w:val="-1"/>
        </w:rPr>
        <w:t>6%</w:t>
      </w:r>
      <w:r>
        <w:rPr>
          <w:spacing w:val="-1"/>
        </w:rPr>
        <w:t>的基本税率。</w:t>
      </w:r>
    </w:p>
    <w:p>
      <w:pPr>
        <w:pStyle w:val="BodyText"/>
        <w:spacing w:line="316" w:lineRule="auto" w:before="18"/>
        <w:ind w:right="88" w:firstLine="480"/>
        <w:jc w:val="left"/>
      </w:pPr>
      <w:r>
        <w:rPr>
          <w:spacing w:val="-2"/>
        </w:rPr>
        <w:t>根据国务院发布的国发</w:t>
      </w:r>
      <w:r>
        <w:rPr>
          <w:rFonts w:ascii="宋体" w:hAnsi="宋体" w:cs="宋体" w:eastAsia="宋体" w:hint="default"/>
          <w:spacing w:val="-2"/>
        </w:rPr>
        <w:t>[2000]18</w:t>
      </w:r>
      <w:r>
        <w:rPr>
          <w:spacing w:val="-2"/>
        </w:rPr>
        <w:t>号《国务院关于印发</w:t>
      </w:r>
      <w:r>
        <w:rPr>
          <w:rFonts w:ascii="宋体" w:hAnsi="宋体" w:cs="宋体" w:eastAsia="宋体" w:hint="default"/>
          <w:spacing w:val="-2"/>
        </w:rPr>
        <w:t>&lt;</w:t>
      </w:r>
      <w:r>
        <w:rPr>
          <w:spacing w:val="-2"/>
        </w:rPr>
        <w:t>鼓励软件产业和集成电路产业发展若干政策</w:t>
      </w:r>
      <w:r>
        <w:rPr>
          <w:rFonts w:ascii="宋体" w:hAnsi="宋体" w:cs="宋体" w:eastAsia="宋体" w:hint="default"/>
          <w:spacing w:val="-2"/>
        </w:rPr>
        <w:t>&gt;</w:t>
      </w:r>
      <w:r>
        <w:rPr>
          <w:spacing w:val="-2"/>
        </w:rPr>
        <w:t>的通知》和财政部、</w:t>
      </w:r>
      <w:r>
        <w:rPr/>
        <w:t> </w:t>
      </w:r>
      <w:r>
        <w:rPr>
          <w:spacing w:val="-2"/>
        </w:rPr>
        <w:t>国家税务总局、海关总署发布的财税</w:t>
      </w:r>
      <w:r>
        <w:rPr>
          <w:rFonts w:ascii="宋体" w:hAnsi="宋体" w:cs="宋体" w:eastAsia="宋体" w:hint="default"/>
          <w:spacing w:val="-2"/>
        </w:rPr>
        <w:t>[2000]25</w:t>
      </w:r>
      <w:r>
        <w:rPr>
          <w:spacing w:val="-2"/>
        </w:rPr>
        <w:t>号《关于鼓励软件产业和集成电路产业发展有关税收政策问题的通知》以及国</w:t>
      </w:r>
      <w:r>
        <w:rPr>
          <w:spacing w:val="-59"/>
        </w:rPr>
        <w:t> </w:t>
      </w:r>
      <w:r>
        <w:rPr>
          <w:spacing w:val="-59"/>
        </w:rPr>
      </w:r>
      <w:r>
        <w:rPr>
          <w:spacing w:val="-2"/>
        </w:rPr>
        <w:t>务院</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日发布的国发</w:t>
      </w:r>
      <w:r>
        <w:rPr>
          <w:rFonts w:ascii="宋体" w:hAnsi="宋体" w:cs="宋体" w:eastAsia="宋体" w:hint="default"/>
          <w:spacing w:val="-2"/>
        </w:rPr>
        <w:t>[2011]4</w:t>
      </w:r>
      <w:r>
        <w:rPr>
          <w:spacing w:val="-2"/>
        </w:rPr>
        <w:t>号《关于印发进一步鼓励软件产业和集成电路产业发展若干政策的通知》中的有关规</w:t>
      </w:r>
      <w:r>
        <w:rPr>
          <w:spacing w:val="-58"/>
        </w:rPr>
        <w:t> </w:t>
      </w:r>
      <w:r>
        <w:rPr>
          <w:spacing w:val="-58"/>
        </w:rPr>
      </w:r>
      <w:r>
        <w:rPr/>
        <w:t>定，本公司及子公司销售自行开发生产的软件产品，按</w:t>
      </w:r>
      <w:r>
        <w:rPr>
          <w:rFonts w:ascii="宋体" w:hAnsi="宋体" w:cs="宋体" w:eastAsia="宋体" w:hint="default"/>
        </w:rPr>
        <w:t>17</w:t>
      </w:r>
      <w:r>
        <w:rPr/>
        <w:t>％的法定税率征收增值税后，增值税实际税负超过</w:t>
      </w:r>
      <w:r>
        <w:rPr>
          <w:rFonts w:ascii="宋体" w:hAnsi="宋体" w:cs="宋体" w:eastAsia="宋体" w:hint="default"/>
        </w:rPr>
        <w:t>3</w:t>
      </w:r>
      <w:r>
        <w:rPr/>
        <w:t>％的部分实行 即征即退政策。</w:t>
      </w:r>
    </w:p>
    <w:p>
      <w:pPr>
        <w:pStyle w:val="BodyText"/>
        <w:spacing w:line="240" w:lineRule="auto" w:before="18"/>
        <w:ind w:left="632" w:right="98"/>
        <w:jc w:val="left"/>
      </w:pPr>
      <w:r>
        <w:rPr>
          <w:rFonts w:ascii="宋体" w:hAnsi="宋体" w:cs="宋体" w:eastAsia="宋体" w:hint="default"/>
        </w:rPr>
        <w:t>2012</w:t>
      </w:r>
      <w:r>
        <w:rPr/>
        <w:t>年</w:t>
      </w:r>
      <w:r>
        <w:rPr>
          <w:rFonts w:ascii="宋体" w:hAnsi="宋体" w:cs="宋体" w:eastAsia="宋体" w:hint="default"/>
        </w:rPr>
        <w:t>9</w:t>
      </w:r>
      <w:r>
        <w:rPr/>
        <w:t>月，根据财政部、国家税务总局《关于印发</w:t>
      </w:r>
      <w:r>
        <w:rPr>
          <w:rFonts w:ascii="宋体" w:hAnsi="宋体" w:cs="宋体" w:eastAsia="宋体" w:hint="default"/>
        </w:rPr>
        <w:t>&lt;</w:t>
      </w:r>
      <w:r>
        <w:rPr/>
        <w:t>营业税改征增值税试点方案</w:t>
      </w:r>
      <w:r>
        <w:rPr>
          <w:rFonts w:ascii="宋体" w:hAnsi="宋体" w:cs="宋体" w:eastAsia="宋体" w:hint="default"/>
        </w:rPr>
        <w:t>&gt;</w:t>
      </w:r>
      <w:r>
        <w:rPr>
          <w:rFonts w:ascii="宋体" w:hAnsi="宋体" w:cs="宋体" w:eastAsia="宋体" w:hint="default"/>
          <w:spacing w:val="-1"/>
        </w:rPr>
        <w:t> </w:t>
      </w:r>
      <w:r>
        <w:rPr/>
        <w:t>的通知》（财税</w:t>
      </w:r>
      <w:r>
        <w:rPr>
          <w:rFonts w:ascii="宋体" w:hAnsi="宋体" w:cs="宋体" w:eastAsia="宋体" w:hint="default"/>
        </w:rPr>
        <w:t>[2011]110</w:t>
      </w:r>
      <w:r>
        <w:rPr/>
        <w:t>号），</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1"/>
        <w:jc w:val="both"/>
      </w:pPr>
      <w:r>
        <w:rPr>
          <w:spacing w:val="-6"/>
        </w:rPr>
        <w:t>财政部、国家税务总局《关于在北京等</w:t>
      </w:r>
      <w:r>
        <w:rPr>
          <w:rFonts w:ascii="宋体" w:hAnsi="宋体" w:cs="宋体" w:eastAsia="宋体" w:hint="default"/>
          <w:spacing w:val="-6"/>
        </w:rPr>
        <w:t>8</w:t>
      </w:r>
      <w:r>
        <w:rPr>
          <w:spacing w:val="-6"/>
        </w:rPr>
        <w:t>省市开展交通运输业和部分现代服务也营业税改征增值税试点的通知》（财税</w:t>
      </w:r>
      <w:r>
        <w:rPr>
          <w:rFonts w:ascii="宋体" w:hAnsi="宋体" w:cs="宋体" w:eastAsia="宋体" w:hint="default"/>
          <w:spacing w:val="-6"/>
        </w:rPr>
        <w:t>[2012]71</w:t>
      </w:r>
      <w:r>
        <w:rPr>
          <w:rFonts w:ascii="宋体" w:hAnsi="宋体" w:cs="宋体" w:eastAsia="宋体" w:hint="default"/>
          <w:spacing w:val="-85"/>
        </w:rPr>
        <w:t> </w:t>
      </w:r>
      <w:r>
        <w:rPr>
          <w:rFonts w:ascii="宋体" w:hAnsi="宋体" w:cs="宋体" w:eastAsia="宋体" w:hint="default"/>
          <w:spacing w:val="-85"/>
        </w:rPr>
      </w:r>
      <w:r>
        <w:rPr>
          <w:spacing w:val="-2"/>
        </w:rPr>
        <w:t>号）以及深圳市国家税务局、深圳市地方税务局《关于深圳市营业税改征增值税试点纳税人办理税收业务的通告》深国税告</w:t>
      </w:r>
      <w:r>
        <w:rPr>
          <w:spacing w:val="-64"/>
        </w:rPr>
        <w:t> </w:t>
      </w:r>
      <w:r>
        <w:rPr>
          <w:spacing w:val="-64"/>
        </w:rPr>
      </w:r>
      <w:r>
        <w:rPr>
          <w:rFonts w:ascii="宋体" w:hAnsi="宋体" w:cs="宋体" w:eastAsia="宋体" w:hint="default"/>
        </w:rPr>
        <w:t>[2012]11</w:t>
      </w:r>
      <w:r>
        <w:rPr/>
        <w:t>号规定，本公司及子公司自</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日起，从事技术转让、技术开发业务和与之相关的技术咨询、技术服务业 务取得的收入由征收营业税改为增值税，增值税执行税率为</w:t>
      </w:r>
      <w:r>
        <w:rPr>
          <w:rFonts w:ascii="宋体" w:hAnsi="宋体" w:cs="宋体" w:eastAsia="宋体" w:hint="default"/>
        </w:rPr>
        <w:t>6%</w:t>
      </w:r>
      <w:r>
        <w:rPr/>
        <w:t>。</w:t>
      </w:r>
    </w:p>
    <w:p>
      <w:pPr>
        <w:pStyle w:val="BodyText"/>
        <w:spacing w:line="240" w:lineRule="auto" w:before="18"/>
        <w:ind w:left="632" w:right="98"/>
        <w:jc w:val="left"/>
      </w:pPr>
      <w:r>
        <w:rPr/>
        <w:t>根据《财政部、国家税务总局关于在全国开展交通运输业和部分现代服务业营业税改征增值税试点税收政策的通知》</w:t>
      </w:r>
    </w:p>
    <w:p>
      <w:pPr>
        <w:pStyle w:val="BodyText"/>
        <w:spacing w:line="316" w:lineRule="auto" w:before="76"/>
        <w:ind w:right="184"/>
        <w:jc w:val="left"/>
      </w:pPr>
      <w:r>
        <w:rPr/>
        <w:t>（财税〔</w:t>
      </w:r>
      <w:r>
        <w:rPr>
          <w:rFonts w:ascii="宋体" w:hAnsi="宋体" w:cs="宋体" w:eastAsia="宋体" w:hint="default"/>
        </w:rPr>
        <w:t>2013</w:t>
      </w:r>
      <w:r>
        <w:rPr/>
        <w:t>〕</w:t>
      </w:r>
      <w:r>
        <w:rPr>
          <w:rFonts w:ascii="宋体" w:hAnsi="宋体" w:cs="宋体" w:eastAsia="宋体" w:hint="default"/>
        </w:rPr>
        <w:t>37</w:t>
      </w:r>
      <w:r>
        <w:rPr/>
        <w:t>号）附件</w:t>
      </w:r>
      <w:r>
        <w:rPr>
          <w:rFonts w:ascii="宋体" w:hAnsi="宋体" w:cs="宋体" w:eastAsia="宋体" w:hint="default"/>
        </w:rPr>
        <w:t>3</w:t>
      </w:r>
      <w:r>
        <w:rPr/>
        <w:t>《交通运输业和部分现代服务业营业税改征增值税试点过渡政策的规定》第一条，试点纳税人 提供技术转让、技术开发和与之相关的技术咨询、技术服务，免征增值税。</w:t>
      </w:r>
    </w:p>
    <w:p>
      <w:pPr>
        <w:pStyle w:val="BodyText"/>
        <w:spacing w:line="240" w:lineRule="auto" w:before="18"/>
        <w:ind w:left="632" w:right="98"/>
        <w:jc w:val="left"/>
      </w:pPr>
      <w:r>
        <w:rPr/>
        <w:t>（</w:t>
      </w:r>
      <w:r>
        <w:rPr>
          <w:rFonts w:ascii="宋体" w:hAnsi="宋体" w:cs="宋体" w:eastAsia="宋体" w:hint="default"/>
        </w:rPr>
        <w:t>2</w:t>
      </w:r>
      <w:r>
        <w:rPr/>
        <w:t>）企业所得税及享受的税收优惠政策</w:t>
      </w:r>
    </w:p>
    <w:p>
      <w:pPr>
        <w:pStyle w:val="BodyText"/>
        <w:spacing w:line="240" w:lineRule="auto" w:before="76"/>
        <w:ind w:left="632" w:right="98"/>
        <w:jc w:val="left"/>
      </w:pPr>
      <w:r>
        <w:rPr/>
        <w:t>①</w:t>
      </w:r>
      <w:r>
        <w:rPr>
          <w:rFonts w:ascii="宋体" w:hAnsi="宋体" w:cs="宋体" w:eastAsia="宋体" w:hint="default"/>
        </w:rPr>
        <w:t>2013</w:t>
      </w:r>
      <w:r>
        <w:rPr/>
        <w:t>年</w:t>
      </w:r>
      <w:r>
        <w:rPr>
          <w:rFonts w:ascii="宋体" w:hAnsi="宋体" w:cs="宋体" w:eastAsia="宋体" w:hint="default"/>
        </w:rPr>
        <w:t>12</w:t>
      </w:r>
      <w:r>
        <w:rPr/>
        <w:t>月，本公司被国家发展和改革委员会、工业和信息化部、财政部、商务部和国家税务总局联合认定为</w:t>
      </w:r>
    </w:p>
    <w:p>
      <w:pPr>
        <w:pStyle w:val="BodyText"/>
        <w:spacing w:line="240" w:lineRule="auto" w:before="76"/>
        <w:ind w:right="98"/>
        <w:jc w:val="left"/>
      </w:pPr>
      <w:r>
        <w:rPr>
          <w:rFonts w:ascii="宋体" w:hAnsi="宋体" w:cs="宋体" w:eastAsia="宋体" w:hint="default"/>
          <w:spacing w:val="-2"/>
        </w:rPr>
        <w:t>2013-2014</w:t>
      </w:r>
      <w:r>
        <w:rPr>
          <w:spacing w:val="-2"/>
        </w:rPr>
        <w:t>年度国家规划布局内重点软件企业。根据《关于进一步鼓励软件产业和集成电路产业发展企业所得税政策的通知》</w:t>
      </w:r>
    </w:p>
    <w:p>
      <w:pPr>
        <w:pStyle w:val="BodyText"/>
        <w:spacing w:line="316" w:lineRule="auto" w:before="76"/>
        <w:ind w:right="184"/>
        <w:jc w:val="left"/>
      </w:pPr>
      <w:r>
        <w:rPr/>
        <w:t>（财税</w:t>
      </w:r>
      <w:r>
        <w:rPr>
          <w:rFonts w:ascii="宋体" w:hAnsi="宋体" w:cs="宋体" w:eastAsia="宋体" w:hint="default"/>
        </w:rPr>
        <w:t>[2012]27</w:t>
      </w:r>
      <w:r>
        <w:rPr/>
        <w:t>号）关于</w:t>
      </w:r>
      <w:r>
        <w:rPr>
          <w:rFonts w:ascii="宋体" w:hAnsi="宋体" w:cs="宋体" w:eastAsia="宋体" w:hint="default"/>
        </w:rPr>
        <w:t>“</w:t>
      </w:r>
      <w:r>
        <w:rPr/>
        <w:t>国家规划布局内的重点软件企业和集成电路设计企业，如当年未享受免税优惠的，可减按</w:t>
      </w:r>
      <w:r>
        <w:rPr>
          <w:rFonts w:ascii="宋体" w:hAnsi="宋体" w:cs="宋体" w:eastAsia="宋体" w:hint="default"/>
        </w:rPr>
        <w:t>10%</w:t>
      </w:r>
      <w:r>
        <w:rPr/>
        <w:t>的 税率征收企业所得税</w:t>
      </w:r>
      <w:r>
        <w:rPr>
          <w:rFonts w:ascii="宋体" w:hAnsi="宋体" w:cs="宋体" w:eastAsia="宋体" w:hint="default"/>
        </w:rPr>
        <w:t>”</w:t>
      </w:r>
      <w:r>
        <w:rPr/>
        <w:t>的规定，本公司</w:t>
      </w:r>
      <w:r>
        <w:rPr>
          <w:rFonts w:ascii="宋体" w:hAnsi="宋体" w:cs="宋体" w:eastAsia="宋体" w:hint="default"/>
        </w:rPr>
        <w:t>2014</w:t>
      </w:r>
      <w:r>
        <w:rPr/>
        <w:t>年度企业所得税按</w:t>
      </w:r>
      <w:r>
        <w:rPr>
          <w:rFonts w:ascii="宋体" w:hAnsi="宋体" w:cs="宋体" w:eastAsia="宋体" w:hint="default"/>
        </w:rPr>
        <w:t>10%</w:t>
      </w:r>
      <w:r>
        <w:rPr/>
        <w:t>的税率缴纳。</w:t>
      </w:r>
    </w:p>
    <w:p>
      <w:pPr>
        <w:pStyle w:val="BodyText"/>
        <w:spacing w:line="316" w:lineRule="auto" w:before="18"/>
        <w:ind w:left="632" w:right="1955" w:hanging="1"/>
        <w:jc w:val="left"/>
      </w:pPr>
      <w:r>
        <w:rPr/>
        <w:t>本公司于</w:t>
      </w:r>
      <w:r>
        <w:rPr>
          <w:rFonts w:ascii="宋体" w:hAnsi="宋体" w:cs="宋体" w:eastAsia="宋体" w:hint="default"/>
        </w:rPr>
        <w:t>2014</w:t>
      </w:r>
      <w:r>
        <w:rPr/>
        <w:t>年被认定为国家高新技术企业，自</w:t>
      </w:r>
      <w:r>
        <w:rPr>
          <w:rFonts w:ascii="宋体" w:hAnsi="宋体" w:cs="宋体" w:eastAsia="宋体" w:hint="default"/>
        </w:rPr>
        <w:t>2015</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 报告期内本公司与所属分公司汇总缴纳企业所得税。</w:t>
      </w:r>
    </w:p>
    <w:p>
      <w:pPr>
        <w:pStyle w:val="BodyText"/>
        <w:spacing w:line="316" w:lineRule="auto" w:before="18"/>
        <w:ind w:left="153" w:right="192" w:firstLine="479"/>
        <w:jc w:val="both"/>
      </w:pPr>
      <w:r>
        <w:rPr/>
        <w:t>②任网游公司于</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5</w:t>
      </w:r>
      <w:r>
        <w:rPr/>
        <w:t>日被深圳市科技和信息局认定为软件企业，领取编号为深</w:t>
      </w:r>
      <w:r>
        <w:rPr>
          <w:rFonts w:ascii="宋体" w:hAnsi="宋体" w:cs="宋体" w:eastAsia="宋体" w:hint="default"/>
        </w:rPr>
        <w:t>R-2007-0105</w:t>
      </w:r>
      <w:r>
        <w:rPr/>
        <w:t>号软件企业认定证 书。</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4</w:t>
      </w:r>
      <w:r>
        <w:rPr/>
        <w:t>日，经深圳市南山区国家税务局以深国税南减免备案【</w:t>
      </w:r>
      <w:r>
        <w:rPr>
          <w:rFonts w:ascii="宋体" w:hAnsi="宋体" w:cs="宋体" w:eastAsia="宋体" w:hint="default"/>
        </w:rPr>
        <w:t>2010</w:t>
      </w:r>
      <w:r>
        <w:rPr/>
        <w:t>】</w:t>
      </w:r>
      <w:r>
        <w:rPr>
          <w:rFonts w:ascii="宋体" w:hAnsi="宋体" w:cs="宋体" w:eastAsia="宋体" w:hint="default"/>
        </w:rPr>
        <w:t>395</w:t>
      </w:r>
      <w:r>
        <w:rPr/>
        <w:t>号税收优惠登记备案通知书告知任网游公 </w:t>
      </w:r>
      <w:r>
        <w:rPr>
          <w:spacing w:val="-2"/>
        </w:rPr>
        <w:t>司自开始获利年度起，两年免征企业所得税，三年减半征收企业所得税。任网游公司</w:t>
      </w:r>
      <w:r>
        <w:rPr>
          <w:rFonts w:ascii="宋体" w:hAnsi="宋体" w:cs="宋体" w:eastAsia="宋体" w:hint="default"/>
          <w:spacing w:val="-2"/>
        </w:rPr>
        <w:t>2010</w:t>
      </w:r>
      <w:r>
        <w:rPr>
          <w:spacing w:val="-2"/>
        </w:rPr>
        <w:t>年度为开始获利年度，</w:t>
      </w:r>
      <w:r>
        <w:rPr>
          <w:rFonts w:ascii="宋体" w:hAnsi="宋体" w:cs="宋体" w:eastAsia="宋体" w:hint="default"/>
          <w:spacing w:val="-2"/>
        </w:rPr>
        <w:t>2014</w:t>
      </w:r>
      <w:r>
        <w:rPr>
          <w:spacing w:val="-2"/>
        </w:rPr>
        <w:t>年度享</w:t>
      </w:r>
      <w:r>
        <w:rPr>
          <w:spacing w:val="-62"/>
        </w:rPr>
        <w:t> </w:t>
      </w:r>
      <w:r>
        <w:rPr/>
        <w:t>受减半征收企业所得税优惠。</w:t>
      </w:r>
    </w:p>
    <w:p>
      <w:pPr>
        <w:pStyle w:val="BodyText"/>
        <w:spacing w:line="240" w:lineRule="auto" w:before="18"/>
        <w:ind w:left="633" w:right="98"/>
        <w:jc w:val="left"/>
      </w:pPr>
      <w:r>
        <w:rPr/>
        <w:t>任网游于</w:t>
      </w:r>
      <w:r>
        <w:rPr>
          <w:rFonts w:ascii="宋体" w:hAnsi="宋体" w:cs="宋体" w:eastAsia="宋体" w:hint="default"/>
        </w:rPr>
        <w:t>2014</w:t>
      </w:r>
      <w:r>
        <w:rPr/>
        <w:t>年被认定为国家高新技术企业，自</w:t>
      </w:r>
      <w:r>
        <w:rPr>
          <w:rFonts w:ascii="宋体" w:hAnsi="宋体" w:cs="宋体" w:eastAsia="宋体" w:hint="default"/>
        </w:rPr>
        <w:t>2015</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w:t>
      </w:r>
    </w:p>
    <w:p>
      <w:pPr>
        <w:pStyle w:val="BodyText"/>
        <w:spacing w:line="240" w:lineRule="auto" w:before="76"/>
        <w:ind w:left="633" w:right="98"/>
        <w:jc w:val="left"/>
      </w:pPr>
      <w:r>
        <w:rPr/>
        <w:t>③任子行科技于</w:t>
      </w:r>
      <w:r>
        <w:rPr>
          <w:rFonts w:ascii="宋体" w:hAnsi="宋体" w:cs="宋体" w:eastAsia="宋体" w:hint="default"/>
        </w:rPr>
        <w:t>2014</w:t>
      </w:r>
      <w:r>
        <w:rPr/>
        <w:t>年被认定为国家高新技术企业，自</w:t>
      </w:r>
      <w:r>
        <w:rPr>
          <w:rFonts w:ascii="宋体" w:hAnsi="宋体" w:cs="宋体" w:eastAsia="宋体" w:hint="default"/>
        </w:rPr>
        <w:t>2014</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w:t>
      </w:r>
    </w:p>
    <w:p>
      <w:pPr>
        <w:pStyle w:val="BodyText"/>
        <w:spacing w:line="240" w:lineRule="auto" w:before="76"/>
        <w:ind w:left="633" w:right="98"/>
        <w:jc w:val="left"/>
      </w:pPr>
      <w:r>
        <w:rPr/>
        <w:t>④唐人数码于</w:t>
      </w:r>
      <w:r>
        <w:rPr>
          <w:rFonts w:ascii="宋体" w:hAnsi="宋体" w:cs="宋体" w:eastAsia="宋体" w:hint="default"/>
        </w:rPr>
        <w:t>2014</w:t>
      </w:r>
      <w:r>
        <w:rPr/>
        <w:t>年被认定为高新技术企业，自</w:t>
      </w:r>
      <w:r>
        <w:rPr>
          <w:rFonts w:ascii="宋体" w:hAnsi="宋体" w:cs="宋体" w:eastAsia="宋体" w:hint="default"/>
        </w:rPr>
        <w:t>2014</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w:t>
      </w:r>
    </w:p>
    <w:p>
      <w:pPr>
        <w:pStyle w:val="BodyText"/>
        <w:spacing w:line="316" w:lineRule="auto" w:before="76"/>
        <w:ind w:left="153" w:right="192" w:firstLine="480"/>
        <w:jc w:val="both"/>
      </w:pPr>
      <w:r>
        <w:rPr>
          <w:spacing w:val="-1"/>
        </w:rPr>
        <w:t>⑤根据《中华人民共和国企业所得税法》及其相关规定，对未形成无形资产计入当期损益的研究开发费用，在按照规</w:t>
      </w:r>
      <w:r>
        <w:rPr/>
        <w:t> 定据实扣除的基础上，加计扣除</w:t>
      </w:r>
      <w:r>
        <w:rPr>
          <w:rFonts w:ascii="宋体" w:hAnsi="宋体" w:cs="宋体" w:eastAsia="宋体" w:hint="default"/>
        </w:rPr>
        <w:t>50%</w:t>
      </w:r>
      <w:r>
        <w:rPr/>
        <w:t>。本公司及子公司享受该政策优惠。</w:t>
      </w:r>
    </w:p>
    <w:p>
      <w:pPr>
        <w:pStyle w:val="BodyText"/>
        <w:spacing w:line="316" w:lineRule="auto" w:before="18"/>
        <w:ind w:left="153" w:right="189" w:firstLine="479"/>
        <w:jc w:val="both"/>
      </w:pPr>
      <w:r>
        <w:rPr/>
        <w:t>⑥根据《财政部、国家税务总局关于企业所得税若干优惠政策的通知》</w:t>
      </w:r>
      <w:r>
        <w:rPr>
          <w:rFonts w:ascii="宋体" w:hAnsi="宋体" w:cs="宋体" w:eastAsia="宋体" w:hint="default"/>
        </w:rPr>
        <w:t>(</w:t>
      </w:r>
      <w:r>
        <w:rPr/>
        <w:t>财税</w:t>
      </w:r>
      <w:r>
        <w:rPr>
          <w:rFonts w:ascii="宋体" w:hAnsi="宋体" w:cs="宋体" w:eastAsia="宋体" w:hint="default"/>
        </w:rPr>
        <w:t>[2008]1</w:t>
      </w:r>
      <w:r>
        <w:rPr>
          <w:rFonts w:ascii="宋体" w:hAnsi="宋体" w:cs="宋体" w:eastAsia="宋体" w:hint="default"/>
          <w:spacing w:val="-23"/>
        </w:rPr>
        <w:t> </w:t>
      </w:r>
      <w:r>
        <w:rPr/>
        <w:t>号</w:t>
      </w:r>
      <w:r>
        <w:rPr>
          <w:rFonts w:ascii="宋体" w:hAnsi="宋体" w:cs="宋体" w:eastAsia="宋体" w:hint="default"/>
        </w:rPr>
        <w:t>)</w:t>
      </w:r>
      <w:r>
        <w:rPr/>
        <w:t>，软件生产企业实行增值税 </w:t>
      </w:r>
      <w:r>
        <w:rPr>
          <w:spacing w:val="-2"/>
        </w:rPr>
        <w:t>即征即退政策所退还的税款，由企业用于研究开发软件产品和扩大再生产，不作为企业所得税应税收入，不予征收企业所得</w:t>
      </w:r>
      <w:r>
        <w:rPr>
          <w:spacing w:val="-63"/>
        </w:rPr>
        <w:t> </w:t>
      </w:r>
      <w:r>
        <w:rPr>
          <w:spacing w:val="-63"/>
        </w:rPr>
      </w:r>
      <w:r>
        <w:rPr/>
        <w:t>税。本公司对于销售自行开发生产的软件产品的部分而产生的营业收入享受该政策优惠。</w:t>
      </w:r>
    </w:p>
    <w:p>
      <w:pPr>
        <w:spacing w:line="240" w:lineRule="auto" w:before="12"/>
        <w:rPr>
          <w:rFonts w:ascii="宋体" w:hAnsi="宋体" w:cs="宋体" w:eastAsia="宋体" w:hint="default"/>
          <w:sz w:val="22"/>
          <w:szCs w:val="22"/>
        </w:rPr>
      </w:pPr>
    </w:p>
    <w:p>
      <w:pPr>
        <w:spacing w:line="487" w:lineRule="auto" w:before="0"/>
        <w:ind w:left="152" w:right="6923" w:firstLine="0"/>
        <w:jc w:val="left"/>
        <w:rPr>
          <w:rFonts w:ascii="宋体" w:hAnsi="宋体" w:cs="宋体" w:eastAsia="宋体" w:hint="default"/>
          <w:sz w:val="21"/>
          <w:szCs w:val="21"/>
        </w:rPr>
      </w:pPr>
      <w:bookmarkStart w:name="3、其他" w:id="217"/>
      <w:bookmarkEnd w:id="2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18"/>
      <w:bookmarkEnd w:id="218"/>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19"/>
      <w:bookmarkEnd w:id="2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165,398.69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124,279.44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345,057,810.16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259,876,577.95</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24,411.92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2,791,016.01</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345,247,620.77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262,791,873.40</w:t>
            </w:r>
            <w:r>
              <w:rPr>
                <w:rFonts w:ascii="Times New Roman"/>
                <w:sz w:val="18"/>
              </w:rPr>
            </w:r>
          </w:p>
        </w:tc>
      </w:tr>
    </w:tbl>
    <w:p>
      <w:pPr>
        <w:pStyle w:val="BodyText"/>
        <w:spacing w:line="240" w:lineRule="auto" w:before="49"/>
        <w:ind w:right="98"/>
        <w:jc w:val="left"/>
      </w:pPr>
      <w:r>
        <w:rPr/>
        <w:t>其他说明</w:t>
      </w:r>
    </w:p>
    <w:p>
      <w:pPr>
        <w:pStyle w:val="Heading3"/>
        <w:spacing w:line="240" w:lineRule="auto"/>
        <w:ind w:right="98"/>
        <w:jc w:val="left"/>
      </w:pPr>
      <w:r>
        <w:rPr/>
        <w:t>期末其他货币资金中</w:t>
      </w:r>
      <w:r>
        <w:rPr>
          <w:rFonts w:ascii="Times New Roman" w:hAnsi="Times New Roman" w:cs="Times New Roman" w:eastAsia="Times New Roman" w:hint="default"/>
        </w:rPr>
        <w:t>3,611.92</w:t>
      </w:r>
      <w:r>
        <w:rPr/>
        <w:t>元被银行冻结；</w:t>
      </w:r>
      <w:r>
        <w:rPr>
          <w:rFonts w:ascii="Times New Roman" w:hAnsi="Times New Roman" w:cs="Times New Roman" w:eastAsia="Times New Roman" w:hint="default"/>
        </w:rPr>
        <w:t>20,800.00</w:t>
      </w:r>
      <w:r>
        <w:rPr/>
        <w:t>元用作保函保证金。</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应收票据" w:id="220"/>
      <w:bookmarkEnd w:id="220"/>
      <w:r>
        <w:rPr>
          <w:b w:val="0"/>
          <w:bCs w:val="0"/>
        </w:rPr>
      </w: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879,833.75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879,833.75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应收账款" w:id="222"/>
      <w:bookmarkEnd w:id="2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139,872,</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529.77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18,210,3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88.71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121,662,1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41.06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76,321,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499.33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10,915,69</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8.80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65,405,800.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139,872,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529.77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18,210,3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88.71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121,662,1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41.06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76,321,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499.33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10,915,69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8.80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65,405,800.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2" w:header="745"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108,427,873.54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5,437,295.40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108,427,873.54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5,437,295.40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18,906,406.78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1,890,640.68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2,365,424.03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709,627.21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10,172,825.42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10,172,825.42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139,872,529.77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18,210,388.71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确定该组合依据的说明：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38" w:lineRule="auto" w:before="117"/>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8"/>
          <w:pgSz w:w="11910" w:h="16840"/>
          <w:pgMar w:footer="982" w:header="745" w:top="1060" w:bottom="1180" w:left="980" w:right="980"/>
          <w:pgNumType w:start="101"/>
        </w:sectPr>
      </w:pPr>
    </w:p>
    <w:p>
      <w:pPr>
        <w:pStyle w:val="BodyText"/>
        <w:spacing w:line="340" w:lineRule="auto" w:before="44"/>
        <w:ind w:right="-13"/>
        <w:jc w:val="left"/>
      </w:pPr>
      <w:r>
        <w:rPr/>
        <w:t>本期计提坏账准备金额</w:t>
      </w:r>
      <w:r>
        <w:rPr>
          <w:spacing w:val="-48"/>
        </w:rPr>
        <w:t> </w:t>
      </w:r>
      <w:r>
        <w:rPr>
          <w:rFonts w:ascii="Times New Roman" w:hAnsi="Times New Roman" w:cs="Times New Roman" w:eastAsia="Times New Roman" w:hint="default"/>
        </w:rPr>
        <w:t>7,294,689.91</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50" w:space="2777"/>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bookmarkStart w:name="（3）按欠款方归集的期末余额前五名的应收账款情况" w:id="225"/>
      <w:bookmarkEnd w:id="22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975"/>
        <w:gridCol w:w="2174"/>
        <w:gridCol w:w="2213"/>
        <w:gridCol w:w="2160"/>
      </w:tblGrid>
      <w:tr>
        <w:trPr>
          <w:trHeight w:val="355" w:hRule="exact"/>
        </w:trPr>
        <w:tc>
          <w:tcPr>
            <w:tcW w:w="1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528"/>
              <w:jc w:val="right"/>
              <w:rPr>
                <w:rFonts w:ascii="宋体" w:hAnsi="宋体" w:cs="宋体" w:eastAsia="宋体" w:hint="default"/>
                <w:sz w:val="18"/>
                <w:szCs w:val="18"/>
              </w:rPr>
            </w:pPr>
            <w:r>
              <w:rPr>
                <w:rFonts w:ascii="宋体" w:hAnsi="宋体" w:cs="宋体" w:eastAsia="宋体" w:hint="default"/>
                <w:sz w:val="18"/>
                <w:szCs w:val="18"/>
              </w:rPr>
              <w:t>前五名</w:t>
            </w: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9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528"/>
              <w:jc w:val="right"/>
              <w:rPr>
                <w:rFonts w:ascii="宋体" w:hAnsi="宋体" w:cs="宋体" w:eastAsia="宋体" w:hint="default"/>
                <w:sz w:val="18"/>
                <w:szCs w:val="18"/>
              </w:rPr>
            </w:pPr>
            <w:r>
              <w:rPr>
                <w:rFonts w:ascii="宋体" w:hAnsi="宋体" w:cs="宋体" w:eastAsia="宋体" w:hint="default"/>
                <w:sz w:val="18"/>
                <w:szCs w:val="18"/>
              </w:rPr>
              <w:t>第一名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29,230,981.50</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20" w:right="0"/>
              <w:jc w:val="left"/>
              <w:rPr>
                <w:rFonts w:ascii="Times New Roman" w:hAnsi="Times New Roman" w:cs="Times New Roman" w:eastAsia="Times New Roman" w:hint="default"/>
                <w:sz w:val="18"/>
                <w:szCs w:val="18"/>
              </w:rPr>
            </w:pPr>
            <w:r>
              <w:rPr>
                <w:rFonts w:ascii="Times New Roman"/>
                <w:sz w:val="18"/>
              </w:rPr>
              <w:t>20.90%</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1,461,549.08</w:t>
            </w:r>
            <w:r>
              <w:rPr>
                <w:rFonts w:ascii="Times New Roman"/>
                <w:sz w:val="18"/>
              </w:rPr>
            </w:r>
          </w:p>
        </w:tc>
      </w:tr>
      <w:tr>
        <w:trPr>
          <w:trHeight w:val="353"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hAnsi="宋体" w:cs="宋体" w:eastAsia="宋体" w:hint="default"/>
                <w:sz w:val="18"/>
                <w:szCs w:val="18"/>
              </w:rPr>
              <w:t>第二名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19,490,700.00</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20" w:right="0"/>
              <w:jc w:val="left"/>
              <w:rPr>
                <w:rFonts w:ascii="Times New Roman" w:hAnsi="Times New Roman" w:cs="Times New Roman" w:eastAsia="Times New Roman" w:hint="default"/>
                <w:sz w:val="18"/>
                <w:szCs w:val="18"/>
              </w:rPr>
            </w:pPr>
            <w:r>
              <w:rPr>
                <w:rFonts w:ascii="Times New Roman"/>
                <w:sz w:val="18"/>
              </w:rPr>
              <w:t>13.93%</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974,535.00</w:t>
            </w:r>
          </w:p>
        </w:tc>
      </w:tr>
      <w:tr>
        <w:trPr>
          <w:trHeight w:val="353"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528"/>
              <w:jc w:val="right"/>
              <w:rPr>
                <w:rFonts w:ascii="宋体" w:hAnsi="宋体" w:cs="宋体" w:eastAsia="宋体" w:hint="default"/>
                <w:sz w:val="18"/>
                <w:szCs w:val="18"/>
              </w:rPr>
            </w:pPr>
            <w:r>
              <w:rPr>
                <w:rFonts w:ascii="宋体" w:hAnsi="宋体" w:cs="宋体" w:eastAsia="宋体" w:hint="default"/>
                <w:sz w:val="18"/>
                <w:szCs w:val="18"/>
              </w:rPr>
              <w:t>第三名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16,276,820.84</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20" w:right="0"/>
              <w:jc w:val="left"/>
              <w:rPr>
                <w:rFonts w:ascii="Times New Roman" w:hAnsi="Times New Roman" w:cs="Times New Roman" w:eastAsia="Times New Roman" w:hint="default"/>
                <w:sz w:val="18"/>
                <w:szCs w:val="18"/>
              </w:rPr>
            </w:pPr>
            <w:r>
              <w:rPr>
                <w:rFonts w:ascii="Times New Roman"/>
                <w:sz w:val="18"/>
              </w:rPr>
              <w:t>11.64%</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813,841.04</w:t>
            </w:r>
          </w:p>
        </w:tc>
      </w:tr>
      <w:tr>
        <w:trPr>
          <w:trHeight w:val="350"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528"/>
              <w:jc w:val="right"/>
              <w:rPr>
                <w:rFonts w:ascii="宋体" w:hAnsi="宋体" w:cs="宋体" w:eastAsia="宋体" w:hint="default"/>
                <w:sz w:val="18"/>
                <w:szCs w:val="18"/>
              </w:rPr>
            </w:pPr>
            <w:r>
              <w:rPr>
                <w:rFonts w:ascii="宋体" w:hAnsi="宋体" w:cs="宋体" w:eastAsia="宋体" w:hint="default"/>
                <w:sz w:val="18"/>
                <w:szCs w:val="18"/>
              </w:rPr>
              <w:t>第四名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12,155,583.70</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66" w:right="0"/>
              <w:jc w:val="left"/>
              <w:rPr>
                <w:rFonts w:ascii="Times New Roman" w:hAnsi="Times New Roman" w:cs="Times New Roman" w:eastAsia="Times New Roman" w:hint="default"/>
                <w:sz w:val="18"/>
                <w:szCs w:val="18"/>
              </w:rPr>
            </w:pPr>
            <w:r>
              <w:rPr>
                <w:rFonts w:ascii="Times New Roman"/>
                <w:sz w:val="18"/>
              </w:rPr>
              <w:t>8.69%</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1,215,558.37</w:t>
            </w:r>
            <w:r>
              <w:rPr>
                <w:rFonts w:ascii="Times New Roman"/>
                <w:sz w:val="18"/>
              </w:rPr>
            </w:r>
          </w:p>
        </w:tc>
      </w:tr>
      <w:tr>
        <w:trPr>
          <w:trHeight w:val="353"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hAnsi="宋体" w:cs="宋体" w:eastAsia="宋体" w:hint="default"/>
                <w:sz w:val="18"/>
                <w:szCs w:val="18"/>
              </w:rPr>
              <w:t>第五名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3,108,100.00</w:t>
            </w:r>
            <w:r>
              <w:rPr>
                <w:rFonts w:ascii="Times New Roman"/>
                <w:sz w:val="18"/>
              </w:rPr>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66" w:right="0"/>
              <w:jc w:val="left"/>
              <w:rPr>
                <w:rFonts w:ascii="Times New Roman" w:hAnsi="Times New Roman" w:cs="Times New Roman" w:eastAsia="Times New Roman" w:hint="default"/>
                <w:sz w:val="18"/>
                <w:szCs w:val="18"/>
              </w:rPr>
            </w:pPr>
            <w:r>
              <w:rPr>
                <w:rFonts w:ascii="Times New Roman"/>
                <w:sz w:val="18"/>
              </w:rPr>
              <w:t>2.22%</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155,405.00</w:t>
            </w:r>
          </w:p>
        </w:tc>
      </w:tr>
      <w:tr>
        <w:trPr>
          <w:trHeight w:val="353"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617"/>
              <w:jc w:val="righ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80,262,186.04</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20" w:right="0"/>
              <w:jc w:val="left"/>
              <w:rPr>
                <w:rFonts w:ascii="Times New Roman" w:hAnsi="Times New Roman" w:cs="Times New Roman" w:eastAsia="Times New Roman" w:hint="default"/>
                <w:sz w:val="18"/>
                <w:szCs w:val="18"/>
              </w:rPr>
            </w:pPr>
            <w:r>
              <w:rPr>
                <w:rFonts w:ascii="Times New Roman"/>
                <w:sz w:val="18"/>
              </w:rPr>
              <w:t>57.38%</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4,620,888.49</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bookmarkStart w:name="4、预付款项" w:id="226"/>
      <w:bookmarkEnd w:id="22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7"/>
      <w:bookmarkEnd w:id="22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15,296,184.19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26,463,651.33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441,714.85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193,807.43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129,250.00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109,069.05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168,394.00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177,356.00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16,035,543.04</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26,943,883.81</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28"/>
      <w:bookmarkEnd w:id="22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959"/>
        <w:gridCol w:w="1373"/>
        <w:gridCol w:w="1387"/>
        <w:gridCol w:w="1318"/>
        <w:gridCol w:w="1486"/>
      </w:tblGrid>
      <w:tr>
        <w:trPr>
          <w:trHeight w:val="353" w:hRule="exact"/>
        </w:trPr>
        <w:tc>
          <w:tcPr>
            <w:tcW w:w="29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5" w:hRule="exact"/>
        </w:trPr>
        <w:tc>
          <w:tcPr>
            <w:tcW w:w="2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24" w:right="-1"/>
              <w:jc w:val="left"/>
              <w:rPr>
                <w:rFonts w:ascii="Times New Roman" w:hAnsi="Times New Roman" w:cs="Times New Roman" w:eastAsia="Times New Roman" w:hint="default"/>
                <w:sz w:val="18"/>
                <w:szCs w:val="18"/>
              </w:rPr>
            </w:pPr>
            <w:r>
              <w:rPr>
                <w:rFonts w:ascii="Times New Roman"/>
                <w:sz w:val="18"/>
              </w:rPr>
              <w:t>2,279,143.40</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959"/>
        <w:gridCol w:w="1373"/>
        <w:gridCol w:w="1387"/>
        <w:gridCol w:w="1318"/>
        <w:gridCol w:w="1486"/>
      </w:tblGrid>
      <w:tr>
        <w:trPr>
          <w:trHeight w:val="355" w:hRule="exact"/>
        </w:trPr>
        <w:tc>
          <w:tcPr>
            <w:tcW w:w="29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9"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1,927,166.70</w:t>
            </w:r>
            <w:r>
              <w:rPr>
                <w:rFonts w:ascii="Times New Roman"/>
                <w:sz w:val="18"/>
              </w:rPr>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50" w:hRule="exact"/>
        </w:trPr>
        <w:tc>
          <w:tcPr>
            <w:tcW w:w="2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9"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1,544,388.09</w:t>
            </w:r>
            <w:r>
              <w:rPr>
                <w:rFonts w:ascii="Times New Roman"/>
                <w:sz w:val="18"/>
              </w:rPr>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53" w:hRule="exact"/>
        </w:trPr>
        <w:tc>
          <w:tcPr>
            <w:tcW w:w="2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1,103,625.77</w:t>
            </w:r>
            <w:r>
              <w:rPr>
                <w:rFonts w:ascii="Times New Roman"/>
                <w:sz w:val="18"/>
              </w:rPr>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53" w:hRule="exact"/>
        </w:trPr>
        <w:tc>
          <w:tcPr>
            <w:tcW w:w="2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9"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1,046,479.00</w:t>
            </w:r>
            <w:r>
              <w:rPr>
                <w:rFonts w:ascii="Times New Roman"/>
                <w:sz w:val="18"/>
              </w:rPr>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53" w:hRule="exact"/>
        </w:trPr>
        <w:tc>
          <w:tcPr>
            <w:tcW w:w="2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73" w:type="dxa"/>
            <w:tcBorders>
              <w:top w:val="single" w:sz="12" w:space="0" w:color="000000"/>
              <w:left w:val="single" w:sz="6" w:space="0" w:color="000000"/>
              <w:bottom w:val="single" w:sz="12" w:space="0" w:color="000000"/>
              <w:right w:val="single" w:sz="6" w:space="0" w:color="000000"/>
            </w:tcBorders>
          </w:tcPr>
          <w:p>
            <w:pP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7,900,802.96</w:t>
            </w:r>
            <w:r>
              <w:rPr>
                <w:rFonts w:ascii="Times New Roman"/>
                <w:sz w:val="18"/>
              </w:rPr>
            </w:r>
          </w:p>
        </w:tc>
        <w:tc>
          <w:tcPr>
            <w:tcW w:w="1318" w:type="dxa"/>
            <w:tcBorders>
              <w:top w:val="single" w:sz="12" w:space="0" w:color="000000"/>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5、其他应收款" w:id="229"/>
      <w:bookmarkEnd w:id="22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30"/>
      <w:bookmarkEnd w:id="23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14,345,8</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43.33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2,080,99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12,264,85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2.12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8,304,1</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91.38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1,586,806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6,717,384.6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14,345,8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43.33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2,080,99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12,264,85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2.12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8,304,1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91.38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1,586,806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6,717,384.6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2"/>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9,061,910.98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453,095.56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3,554,959.92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355,420.58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654,240.10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197,742.74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1,074,732.33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1,074,732.33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14,345,843.33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2,080,991.21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12"/>
        <w:jc w:val="left"/>
      </w:pPr>
      <w:r>
        <w:rPr/>
        <w:t>本期计提坏账准备金额</w:t>
      </w:r>
      <w:r>
        <w:rPr>
          <w:spacing w:val="-48"/>
        </w:rPr>
        <w:t> </w:t>
      </w:r>
      <w:r>
        <w:rPr>
          <w:rFonts w:ascii="Times New Roman" w:hAnsi="Times New Roman" w:cs="Times New Roman" w:eastAsia="Times New Roman" w:hint="default"/>
        </w:rPr>
        <w:t>494,184.52</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5916" w:space="2912"/>
            <w:col w:w="1122"/>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其他应收款按款项性质分类情况" w:id="232"/>
      <w:bookmarkEnd w:id="23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7,845,048.81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3,318,407.84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1,189,406.09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1,372,084.67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1,251,927.60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3,139,722.09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1,238,346.03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1,841,699.26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967,484.40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办事处备用金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329,967.08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128,363.67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27,577.17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14,345,843.33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8,304,191.38</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233"/>
      <w:bookmarkEnd w:id="23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3,072,737.60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153,636.88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495,075.00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24,753.75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455,600.00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5,485,912.60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780,240.63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存货" w:id="234"/>
      <w:bookmarkEnd w:id="234"/>
      <w:r>
        <w:rPr>
          <w:b w:val="0"/>
          <w:bCs w:val="0"/>
        </w:rPr>
      </w:r>
      <w:bookmarkStart w:name="（1）存货分类" w:id="235"/>
      <w:bookmarkEnd w:id="23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7"/>
        <w:gridCol w:w="1379"/>
        <w:gridCol w:w="1368"/>
        <w:gridCol w:w="1366"/>
        <w:gridCol w:w="1368"/>
        <w:gridCol w:w="1366"/>
        <w:gridCol w:w="1368"/>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463,097.35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463,097.35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2,664,235.39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53,944.75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2,610,290.64</w:t>
            </w:r>
            <w:r>
              <w:rPr>
                <w:rFonts w:ascii="Times New Roman"/>
                <w:sz w:val="18"/>
              </w:rPr>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39,796,511.53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9,199,641.37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30,596,870.16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24,413,229.24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6,040,624.34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18,372,604.90</w:t>
            </w:r>
          </w:p>
        </w:tc>
      </w:tr>
      <w:tr>
        <w:trPr>
          <w:trHeight w:val="401"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31,429,122.96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437,488.69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30,991,634.27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16,455,040.85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16,455,040.85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71,688,731.84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9,637,130.06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62,051,601.78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43,532,505.48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6,094,569.09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37,437,936.39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存货跌价准备" w:id="236"/>
      <w:bookmarkEnd w:id="23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53,944.75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53,944.75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6,040,624.34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4,452,260.03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1,293,243.00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9,199,641.37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437,488.69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437,488.69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6,094,569.09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4,889,748.72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1,347,187.75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9,637,130.06</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其他流动资产" w:id="237"/>
      <w:bookmarkEnd w:id="237"/>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2,797,478.75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3,970,791.18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2,797,478.75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3,970,791.18</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8、可供出售金融资产" w:id="238"/>
      <w:bookmarkEnd w:id="238"/>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39"/>
      <w:bookmarkEnd w:id="23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4"/>
        <w:gridCol w:w="1198"/>
        <w:gridCol w:w="1196"/>
        <w:gridCol w:w="1247"/>
        <w:gridCol w:w="1368"/>
        <w:gridCol w:w="1366"/>
      </w:tblGrid>
      <w:tr>
        <w:trPr>
          <w:trHeight w:val="204" w:hRule="exact"/>
        </w:trPr>
        <w:tc>
          <w:tcPr>
            <w:tcW w:w="1988"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4D4D4"/>
          </w:tcPr>
          <w:p>
            <w:pPr/>
          </w:p>
        </w:tc>
        <w:tc>
          <w:tcPr>
            <w:tcW w:w="3980"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24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98,981,350.00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98,981,350.00</w:t>
            </w:r>
          </w:p>
        </w:tc>
        <w:tc>
          <w:tcPr>
            <w:tcW w:w="124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1198"/>
        <w:gridCol w:w="1195"/>
        <w:gridCol w:w="1248"/>
        <w:gridCol w:w="1368"/>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98,981,350.00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98,981,350.00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98,981,350.00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98,981,350.00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期末按成本计量的可供出售金融资产" w:id="240"/>
      <w:bookmarkEnd w:id="24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扬州市富 海永成股 权投资合 伙企业</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上海创稷 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深圳市中 新赛克科 技股份有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48,981,350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48,981,350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98,981,350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98,981,350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9、长期股权投资" w:id="241"/>
      <w:bookmarkEnd w:id="241"/>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2,942,692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-677,542.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2,265,149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创祀网络 科技（上 海）有限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4,692,433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307,566.1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979,051.0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-69,978.7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909,072.2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深圳市云 安宝科技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-100,520.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4,899,479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扬州市富 海永成股 权投资合 伙企业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23,730,49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-1,269,50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28,730,49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-2,117,54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307,566.1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28,730,49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-2,117,54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307,566.1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10、投资性房地产" w:id="242"/>
      <w:bookmarkEnd w:id="242"/>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43"/>
      <w:bookmarkEnd w:id="24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609,326.00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609,326.00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40,866,644.44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40,866,644.44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40,866,644.44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40,866,644.44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41,475,970.44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41,475,970.44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81,040.28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81,040.28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1,390,059.15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1,390,059.15</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347,630.34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347,630.34</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1,042,428.81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1,042,428.81</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1,471,099.43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1,471,099.43</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40,004,871.01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40,004,871.01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528,285.72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528,285.72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采用公允价值计量模式的投资性房地产" w:id="244"/>
      <w:bookmarkEnd w:id="24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1、固定资产" w:id="245"/>
      <w:bookmarkEnd w:id="245"/>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46"/>
      <w:bookmarkEnd w:id="24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6" w:type="dxa"/>
            <w:tcBorders>
              <w:top w:val="single" w:sz="4" w:space="0" w:color="000000"/>
              <w:left w:val="single" w:sz="10" w:space="0" w:color="E1FFFF"/>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117,158,245.80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2,606,772.99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67,611,506.94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4,238,730.67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2,402,904.96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194,018,161.36</w:t>
            </w:r>
            <w:r>
              <w:rPr>
                <w:rFonts w:ascii="Times New Roman"/>
                <w:sz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35,129,167.36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18,285,149.39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3,538,070.66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2,027,096.13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58,983,983.54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27,067,742.36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9,646,368.18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1,412,918.80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813,359.56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38,944,888.90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8,061,425.00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5,304,321.45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2,125,151.86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1,213,736.57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16,704,634.88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97" w:lineRule="auto" w:before="51"/>
              <w:ind w:left="24" w:right="69" w:firstLine="63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）库 存商品转入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3,334,459.76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3,334,459.76</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40,866,644.44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2,318,556.14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971,278.09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618,142.97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77,380.66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44,852,002.30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40,866,644.44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2,318,556.14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971,278.09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618,142.97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77,380.66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44,852,002.30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111,420,768.72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292,716.93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84,925,378.24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7,174,418.36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4,336,860.43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208,150,142.68</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5,418,713.14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1,854,757.99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29,921,517.27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2,108,686.86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1,200,811.81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40,504,487.07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4,122,508.84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16,262,043.95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2,589,122.91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1,330,607.30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24,401,008.93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2,396,110.09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96,725.93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11,826,177.31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724,836.01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360,565.58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15,404,414.92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69" w:firstLine="63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1,726,398.75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4,435,866.64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1,864,286.90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970,041.72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8,996,594.01</w:t>
            </w:r>
            <w:r>
              <w:rPr>
                <w:rFonts w:ascii="Times New Roman"/>
                <w:sz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1,095,718.89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1,710,173.34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455,028.59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571,953.02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58,717.47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3,891,591.23</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1,095,718.89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1,710,173.26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455,028.59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571,953.02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58,717.47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3,891,591.23</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8,445,503.09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241,310.58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45,728,532.63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4,125,856.75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2,472,701.64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61,013,904.69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102,975,265.63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39,196,845.61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3,048,561.61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1,864,158.79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147,136,237.91</w:t>
            </w:r>
            <w:r>
              <w:rPr>
                <w:rFonts w:ascii="Times New Roman"/>
                <w:sz w:val="18"/>
              </w:rPr>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111,739,532.66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752,015.00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37,689,989.67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2,130,043.81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1,202,093.15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153,513,674.29</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12、无形资产" w:id="247"/>
      <w:bookmarkEnd w:id="247"/>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48"/>
      <w:bookmarkEnd w:id="24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6"/>
        <w:gridCol w:w="1368"/>
        <w:gridCol w:w="1366"/>
        <w:gridCol w:w="1368"/>
        <w:gridCol w:w="1368"/>
        <w:gridCol w:w="1366"/>
      </w:tblGrid>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商标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1366" w:type="dxa"/>
            <w:tcBorders>
              <w:top w:val="single" w:sz="4" w:space="0" w:color="000000"/>
              <w:left w:val="single" w:sz="10" w:space="0" w:color="E1FFFF"/>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3,607,976.66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3,607,976.66</w:t>
            </w:r>
            <w:r>
              <w:rPr>
                <w:rFonts w:ascii="Times New Roman"/>
                <w:sz w:val="18"/>
              </w:rPr>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2,580,293.40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1,315,504.19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1,053,600.00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8,579,600.00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13,528,997.59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1,125,179.40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1,125,179.40</w:t>
            </w:r>
            <w:r>
              <w:rPr>
                <w:rFonts w:ascii="Times New Roman"/>
                <w:sz w:val="18"/>
              </w:rPr>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251,393.40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251,393.40</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9" w:firstLine="5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2,328,900.00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190,324.79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1,053,600.00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8,579,600.00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12,152,424.79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2,580,293.40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4,923,480.85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1,053,600.00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8,579,600.00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17,136,974.25</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2,389,865.11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2,389,865.11</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486,729.45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550,974.61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210,720.00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1,715,919.98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2,964,344.04</w:t>
            </w:r>
            <w:r>
              <w:rPr>
                <w:rFonts w:ascii="Times New Roman"/>
                <w:sz w:val="18"/>
              </w:rPr>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215,024.45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533,417.35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714,966.65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1,551,208.45</w:t>
            </w:r>
            <w:r>
              <w:rPr>
                <w:rFonts w:ascii="Times New Roman"/>
                <w:sz w:val="18"/>
              </w:rPr>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271,705.00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17,557.26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1,000,953.33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1,413,135.59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486,729.45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2,940,839.72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210,720.00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1,715,919.98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5,354,209.15</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2,093,563.95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1,982,641.13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842,880.00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6,863,680.01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11,782,765.10</w:t>
            </w:r>
            <w:r>
              <w:rPr>
                <w:rFonts w:ascii="Times New Roman"/>
                <w:sz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1,218,111.55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1,218,111.55</w:t>
            </w:r>
          </w:p>
        </w:tc>
      </w:tr>
    </w:tbl>
    <w:p>
      <w:pPr>
        <w:pStyle w:val="BodyText"/>
        <w:spacing w:line="240" w:lineRule="auto" w:before="49"/>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2.00%</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3、开发支出" w:id="249"/>
      <w:bookmarkEnd w:id="249"/>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1"/>
        <w:gridCol w:w="1074"/>
        <w:gridCol w:w="1063"/>
        <w:gridCol w:w="1063"/>
        <w:gridCol w:w="1063"/>
        <w:gridCol w:w="1063"/>
        <w:gridCol w:w="1061"/>
        <w:gridCol w:w="1063"/>
        <w:gridCol w:w="1063"/>
      </w:tblGrid>
      <w:tr>
        <w:trPr>
          <w:trHeight w:val="403" w:hRule="exact"/>
        </w:trPr>
        <w:tc>
          <w:tcPr>
            <w:tcW w:w="1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296"/>
              <w:jc w:val="right"/>
              <w:rPr>
                <w:rFonts w:ascii="宋体" w:hAnsi="宋体" w:cs="宋体" w:eastAsia="宋体" w:hint="default"/>
                <w:sz w:val="18"/>
                <w:szCs w:val="18"/>
              </w:rPr>
            </w:pPr>
            <w:r>
              <w:rPr>
                <w:rFonts w:ascii="宋体" w:hAnsi="宋体" w:cs="宋体" w:eastAsia="宋体" w:hint="default"/>
                <w:sz w:val="18"/>
                <w:szCs w:val="18"/>
              </w:rPr>
              <w:t>云飞二期</w:t>
            </w:r>
          </w:p>
        </w:tc>
        <w:tc>
          <w:tcPr>
            <w:tcW w:w="1074" w:type="dxa"/>
            <w:tcBorders>
              <w:top w:val="single" w:sz="4" w:space="0" w:color="000000"/>
              <w:left w:val="single" w:sz="12"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1,028,860.64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1,028,860.64</w:t>
            </w:r>
          </w:p>
        </w:tc>
      </w:tr>
      <w:tr>
        <w:trPr>
          <w:trHeight w:val="715"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16"/>
              <w:jc w:val="left"/>
              <w:rPr>
                <w:rFonts w:ascii="宋体" w:hAnsi="宋体" w:cs="宋体" w:eastAsia="宋体" w:hint="default"/>
                <w:sz w:val="18"/>
                <w:szCs w:val="18"/>
              </w:rPr>
            </w:pPr>
            <w:r>
              <w:rPr>
                <w:rFonts w:ascii="宋体" w:hAnsi="宋体" w:cs="宋体" w:eastAsia="宋体" w:hint="default"/>
                <w:sz w:val="18"/>
                <w:szCs w:val="18"/>
              </w:rPr>
              <w:t>无线监侦设 备</w:t>
            </w:r>
          </w:p>
        </w:tc>
        <w:tc>
          <w:tcPr>
            <w:tcW w:w="1074" w:type="dxa"/>
            <w:tcBorders>
              <w:top w:val="single" w:sz="4" w:space="0" w:color="000000"/>
              <w:left w:val="single" w:sz="12"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517,631.72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358,695.60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876,327.32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2" w:right="116"/>
              <w:jc w:val="left"/>
              <w:rPr>
                <w:rFonts w:ascii="宋体" w:hAnsi="宋体" w:cs="宋体" w:eastAsia="宋体" w:hint="default"/>
                <w:sz w:val="18"/>
                <w:szCs w:val="18"/>
              </w:rPr>
            </w:pPr>
            <w:r>
              <w:rPr>
                <w:rFonts w:ascii="宋体" w:hAnsi="宋体" w:cs="宋体" w:eastAsia="宋体" w:hint="default"/>
                <w:sz w:val="18"/>
                <w:szCs w:val="18"/>
              </w:rPr>
              <w:t>公共无线上 网</w:t>
            </w:r>
          </w:p>
        </w:tc>
        <w:tc>
          <w:tcPr>
            <w:tcW w:w="1074" w:type="dxa"/>
            <w:tcBorders>
              <w:top w:val="single" w:sz="4" w:space="0" w:color="000000"/>
              <w:left w:val="single" w:sz="12"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251,393.40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251,393.40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517,631.72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1,028,860.64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251,393.40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876,327.32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1,028,860.64</w:t>
            </w:r>
          </w:p>
        </w:tc>
      </w:tr>
    </w:tbl>
    <w:p>
      <w:pPr>
        <w:pStyle w:val="BodyText"/>
        <w:spacing w:line="240" w:lineRule="auto" w:before="49"/>
        <w:ind w:right="0"/>
        <w:jc w:val="left"/>
      </w:pPr>
      <w:r>
        <w:rPr/>
        <w:t>其他说明</w:t>
      </w:r>
    </w:p>
    <w:p>
      <w:pPr>
        <w:spacing w:after="0" w:line="240" w:lineRule="auto"/>
        <w:jc w:val="left"/>
        <w:sectPr>
          <w:footerReference w:type="default" r:id="rId19"/>
          <w:pgSz w:w="11910" w:h="16840"/>
          <w:pgMar w:footer="982" w:header="745" w:top="1060" w:bottom="1180" w:left="980" w:right="98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96"/>
        <w:jc w:val="left"/>
        <w:rPr>
          <w:b w:val="0"/>
          <w:bCs w:val="0"/>
        </w:rPr>
      </w:pPr>
      <w:bookmarkStart w:name="14、商誉" w:id="250"/>
      <w:bookmarkEnd w:id="250"/>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6"/>
        <w:jc w:val="left"/>
        <w:rPr>
          <w:b w:val="0"/>
          <w:bCs w:val="0"/>
        </w:rPr>
      </w:pPr>
      <w:bookmarkStart w:name="（1）商誉账面原值" w:id="251"/>
      <w:bookmarkEnd w:id="25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非同一控制下企 业合并形成的商 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4,743,091.01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707,679,949.75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712,155,361.48</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4,743,091.01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707,679,949.75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712,155,361.48</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96"/>
        <w:jc w:val="left"/>
        <w:rPr>
          <w:b w:val="0"/>
          <w:bCs w:val="0"/>
        </w:rPr>
      </w:pPr>
      <w:bookmarkStart w:name="（2）商誉减值准备" w:id="252"/>
      <w:bookmarkEnd w:id="25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非同一控制下企 业合并形成的商 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4,743,091.01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4,743,091.01</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4,743,091.01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4,743,091.01</w:t>
            </w:r>
            <w:r>
              <w:rPr>
                <w:rFonts w:ascii="Times New Roman"/>
                <w:sz w:val="18"/>
              </w:rPr>
            </w:r>
          </w:p>
        </w:tc>
      </w:tr>
    </w:tbl>
    <w:p>
      <w:pPr>
        <w:pStyle w:val="BodyText"/>
        <w:spacing w:line="240" w:lineRule="auto" w:before="49"/>
        <w:ind w:right="96"/>
        <w:jc w:val="left"/>
      </w:pPr>
      <w:r>
        <w:rPr/>
        <w:t>说明商誉减值测试过程、参数及商誉减值损失的确认方法：</w:t>
      </w:r>
    </w:p>
    <w:p>
      <w:pPr>
        <w:pStyle w:val="Heading3"/>
        <w:spacing w:line="312" w:lineRule="exact" w:before="99"/>
        <w:ind w:right="96"/>
        <w:jc w:val="left"/>
      </w:pPr>
      <w:r>
        <w:rPr>
          <w:spacing w:val="-2"/>
        </w:rPr>
        <w:t>公司对非同一控制下企业合并形成的商誉，自购买日起按照合理的方法分摊至相关的资产组，</w:t>
      </w:r>
      <w:r>
        <w:rPr/>
        <w:t> 并对包含商誉的相关资产组进行减值测试，将所估计的可回收金额与账面价值比较，确认计 提资产减值准备。</w:t>
      </w:r>
    </w:p>
    <w:p>
      <w:pPr>
        <w:pStyle w:val="BodyText"/>
        <w:spacing w:line="240" w:lineRule="auto" w:before="58"/>
        <w:ind w:right="9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6"/>
        <w:jc w:val="left"/>
        <w:rPr>
          <w:b w:val="0"/>
          <w:bCs w:val="0"/>
        </w:rPr>
      </w:pPr>
      <w:bookmarkStart w:name="15、递延所得税资产/递延所得税负债" w:id="253"/>
      <w:bookmarkEnd w:id="253"/>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6"/>
        <w:jc w:val="left"/>
        <w:rPr>
          <w:b w:val="0"/>
          <w:bCs w:val="0"/>
        </w:rPr>
      </w:pPr>
      <w:bookmarkStart w:name="（1）未经抵销的递延所得税资产" w:id="254"/>
      <w:bookmarkEnd w:id="25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23,768,983.88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3,745,857.06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12,600,364.12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1,890,054.63</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47,751,000.00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7,099,650.00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69,768,983.88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10,582,857.06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60,351,364.12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8,989,704.63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0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未经抵销的递延所得税负债" w:id="255"/>
      <w:bookmarkEnd w:id="255"/>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9,569,680.00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1,435,452.00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9,569,680.00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1,435,452.00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以抵销后净额列示的递延所得税资产或负债" w:id="256"/>
      <w:bookmarkEnd w:id="25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10,582,857.06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8,989,704.63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1,435,452.00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6、其他非流动资产" w:id="257"/>
      <w:bookmarkEnd w:id="257"/>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预付房屋购置款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25,575,940.00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25,575,940.00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7、应付账款" w:id="258"/>
      <w:bookmarkEnd w:id="258"/>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59"/>
      <w:bookmarkEnd w:id="25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60,656,510.19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30,298,256.33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60,656,510.19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30,298,256.33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应付账款" w:id="260"/>
      <w:bookmarkEnd w:id="26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南京中新赛克科技有限责任公司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2,202,000.00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南京烽火星空通信发展有限公司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pacing w:val="-1"/>
                <w:sz w:val="18"/>
              </w:rPr>
              <w:t>4,022,000.00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8、预收款项" w:id="261"/>
      <w:bookmarkEnd w:id="261"/>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62"/>
      <w:bookmarkEnd w:id="26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60,266,068.34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29,257,850.70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60,266,068.34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29,257,850.70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预收款项" w:id="263"/>
      <w:bookmarkEnd w:id="26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国家计算机网络与信息安全管理中心江 苏分中心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1,323,600.00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项目未结束</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国家广播电影电视信息网络视听节目传 播监管中心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1,238,509.43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项目未结束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2,562,109.43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9、应付职工薪酬" w:id="264"/>
      <w:bookmarkEnd w:id="264"/>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65"/>
      <w:bookmarkEnd w:id="26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12,226,482.68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95,355,318.01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85,717,688.20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21,864,112.49</w:t>
            </w:r>
            <w:r>
              <w:rPr>
                <w:rFonts w:ascii="Times New Roman"/>
                <w:sz w:val="18"/>
              </w:rPr>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4,104,792.06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4,104,792.06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12,226,482.68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99,460,110.07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89,822,480.26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21,864,112.49</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266"/>
      <w:bookmarkEnd w:id="26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7"/>
        <w:gridCol w:w="1915"/>
        <w:gridCol w:w="1913"/>
        <w:gridCol w:w="1915"/>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1"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12,226,482.68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91,139,620.18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81,501,990.37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21,864,112.49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1,830,256.88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1,830,256.88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1,523,097.28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1,523,097.28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108,387.85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108,387.85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198,771.75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198,771.75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2,385,440.95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2,385,440.95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12,226,482.68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95,355,318.01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85,717,688.20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21,864,112.49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设定提存计划列示" w:id="267"/>
      <w:bookmarkEnd w:id="26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3,894,449.00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3,894,449.00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210,343.06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210,343.06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4,104,792.06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4,104,792.06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0、应交税费" w:id="268"/>
      <w:bookmarkEnd w:id="268"/>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5"/>
        <w:gridCol w:w="3192"/>
        <w:gridCol w:w="3190"/>
      </w:tblGrid>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7,440,190.07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8,720,540.51</w:t>
            </w:r>
            <w:r>
              <w:rPr>
                <w:rFonts w:ascii="Times New Roman"/>
                <w:sz w:val="18"/>
              </w:rPr>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172,873.04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159,044.09</w:t>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6,616,886.55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4,352,928.02</w:t>
            </w:r>
            <w:r>
              <w:rPr>
                <w:rFonts w:ascii="Times New Roman"/>
                <w:sz w:val="18"/>
              </w:rPr>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324,816.55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623,544.37</w:t>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327,390.52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516,867.65</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241,573.26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368,809.20</w:t>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104,805.93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72,127.02</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90,926.18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70,285.04</w:t>
            </w:r>
          </w:p>
        </w:tc>
      </w:tr>
      <w:tr>
        <w:trPr>
          <w:trHeight w:val="401"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12,585.67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4,532.93</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15,332,047.77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14,888,678.83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1、应付股利" w:id="269"/>
      <w:bookmarkEnd w:id="269"/>
      <w:r>
        <w:rPr>
          <w:b w:val="0"/>
          <w:bCs w:val="0"/>
        </w:rPr>
      </w:r>
      <w:r>
        <w:rPr>
          <w:rFonts w:ascii="Times New Roman" w:hAnsi="Times New Roman" w:cs="Times New Roman" w:eastAsia="Times New Roman" w:hint="default"/>
        </w:rPr>
        <w:t>21</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126,724.65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126,724.65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2、其他应付款" w:id="270"/>
      <w:bookmarkEnd w:id="270"/>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71"/>
      <w:bookmarkEnd w:id="27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应付被并购方股东款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应付少数股东款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3,186,287.05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7,770,942.50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应付员工款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1,106,088.45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2,494,848.02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14,600,752.41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956,243.12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办事处备用金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71,511.38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77,068.23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30,401.42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1,428,473.92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28,995,040.71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12,727,575.79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其他应付款" w:id="272"/>
      <w:bookmarkEnd w:id="27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北京亚鸿世纪通信技术有限公司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4,560,035.74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资金周转</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深圳市中科新业信息科技发展有限公司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4,532,552.38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资金周转</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3,186,287.05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资金周转</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12,278,875.17</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3、一年内到期的非流动负债" w:id="273"/>
      <w:bookmarkEnd w:id="273"/>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授予的限制性股票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17,971,904.34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9,005,683.44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17,971,904.34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9,005,683.44</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4、其他流动负债" w:id="274"/>
      <w:bookmarkEnd w:id="274"/>
      <w:r>
        <w:rPr>
          <w:b w:val="0"/>
          <w:bCs w:val="0"/>
        </w:rPr>
      </w:r>
      <w:r>
        <w:rPr>
          <w:rFonts w:ascii="Times New Roman" w:hAnsi="Times New Roman" w:cs="Times New Roman" w:eastAsia="Times New Roman" w:hint="default"/>
        </w:rPr>
        <w:t>24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8,199,188.63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8,199,188.63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短期应付债券的增减变动：</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5、预计负债" w:id="275"/>
      <w:bookmarkEnd w:id="27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5"/>
        <w:gridCol w:w="2406"/>
        <w:gridCol w:w="2393"/>
        <w:gridCol w:w="2393"/>
      </w:tblGrid>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200,020,000.00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收购唐人数码或有对价</w:t>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200,020,000.00</w:t>
            </w:r>
            <w:r>
              <w:rPr>
                <w:rFonts w:ascii="Times New Roman"/>
                <w:sz w:val="18"/>
              </w:rPr>
            </w:r>
          </w:p>
        </w:tc>
        <w:tc>
          <w:tcPr>
            <w:tcW w:w="2393" w:type="dxa"/>
            <w:tcBorders>
              <w:top w:val="single" w:sz="4" w:space="0" w:color="000000"/>
              <w:left w:val="single" w:sz="4" w:space="0" w:color="000000"/>
              <w:bottom w:val="single" w:sz="4" w:space="0" w:color="000000"/>
              <w:right w:val="single" w:sz="13" w:space="0" w:color="D4D4D4"/>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6、递延收益" w:id="276"/>
      <w:bookmarkEnd w:id="276"/>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47,751,000.00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0"/>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基于云服务新一 代网吧综合业务 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互联网信息安全 工程技术研究开 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信盾计算机终端 监控系统补助资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互联网音视频节 目识别技术及监 管研发平台补助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650,000.00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450,000.00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面向三网融合的 多媒体网络舆情 分析平台产业化 项目补助资金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13,946,000.00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2,936,000.00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11,010,000.00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互联网舆情综合 管理系统项目补 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移动互联网审计 平台产业化项目 补助资金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4,750,000.00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监控信息安全工 程技术研究开发 中心提升项目补 助资金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互联网内容安全 工程实验室项目 补助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4,750,000.00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互联网数据中心 信息安全审计管 理系统的研发及 产业化项目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1,615,000.00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移动互联网应用 审计与综合数据 处理平台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面向下一代信息 网络的 </w:t>
            </w:r>
            <w:r>
              <w:rPr>
                <w:rFonts w:ascii="Times New Roman" w:hAnsi="Times New Roman" w:cs="Times New Roman" w:eastAsia="Times New Roman" w:hint="default"/>
                <w:sz w:val="18"/>
                <w:szCs w:val="18"/>
              </w:rPr>
              <w:t>IDC/ISP/ICP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合管理平台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网络多媒体舆情 分析与处理工程 技术中心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面向电信运营商 的信息安全综合 管理平台应用示 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47,751,000.00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7,251,000.00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7、其他非流动负债" w:id="277"/>
      <w:bookmarkEnd w:id="277"/>
      <w:r>
        <w:rPr>
          <w:b w:val="0"/>
          <w:bCs w:val="0"/>
        </w:rPr>
      </w:r>
      <w:r>
        <w:rPr>
          <w:rFonts w:ascii="Times New Roman" w:hAnsi="Times New Roman" w:cs="Times New Roman" w:eastAsia="Times New Roman" w:hint="default"/>
        </w:rPr>
        <w:t>27</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授予的限制性股票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20,973,798.82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21,013,261.36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20,973,798.82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21,013,261.36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8、股本" w:id="278"/>
      <w:bookmarkEnd w:id="278"/>
      <w:r>
        <w:rPr>
          <w:b w:val="0"/>
          <w:bCs w:val="0"/>
        </w:rPr>
      </w: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116,411,549.00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66,135,673.00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116,411,549.00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182,547,222.00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298,958,771.00</w:t>
            </w:r>
          </w:p>
        </w:tc>
      </w:tr>
    </w:tbl>
    <w:p>
      <w:pPr>
        <w:pStyle w:val="BodyText"/>
        <w:spacing w:line="240" w:lineRule="auto" w:before="49"/>
        <w:ind w:right="0"/>
        <w:jc w:val="left"/>
      </w:pPr>
      <w:r>
        <w:rPr/>
        <w:t>其他说明：</w:t>
      </w:r>
    </w:p>
    <w:p>
      <w:pPr>
        <w:pStyle w:val="Heading3"/>
        <w:spacing w:line="312" w:lineRule="exact" w:before="99"/>
        <w:ind w:right="232" w:firstLine="480"/>
        <w:jc w:val="both"/>
      </w:pPr>
      <w:r>
        <w:rPr/>
        <w:t>本公司</w:t>
      </w:r>
      <w:r>
        <w:rPr>
          <w:rFonts w:ascii="Times New Roman" w:hAnsi="Times New Roman" w:cs="Times New Roman" w:eastAsia="Times New Roman" w:hint="default"/>
        </w:rPr>
        <w:t>2014</w:t>
      </w:r>
      <w:r>
        <w:rPr/>
        <w:t>年年度权益分派方案为：按</w:t>
      </w:r>
      <w:r>
        <w:rPr>
          <w:rFonts w:ascii="Times New Roman" w:hAnsi="Times New Roman" w:cs="Times New Roman" w:eastAsia="Times New Roman" w:hint="default"/>
        </w:rPr>
        <w:t>2014</w:t>
      </w:r>
      <w:r>
        <w:rPr/>
        <w:t>年度母公司实现净利润提取</w:t>
      </w:r>
      <w:r>
        <w:rPr>
          <w:rFonts w:ascii="Times New Roman" w:hAnsi="Times New Roman" w:cs="Times New Roman" w:eastAsia="Times New Roman" w:hint="default"/>
        </w:rPr>
        <w:t>10%</w:t>
      </w:r>
      <w:r>
        <w:rPr/>
        <w:t>的法定盈余 公积，向全体股东每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0.55</w:t>
      </w:r>
      <w:r>
        <w:rPr/>
        <w:t>元人民币现金；同时，以资本公积金向全体股东每</w:t>
      </w:r>
      <w:r>
        <w:rPr>
          <w:rFonts w:ascii="Times New Roman" w:hAnsi="Times New Roman" w:cs="Times New Roman" w:eastAsia="Times New Roman" w:hint="default"/>
        </w:rPr>
        <w:t>10</w:t>
      </w:r>
      <w:r>
        <w:rPr/>
        <w:t>股转增 </w:t>
      </w:r>
      <w:r>
        <w:rPr>
          <w:rFonts w:ascii="Times New Roman" w:hAnsi="Times New Roman" w:cs="Times New Roman" w:eastAsia="Times New Roman" w:hint="default"/>
        </w:rPr>
        <w:t>10</w:t>
      </w:r>
      <w:r>
        <w:rPr/>
        <w:t>股。</w:t>
      </w:r>
    </w:p>
    <w:p>
      <w:pPr>
        <w:pStyle w:val="Heading3"/>
        <w:spacing w:line="312" w:lineRule="exact" w:before="0"/>
        <w:ind w:left="536" w:right="147" w:firstLine="96"/>
        <w:jc w:val="left"/>
      </w:pPr>
      <w:r>
        <w:rPr/>
        <w:t>公司本期股权激励向激励对象授予限制性股票</w:t>
      </w:r>
      <w:r>
        <w:rPr>
          <w:rFonts w:ascii="Times New Roman" w:hAnsi="Times New Roman" w:cs="Times New Roman" w:eastAsia="Times New Roman" w:hint="default"/>
        </w:rPr>
        <w:t>703,785.00</w:t>
      </w:r>
      <w:r>
        <w:rPr/>
        <w:t>股。 </w:t>
      </w:r>
      <w:r>
        <w:rPr>
          <w:spacing w:val="-3"/>
        </w:rPr>
        <w:t>公司本期以发行股份结合非公开发行募集资金的方式支付并购唐人数码对价，共计发行股</w:t>
      </w:r>
    </w:p>
    <w:p>
      <w:pPr>
        <w:pStyle w:val="Heading3"/>
        <w:spacing w:line="302" w:lineRule="exact" w:before="0"/>
        <w:ind w:right="0"/>
        <w:jc w:val="left"/>
      </w:pPr>
      <w:r>
        <w:rPr/>
        <w:t>票</w:t>
      </w:r>
      <w:r>
        <w:rPr>
          <w:rFonts w:ascii="Times New Roman" w:hAnsi="Times New Roman" w:cs="Times New Roman" w:eastAsia="Times New Roman" w:hint="default"/>
        </w:rPr>
        <w:t>65,431,888.00</w:t>
      </w:r>
      <w:r>
        <w:rPr/>
        <w:t>股。</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29、资本公积" w:id="279"/>
      <w:bookmarkEnd w:id="279"/>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215,996,061.00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545,110,646.29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116,411,549.00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644,695,158.29</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215,996,061.00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545,110,646.29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116,411,549.00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644,695,158.29</w:t>
            </w:r>
            <w:r>
              <w:rPr>
                <w:rFonts w:ascii="Times New Roman"/>
                <w:sz w:val="18"/>
              </w:rPr>
            </w:r>
          </w:p>
        </w:tc>
      </w:tr>
    </w:tbl>
    <w:p>
      <w:pPr>
        <w:pStyle w:val="BodyText"/>
        <w:spacing w:line="240" w:lineRule="auto" w:before="49"/>
        <w:ind w:right="0"/>
        <w:jc w:val="left"/>
      </w:pPr>
      <w:r>
        <w:rPr/>
        <w:t>其他说明，包括本期增减变动情况、变动原因说明：</w:t>
      </w:r>
    </w:p>
    <w:p>
      <w:pPr>
        <w:pStyle w:val="Heading3"/>
        <w:spacing w:line="312" w:lineRule="exact" w:before="97"/>
        <w:ind w:right="0"/>
        <w:jc w:val="left"/>
      </w:pPr>
      <w:r>
        <w:rPr/>
        <w:t>公司本期资本公积的减少主要系实施了</w:t>
      </w:r>
      <w:r>
        <w:rPr>
          <w:rFonts w:ascii="Times New Roman" w:hAnsi="Times New Roman" w:cs="Times New Roman" w:eastAsia="Times New Roman" w:hint="default"/>
        </w:rPr>
        <w:t>2014</w:t>
      </w:r>
      <w:r>
        <w:rPr/>
        <w:t>年年度权益分派方案：按</w:t>
      </w:r>
      <w:r>
        <w:rPr>
          <w:rFonts w:ascii="Times New Roman" w:hAnsi="Times New Roman" w:cs="Times New Roman" w:eastAsia="Times New Roman" w:hint="default"/>
        </w:rPr>
        <w:t>2014</w:t>
      </w:r>
      <w:r>
        <w:rPr/>
        <w:t>年度母公司实现净 </w:t>
      </w:r>
      <w:r>
        <w:rPr>
          <w:spacing w:val="-3"/>
        </w:rPr>
        <w:t>利润提取</w:t>
      </w:r>
      <w:r>
        <w:rPr>
          <w:rFonts w:ascii="Times New Roman" w:hAnsi="Times New Roman" w:cs="Times New Roman" w:eastAsia="Times New Roman" w:hint="default"/>
          <w:spacing w:val="-3"/>
        </w:rPr>
        <w:t>10%</w:t>
      </w:r>
      <w:r>
        <w:rPr>
          <w:spacing w:val="-3"/>
        </w:rPr>
        <w:t>的法定盈余公积，向全体股东每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0.55</w:t>
      </w:r>
      <w:r>
        <w:rPr>
          <w:spacing w:val="-3"/>
        </w:rPr>
        <w:t>元人民币现金；同时，以资本公积金</w:t>
      </w:r>
      <w:r>
        <w:rPr>
          <w:spacing w:val="-88"/>
        </w:rPr>
        <w:t> </w:t>
      </w:r>
      <w:r>
        <w:rPr>
          <w:spacing w:val="-88"/>
        </w:rPr>
      </w:r>
      <w:r>
        <w:rPr/>
        <w:t>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 公司本期资本公积的增加系以向原股东发行及非公开发行股份为对价支付方式收购唐人数码 而产生的股本溢价，以及公司本期实施股权激励计划而产生的股本溢价。</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0、库存股" w:id="280"/>
      <w:bookmarkEnd w:id="280"/>
      <w:r>
        <w:rPr>
          <w:b w:val="0"/>
          <w:bCs w:val="0"/>
        </w:rPr>
      </w:r>
      <w:r>
        <w:rPr>
          <w:rFonts w:ascii="Times New Roman" w:hAnsi="Times New Roman" w:cs="Times New Roman" w:eastAsia="Times New Roman" w:hint="default"/>
        </w:rPr>
        <w:t>30</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30,018,944.80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17,932,441.80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9,005,683.44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38,945,703.16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30,018,944.80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17,932,441.80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9,005,683.44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38,945,703.16</w:t>
            </w:r>
          </w:p>
        </w:tc>
      </w:tr>
    </w:tbl>
    <w:p>
      <w:pPr>
        <w:pStyle w:val="BodyText"/>
        <w:spacing w:line="240" w:lineRule="auto" w:before="49"/>
        <w:ind w:right="0"/>
        <w:jc w:val="left"/>
      </w:pPr>
      <w:r>
        <w:rPr/>
        <w:t>其他说明，包括本期增减变动情况、变动原因说明：</w:t>
      </w:r>
    </w:p>
    <w:p>
      <w:pPr>
        <w:pStyle w:val="Heading3"/>
        <w:spacing w:line="240" w:lineRule="auto"/>
        <w:ind w:right="0"/>
        <w:jc w:val="left"/>
      </w:pPr>
      <w:r>
        <w:rPr/>
        <w:t>公司实施股权激励计划向激励对象授予的限制性股票，将处于锁定期的股票计入库存股。</w:t>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bookmarkStart w:name="31、盈余公积" w:id="281"/>
      <w:bookmarkEnd w:id="281"/>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16,469,696.40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4,913,486.07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21,383,182.47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16,469,696.40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4,913,486.07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21,383,182.47</w:t>
            </w:r>
          </w:p>
        </w:tc>
      </w:tr>
    </w:tbl>
    <w:p>
      <w:pPr>
        <w:pStyle w:val="BodyText"/>
        <w:spacing w:line="240" w:lineRule="auto" w:before="49"/>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2、未分配利润" w:id="282"/>
      <w:bookmarkEnd w:id="282"/>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137,563,341.60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106,375,415.48</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137,563,341.60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106,375,415.48</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65,371,071.24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41,356,224.36</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4,913,486.07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3,098,298.24</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6,402,635.17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7,070,000.00</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191,618,291.60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106,375,415.48</w:t>
            </w:r>
            <w:r>
              <w:rPr>
                <w:rFonts w:ascii="Times New Roman"/>
                <w:sz w:val="18"/>
              </w:rPr>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3、营业收入和营业成本" w:id="283"/>
      <w:bookmarkEnd w:id="283"/>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358,178,692.81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124,084,902.82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296,650,422.43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123,775,362.20</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1,733,733.82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915,161.96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129,693.17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290,207.37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359,912,426.63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125,000,064.78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296,780,115.60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124,065,569.57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4、营业税金及附加" w:id="284"/>
      <w:bookmarkEnd w:id="284"/>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259,027.84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93,362.87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1,644,232.34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978,786.69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1,174,451.64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697,407.03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42,071.72</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3,130,055.06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1,811,628.31</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5、销售费用" w:id="285"/>
      <w:bookmarkEnd w:id="285"/>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25,957,009.90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18,755,582.32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4,748,946.97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4,281,979.88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3,808,142.38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3,730,559.08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4,487,281.84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2,793,109.18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656,080.73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1,311,032.94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1,012,642.14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747,651.71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2,649,956.63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1,561,322.29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43,320,060.59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33,181,237.40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6、管理费用" w:id="286"/>
      <w:bookmarkEnd w:id="286"/>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29,820,795.31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31,055,149.75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53,333,511.83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29,927,935.31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15,709,770.66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14,603,096.47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7,402,711.50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6,919,517.42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4,895,685.84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4,236,453.33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11,463,900.00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3,636,000.00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4,369,705.54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3,220,882.74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2,645,419.70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1,456,479.74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82" w:header="745" w:top="1060" w:bottom="118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726,310.74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742,000.68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516,577.92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724,883.33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935,848.65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693,101.04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处理财产损益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920,420.82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629,364.65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1,179,302.99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587,482.46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1,125,569.75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452,507.21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2,615,941.46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966,384.38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137,661,472.71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99,851,238.51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7、财务费用" w:id="287"/>
      <w:bookmarkEnd w:id="287"/>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176,712.42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40,296.64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6,183,377.49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3,920,080.31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-2,568,129.24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239,683.42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87,292.26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127,391.81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-8,487,502.05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-3,512,708.44</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8、资产减值损失" w:id="288"/>
      <w:bookmarkEnd w:id="288"/>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7,815,018.70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4,720,314.81</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5,034,207.59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4,554,149.41</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12,849,226.29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9,274,464.22</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9、投资收益" w:id="289"/>
      <w:bookmarkEnd w:id="289"/>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8"/>
      </w:tblGrid>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-2,117,546.01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1" w:right="0"/>
              <w:jc w:val="left"/>
              <w:rPr>
                <w:rFonts w:ascii="Times New Roman" w:hAnsi="Times New Roman" w:cs="Times New Roman" w:eastAsia="Times New Roman" w:hint="default"/>
                <w:sz w:val="18"/>
                <w:szCs w:val="18"/>
              </w:rPr>
            </w:pPr>
            <w:r>
              <w:rPr>
                <w:rFonts w:ascii="Times New Roman"/>
                <w:sz w:val="18"/>
              </w:rPr>
              <w:t>-1,107,532.90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1,769,503.53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307,566.18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0"/>
        <w:gridCol w:w="2918"/>
      </w:tblGrid>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-40,476.30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1" w:right="0"/>
              <w:jc w:val="left"/>
              <w:rPr>
                <w:rFonts w:ascii="Times New Roman" w:hAnsi="Times New Roman" w:cs="Times New Roman" w:eastAsia="Times New Roman" w:hint="default"/>
                <w:sz w:val="18"/>
                <w:szCs w:val="18"/>
              </w:rPr>
            </w:pPr>
            <w:r>
              <w:rPr>
                <w:rFonts w:ascii="Times New Roman"/>
                <w:sz w:val="18"/>
              </w:rPr>
              <w:t>-1,107,532.90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0、营业外收入" w:id="290"/>
      <w:bookmarkEnd w:id="290"/>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157,888.98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157,888.98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157,888.98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157,888.98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8,279,700.00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7,924,600.00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8,279,700.00</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9,425,211.77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4,425,255.40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3,334,751.23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139,934.76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3,334,751.23</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21,197,551.98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12,514,672.46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11,772,340.21</w:t>
            </w:r>
            <w:r>
              <w:rPr>
                <w:rFonts w:ascii="Times New Roman"/>
                <w:sz w:val="18"/>
              </w:rPr>
            </w:r>
          </w:p>
        </w:tc>
      </w:tr>
    </w:tbl>
    <w:p>
      <w:pPr>
        <w:pStyle w:val="BodyText"/>
        <w:spacing w:line="240" w:lineRule="auto" w:before="49"/>
        <w:ind w:right="0"/>
        <w:jc w:val="left"/>
      </w:pPr>
      <w:r>
        <w:rPr/>
        <w:t>计入当期损益的政府补助：</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深圳市市场 监督局管理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深圳南山区 财政局专项 发明第一知 识产权补贴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年度文 化产业发展 专项扶持资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151,000.00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深圳市南山 区科学技术 园国内发明 专利申请资 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深圳科技创 新委员会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 技奖励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31"/>
              <w:jc w:val="right"/>
              <w:rPr>
                <w:rFonts w:ascii="宋体" w:hAnsi="宋体" w:cs="宋体" w:eastAsia="宋体" w:hint="default"/>
                <w:sz w:val="18"/>
                <w:szCs w:val="18"/>
              </w:rPr>
            </w:pPr>
            <w:r>
              <w:rPr>
                <w:rFonts w:ascii="宋体" w:hAnsi="宋体" w:cs="宋体" w:eastAsia="宋体" w:hint="default"/>
                <w:sz w:val="18"/>
                <w:szCs w:val="18"/>
              </w:rPr>
              <w:t>面向三网融</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734,000.00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16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1"/>
              <w:jc w:val="both"/>
              <w:rPr>
                <w:rFonts w:ascii="宋体" w:hAnsi="宋体" w:cs="宋体" w:eastAsia="宋体" w:hint="default"/>
                <w:sz w:val="18"/>
                <w:szCs w:val="18"/>
              </w:rPr>
            </w:pPr>
            <w:r>
              <w:rPr>
                <w:rFonts w:ascii="宋体" w:hAnsi="宋体" w:cs="宋体" w:eastAsia="宋体" w:hint="default"/>
                <w:sz w:val="18"/>
                <w:szCs w:val="18"/>
              </w:rPr>
              <w:t>合的多媒体 网络舆情分 析平台产业 化项目补助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移动互联网 审计平台产 业化项目补 助资金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民营领军企 业资助项目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146,400.00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深圳市互联 网产业发展 专项资金品 牌培育项目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广东省互联 网信息安全</w:t>
            </w:r>
          </w:p>
          <w:p>
            <w:pPr>
              <w:pStyle w:val="TableParagraph"/>
              <w:spacing w:line="316" w:lineRule="auto" w:before="19"/>
              <w:ind w:left="24" w:right="23"/>
              <w:jc w:val="left"/>
              <w:rPr>
                <w:rFonts w:ascii="宋体" w:hAnsi="宋体" w:cs="宋体" w:eastAsia="宋体" w:hint="default"/>
                <w:sz w:val="18"/>
                <w:szCs w:val="18"/>
              </w:rPr>
            </w:pPr>
            <w:r>
              <w:rPr>
                <w:rFonts w:ascii="宋体" w:hAnsi="宋体" w:cs="宋体" w:eastAsia="宋体" w:hint="default"/>
                <w:spacing w:val="-12"/>
                <w:sz w:val="18"/>
                <w:szCs w:val="18"/>
              </w:rPr>
              <w:t>（任子行）工</w:t>
            </w:r>
            <w:r>
              <w:rPr>
                <w:rFonts w:ascii="宋体" w:hAnsi="宋体" w:cs="宋体" w:eastAsia="宋体" w:hint="default"/>
                <w:sz w:val="18"/>
                <w:szCs w:val="18"/>
              </w:rPr>
              <w:t> 程技术研究 开发中心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收成都高新 技术产业开 发区经贸发 展局租房补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709,100.00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深圳南山区 住房和建设 局房租补贴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241,100.00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苏州市及工 业经济专项 资金奖励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递延收益转 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7,251,000.00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4,320,000.00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8,279,700.00</w:t>
            </w:r>
            <w:r>
              <w:rPr>
                <w:rFonts w:ascii="Times New Roman"/>
                <w:sz w:val="18"/>
              </w:rPr>
            </w:r>
          </w:p>
        </w:tc>
        <w:tc>
          <w:tcPr>
            <w:tcW w:w="106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7,924,600.00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41、营业外支出" w:id="291"/>
      <w:bookmarkEnd w:id="291"/>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715"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452,600.43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296,004.68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452,600.43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452,600.43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296,004.68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452,600.43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223,968.35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433,969.40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223,968.35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826,576.49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738,277.78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826,576.49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2、所得税费用" w:id="292"/>
      <w:bookmarkEnd w:id="292"/>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293"/>
      <w:bookmarkEnd w:id="29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11,283,414.95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7,954,078.66</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-1,593,152.43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-2,618,562.07</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9,690,262.52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5,335,516.59</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会计利润与所得税费用调整过程" w:id="294"/>
      <w:bookmarkEnd w:id="29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66,769,548.44</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10,051,432.27</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-954,849.24</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-14,352.88</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-1,676,431.77</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-3,568,071.43</w:t>
            </w:r>
            <w:r>
              <w:rPr>
                <w:rFonts w:ascii="Times New Roman"/>
                <w:sz w:val="18"/>
              </w:rPr>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5,888,535.58</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9,690,262.52</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3、现金流量表项目" w:id="295"/>
      <w:bookmarkEnd w:id="295"/>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296"/>
      <w:bookmarkEnd w:id="2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6,767,700.00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22,547,100.00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25,436,502.20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3,548,886.50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6,183,377.49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3,920,080.31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336,307.25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136,770.29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38,723,886.94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30,152,837.10</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支付的其他与经营活动有关的现金" w:id="297"/>
      <w:bookmarkEnd w:id="2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34,454,335.46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20,576,575.10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支付除员工薪酬外的销售费用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17,130,250.58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14,774,086.37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39,371,793.89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14,555,998.66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237,299.97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153,311.10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91,193,679.90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50,059,971.23</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收到的其他与投资活动有关的现金" w:id="298"/>
      <w:bookmarkEnd w:id="29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收回并购重组定金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支付的其他与投资活动有关的现金" w:id="299"/>
      <w:bookmarkEnd w:id="29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预付并购重组定金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5）收到的其他与筹资活动有关的现金" w:id="300"/>
      <w:bookmarkEnd w:id="30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23.320007pt;margin-top:537.779968pt;width:151.2pt;height:40.8pt;mso-position-horizontal-relative:page;mso-position-vertical-relative:page;z-index:-847264" coordorigin="4466,10756" coordsize="3024,816">
            <v:group style="position:absolute;left:4477;top:10766;width:2;height:392" coordorigin="4477,10766" coordsize="2,392">
              <v:shape style="position:absolute;left:4477;top:10766;width:2;height:392" coordorigin="4477,10766" coordsize="0,392" path="m4477,10766l4477,11158e" filled="false" stroked="true" strokeweight="1.08pt" strokecolor="#ffffff">
                <v:path arrowok="t"/>
              </v:shape>
            </v:group>
            <v:group style="position:absolute;left:4488;top:10766;width:3003;height:392" coordorigin="4488,10766" coordsize="3003,392">
              <v:shape style="position:absolute;left:4488;top:10766;width:3003;height:392" coordorigin="4488,10766" coordsize="3003,392" path="m4488,11158l7490,11158,7490,10766,4488,10766,4488,11158xe" filled="true" fillcolor="#ffffff" stroked="false">
                <v:path arrowok="t"/>
                <v:fill type="solid"/>
              </v:shape>
            </v:group>
            <v:group style="position:absolute;left:4477;top:11167;width:2;height:394" coordorigin="4477,11167" coordsize="2,394">
              <v:shape style="position:absolute;left:4477;top:11167;width:2;height:394" coordorigin="4477,11167" coordsize="0,394" path="m4477,11167l4477,11561e" filled="false" stroked="true" strokeweight="1.08pt" strokecolor="#ffffff">
                <v:path arrowok="t"/>
              </v:shape>
            </v:group>
            <v:group style="position:absolute;left:4488;top:11167;width:3003;height:394" coordorigin="4488,11167" coordsize="3003,394">
              <v:shape style="position:absolute;left:4488;top:11167;width:3003;height:394" coordorigin="4488,11167" coordsize="3003,394" path="m4488,11561l7490,11561,7490,11167,4488,11167,4488,1156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6）支付的其他与筹资活动有关的现金" w:id="301"/>
      <w:bookmarkEnd w:id="30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支付并购重组股份发行费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44、现金流量表补充资料" w:id="302"/>
      <w:bookmarkEnd w:id="302"/>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03"/>
      <w:bookmarkEnd w:id="30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1054"/>
        <w:gridCol w:w="2015"/>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57,079,285.92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37,442,031.22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12,849,226.29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9,274,464.22</w:t>
            </w:r>
            <w:r>
              <w:rPr>
                <w:rFonts w:ascii="Times New Roman"/>
                <w:sz w:val="18"/>
              </w:rPr>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15,752,045.26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11,595,529.09</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1,551,208.45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733,680.52</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344,682.98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271,122.38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-1,593,152.43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-2,600,000.11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1,435,452.00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-31,490,686.13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-3,124,965.49</w:t>
            </w:r>
            <w:r>
              <w:rPr>
                <w:rFonts w:ascii="Times New Roman"/>
                <w:sz w:val="18"/>
              </w:rPr>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-71,681,195.43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-25,999,734.91</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90,880,649.87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2,603,067.69</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75,167,993.08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31,302,727.51</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297" w:lineRule="auto" w:before="49"/>
              <w:ind w:left="1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04" w:type="dxa"/>
            <w:vMerge/>
            <w:tcBorders>
              <w:left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345,223,208.85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260,000,857.39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260,000,857.39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328,034,949.52</w:t>
            </w:r>
            <w:r>
              <w:rPr>
                <w:rFonts w:ascii="Times New Roman"/>
                <w:sz w:val="18"/>
              </w:rPr>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85,222,351.46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-68,034,092.13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支付的取得子公司的现金净额" w:id="304"/>
      <w:bookmarkEnd w:id="30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217,434,069.90</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202,434,069.90</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95,640,694.86</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708,861.97</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94,931,832.89</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121,793,375.04</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现金和现金等价物的构成" w:id="305"/>
      <w:bookmarkEnd w:id="305"/>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345,223,208.85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260,000,857.39</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165,398.69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124,279.44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345,057,810.16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259,876,577.95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345,223,208.85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260,000,857.39</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5、所有权或使用权受到限制的资产" w:id="306"/>
      <w:bookmarkEnd w:id="306"/>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24,411.92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20,800 </w:t>
            </w:r>
            <w:r>
              <w:rPr>
                <w:rFonts w:ascii="宋体" w:hAnsi="宋体" w:cs="宋体" w:eastAsia="宋体" w:hint="default"/>
                <w:spacing w:val="-6"/>
                <w:sz w:val="18"/>
                <w:szCs w:val="18"/>
              </w:rPr>
              <w:t>元保函质押，</w:t>
            </w:r>
            <w:r>
              <w:rPr>
                <w:rFonts w:ascii="Times New Roman" w:hAnsi="Times New Roman" w:cs="Times New Roman" w:eastAsia="Times New Roman" w:hint="default"/>
                <w:spacing w:val="-6"/>
                <w:sz w:val="18"/>
                <w:szCs w:val="18"/>
              </w:rPr>
              <w:t>3,611.92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元账户冻结</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w w:val="95"/>
                <w:sz w:val="18"/>
              </w:rPr>
              <w:t>24,411.92</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46、外币货币性项目" w:id="307"/>
      <w:bookmarkEnd w:id="307"/>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08"/>
      <w:bookmarkEnd w:id="30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2304"/>
        <w:gridCol w:w="2390"/>
        <w:gridCol w:w="2390"/>
      </w:tblGrid>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4,501,506.33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29,230,981.50</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09"/>
      <w:bookmarkEnd w:id="309"/>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10"/>
      <w:bookmarkEnd w:id="31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11"/>
      <w:bookmarkEnd w:id="31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922"/>
        <w:gridCol w:w="1207"/>
        <w:gridCol w:w="919"/>
        <w:gridCol w:w="991"/>
        <w:gridCol w:w="1135"/>
        <w:gridCol w:w="994"/>
        <w:gridCol w:w="1133"/>
        <w:gridCol w:w="1205"/>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5" w:right="9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9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5" w:right="91"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7" w:right="55"/>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6" w:right="74"/>
              <w:jc w:val="both"/>
              <w:rPr>
                <w:rFonts w:ascii="宋体" w:hAnsi="宋体" w:cs="宋体" w:eastAsia="宋体" w:hint="default"/>
                <w:sz w:val="18"/>
                <w:szCs w:val="18"/>
              </w:rPr>
            </w:pPr>
            <w:r>
              <w:rPr>
                <w:rFonts w:ascii="宋体" w:hAnsi="宋体" w:cs="宋体" w:eastAsia="宋体" w:hint="default"/>
                <w:sz w:val="18"/>
                <w:szCs w:val="18"/>
              </w:rPr>
              <w:t>北京亚鸿世 纪科技发展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15,000,000.00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20,729,676.82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-10,669,538.10</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苏州唐人数 码科技有限 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802,580,000.00</w:t>
            </w:r>
            <w:r>
              <w:rPr>
                <w:rFonts w:ascii="Times New Roman"/>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2" w:right="38" w:hanging="272"/>
              <w:jc w:val="left"/>
              <w:rPr>
                <w:rFonts w:ascii="宋体" w:hAnsi="宋体" w:cs="宋体" w:eastAsia="宋体" w:hint="default"/>
                <w:sz w:val="18"/>
                <w:szCs w:val="18"/>
              </w:rPr>
            </w:pPr>
            <w:r>
              <w:rPr>
                <w:rFonts w:ascii="宋体" w:hAnsi="宋体" w:cs="宋体" w:eastAsia="宋体" w:hint="default"/>
                <w:sz w:val="18"/>
                <w:szCs w:val="18"/>
              </w:rPr>
              <w:t>现金及发行 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43,783,958.11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30,145,566.67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合并成本及商誉" w:id="312"/>
      <w:bookmarkEnd w:id="31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212,560,000.00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390,000,000.00</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200,020,000.00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802,580,000.00</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-409,529.44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110,309,579.69</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15,409,529.44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692,270,420.31</w:t>
            </w:r>
            <w:r>
              <w:rPr>
                <w:rFonts w:ascii="Times New Roman"/>
                <w:sz w:val="18"/>
              </w:rPr>
            </w:r>
          </w:p>
        </w:tc>
      </w:tr>
    </w:tbl>
    <w:p>
      <w:pPr>
        <w:spacing w:line="357" w:lineRule="auto" w:before="49"/>
        <w:ind w:left="635" w:right="1011" w:hanging="130"/>
        <w:jc w:val="left"/>
        <w:rPr>
          <w:rFonts w:ascii="宋体" w:hAnsi="宋体" w:cs="宋体" w:eastAsia="宋体" w:hint="default"/>
          <w:sz w:val="18"/>
          <w:szCs w:val="18"/>
        </w:rPr>
      </w:pPr>
      <w:r>
        <w:rPr>
          <w:rFonts w:ascii="宋体" w:hAnsi="宋体" w:cs="宋体" w:eastAsia="宋体" w:hint="default"/>
          <w:b/>
          <w:bCs/>
          <w:sz w:val="18"/>
          <w:szCs w:val="18"/>
        </w:rPr>
        <w:t>合并成本公允价值的确定方法、或有对价及其变动的说明：</w:t>
      </w:r>
      <w:r>
        <w:rPr>
          <w:rFonts w:ascii="宋体" w:hAnsi="宋体" w:cs="宋体" w:eastAsia="宋体" w:hint="default"/>
          <w:b/>
          <w:bCs/>
          <w:w w:val="99"/>
          <w:sz w:val="18"/>
          <w:szCs w:val="18"/>
        </w:rPr>
        <w:t> </w:t>
      </w:r>
      <w:r>
        <w:rPr>
          <w:rFonts w:ascii="宋体" w:hAnsi="宋体" w:cs="宋体" w:eastAsia="宋体" w:hint="default"/>
          <w:sz w:val="18"/>
          <w:szCs w:val="18"/>
        </w:rPr>
        <w:t>公司收购唐人数码</w:t>
      </w:r>
      <w:r>
        <w:rPr>
          <w:rFonts w:ascii="宋体" w:hAnsi="宋体" w:cs="宋体" w:eastAsia="宋体" w:hint="default"/>
          <w:sz w:val="18"/>
          <w:szCs w:val="18"/>
        </w:rPr>
        <w:t>100%</w:t>
      </w:r>
      <w:r>
        <w:rPr>
          <w:rFonts w:ascii="宋体" w:hAnsi="宋体" w:cs="宋体" w:eastAsia="宋体" w:hint="default"/>
          <w:sz w:val="18"/>
          <w:szCs w:val="18"/>
        </w:rPr>
        <w:t>股权，现金对价为</w:t>
      </w:r>
      <w:r>
        <w:rPr>
          <w:rFonts w:ascii="宋体" w:hAnsi="宋体" w:cs="宋体" w:eastAsia="宋体" w:hint="default"/>
          <w:sz w:val="18"/>
          <w:szCs w:val="18"/>
        </w:rPr>
        <w:t>21,256</w:t>
      </w:r>
      <w:r>
        <w:rPr>
          <w:rFonts w:ascii="宋体" w:hAnsi="宋体" w:cs="宋体" w:eastAsia="宋体" w:hint="default"/>
          <w:sz w:val="18"/>
          <w:szCs w:val="18"/>
        </w:rPr>
        <w:t>万元，股份对价为</w:t>
      </w:r>
      <w:r>
        <w:rPr>
          <w:rFonts w:ascii="宋体" w:hAnsi="宋体" w:cs="宋体" w:eastAsia="宋体" w:hint="default"/>
          <w:sz w:val="18"/>
          <w:szCs w:val="18"/>
        </w:rPr>
        <w:t>39,000</w:t>
      </w:r>
      <w:r>
        <w:rPr>
          <w:rFonts w:ascii="宋体" w:hAnsi="宋体" w:cs="宋体" w:eastAsia="宋体" w:hint="default"/>
          <w:sz w:val="18"/>
          <w:szCs w:val="18"/>
        </w:rPr>
        <w:t>万元，或有对价为</w:t>
      </w:r>
      <w:r>
        <w:rPr>
          <w:rFonts w:ascii="宋体" w:hAnsi="宋体" w:cs="宋体" w:eastAsia="宋体" w:hint="default"/>
          <w:sz w:val="18"/>
          <w:szCs w:val="18"/>
        </w:rPr>
        <w:t>20,002</w:t>
      </w:r>
      <w:r>
        <w:rPr>
          <w:rFonts w:ascii="宋体" w:hAnsi="宋体" w:cs="宋体" w:eastAsia="宋体" w:hint="default"/>
          <w:sz w:val="18"/>
          <w:szCs w:val="18"/>
        </w:rPr>
        <w:t>万元。</w:t>
      </w:r>
    </w:p>
    <w:p>
      <w:pPr>
        <w:spacing w:after="0" w:line="357"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53" w:firstLine="482"/>
        <w:jc w:val="both"/>
      </w:pPr>
      <w:r>
        <w:rPr>
          <w:spacing w:val="-3"/>
        </w:rPr>
        <w:t>股份对价公允价值的确定方法：发行价格为定价基准日前二十个交易日公司</w:t>
      </w:r>
      <w:r>
        <w:rPr>
          <w:rFonts w:ascii="宋体" w:hAnsi="宋体" w:cs="宋体" w:eastAsia="宋体" w:hint="default"/>
          <w:spacing w:val="-3"/>
        </w:rPr>
        <w:t>A</w:t>
      </w:r>
      <w:r>
        <w:rPr>
          <w:spacing w:val="-3"/>
        </w:rPr>
        <w:t>股股票交易均价</w:t>
      </w:r>
      <w:r>
        <w:rPr>
          <w:rFonts w:ascii="宋体" w:hAnsi="宋体" w:cs="宋体" w:eastAsia="宋体" w:hint="default"/>
          <w:spacing w:val="-3"/>
        </w:rPr>
        <w:t>29.09</w:t>
      </w:r>
      <w:r>
        <w:rPr>
          <w:spacing w:val="-3"/>
        </w:rPr>
        <w:t>元</w:t>
      </w:r>
      <w:r>
        <w:rPr>
          <w:rFonts w:ascii="宋体" w:hAnsi="宋体" w:cs="宋体" w:eastAsia="宋体" w:hint="default"/>
          <w:spacing w:val="-3"/>
        </w:rPr>
        <w:t>/</w:t>
      </w:r>
      <w:r>
        <w:rPr>
          <w:spacing w:val="-3"/>
        </w:rPr>
        <w:t>股；本公司</w:t>
      </w:r>
      <w:r>
        <w:rPr>
          <w:rFonts w:ascii="宋体" w:hAnsi="宋体" w:cs="宋体" w:eastAsia="宋体" w:hint="default"/>
          <w:spacing w:val="-3"/>
        </w:rPr>
        <w:t>2014</w:t>
      </w:r>
      <w:r>
        <w:rPr>
          <w:rFonts w:ascii="宋体" w:hAnsi="宋体" w:cs="宋体" w:eastAsia="宋体" w:hint="default"/>
          <w:spacing w:val="-2"/>
        </w:rPr>
        <w:t>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日实施了</w:t>
      </w:r>
      <w:r>
        <w:rPr>
          <w:rFonts w:ascii="宋体" w:hAnsi="宋体" w:cs="宋体" w:eastAsia="宋体" w:hint="default"/>
          <w:spacing w:val="-2"/>
        </w:rPr>
        <w:t>2013</w:t>
      </w:r>
      <w:r>
        <w:rPr>
          <w:spacing w:val="-2"/>
        </w:rPr>
        <w:t>年度利润分配方案：向全体股东每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1.00</w:t>
      </w:r>
      <w:r>
        <w:rPr>
          <w:spacing w:val="-2"/>
        </w:rPr>
        <w:t>元（含税），同时，以资本公积金向全体股东</w:t>
      </w:r>
      <w:r>
        <w:rPr>
          <w:spacing w:val="-61"/>
        </w:rPr>
        <w:t> </w:t>
      </w:r>
      <w:r>
        <w:rPr>
          <w:spacing w:val="-61"/>
        </w:rPr>
      </w:r>
      <w:r>
        <w:rPr/>
        <w:t>每</w:t>
      </w:r>
      <w:r>
        <w:rPr>
          <w:rFonts w:ascii="宋体" w:hAnsi="宋体" w:cs="宋体" w:eastAsia="宋体" w:hint="default"/>
        </w:rPr>
        <w:t>10</w:t>
      </w:r>
      <w:r>
        <w:rPr/>
        <w:t>股转增</w:t>
      </w:r>
      <w:r>
        <w:rPr>
          <w:rFonts w:ascii="宋体" w:hAnsi="宋体" w:cs="宋体" w:eastAsia="宋体" w:hint="default"/>
        </w:rPr>
        <w:t>6</w:t>
      </w:r>
      <w:r>
        <w:rPr/>
        <w:t>股，因此本次发行股份购买资产所涉股份价格调整为</w:t>
      </w:r>
      <w:r>
        <w:rPr>
          <w:rFonts w:ascii="宋体" w:hAnsi="宋体" w:cs="宋体" w:eastAsia="宋体" w:hint="default"/>
        </w:rPr>
        <w:t>18.12</w:t>
      </w:r>
      <w:r>
        <w:rPr/>
        <w:t>元</w:t>
      </w:r>
      <w:r>
        <w:rPr>
          <w:rFonts w:ascii="宋体" w:hAnsi="宋体" w:cs="宋体" w:eastAsia="宋体" w:hint="default"/>
        </w:rPr>
        <w:t>/</w:t>
      </w:r>
      <w:r>
        <w:rPr/>
        <w:t>股；本公司</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日实施了</w:t>
      </w:r>
      <w:r>
        <w:rPr>
          <w:rFonts w:ascii="宋体" w:hAnsi="宋体" w:cs="宋体" w:eastAsia="宋体" w:hint="default"/>
        </w:rPr>
        <w:t>2014</w:t>
      </w:r>
      <w:r>
        <w:rPr/>
        <w:t>年度利润分 </w:t>
      </w:r>
      <w:r>
        <w:rPr>
          <w:spacing w:val="-2"/>
        </w:rPr>
        <w:t>配方案：向全体股东每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0.55</w:t>
      </w:r>
      <w:r>
        <w:rPr>
          <w:spacing w:val="-2"/>
        </w:rPr>
        <w:t>元（含税），同时进行资本公积金转增股本，向全体股东每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股，因</w:t>
      </w:r>
      <w:r>
        <w:rPr>
          <w:spacing w:val="-79"/>
        </w:rPr>
        <w:t> </w:t>
      </w:r>
      <w:r>
        <w:rPr>
          <w:spacing w:val="-79"/>
        </w:rPr>
      </w:r>
      <w:r>
        <w:rPr/>
        <w:t>此本次发行股份购买资产所涉股份价格进一步调整为</w:t>
      </w:r>
      <w:r>
        <w:rPr>
          <w:rFonts w:ascii="宋体" w:hAnsi="宋体" w:cs="宋体" w:eastAsia="宋体" w:hint="default"/>
        </w:rPr>
        <w:t>9.03</w:t>
      </w:r>
      <w:r>
        <w:rPr/>
        <w:t>元</w:t>
      </w:r>
      <w:r>
        <w:rPr>
          <w:rFonts w:ascii="宋体" w:hAnsi="宋体" w:cs="宋体" w:eastAsia="宋体" w:hint="default"/>
        </w:rPr>
        <w:t>/</w:t>
      </w:r>
      <w:r>
        <w:rPr/>
        <w:t>股。本次发行股数为</w:t>
      </w:r>
      <w:r>
        <w:rPr>
          <w:rFonts w:ascii="宋体" w:hAnsi="宋体" w:cs="宋体" w:eastAsia="宋体" w:hint="default"/>
        </w:rPr>
        <w:t>43,189,366</w:t>
      </w:r>
      <w:r>
        <w:rPr/>
        <w:t>股。</w:t>
      </w:r>
    </w:p>
    <w:p>
      <w:pPr>
        <w:pStyle w:val="BodyText"/>
        <w:spacing w:line="316" w:lineRule="auto" w:before="18"/>
        <w:ind w:right="144" w:firstLine="482"/>
        <w:jc w:val="left"/>
      </w:pPr>
      <w:r>
        <w:rPr>
          <w:spacing w:val="-1"/>
        </w:rPr>
        <w:t>或有对价公允价值的确定方法：根据公司与唐人数码股东签署的《现金及发行股份购买资产协议》，如唐人数码</w:t>
      </w:r>
      <w:r>
        <w:rPr>
          <w:rFonts w:ascii="宋体" w:hAnsi="宋体" w:cs="宋体" w:eastAsia="宋体" w:hint="default"/>
          <w:spacing w:val="-1"/>
        </w:rPr>
        <w:t>2014</w:t>
      </w:r>
      <w:r>
        <w:rPr>
          <w:rFonts w:ascii="宋体" w:hAnsi="宋体" w:cs="宋体" w:eastAsia="宋体" w:hint="default"/>
          <w:spacing w:val="1"/>
        </w:rPr>
        <w:t> </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年度实现的净利润均不低于补偿义务人承诺各年度净利润的</w:t>
      </w:r>
      <w:r>
        <w:rPr>
          <w:rFonts w:ascii="宋体" w:hAnsi="宋体" w:cs="宋体" w:eastAsia="宋体" w:hint="default"/>
        </w:rPr>
        <w:t>80%</w:t>
      </w:r>
      <w:r>
        <w:rPr/>
        <w:t>，且唐人数码</w:t>
      </w:r>
      <w:r>
        <w:rPr>
          <w:rFonts w:ascii="宋体" w:hAnsi="宋体" w:cs="宋体" w:eastAsia="宋体" w:hint="default"/>
        </w:rPr>
        <w:t>2014</w:t>
      </w:r>
      <w:r>
        <w:rPr/>
        <w:t>年度</w:t>
      </w:r>
      <w:r>
        <w:rPr>
          <w:spacing w:val="-3"/>
        </w:rPr>
        <w:t> </w:t>
      </w:r>
      <w:r>
        <w:rPr/>
        <w:t>至</w:t>
      </w:r>
      <w:r>
        <w:rPr>
          <w:rFonts w:ascii="宋体" w:hAnsi="宋体" w:cs="宋体" w:eastAsia="宋体" w:hint="default"/>
        </w:rPr>
        <w:t>2017</w:t>
      </w:r>
      <w:r>
        <w:rPr/>
        <w:t>年度累积实现的净利润达到</w:t>
      </w:r>
      <w:r>
        <w:rPr>
          <w:rFonts w:ascii="宋体" w:hAnsi="宋体" w:cs="宋体" w:eastAsia="宋体" w:hint="default"/>
        </w:rPr>
        <w:t>31,000</w:t>
      </w:r>
      <w:r>
        <w:rPr/>
        <w:t>万元，则本次交易的拟购买资产价格调整为现作价的</w:t>
      </w:r>
      <w:r>
        <w:rPr>
          <w:rFonts w:ascii="宋体" w:hAnsi="宋体" w:cs="宋体" w:eastAsia="宋体" w:hint="default"/>
        </w:rPr>
        <w:t>1.332</w:t>
      </w:r>
      <w:r>
        <w:rPr/>
        <w:t>倍，即交易的对价由 </w:t>
      </w:r>
      <w:r>
        <w:rPr>
          <w:rFonts w:ascii="宋体" w:hAnsi="宋体" w:cs="宋体" w:eastAsia="宋体" w:hint="default"/>
          <w:spacing w:val="-2"/>
        </w:rPr>
        <w:t>60,256.00</w:t>
      </w:r>
      <w:r>
        <w:rPr>
          <w:spacing w:val="-2"/>
        </w:rPr>
        <w:t>万元调整为</w:t>
      </w:r>
      <w:r>
        <w:rPr>
          <w:rFonts w:ascii="宋体" w:hAnsi="宋体" w:cs="宋体" w:eastAsia="宋体" w:hint="default"/>
          <w:spacing w:val="-2"/>
        </w:rPr>
        <w:t>80,258.00</w:t>
      </w:r>
      <w:r>
        <w:rPr>
          <w:spacing w:val="-2"/>
        </w:rPr>
        <w:t>万元；结算时点是唐人数码</w:t>
      </w:r>
      <w:r>
        <w:rPr>
          <w:rFonts w:ascii="宋体" w:hAnsi="宋体" w:cs="宋体" w:eastAsia="宋体" w:hint="default"/>
          <w:spacing w:val="-2"/>
        </w:rPr>
        <w:t>2017</w:t>
      </w:r>
      <w:r>
        <w:rPr>
          <w:spacing w:val="-2"/>
        </w:rPr>
        <w:t>年度《专项审核报告》出具后，拟购买资产价格调整，增加</w:t>
      </w:r>
      <w:r>
        <w:rPr>
          <w:spacing w:val="-53"/>
        </w:rPr>
        <w:t> </w:t>
      </w:r>
      <w:r>
        <w:rPr>
          <w:spacing w:val="-53"/>
        </w:rPr>
      </w:r>
      <w:r>
        <w:rPr/>
        <w:t>的金额为</w:t>
      </w:r>
      <w:r>
        <w:rPr>
          <w:rFonts w:ascii="宋体" w:hAnsi="宋体" w:cs="宋体" w:eastAsia="宋体" w:hint="default"/>
        </w:rPr>
        <w:t>20,002.00</w:t>
      </w:r>
      <w:r>
        <w:rPr/>
        <w:t>万元，在上市公司披露唐人数码</w:t>
      </w:r>
      <w:r>
        <w:rPr>
          <w:rFonts w:ascii="宋体" w:hAnsi="宋体" w:cs="宋体" w:eastAsia="宋体" w:hint="default"/>
        </w:rPr>
        <w:t>2017</w:t>
      </w:r>
      <w:r>
        <w:rPr/>
        <w:t>年度《专项审核报告》之日起</w:t>
      </w:r>
      <w:r>
        <w:rPr>
          <w:rFonts w:ascii="宋体" w:hAnsi="宋体" w:cs="宋体" w:eastAsia="宋体" w:hint="default"/>
        </w:rPr>
        <w:t>60</w:t>
      </w:r>
      <w:r>
        <w:rPr/>
        <w:t>个工作日内，上市公司以现金方式 支付给交易对方，交易对方按照在本次交易前持有的唐人数码股权比例确定相应分配的比例。</w:t>
      </w:r>
    </w:p>
    <w:p>
      <w:pPr>
        <w:spacing w:before="19"/>
        <w:ind w:left="505" w:right="0" w:firstLine="0"/>
        <w:jc w:val="left"/>
        <w:rPr>
          <w:rFonts w:ascii="宋体" w:hAnsi="宋体" w:cs="宋体" w:eastAsia="宋体" w:hint="default"/>
          <w:sz w:val="18"/>
          <w:szCs w:val="18"/>
        </w:rPr>
      </w:pPr>
      <w:r>
        <w:rPr>
          <w:rFonts w:ascii="宋体" w:hAnsi="宋体" w:cs="宋体" w:eastAsia="宋体" w:hint="default"/>
          <w:b/>
          <w:bCs/>
          <w:sz w:val="18"/>
          <w:szCs w:val="18"/>
        </w:rPr>
        <w:t>大额商誉形成的主要原因：</w:t>
      </w:r>
      <w:r>
        <w:rPr>
          <w:rFonts w:ascii="宋体" w:hAnsi="宋体" w:cs="宋体" w:eastAsia="宋体" w:hint="default"/>
          <w:sz w:val="18"/>
          <w:szCs w:val="18"/>
        </w:rPr>
      </w:r>
    </w:p>
    <w:p>
      <w:pPr>
        <w:pStyle w:val="BodyText"/>
        <w:spacing w:line="240" w:lineRule="auto" w:before="76"/>
        <w:ind w:left="604" w:right="0"/>
        <w:jc w:val="left"/>
        <w:rPr>
          <w:rFonts w:ascii="宋体" w:hAnsi="宋体" w:cs="宋体" w:eastAsia="宋体" w:hint="default"/>
        </w:rPr>
      </w:pP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15</w:t>
      </w:r>
      <w:r>
        <w:rPr>
          <w:spacing w:val="-3"/>
        </w:rPr>
        <w:t>年</w:t>
      </w:r>
      <w:r>
        <w:rPr>
          <w:rFonts w:ascii="宋体" w:hAnsi="宋体" w:cs="宋体" w:eastAsia="宋体" w:hint="default"/>
          <w:spacing w:val="1"/>
        </w:rPr>
        <w:t>4</w:t>
      </w:r>
      <w:r>
        <w:rPr/>
        <w:t>月</w:t>
      </w:r>
      <w:r>
        <w:rPr>
          <w:spacing w:val="-89"/>
        </w:rPr>
        <w:t>，</w:t>
      </w:r>
      <w:r>
        <w:rPr/>
        <w:t>公司收购亚鸿世</w:t>
      </w:r>
      <w:r>
        <w:rPr>
          <w:spacing w:val="-3"/>
        </w:rPr>
        <w:t>纪</w:t>
      </w:r>
      <w:r>
        <w:rPr>
          <w:rFonts w:ascii="宋体" w:hAnsi="宋体" w:cs="宋体" w:eastAsia="宋体" w:hint="default"/>
          <w:spacing w:val="1"/>
        </w:rPr>
        <w:t>51%</w:t>
      </w:r>
      <w:r>
        <w:rPr/>
        <w:t>股权</w:t>
      </w:r>
      <w:r>
        <w:rPr>
          <w:spacing w:val="-89"/>
        </w:rPr>
        <w:t>，</w:t>
      </w:r>
      <w:r>
        <w:rPr/>
        <w:t>合并成本</w:t>
      </w:r>
      <w:r>
        <w:rPr>
          <w:spacing w:val="-3"/>
        </w:rPr>
        <w:t>为</w:t>
      </w:r>
      <w:r>
        <w:rPr>
          <w:rFonts w:ascii="宋体" w:hAnsi="宋体" w:cs="宋体" w:eastAsia="宋体" w:hint="default"/>
          <w:spacing w:val="1"/>
        </w:rPr>
        <w:t>1</w:t>
      </w:r>
      <w:r>
        <w:rPr>
          <w:rFonts w:ascii="宋体" w:hAnsi="宋体" w:cs="宋体" w:eastAsia="宋体" w:hint="default"/>
          <w:spacing w:val="-2"/>
        </w:rPr>
        <w:t>,</w:t>
      </w:r>
      <w:r>
        <w:rPr>
          <w:rFonts w:ascii="宋体" w:hAnsi="宋体" w:cs="宋体" w:eastAsia="宋体" w:hint="default"/>
          <w:spacing w:val="1"/>
        </w:rPr>
        <w:t>5</w:t>
      </w:r>
      <w:r>
        <w:rPr>
          <w:rFonts w:ascii="宋体" w:hAnsi="宋体" w:cs="宋体" w:eastAsia="宋体" w:hint="default"/>
          <w:spacing w:val="-2"/>
        </w:rPr>
        <w:t>0</w:t>
      </w:r>
      <w:r>
        <w:rPr>
          <w:rFonts w:ascii="宋体" w:hAnsi="宋体" w:cs="宋体" w:eastAsia="宋体" w:hint="default"/>
          <w:spacing w:val="1"/>
        </w:rPr>
        <w:t>0</w:t>
      </w:r>
      <w:r>
        <w:rPr/>
        <w:t>万</w:t>
      </w:r>
      <w:r>
        <w:rPr>
          <w:spacing w:val="-3"/>
        </w:rPr>
        <w:t>元</w:t>
      </w:r>
      <w:r>
        <w:rPr>
          <w:spacing w:val="-89"/>
        </w:rPr>
        <w:t>。</w:t>
      </w:r>
      <w:r>
        <w:rPr/>
        <w:t>购买日</w:t>
      </w:r>
      <w:r>
        <w:rPr>
          <w:spacing w:val="-89"/>
        </w:rPr>
        <w:t>，</w:t>
      </w:r>
      <w:r>
        <w:rPr/>
        <w:t>亚鸿世纪可辨认净</w:t>
      </w:r>
      <w:r>
        <w:rPr>
          <w:spacing w:val="2"/>
        </w:rPr>
        <w:t>资</w:t>
      </w:r>
      <w:r>
        <w:rPr/>
        <w:t>产公允价值为</w:t>
      </w:r>
      <w:r>
        <w:rPr>
          <w:rFonts w:ascii="宋体" w:hAnsi="宋体" w:cs="宋体" w:eastAsia="宋体" w:hint="default"/>
          <w:spacing w:val="1"/>
        </w:rPr>
        <w:t>-4</w:t>
      </w:r>
      <w:r>
        <w:rPr>
          <w:rFonts w:ascii="宋体" w:hAnsi="宋体" w:cs="宋体" w:eastAsia="宋体" w:hint="default"/>
          <w:spacing w:val="-2"/>
        </w:rPr>
        <w:t>0</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5</w:t>
      </w:r>
      <w:r>
        <w:rPr>
          <w:rFonts w:ascii="宋体" w:hAnsi="宋体" w:cs="宋体" w:eastAsia="宋体" w:hint="default"/>
          <w:spacing w:val="-2"/>
        </w:rPr>
        <w:t>2</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44</w:t>
      </w:r>
      <w:r>
        <w:rPr>
          <w:rFonts w:ascii="宋体" w:hAnsi="宋体" w:cs="宋体" w:eastAsia="宋体" w:hint="default"/>
        </w:rPr>
      </w:r>
    </w:p>
    <w:p>
      <w:pPr>
        <w:pStyle w:val="BodyText"/>
        <w:spacing w:line="240" w:lineRule="auto" w:before="76"/>
        <w:ind w:right="0"/>
        <w:jc w:val="left"/>
      </w:pPr>
      <w:r>
        <w:rPr/>
        <w:t>元，合并成本大于合并中取得的被购买方可可辨认净资产公允价值的差额</w:t>
      </w:r>
      <w:r>
        <w:rPr>
          <w:rFonts w:ascii="宋体" w:hAnsi="宋体" w:cs="宋体" w:eastAsia="宋体" w:hint="default"/>
        </w:rPr>
        <w:t>15,409,529.44</w:t>
      </w:r>
      <w:r>
        <w:rPr/>
        <w:t>元确认为商誉。</w:t>
      </w:r>
    </w:p>
    <w:p>
      <w:pPr>
        <w:pStyle w:val="BodyText"/>
        <w:spacing w:line="240" w:lineRule="auto" w:before="76"/>
        <w:ind w:left="512" w:right="0"/>
        <w:jc w:val="left"/>
      </w:pPr>
      <w:r>
        <w:rPr>
          <w:rFonts w:ascii="宋体" w:hAnsi="宋体" w:cs="宋体" w:eastAsia="宋体" w:hint="default"/>
        </w:rPr>
        <w:t>2015</w:t>
      </w:r>
      <w:r>
        <w:rPr/>
        <w:t>年</w:t>
      </w:r>
      <w:r>
        <w:rPr>
          <w:rFonts w:ascii="宋体" w:hAnsi="宋体" w:cs="宋体" w:eastAsia="宋体" w:hint="default"/>
        </w:rPr>
        <w:t>8</w:t>
      </w:r>
      <w:r>
        <w:rPr/>
        <w:t>月，公司收购唐人数码</w:t>
      </w:r>
      <w:r>
        <w:rPr>
          <w:rFonts w:ascii="宋体" w:hAnsi="宋体" w:cs="宋体" w:eastAsia="宋体" w:hint="default"/>
        </w:rPr>
        <w:t>100%</w:t>
      </w:r>
      <w:r>
        <w:rPr/>
        <w:t>股权，合并成本为</w:t>
      </w:r>
      <w:r>
        <w:rPr>
          <w:rFonts w:ascii="宋体" w:hAnsi="宋体" w:cs="宋体" w:eastAsia="宋体" w:hint="default"/>
        </w:rPr>
        <w:t>80,258</w:t>
      </w:r>
      <w:r>
        <w:rPr/>
        <w:t>万元。购买日，唐人数码可辨认净资产公允价值为</w:t>
      </w:r>
    </w:p>
    <w:p>
      <w:pPr>
        <w:pStyle w:val="BodyText"/>
        <w:spacing w:line="240" w:lineRule="auto" w:before="76"/>
        <w:ind w:right="0"/>
        <w:jc w:val="left"/>
      </w:pPr>
      <w:r>
        <w:rPr>
          <w:rFonts w:ascii="宋体" w:hAnsi="宋体" w:cs="宋体" w:eastAsia="宋体" w:hint="default"/>
        </w:rPr>
        <w:t>110,309,579.69</w:t>
      </w:r>
      <w:r>
        <w:rPr/>
        <w:t>元，合并成本大于合并中取得的被购买方可可辨认净资产公允价值的差额</w:t>
      </w:r>
      <w:r>
        <w:rPr>
          <w:rFonts w:ascii="宋体" w:hAnsi="宋体" w:cs="宋体" w:eastAsia="宋体" w:hint="default"/>
        </w:rPr>
        <w:t>692,270,420.31</w:t>
      </w:r>
      <w:r>
        <w:rPr/>
        <w:t>元确认为商誉。</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被购买方于购买日可辨认资产、负债" w:id="313"/>
      <w:bookmarkEnd w:id="31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8"/>
        <w:gridCol w:w="1930"/>
        <w:gridCol w:w="1915"/>
        <w:gridCol w:w="1913"/>
        <w:gridCol w:w="1915"/>
      </w:tblGrid>
      <w:tr>
        <w:trPr>
          <w:trHeight w:val="403" w:hRule="exact"/>
        </w:trPr>
        <w:tc>
          <w:tcPr>
            <w:tcW w:w="1898" w:type="dxa"/>
            <w:tcBorders>
              <w:top w:val="single" w:sz="4" w:space="0" w:color="000000"/>
              <w:left w:val="single" w:sz="4" w:space="0" w:color="000000"/>
              <w:bottom w:val="single" w:sz="4" w:space="0" w:color="000000"/>
              <w:right w:val="single" w:sz="13" w:space="0" w:color="E1FFFF"/>
            </w:tcBorders>
            <w:shd w:val="clear" w:color="auto" w:fill="D4D4D4"/>
          </w:tcPr>
          <w:p>
            <w:pPr/>
          </w:p>
        </w:tc>
        <w:tc>
          <w:tcPr>
            <w:tcW w:w="3845" w:type="dxa"/>
            <w:gridSpan w:val="2"/>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16,973,798.65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16,973,798.65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122,018,295.07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111,451,773.40</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708,861.97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708,861.97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94,931,832.89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94,931,832.89</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7,213,935.22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7,213,935.22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8,098,757.39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8,098,757.39</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2,351,797.58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2,351,797.58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568,761.71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568,761.71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7,500,946.20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7,500,946.20</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10,566,521.67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5,231,552.00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5,231,552.00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17,776,797.55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17,776,797.55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11,708,715.38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10,123,737.13</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3,434,387.15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3,434,387.15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12,483,014.89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12,483,014.89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30"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6,759,367.76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6,759,367.76</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30"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1,370,109.70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1,370,109.70</w:t>
            </w:r>
            <w:r>
              <w:rPr>
                <w:rFonts w:ascii="Times New Roman"/>
                <w:sz w:val="18"/>
              </w:rPr>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-802,998.90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-802,998.90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110,309,579.69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101,328,036.27</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-393,469.46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-393,469.46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-409,529.44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-409,529.44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110,309,579.69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101,328,036.27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可辨认资产、负债公允价值的确定方法：</w:t>
      </w:r>
    </w:p>
    <w:p>
      <w:pPr>
        <w:pStyle w:val="BodyText"/>
        <w:spacing w:line="300" w:lineRule="auto" w:before="117"/>
        <w:ind w:right="0" w:firstLine="374"/>
        <w:jc w:val="left"/>
      </w:pPr>
      <w:r>
        <w:rPr/>
        <w:t>亚鸿世纪：根据永拓会计师事务所出具的</w:t>
      </w:r>
      <w:r>
        <w:rPr>
          <w:rFonts w:ascii="Times New Roman" w:hAnsi="Times New Roman" w:cs="Times New Roman" w:eastAsia="Times New Roman" w:hint="default"/>
        </w:rPr>
        <w:t>“</w:t>
      </w:r>
      <w:r>
        <w:rPr/>
        <w:t>京永审字（</w:t>
      </w:r>
      <w:r>
        <w:rPr>
          <w:rFonts w:ascii="Times New Roman" w:hAnsi="Times New Roman" w:cs="Times New Roman" w:eastAsia="Times New Roman" w:hint="default"/>
        </w:rPr>
        <w:t>2015</w:t>
      </w:r>
      <w:r>
        <w:rPr/>
        <w:t>）第</w:t>
      </w:r>
      <w:r>
        <w:rPr>
          <w:spacing w:val="-48"/>
        </w:rPr>
        <w:t> </w:t>
      </w:r>
      <w:r>
        <w:rPr>
          <w:rFonts w:ascii="Times New Roman" w:hAnsi="Times New Roman" w:cs="Times New Roman" w:eastAsia="Times New Roman" w:hint="default"/>
        </w:rPr>
        <w:t>17190 </w:t>
      </w:r>
      <w:r>
        <w:rPr/>
        <w:t>号</w:t>
      </w:r>
      <w:r>
        <w:rPr>
          <w:rFonts w:ascii="Times New Roman" w:hAnsi="Times New Roman" w:cs="Times New Roman" w:eastAsia="Times New Roman" w:hint="default"/>
        </w:rPr>
        <w:t>”</w:t>
      </w:r>
      <w:r>
        <w:rPr/>
        <w:t>《</w:t>
      </w:r>
      <w:r>
        <w:rPr>
          <w:spacing w:val="-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日至</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日财 务报表审计报告》确定购买日可可辨认资产、负债公允价值。</w:t>
      </w:r>
    </w:p>
    <w:p>
      <w:pPr>
        <w:pStyle w:val="BodyText"/>
        <w:spacing w:line="300" w:lineRule="auto" w:before="70"/>
        <w:ind w:right="150" w:firstLine="362"/>
        <w:jc w:val="left"/>
      </w:pPr>
      <w:r>
        <w:rPr>
          <w:spacing w:val="-2"/>
        </w:rPr>
        <w:t>唐人数码：根据德正信国际资产评估有限公司出具的</w:t>
      </w:r>
      <w:r>
        <w:rPr>
          <w:rFonts w:ascii="Times New Roman" w:hAnsi="Times New Roman" w:cs="Times New Roman" w:eastAsia="Times New Roman" w:hint="default"/>
          <w:spacing w:val="-2"/>
        </w:rPr>
        <w:t>“</w:t>
      </w:r>
      <w:r>
        <w:rPr>
          <w:spacing w:val="-2"/>
        </w:rPr>
        <w:t>德正信综评报字【</w:t>
      </w:r>
      <w:r>
        <w:rPr>
          <w:rFonts w:ascii="Times New Roman" w:hAnsi="Times New Roman" w:cs="Times New Roman" w:eastAsia="Times New Roman" w:hint="default"/>
          <w:spacing w:val="-2"/>
        </w:rPr>
        <w:t>2015</w:t>
      </w:r>
      <w:r>
        <w:rPr>
          <w:spacing w:val="-2"/>
        </w:rPr>
        <w:t>】第</w:t>
      </w:r>
      <w:r>
        <w:rPr/>
        <w:t> </w:t>
      </w:r>
      <w:r>
        <w:rPr>
          <w:rFonts w:ascii="Times New Roman" w:hAnsi="Times New Roman" w:cs="Times New Roman" w:eastAsia="Times New Roman" w:hint="default"/>
          <w:spacing w:val="-1"/>
        </w:rPr>
        <w:t>045</w:t>
      </w:r>
      <w:r>
        <w:rPr>
          <w:rFonts w:ascii="Times New Roman" w:hAnsi="Times New Roman" w:cs="Times New Roman" w:eastAsia="Times New Roman" w:hint="default"/>
          <w:spacing w:val="-14"/>
        </w:rPr>
        <w:t> </w:t>
      </w:r>
      <w:r>
        <w:rPr>
          <w:spacing w:val="-2"/>
        </w:rPr>
        <w:t>号</w:t>
      </w:r>
      <w:r>
        <w:rPr>
          <w:rFonts w:ascii="Times New Roman" w:hAnsi="Times New Roman" w:cs="Times New Roman" w:eastAsia="Times New Roman" w:hint="default"/>
          <w:spacing w:val="-2"/>
        </w:rPr>
        <w:t>”</w:t>
      </w:r>
      <w:r>
        <w:rPr>
          <w:spacing w:val="-2"/>
        </w:rPr>
        <w:t>《企业价值评估报告》确定购</w:t>
      </w:r>
      <w:r>
        <w:rPr/>
        <w:t> 买日可可辨认资产、负债公允价值。</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4）购买日之前持有的股权按照公允价值重新计量产生的利得或损失" w:id="314"/>
      <w:bookmarkEnd w:id="31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5）购买日或合并当期期末无法合理确定合并对价或被购买方可辨认资产、负债公允价值" w:id="315"/>
      <w:bookmarkEnd w:id="31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bookmarkStart w:name="（6）其他说明"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bookmarkStart w:name="九、在其他主体中的权益" w:id="317"/>
      <w:bookmarkEnd w:id="317"/>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18"/>
      <w:bookmarkEnd w:id="3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0"/>
        <w:jc w:val="left"/>
        <w:rPr>
          <w:b w:val="0"/>
          <w:bCs w:val="0"/>
        </w:rPr>
      </w:pPr>
      <w:bookmarkStart w:name="（1）企业集团的构成" w:id="319"/>
      <w:bookmarkEnd w:id="31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708"/>
        <w:gridCol w:w="852"/>
        <w:gridCol w:w="2268"/>
        <w:gridCol w:w="1133"/>
        <w:gridCol w:w="1051"/>
        <w:gridCol w:w="1500"/>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70" w:right="77"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8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2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1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2268" w:type="dxa"/>
            <w:vMerge/>
            <w:tcBorders>
              <w:left w:val="single" w:sz="4" w:space="0" w:color="000000"/>
              <w:bottom w:val="single" w:sz="4" w:space="0" w:color="000000"/>
              <w:right w:val="single" w:sz="4" w:space="0" w:color="000000"/>
            </w:tcBorders>
            <w:shd w:val="clear" w:color="auto" w:fill="D4D4D4"/>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00"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深圳市任子行科技 开发有限公司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武汉任子行软件技 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成都网娱互动网络 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深圳市任网游科技 发展有限公司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软件开发及销售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深圳市博海通讯技 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通讯产品生产与销售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56.04%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北京亚鸿世纪科技 发展有限公司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技术开发及软硬件销售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苏州唐人数码科技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第二类增值电信业务及软件 开发、销售、维护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苏州争渡科技有限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第二类增值电信业务及软件 开发、销售、维护</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重要的非全资子公司" w:id="320"/>
      <w:bookmarkEnd w:id="320"/>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深圳市博海通讯技术有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-3,063,711.65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-8,549,174.80</w:t>
            </w:r>
            <w:r>
              <w:rPr>
                <w:rFonts w:ascii="Times New Roman"/>
                <w:sz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北京亚鸿世纪科技发展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-5,228,073.67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-5,621,543.13</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重要非全资子公司的主要财务信息" w:id="321"/>
      <w:bookmarkEnd w:id="32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博海通 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2,068,89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304,849.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2,373,74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21,822,2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21,822,2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13,242,1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984,771.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14,226,9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26,705,8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26,705,8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06.14</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北京亚 鸿世纪 科技发 展有限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35,101,5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26.98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879,975.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35,981,5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02.72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47,454,0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47,454,0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39.72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深圳市博海 通讯技术有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1,384,739.49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-6,969,633.86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-6,969,633.86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-32,173.36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1,696,802.19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-8,904,393.15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-8,904,393.15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39,128.98</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北京亚鸿世 纪科技发展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20,729,676.8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-10,669,538.1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-10,669,538.1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1,859,390.10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98"/>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
        <w:jc w:val="left"/>
        <w:rPr>
          <w:b w:val="0"/>
          <w:bCs w:val="0"/>
        </w:rPr>
      </w:pPr>
      <w:bookmarkStart w:name="2、在合营安排或联营企业中的权益" w:id="322"/>
      <w:bookmarkEnd w:id="322"/>
      <w:r>
        <w:rPr>
          <w:b w:val="0"/>
          <w:bCs w:val="0"/>
        </w:rPr>
      </w:r>
      <w:bookmarkStart w:name="（1）不重要的合营企业和联营企业的汇总财务信息" w:id="323"/>
      <w:bookmarkEnd w:id="323"/>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8,073,701.22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8,614,177.52</w:t>
            </w:r>
            <w:r>
              <w:rPr>
                <w:rFonts w:ascii="Times New Roman"/>
                <w:sz w:val="18"/>
              </w:rPr>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-540,476.30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-540,476.30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bl>
    <w:p>
      <w:pPr>
        <w:pStyle w:val="BodyText"/>
        <w:spacing w:line="240" w:lineRule="auto" w:before="49"/>
        <w:ind w:right="98"/>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98"/>
        <w:jc w:val="left"/>
        <w:rPr>
          <w:b w:val="0"/>
          <w:bCs w:val="0"/>
        </w:rPr>
      </w:pPr>
      <w:bookmarkStart w:name="十、与金融工具相关的风险" w:id="324"/>
      <w:bookmarkEnd w:id="32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 w:firstLine="48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8"/>
        <w:ind w:right="98" w:firstLine="480"/>
        <w:jc w:val="left"/>
      </w:pPr>
      <w:r>
        <w:rPr>
          <w:spacing w:val="-1"/>
        </w:rPr>
        <w:t>本公司的金融工具面临的主要风险是信用风险、流动风险及市场风险。管理层已审议并批准管理这些风险的政策，概</w:t>
      </w:r>
      <w:r>
        <w:rPr/>
        <w:t> 括如下：</w:t>
      </w:r>
    </w:p>
    <w:p>
      <w:pPr>
        <w:pStyle w:val="BodyText"/>
        <w:spacing w:line="300" w:lineRule="auto" w:before="18"/>
        <w:ind w:left="632" w:right="98"/>
        <w:jc w:val="left"/>
      </w:pPr>
      <w:r>
        <w:rPr>
          <w:rFonts w:ascii="Times New Roman" w:hAnsi="Times New Roman" w:cs="Times New Roman" w:eastAsia="Times New Roman" w:hint="default"/>
        </w:rPr>
        <w:t>1</w:t>
      </w:r>
      <w:r>
        <w:rPr/>
        <w:t>、信用风险 </w:t>
      </w:r>
      <w:r>
        <w:rPr>
          <w:spacing w:val="-1"/>
        </w:rPr>
        <w:t>本公司仅与经认可的、信誉良好的第三方进行交易。按照本公司的政策，需对所有要求采用信用方式进行交易的客户</w:t>
      </w:r>
    </w:p>
    <w:p>
      <w:pPr>
        <w:pStyle w:val="BodyText"/>
        <w:spacing w:line="316" w:lineRule="auto" w:before="31"/>
        <w:ind w:left="632" w:right="98" w:hanging="481"/>
        <w:jc w:val="left"/>
      </w:pPr>
      <w:r>
        <w:rPr/>
        <w:t>进行信用审核。另外，本公司对应收账款及其他应收款余额进行持续监控，以确保本公司不致面临重大坏账风险。 </w:t>
      </w:r>
      <w:r>
        <w:rPr>
          <w:spacing w:val="-1"/>
        </w:rPr>
        <w:t>本公司其他金融资产包括货币资金、其他应收款等，这些金融资产的信用风险源自交易对手违约，最大风险敞口等于</w:t>
      </w:r>
    </w:p>
    <w:p>
      <w:pPr>
        <w:pStyle w:val="BodyText"/>
        <w:spacing w:line="316" w:lineRule="auto" w:before="18"/>
        <w:ind w:left="632" w:right="98" w:hanging="481"/>
        <w:jc w:val="left"/>
      </w:pPr>
      <w:r>
        <w:rPr/>
        <w:t>这些工具的账面金额。 </w:t>
      </w:r>
      <w:r>
        <w:rPr>
          <w:spacing w:val="-1"/>
        </w:rPr>
        <w:t>由于本公司仅与经认可的且信誉良好的第三方进行交易，所以无需担保物。信用风险集中按照客户、地理区域和行业</w:t>
      </w:r>
    </w:p>
    <w:p>
      <w:pPr>
        <w:pStyle w:val="BodyText"/>
        <w:spacing w:line="316" w:lineRule="auto" w:before="18"/>
        <w:ind w:right="94"/>
        <w:jc w:val="left"/>
      </w:pPr>
      <w:r>
        <w:rPr/>
        <w:t>进行管理。由于本公司的应收账款客户群广泛地分散于不同的部门和行业中，因此在本公司内部不存在重大信用风险集中。 本公司对应收账款余额未持有任何担保物或其他信用增级。</w:t>
      </w:r>
    </w:p>
    <w:p>
      <w:pPr>
        <w:pStyle w:val="BodyText"/>
        <w:spacing w:line="300" w:lineRule="auto" w:before="18"/>
        <w:ind w:right="195" w:firstLine="480"/>
        <w:jc w:val="both"/>
      </w:pP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日，本公司认为本公司金融资产中无尚未逾期但已发生减值的金额。本公司认为本公司不存在已逾期</w:t>
      </w:r>
      <w:r>
        <w:rPr/>
        <w:t> 已减值但未计提减值准备的重大金融资产。本公司未逾期未减值及已逾期未减值的金融资产主要为账龄为</w:t>
      </w:r>
      <w:r>
        <w:rPr>
          <w:rFonts w:ascii="Times New Roman" w:hAnsi="Times New Roman" w:cs="Times New Roman" w:eastAsia="Times New Roman" w:hint="default"/>
        </w:rPr>
        <w:t>1</w:t>
      </w:r>
      <w:r>
        <w:rPr/>
        <w:t>年以内的应收账 款及其它应收款。于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日，尚未逾期和发生减值的应收账款与大量的近期无违约记录的分散化的客户有关。</w:t>
      </w:r>
    </w:p>
    <w:p>
      <w:pPr>
        <w:pStyle w:val="BodyText"/>
        <w:spacing w:line="300" w:lineRule="auto" w:before="13"/>
        <w:ind w:left="632" w:right="98"/>
        <w:jc w:val="left"/>
      </w:pPr>
      <w:r>
        <w:rPr>
          <w:rFonts w:ascii="Times New Roman" w:hAnsi="Times New Roman" w:cs="Times New Roman" w:eastAsia="Times New Roman" w:hint="default"/>
        </w:rPr>
        <w:t>2</w:t>
      </w:r>
      <w:r>
        <w:rPr/>
        <w:t>、流动性风险 </w:t>
      </w:r>
      <w:r>
        <w:rPr>
          <w:spacing w:val="-1"/>
        </w:rPr>
        <w:t>本公司采用循环流动性计划工具管理资金短缺风险。该工具既考虑其金融工具的到期日，也考虑本公司运营产生的预</w:t>
      </w:r>
    </w:p>
    <w:p>
      <w:pPr>
        <w:pStyle w:val="BodyText"/>
        <w:spacing w:line="240" w:lineRule="auto" w:before="31"/>
        <w:ind w:right="98"/>
        <w:jc w:val="left"/>
      </w:pPr>
      <w:r>
        <w:rPr/>
        <w:t>计现金流量。</w:t>
      </w:r>
    </w:p>
    <w:p>
      <w:pPr>
        <w:pStyle w:val="BodyText"/>
        <w:spacing w:line="316" w:lineRule="auto" w:before="76"/>
        <w:ind w:left="632" w:right="98"/>
        <w:jc w:val="left"/>
      </w:pPr>
      <w:r>
        <w:rPr/>
        <w:t>本公司的目标是运用银行借款、应付债券、增发股本等多种融资手段以保持融资的持续性与灵活性的平衡。 </w:t>
      </w:r>
      <w:r>
        <w:rPr>
          <w:spacing w:val="-1"/>
        </w:rPr>
        <w:t>流动风险，是指企业在履行与金融负债有关的义务时遇到资金短缺的风险，其可能源于无法尽快以公允价值售出金融</w:t>
      </w:r>
    </w:p>
    <w:p>
      <w:pPr>
        <w:pStyle w:val="BodyText"/>
        <w:spacing w:line="316" w:lineRule="auto" w:before="18"/>
        <w:ind w:left="632" w:right="98" w:hanging="481"/>
        <w:jc w:val="left"/>
      </w:pPr>
      <w:r>
        <w:rPr/>
        <w:t>资产；或者源于对方无法偿还其合同债务；或者源于提前到期的债务；或者源于无法产生预期的现金流量。 </w:t>
      </w:r>
      <w:r>
        <w:rPr>
          <w:spacing w:val="-1"/>
        </w:rPr>
        <w:t>为控制该项风险，本公司综合采取长、短期融资方式结合，优化融资结构的方法，保持融资持续性与灵活性之间的平</w:t>
      </w:r>
    </w:p>
    <w:p>
      <w:pPr>
        <w:pStyle w:val="BodyText"/>
        <w:spacing w:line="240" w:lineRule="auto" w:before="18"/>
        <w:ind w:right="98"/>
        <w:jc w:val="left"/>
      </w:pPr>
      <w:r>
        <w:rPr/>
        <w:t>衡。</w:t>
      </w:r>
    </w:p>
    <w:p>
      <w:pPr>
        <w:pStyle w:val="BodyText"/>
        <w:spacing w:line="240" w:lineRule="auto" w:before="76"/>
        <w:ind w:left="632" w:right="98"/>
        <w:jc w:val="left"/>
      </w:pPr>
      <w:r>
        <w:rPr>
          <w:rFonts w:ascii="Times New Roman" w:hAnsi="Times New Roman" w:cs="Times New Roman" w:eastAsia="Times New Roman" w:hint="default"/>
        </w:rPr>
        <w:t>3</w:t>
      </w:r>
      <w:r>
        <w:rPr/>
        <w:t>、市场风险</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0" w:firstLine="480"/>
        <w:jc w:val="left"/>
      </w:pPr>
      <w:r>
        <w:rPr>
          <w:spacing w:val="-1"/>
        </w:rPr>
        <w:t>市场风险，是指金融工具的公允价值或未来现金流量因市场价格变动而发生波动的风险。市场风险主要包括利率风险</w:t>
      </w:r>
      <w:r>
        <w:rPr/>
        <w:t> 和外汇风险。</w:t>
      </w:r>
    </w:p>
    <w:p>
      <w:pPr>
        <w:pStyle w:val="BodyText"/>
        <w:spacing w:line="300" w:lineRule="auto" w:before="18"/>
        <w:ind w:left="632" w:right="0"/>
        <w:jc w:val="left"/>
      </w:pPr>
      <w:r>
        <w:rPr/>
        <w:t>（</w:t>
      </w:r>
      <w:r>
        <w:rPr>
          <w:rFonts w:ascii="Times New Roman" w:hAnsi="Times New Roman" w:cs="Times New Roman" w:eastAsia="Times New Roman" w:hint="default"/>
        </w:rPr>
        <w:t>1</w:t>
      </w:r>
      <w:r>
        <w:rPr/>
        <w:t>）</w:t>
      </w:r>
      <w:r>
        <w:rPr>
          <w:spacing w:val="-18"/>
        </w:rPr>
        <w:t> </w:t>
      </w:r>
      <w:r>
        <w:rPr/>
        <w:t>利率风险</w:t>
      </w:r>
      <w:r>
        <w:rPr/>
        <w:t> </w:t>
      </w:r>
      <w:r>
        <w:rPr>
          <w:spacing w:val="-1"/>
        </w:rPr>
        <w:t>利率风险，是指金融工具的公允价值或未来现金流量因市场利率变动而发生波动的风险。于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w:t>
      </w:r>
    </w:p>
    <w:p>
      <w:pPr>
        <w:pStyle w:val="BodyText"/>
        <w:spacing w:line="240" w:lineRule="auto" w:before="13"/>
        <w:ind w:right="0"/>
        <w:jc w:val="left"/>
      </w:pPr>
      <w:r>
        <w:rPr/>
        <w:t>未对外借款，不致面临重大的市场利率变动的风险。</w:t>
      </w:r>
    </w:p>
    <w:p>
      <w:pPr>
        <w:pStyle w:val="BodyText"/>
        <w:spacing w:line="309" w:lineRule="auto" w:before="76"/>
        <w:ind w:left="632" w:right="114"/>
        <w:jc w:val="left"/>
      </w:pPr>
      <w:r>
        <w:rPr/>
        <w:t>（</w:t>
      </w:r>
      <w:r>
        <w:rPr>
          <w:rFonts w:ascii="Times New Roman" w:hAnsi="Times New Roman" w:cs="Times New Roman" w:eastAsia="Times New Roman" w:hint="default"/>
        </w:rPr>
        <w:t>2</w:t>
      </w:r>
      <w:r>
        <w:rPr/>
        <w:t>）</w:t>
      </w:r>
      <w:r>
        <w:rPr>
          <w:spacing w:val="-18"/>
        </w:rPr>
        <w:t> </w:t>
      </w:r>
      <w:r>
        <w:rPr/>
        <w:t>外汇风险</w:t>
      </w:r>
      <w:r>
        <w:rPr/>
        <w:t> 外汇风险是因汇率变动产生的风险。本公司面临的汇率变动的风险主要与本公司外币货币性资产和负债有关。 本公司的业务主要发生在中国境内，交易均以人民币为记账本位币，于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日，本公司的资产及负债当中，</w:t>
      </w:r>
    </w:p>
    <w:p>
      <w:pPr>
        <w:pStyle w:val="BodyText"/>
        <w:spacing w:line="240" w:lineRule="auto" w:before="5"/>
        <w:ind w:right="0"/>
        <w:jc w:val="left"/>
      </w:pPr>
      <w:r>
        <w:rPr/>
        <w:t>外币应收账款为</w:t>
      </w:r>
      <w:r>
        <w:rPr>
          <w:rFonts w:ascii="Times New Roman" w:hAnsi="Times New Roman" w:cs="Times New Roman" w:eastAsia="Times New Roman" w:hint="default"/>
        </w:rPr>
        <w:t>4,501,506.33</w:t>
      </w:r>
      <w:r>
        <w:rPr/>
        <w:t>美元。本公司管理层认为汇率变动不会对本公司的净利润及股东权益产生重大影响。</w:t>
      </w:r>
    </w:p>
    <w:p>
      <w:pPr>
        <w:pStyle w:val="BodyText"/>
        <w:spacing w:line="300" w:lineRule="auto" w:before="62"/>
        <w:ind w:left="632" w:right="0"/>
        <w:jc w:val="left"/>
      </w:pPr>
      <w:r>
        <w:rPr>
          <w:rFonts w:ascii="Times New Roman" w:hAnsi="Times New Roman" w:cs="Times New Roman" w:eastAsia="Times New Roman" w:hint="default"/>
        </w:rPr>
        <w:t>4</w:t>
      </w:r>
      <w:r>
        <w:rPr/>
        <w:t>、</w:t>
      </w:r>
      <w:r>
        <w:rPr>
          <w:spacing w:val="-18"/>
        </w:rPr>
        <w:t> </w:t>
      </w:r>
      <w:r>
        <w:rPr/>
        <w:t>资本风险管理</w:t>
      </w:r>
      <w:r>
        <w:rPr/>
        <w:t> </w:t>
      </w:r>
      <w:r>
        <w:rPr>
          <w:spacing w:val="-1"/>
        </w:rPr>
        <w:t>本公司的资本风险管理政策是保障公司持续经营，为股东提供回报和为其他利益相关者提供利益，同时维持最佳的资</w:t>
      </w:r>
    </w:p>
    <w:p>
      <w:pPr>
        <w:pStyle w:val="BodyText"/>
        <w:spacing w:line="316" w:lineRule="auto" w:before="31"/>
        <w:ind w:right="0"/>
        <w:jc w:val="left"/>
      </w:pPr>
      <w:r>
        <w:rPr/>
        <w:t>本结构以降低资本成本。 </w:t>
      </w:r>
      <w:r>
        <w:rPr>
          <w:spacing w:val="-2"/>
        </w:rPr>
        <w:t>本公司的资本结构包括银行存款及本公司所有者权益。管理层通过考虑资金成本及各类资本风险而确定资本结构。本公司将</w:t>
      </w:r>
      <w:r>
        <w:rPr>
          <w:spacing w:val="-64"/>
        </w:rPr>
        <w:t> </w:t>
      </w:r>
      <w:r>
        <w:rPr>
          <w:spacing w:val="-64"/>
        </w:rPr>
      </w:r>
      <w:r>
        <w:rPr/>
        <w:t>通过派发股息、发行新股平衡资本结构。</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十一、关联方及关联交易" w:id="325"/>
      <w:bookmarkEnd w:id="325"/>
      <w:r>
        <w:rPr>
          <w:b w:val="0"/>
          <w:bCs w:val="0"/>
        </w:rPr>
      </w: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26"/>
      <w:bookmarkEnd w:id="32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48" w:lineRule="auto" w:before="49"/>
        <w:ind w:right="2019"/>
        <w:jc w:val="left"/>
      </w:pPr>
      <w:r>
        <w:rPr/>
        <w:t>本企业的母公司情况的说明 本公司的控股股东为自然人景晓军，直接持有本公司</w:t>
      </w:r>
      <w:r>
        <w:rPr>
          <w:rFonts w:ascii="Times New Roman" w:hAnsi="Times New Roman" w:cs="Times New Roman" w:eastAsia="Times New Roman" w:hint="default"/>
        </w:rPr>
        <w:t>40.45%</w:t>
      </w:r>
      <w:r>
        <w:rPr/>
        <w:t>的表决权股份，为本公司第一大股东。 本企业最终控制方是景晓军。</w:t>
      </w:r>
    </w:p>
    <w:p>
      <w:pPr>
        <w:pStyle w:val="BodyText"/>
        <w:spacing w:line="240" w:lineRule="auto" w:before="34"/>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本企业的子公司情况" w:id="327"/>
      <w:bookmarkEnd w:id="32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本企业子公司的情况详见附注九。</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3、本企业合营和联营企业情况" w:id="328"/>
      <w:bookmarkEnd w:id="32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634"/>
        <w:jc w:val="left"/>
      </w:pPr>
      <w:r>
        <w:rPr/>
        <w:t>本企业重要的合营或联营企业详见附注九。 本期及前期均无联营企业与本公司发生关联方交易。</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bookmarkStart w:name="4、其他关联方情况" w:id="329"/>
      <w:bookmarkEnd w:id="32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新余市华信远景投资咨询有限公司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古元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景晓东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牛京国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本公司董事（已离任）</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付昭阳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本公司独立董事（已离任）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闵锐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肖建军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翁长文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本公司职工监事</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师召辉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何小荣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沈智杰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本公司股东、副总裁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本公司副总裁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本公司副总裁（已离任）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孙文杰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本公司董事会秘书</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王震强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本公司董事会秘书（已离任）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周益斌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本公司财务总监（已离任）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蒋利琴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丁伟国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苏州唐人房地产开发有限公司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受本公司股东控制的企业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深圳市华信行投资合伙企业（有限合伙）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本公司控股股东投资的合伙企业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深圳市翰博天宝艺术品有限公司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受同一控制人控制的企业</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5、关联交易情况" w:id="330"/>
      <w:bookmarkEnd w:id="33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关键管理人员报酬" w:id="331"/>
      <w:bookmarkEnd w:id="331"/>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344.43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275.41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其他关联交易" w:id="332"/>
      <w:bookmarkEnd w:id="332"/>
      <w:r>
        <w:rPr>
          <w:b w:val="0"/>
          <w:bCs w:val="0"/>
        </w:rPr>
      </w:r>
      <w:r>
        <w:rPr/>
        <w:t>（</w:t>
      </w:r>
      <w:r>
        <w:rPr>
          <w:rFonts w:ascii="Times New Roman" w:hAnsi="Times New Roman" w:cs="Times New Roman" w:eastAsia="Times New Roman" w:hint="default"/>
        </w:rPr>
        <w:t>2</w:t>
      </w:r>
      <w:r>
        <w:rPr/>
        <w:t>）其他关联交易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262"/>
        <w:gridCol w:w="1416"/>
        <w:gridCol w:w="1560"/>
        <w:gridCol w:w="1790"/>
      </w:tblGrid>
      <w:tr>
        <w:trPr>
          <w:trHeight w:val="353" w:hRule="exact"/>
        </w:trPr>
        <w:tc>
          <w:tcPr>
            <w:tcW w:w="3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3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深圳市华信行投资合伙企业（有限合伙）</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非公开发行股份</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145,849,995.48</w:t>
            </w:r>
            <w:r>
              <w:rPr>
                <w:rFonts w:ascii="Times New Roman"/>
                <w:sz w:val="18"/>
              </w:rPr>
            </w:r>
          </w:p>
        </w:tc>
        <w:tc>
          <w:tcPr>
            <w:tcW w:w="17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周益斌</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非公开发行股份</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4,999,992.27</w:t>
            </w:r>
          </w:p>
        </w:tc>
        <w:tc>
          <w:tcPr>
            <w:tcW w:w="1790"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333"/>
      <w:bookmarkEnd w:id="333"/>
      <w:r>
        <w:rPr>
          <w:b w:val="0"/>
          <w:bCs w:val="0"/>
        </w:rPr>
      </w:r>
      <w:bookmarkStart w:name="（1）应收项目" w:id="334"/>
      <w:bookmarkEnd w:id="33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1" w:right="71" w:hanging="180"/>
              <w:jc w:val="left"/>
              <w:rPr>
                <w:rFonts w:ascii="宋体" w:hAnsi="宋体" w:cs="宋体" w:eastAsia="宋体" w:hint="default"/>
                <w:sz w:val="18"/>
                <w:szCs w:val="18"/>
              </w:rPr>
            </w:pPr>
            <w:r>
              <w:rPr>
                <w:rFonts w:ascii="宋体" w:hAnsi="宋体" w:cs="宋体" w:eastAsia="宋体" w:hint="default"/>
                <w:sz w:val="18"/>
                <w:szCs w:val="18"/>
              </w:rPr>
              <w:t>北京中天信安科技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应付项目" w:id="335"/>
      <w:bookmarkEnd w:id="33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蒋利琴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丁伟国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二、股份支付" w:id="336"/>
      <w:bookmarkEnd w:id="336"/>
      <w:r>
        <w:rPr>
          <w:b w:val="0"/>
          <w:bCs w:val="0"/>
        </w:rPr>
      </w:r>
      <w:r>
        <w:rPr/>
        <w:t>十二、股份支付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337"/>
      <w:bookmarkEnd w:id="33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17,932,441.80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9,005,683.44</w:t>
            </w:r>
            <w:r>
              <w:rPr>
                <w:rFonts w:ascii="Times New Roman"/>
                <w:sz w:val="18"/>
              </w:rPr>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公司期末发行在外的限制性股票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460.82 </w:t>
            </w:r>
            <w:r>
              <w:rPr>
                <w:rFonts w:ascii="宋体" w:hAnsi="宋体" w:cs="宋体" w:eastAsia="宋体" w:hint="default"/>
                <w:sz w:val="18"/>
                <w:szCs w:val="18"/>
              </w:rPr>
              <w:t>万股行权价</w:t>
            </w:r>
          </w:p>
          <w:p>
            <w:pPr>
              <w:pStyle w:val="TableParagraph"/>
              <w:spacing w:line="300" w:lineRule="auto" w:before="63"/>
              <w:ind w:left="23" w:right="26"/>
              <w:jc w:val="left"/>
              <w:rPr>
                <w:rFonts w:ascii="宋体" w:hAnsi="宋体" w:cs="宋体" w:eastAsia="宋体" w:hint="default"/>
                <w:sz w:val="18"/>
                <w:szCs w:val="18"/>
              </w:rPr>
            </w:pPr>
            <w:r>
              <w:rPr>
                <w:rFonts w:ascii="宋体" w:hAnsi="宋体" w:cs="宋体" w:eastAsia="宋体" w:hint="default"/>
                <w:sz w:val="18"/>
                <w:szCs w:val="18"/>
              </w:rPr>
              <w:t>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70.38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万股行权价格为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 剩余期两年。</w:t>
            </w:r>
          </w:p>
        </w:tc>
      </w:tr>
    </w:tbl>
    <w:p>
      <w:pPr>
        <w:pStyle w:val="BodyText"/>
        <w:spacing w:line="240" w:lineRule="auto" w:before="49"/>
        <w:ind w:right="0"/>
        <w:jc w:val="left"/>
      </w:pPr>
      <w:r>
        <w:rPr/>
        <w:t>其他说明</w:t>
      </w:r>
    </w:p>
    <w:p>
      <w:pPr>
        <w:pStyle w:val="BodyText"/>
        <w:spacing w:line="316" w:lineRule="auto" w:before="117"/>
        <w:ind w:right="152" w:firstLine="479"/>
        <w:jc w:val="both"/>
      </w:pPr>
      <w:r>
        <w:rPr>
          <w:spacing w:val="-1"/>
        </w:rPr>
        <w:t>根据</w:t>
      </w:r>
      <w:r>
        <w:rPr>
          <w:rFonts w:ascii="宋体" w:hAnsi="宋体" w:cs="宋体" w:eastAsia="宋体" w:hint="default"/>
          <w:spacing w:val="-1"/>
        </w:rPr>
        <w:t>2014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18</w:t>
      </w:r>
      <w:r>
        <w:rPr>
          <w:spacing w:val="-1"/>
        </w:rPr>
        <w:t>日公司</w:t>
      </w:r>
      <w:r>
        <w:rPr>
          <w:rFonts w:ascii="宋体" w:hAnsi="宋体" w:cs="宋体" w:eastAsia="宋体" w:hint="default"/>
          <w:spacing w:val="-1"/>
        </w:rPr>
        <w:t>2014</w:t>
      </w:r>
      <w:r>
        <w:rPr>
          <w:spacing w:val="-1"/>
        </w:rPr>
        <w:t>年第一次临时股东大会审议并通过的《关于</w:t>
      </w:r>
      <w:r>
        <w:rPr>
          <w:rFonts w:ascii="宋体" w:hAnsi="宋体" w:cs="宋体" w:eastAsia="宋体" w:hint="default"/>
          <w:spacing w:val="-1"/>
        </w:rPr>
        <w:t>&lt;</w:t>
      </w:r>
      <w:r>
        <w:rPr>
          <w:spacing w:val="-1"/>
        </w:rPr>
        <w:t>任子行网络技术股份有限公司限制性股票激</w:t>
      </w:r>
      <w:r>
        <w:rPr/>
        <w:t> </w:t>
      </w:r>
      <w:r>
        <w:rPr>
          <w:spacing w:val="-2"/>
        </w:rPr>
        <w:t>励计划（草案修订稿）及其摘要</w:t>
      </w:r>
      <w:r>
        <w:rPr>
          <w:rFonts w:ascii="宋体" w:hAnsi="宋体" w:cs="宋体" w:eastAsia="宋体" w:hint="default"/>
          <w:spacing w:val="-2"/>
        </w:rPr>
        <w:t>&gt;</w:t>
      </w:r>
      <w:r>
        <w:rPr>
          <w:rFonts w:ascii="宋体" w:hAnsi="宋体" w:cs="宋体" w:eastAsia="宋体" w:hint="default"/>
          <w:spacing w:val="18"/>
        </w:rPr>
        <w:t> </w:t>
      </w:r>
      <w:r>
        <w:rPr>
          <w:spacing w:val="-2"/>
        </w:rPr>
        <w:t>的议案》</w:t>
      </w:r>
      <w:r>
        <w:rPr>
          <w:rFonts w:ascii="宋体" w:hAnsi="宋体" w:cs="宋体" w:eastAsia="宋体" w:hint="default"/>
          <w:spacing w:val="-2"/>
        </w:rPr>
        <w:t>(</w:t>
      </w:r>
      <w:r>
        <w:rPr>
          <w:spacing w:val="-2"/>
        </w:rPr>
        <w:t>以下简称《激励计划》</w:t>
      </w:r>
      <w:r>
        <w:rPr>
          <w:rFonts w:ascii="宋体" w:hAnsi="宋体" w:cs="宋体" w:eastAsia="宋体" w:hint="default"/>
          <w:spacing w:val="-2"/>
        </w:rPr>
        <w:t>)</w:t>
      </w:r>
      <w:r>
        <w:rPr>
          <w:spacing w:val="-2"/>
        </w:rPr>
        <w:t>，《激励计划》所采用的激励形式为限制性股票。股票</w:t>
      </w:r>
      <w:r>
        <w:rPr>
          <w:spacing w:val="-88"/>
        </w:rPr>
        <w:t> </w:t>
      </w:r>
      <w:r>
        <w:rPr>
          <w:spacing w:val="-88"/>
        </w:rPr>
      </w:r>
      <w:r>
        <w:rPr/>
        <w:t>来源为公司向激励对象定向增发的公司</w:t>
      </w:r>
      <w:r>
        <w:rPr>
          <w:rFonts w:ascii="宋体" w:hAnsi="宋体" w:cs="宋体" w:eastAsia="宋体" w:hint="default"/>
        </w:rPr>
        <w:t>A </w:t>
      </w:r>
      <w:r>
        <w:rPr/>
        <w:t>股普通股。公司本次授予激励对象限制性股票为</w:t>
      </w:r>
      <w:r>
        <w:rPr>
          <w:rFonts w:ascii="宋体" w:hAnsi="宋体" w:cs="宋体" w:eastAsia="宋体" w:hint="default"/>
        </w:rPr>
        <w:t>3,726,109</w:t>
      </w:r>
      <w:r>
        <w:rPr>
          <w:rFonts w:ascii="宋体" w:hAnsi="宋体" w:cs="宋体" w:eastAsia="宋体" w:hint="default"/>
          <w:spacing w:val="-35"/>
        </w:rPr>
        <w:t> </w:t>
      </w:r>
      <w:r>
        <w:rPr>
          <w:spacing w:val="-5"/>
        </w:rPr>
        <w:t>股，其中首次授予限制</w:t>
      </w:r>
      <w:r>
        <w:rPr/>
        <w:t> 性股票数量为</w:t>
      </w:r>
      <w:r>
        <w:rPr>
          <w:rFonts w:ascii="宋体" w:hAnsi="宋体" w:cs="宋体" w:eastAsia="宋体" w:hint="default"/>
        </w:rPr>
        <w:t>3,291,549 </w:t>
      </w:r>
      <w:r>
        <w:rPr>
          <w:spacing w:val="-7"/>
        </w:rPr>
        <w:t>股。首次授予限制性股票的授予日为：</w:t>
      </w:r>
      <w:r>
        <w:rPr>
          <w:rFonts w:ascii="宋体" w:hAnsi="宋体" w:cs="宋体" w:eastAsia="宋体" w:hint="default"/>
          <w:spacing w:val="-7"/>
        </w:rPr>
        <w:t>2014 </w:t>
      </w:r>
      <w:r>
        <w:rPr/>
        <w:t>年</w:t>
      </w:r>
      <w:r>
        <w:rPr>
          <w:rFonts w:ascii="宋体" w:hAnsi="宋体" w:cs="宋体" w:eastAsia="宋体" w:hint="default"/>
        </w:rPr>
        <w:t>9 </w:t>
      </w:r>
      <w:r>
        <w:rPr/>
        <w:t>月</w:t>
      </w:r>
      <w:r>
        <w:rPr>
          <w:rFonts w:ascii="宋体" w:hAnsi="宋体" w:cs="宋体" w:eastAsia="宋体" w:hint="default"/>
        </w:rPr>
        <w:t>4 </w:t>
      </w:r>
      <w:r>
        <w:rPr/>
        <w:t>日；</w:t>
      </w:r>
      <w:r>
        <w:rPr>
          <w:spacing w:val="-42"/>
        </w:rPr>
        <w:t> </w:t>
      </w:r>
      <w:r>
        <w:rPr>
          <w:spacing w:val="-4"/>
        </w:rPr>
        <w:t>首次授予限制性股票的授予价格为：</w:t>
      </w:r>
      <w:r>
        <w:rPr>
          <w:rFonts w:ascii="宋体" w:hAnsi="宋体" w:cs="宋体" w:eastAsia="宋体" w:hint="default"/>
          <w:spacing w:val="-4"/>
        </w:rPr>
        <w:t>9.12</w:t>
      </w:r>
      <w:r>
        <w:rPr>
          <w:rFonts w:ascii="宋体" w:hAnsi="宋体" w:cs="宋体" w:eastAsia="宋体" w:hint="default"/>
          <w:spacing w:val="-2"/>
        </w:rPr>
        <w:t> </w:t>
      </w:r>
      <w:r>
        <w:rPr/>
        <w:t>元。</w:t>
      </w:r>
    </w:p>
    <w:p>
      <w:pPr>
        <w:pStyle w:val="BodyText"/>
        <w:spacing w:line="316" w:lineRule="auto" w:before="18"/>
        <w:ind w:left="153" w:right="152" w:firstLine="480"/>
        <w:jc w:val="both"/>
      </w:pP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日分别召开第二届董事会第二十二次会议和第二届监事会第十六次会议，审议通过了《对</w:t>
      </w:r>
      <w:r>
        <w:rPr>
          <w:rFonts w:ascii="宋体" w:hAnsi="宋体" w:cs="宋体" w:eastAsia="宋体" w:hint="default"/>
          <w:spacing w:val="-1"/>
        </w:rPr>
        <w:t>&lt;</w:t>
      </w:r>
      <w:r>
        <w:rPr>
          <w:spacing w:val="-1"/>
        </w:rPr>
        <w:t>任子行</w:t>
      </w:r>
      <w:r>
        <w:rPr/>
        <w:t> 网络技术股份有限公司限制性股票激励计划</w:t>
      </w:r>
      <w:r>
        <w:rPr>
          <w:rFonts w:ascii="宋体" w:hAnsi="宋体" w:cs="宋体" w:eastAsia="宋体" w:hint="default"/>
        </w:rPr>
        <w:t>&gt;</w:t>
      </w:r>
      <w:r>
        <w:rPr/>
        <w:t>预留限制性股票数量进行调整的议案》、《关于向激励对象授予预留限制性股 票相关事项的议案》。公司</w:t>
      </w:r>
      <w:r>
        <w:rPr>
          <w:rFonts w:ascii="宋体" w:hAnsi="宋体" w:cs="宋体" w:eastAsia="宋体" w:hint="default"/>
        </w:rPr>
        <w:t>2014</w:t>
      </w:r>
      <w:r>
        <w:rPr/>
        <w:t>年年度权益分派方案为：以截至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116,411,549</w:t>
      </w:r>
      <w:r>
        <w:rPr/>
        <w:t>股为基数向全体股 东每</w:t>
      </w:r>
      <w:r>
        <w:rPr>
          <w:rFonts w:ascii="宋体" w:hAnsi="宋体" w:cs="宋体" w:eastAsia="宋体" w:hint="default"/>
        </w:rPr>
        <w:t>10</w:t>
      </w:r>
      <w:r>
        <w:rPr/>
        <w:t>股派</w:t>
      </w:r>
      <w:r>
        <w:rPr>
          <w:rFonts w:ascii="宋体" w:hAnsi="宋体" w:cs="宋体" w:eastAsia="宋体" w:hint="default"/>
        </w:rPr>
        <w:t>0.55</w:t>
      </w:r>
      <w:r>
        <w:rPr/>
        <w:t>元人民币现金（含税），同时以资本公积金向全体股东每</w:t>
      </w:r>
      <w:r>
        <w:rPr>
          <w:rFonts w:ascii="宋体" w:hAnsi="宋体" w:cs="宋体" w:eastAsia="宋体" w:hint="default"/>
        </w:rPr>
        <w:t>10</w:t>
      </w:r>
      <w:r>
        <w:rPr/>
        <w:t>股转增</w:t>
      </w:r>
      <w:r>
        <w:rPr>
          <w:rFonts w:ascii="宋体" w:hAnsi="宋体" w:cs="宋体" w:eastAsia="宋体" w:hint="default"/>
        </w:rPr>
        <w:t>10</w:t>
      </w:r>
      <w:r>
        <w:rPr/>
        <w:t>股。公司</w:t>
      </w:r>
      <w:r>
        <w:rPr>
          <w:spacing w:val="-5"/>
        </w:rPr>
        <w:t> </w:t>
      </w:r>
      <w:r>
        <w:rPr>
          <w:rFonts w:ascii="宋体" w:hAnsi="宋体" w:cs="宋体" w:eastAsia="宋体" w:hint="default"/>
        </w:rPr>
        <w:t>2014</w:t>
      </w:r>
      <w:r>
        <w:rPr/>
        <w:t>年年度权益分派方案实 </w:t>
      </w:r>
      <w:r>
        <w:rPr>
          <w:spacing w:val="-5"/>
        </w:rPr>
        <w:t>施完成后，根据《激励计划》的规定，公司预留限制性股票授予数量为</w:t>
      </w:r>
      <w:r>
        <w:rPr>
          <w:rFonts w:ascii="宋体" w:hAnsi="宋体" w:cs="宋体" w:eastAsia="宋体" w:hint="default"/>
          <w:spacing w:val="-5"/>
        </w:rPr>
        <w:t>703,785</w:t>
      </w:r>
      <w:r>
        <w:rPr>
          <w:spacing w:val="-5"/>
        </w:rPr>
        <w:t>股。预留限制性股票的授予日为：</w:t>
      </w:r>
      <w:r>
        <w:rPr>
          <w:rFonts w:ascii="宋体" w:hAnsi="宋体" w:cs="宋体" w:eastAsia="宋体" w:hint="default"/>
          <w:spacing w:val="-5"/>
        </w:rPr>
        <w:t>2015 </w:t>
      </w:r>
      <w:r>
        <w:rPr/>
        <w:t>年</w:t>
      </w:r>
      <w:r>
        <w:rPr>
          <w:rFonts w:ascii="宋体" w:hAnsi="宋体" w:cs="宋体" w:eastAsia="宋体" w:hint="default"/>
        </w:rPr>
        <w:t>6</w:t>
      </w:r>
      <w:r>
        <w:rPr>
          <w:rFonts w:ascii="宋体" w:hAnsi="宋体" w:cs="宋体" w:eastAsia="宋体" w:hint="default"/>
          <w:spacing w:val="15"/>
        </w:rPr>
        <w:t> </w:t>
      </w:r>
      <w:r>
        <w:rPr/>
        <w:t>月</w:t>
      </w:r>
    </w:p>
    <w:p>
      <w:pPr>
        <w:spacing w:after="0" w:line="316"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宋体" w:hAnsi="宋体" w:cs="宋体" w:eastAsia="宋体" w:hint="default"/>
        </w:rPr>
        <w:t>15</w:t>
      </w:r>
      <w:r>
        <w:rPr/>
        <w:t>日；预留限制性股票的授予价格为：</w:t>
      </w:r>
      <w:r>
        <w:rPr>
          <w:rFonts w:ascii="宋体" w:hAnsi="宋体" w:cs="宋体" w:eastAsia="宋体" w:hint="default"/>
        </w:rPr>
        <w:t>25.48</w:t>
      </w:r>
      <w:r>
        <w:rPr/>
        <w:t>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以权益结算的股份支付情况" w:id="338"/>
      <w:bookmarkEnd w:id="33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根据期权价值计算模型来计算限制性股票的公允价值。</w:t>
            </w:r>
          </w:p>
        </w:tc>
      </w:tr>
      <w:tr>
        <w:trPr>
          <w:trHeight w:val="714"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50"/>
              <w:jc w:val="left"/>
              <w:rPr>
                <w:rFonts w:ascii="宋体" w:hAnsi="宋体" w:cs="宋体" w:eastAsia="宋体" w:hint="default"/>
                <w:sz w:val="18"/>
                <w:szCs w:val="18"/>
              </w:rPr>
            </w:pPr>
            <w:r>
              <w:rPr>
                <w:rFonts w:ascii="宋体" w:hAnsi="宋体" w:cs="宋体" w:eastAsia="宋体" w:hint="default"/>
                <w:sz w:val="18"/>
                <w:szCs w:val="18"/>
              </w:rPr>
              <w:t>公司采用获授限制性股票额度基数与对应年度个人绩效考 核系数的乘积确定</w:t>
            </w:r>
          </w:p>
        </w:tc>
      </w:tr>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15,099,900.00</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11,463,900.00</w:t>
            </w:r>
            <w:r>
              <w:rPr>
                <w:rFonts w:ascii="Times New Roman"/>
                <w:sz w:val="18"/>
              </w:rPr>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三、承诺及或有事项" w:id="339"/>
      <w:bookmarkEnd w:id="339"/>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40"/>
      <w:bookmarkEnd w:id="34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316" w:lineRule="auto" w:before="117"/>
        <w:ind w:right="150" w:firstLine="359"/>
        <w:jc w:val="both"/>
      </w:pPr>
      <w:r>
        <w:rPr>
          <w:rFonts w:ascii="宋体" w:hAnsi="宋体" w:cs="宋体" w:eastAsia="宋体" w:hint="default"/>
          <w:spacing w:val="-5"/>
        </w:rPr>
        <w:t>2015</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1</w:t>
      </w:r>
      <w:r>
        <w:rPr>
          <w:spacing w:val="-5"/>
        </w:rPr>
        <w:t>日，本公司与上海昶创投资管理合伙企业（有限合伙）及其他有限合伙人共同发起设立上海创稷投资中心（有</w:t>
      </w:r>
      <w:r>
        <w:rPr/>
        <w:t> 限合伙）（以下简称</w:t>
      </w:r>
      <w:r>
        <w:rPr>
          <w:rFonts w:ascii="宋体" w:hAnsi="宋体" w:cs="宋体" w:eastAsia="宋体" w:hint="default"/>
        </w:rPr>
        <w:t>“</w:t>
      </w:r>
      <w:r>
        <w:rPr/>
        <w:t>上海创稷</w:t>
      </w:r>
      <w:r>
        <w:rPr>
          <w:rFonts w:ascii="宋体" w:hAnsi="宋体" w:cs="宋体" w:eastAsia="宋体" w:hint="default"/>
        </w:rPr>
        <w:t>”</w:t>
      </w:r>
      <w:r>
        <w:rPr/>
        <w:t>），上海创稷的注册资本为人民币</w:t>
      </w:r>
      <w:r>
        <w:rPr>
          <w:rFonts w:ascii="宋体" w:hAnsi="宋体" w:cs="宋体" w:eastAsia="宋体" w:hint="default"/>
        </w:rPr>
        <w:t>177,800</w:t>
      </w:r>
      <w:r>
        <w:rPr/>
        <w:t>万元，其中本公司认缴出资人民币</w:t>
      </w:r>
      <w:r>
        <w:rPr>
          <w:rFonts w:ascii="宋体" w:hAnsi="宋体" w:cs="宋体" w:eastAsia="宋体" w:hint="default"/>
        </w:rPr>
        <w:t>5000</w:t>
      </w:r>
      <w:r>
        <w:rPr/>
        <w:t>万元，</w:t>
      </w:r>
      <w:r>
        <w:rPr>
          <w:spacing w:val="-3"/>
        </w:rPr>
        <w:t> </w:t>
      </w:r>
      <w:r>
        <w:rPr/>
        <w:t>出资比例为</w:t>
      </w:r>
      <w:r>
        <w:rPr>
          <w:rFonts w:ascii="宋体" w:hAnsi="宋体" w:cs="宋体" w:eastAsia="宋体" w:hint="default"/>
        </w:rPr>
        <w:t>2.378%</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日，本公司已缴纳出资人民币</w:t>
      </w:r>
      <w:r>
        <w:rPr>
          <w:rFonts w:ascii="宋体" w:hAnsi="宋体" w:cs="宋体" w:eastAsia="宋体" w:hint="default"/>
        </w:rPr>
        <w:t>2500</w:t>
      </w:r>
      <w:r>
        <w:rPr/>
        <w:t>万元。</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或有事项" w:id="341"/>
      <w:bookmarkEnd w:id="34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42"/>
      <w:bookmarkEnd w:id="34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公司没有需要披露的重要或有事项，也应予以说明" w:id="343"/>
      <w:bookmarkEnd w:id="34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44"/>
      <w:bookmarkEnd w:id="344"/>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利润分配情况" w:id="345"/>
      <w:bookmarkEnd w:id="345"/>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51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10,463,556.99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十五、其他重要事项" w:id="346"/>
      <w:bookmarkEnd w:id="346"/>
      <w:r>
        <w:rPr>
          <w:b w:val="0"/>
          <w:bCs w:val="0"/>
        </w:rPr>
      </w:r>
      <w:bookmarkStart w:name="1、分部信息" w:id="347"/>
      <w:bookmarkEnd w:id="347"/>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48"/>
      <w:bookmarkEnd w:id="34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公司以内部组织结构、管理要求、内部报告制度等为依据确定经营分部。</w:t>
      </w:r>
      <w:r>
        <w:rPr>
          <w:spacing w:val="-18"/>
        </w:rPr>
        <w:t> </w:t>
      </w:r>
      <w:r>
        <w:rPr/>
        <w:t>本公司以产品分部为基础确定报告分部。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报告分部的财务信息" w:id="349"/>
      <w:bookmarkEnd w:id="34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96"/>
        <w:gridCol w:w="3059"/>
        <w:gridCol w:w="2933"/>
      </w:tblGrid>
      <w:tr>
        <w:trPr>
          <w:trHeight w:val="401" w:hRule="exact"/>
        </w:trPr>
        <w:tc>
          <w:tcPr>
            <w:tcW w:w="3496"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3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3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专用安全审计产品</w:t>
            </w:r>
          </w:p>
        </w:tc>
        <w:tc>
          <w:tcPr>
            <w:tcW w:w="305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52,102,381.09</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15,398,792.86</w:t>
            </w:r>
          </w:p>
        </w:tc>
      </w:tr>
      <w:tr>
        <w:trPr>
          <w:trHeight w:val="401" w:hRule="exact"/>
        </w:trPr>
        <w:tc>
          <w:tcPr>
            <w:tcW w:w="3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通用安全审计产品</w:t>
            </w:r>
          </w:p>
        </w:tc>
        <w:tc>
          <w:tcPr>
            <w:tcW w:w="305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118,872,936.95</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18,057,438.96</w:t>
            </w:r>
          </w:p>
        </w:tc>
      </w:tr>
      <w:tr>
        <w:trPr>
          <w:trHeight w:val="403" w:hRule="exact"/>
        </w:trPr>
        <w:tc>
          <w:tcPr>
            <w:tcW w:w="3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网络监管产品及安全集成</w:t>
            </w:r>
          </w:p>
        </w:tc>
        <w:tc>
          <w:tcPr>
            <w:tcW w:w="305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142,067,822.01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86,509,874.78</w:t>
            </w:r>
          </w:p>
        </w:tc>
      </w:tr>
      <w:tr>
        <w:trPr>
          <w:trHeight w:val="401" w:hRule="exact"/>
        </w:trPr>
        <w:tc>
          <w:tcPr>
            <w:tcW w:w="3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通信产品</w:t>
            </w:r>
          </w:p>
        </w:tc>
        <w:tc>
          <w:tcPr>
            <w:tcW w:w="305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1,197,533.51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3,514,878.29</w:t>
            </w:r>
          </w:p>
        </w:tc>
      </w:tr>
      <w:tr>
        <w:trPr>
          <w:trHeight w:val="403" w:hRule="exact"/>
        </w:trPr>
        <w:tc>
          <w:tcPr>
            <w:tcW w:w="3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网络游戏运营</w:t>
            </w:r>
            <w:r>
              <w:rPr>
                <w:rFonts w:ascii="Times New Roman" w:hAnsi="Times New Roman" w:cs="Times New Roman" w:eastAsia="Times New Roman" w:hint="default"/>
                <w:sz w:val="18"/>
                <w:szCs w:val="18"/>
              </w:rPr>
              <w:t>-</w:t>
            </w:r>
            <w:r>
              <w:rPr>
                <w:rFonts w:ascii="宋体" w:hAnsi="宋体" w:cs="宋体" w:eastAsia="宋体" w:hint="default"/>
                <w:sz w:val="18"/>
                <w:szCs w:val="18"/>
              </w:rPr>
              <w:t>麻将类游戏</w:t>
            </w:r>
          </w:p>
        </w:tc>
        <w:tc>
          <w:tcPr>
            <w:tcW w:w="305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19,921,749.01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260,276.14</w:t>
            </w:r>
          </w:p>
        </w:tc>
      </w:tr>
      <w:tr>
        <w:trPr>
          <w:trHeight w:val="401" w:hRule="exact"/>
        </w:trPr>
        <w:tc>
          <w:tcPr>
            <w:tcW w:w="3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网络游戏运营</w:t>
            </w:r>
            <w:r>
              <w:rPr>
                <w:rFonts w:ascii="Times New Roman" w:hAnsi="Times New Roman" w:cs="Times New Roman" w:eastAsia="Times New Roman" w:hint="default"/>
                <w:sz w:val="18"/>
                <w:szCs w:val="18"/>
              </w:rPr>
              <w:t>-</w:t>
            </w:r>
            <w:r>
              <w:rPr>
                <w:rFonts w:ascii="宋体" w:hAnsi="宋体" w:cs="宋体" w:eastAsia="宋体" w:hint="default"/>
                <w:sz w:val="18"/>
                <w:szCs w:val="18"/>
              </w:rPr>
              <w:t>牌类游戏</w:t>
            </w:r>
          </w:p>
        </w:tc>
        <w:tc>
          <w:tcPr>
            <w:tcW w:w="305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18,825,668.80</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275,826.98</w:t>
            </w:r>
          </w:p>
        </w:tc>
      </w:tr>
      <w:tr>
        <w:trPr>
          <w:trHeight w:val="410" w:hRule="exact"/>
        </w:trPr>
        <w:tc>
          <w:tcPr>
            <w:tcW w:w="34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其他游戏收入</w:t>
            </w:r>
          </w:p>
        </w:tc>
        <w:tc>
          <w:tcPr>
            <w:tcW w:w="305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5,190,601.44</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67,814.81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六、母公司财务报表主要项目注释" w:id="350"/>
      <w:bookmarkEnd w:id="350"/>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51"/>
      <w:bookmarkEnd w:id="35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52"/>
      <w:bookmarkEnd w:id="35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80"/>
              <w:jc w:val="center"/>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99,834,7</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27.03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13,139,1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74.68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86,695,55</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2.35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68,669,</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937.71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7,880,278</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60,789,659.</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40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99,834,7</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27.03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13,139,1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74.68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100.00%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86,695,55</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2.35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68,669,</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937.71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7,880,278</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.31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60,789,659.</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40</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期末单项金额重大并单项计提坏账准备的应收账款：</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73,725,808.76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3"/>
              <w:jc w:val="right"/>
              <w:rPr>
                <w:rFonts w:ascii="Times New Roman" w:hAnsi="Times New Roman" w:cs="Times New Roman" w:eastAsia="Times New Roman" w:hint="default"/>
                <w:sz w:val="18"/>
                <w:szCs w:val="18"/>
              </w:rPr>
            </w:pPr>
            <w:r>
              <w:rPr>
                <w:rFonts w:ascii="Times New Roman"/>
                <w:spacing w:val="-1"/>
                <w:sz w:val="18"/>
              </w:rPr>
              <w:t>3,493,248.46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6"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16,612,261.68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3"/>
              <w:jc w:val="right"/>
              <w:rPr>
                <w:rFonts w:ascii="Times New Roman" w:hAnsi="Times New Roman" w:cs="Times New Roman" w:eastAsia="Times New Roman" w:hint="default"/>
                <w:sz w:val="18"/>
                <w:szCs w:val="18"/>
              </w:rPr>
            </w:pPr>
            <w:r>
              <w:rPr>
                <w:rFonts w:ascii="Times New Roman"/>
                <w:spacing w:val="-1"/>
                <w:sz w:val="18"/>
              </w:rPr>
              <w:t>1,661,226.17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1"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2,031,366.49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4" w:right="0"/>
              <w:jc w:val="left"/>
              <w:rPr>
                <w:rFonts w:ascii="Times New Roman" w:hAnsi="Times New Roman" w:cs="Times New Roman" w:eastAsia="Times New Roman" w:hint="default"/>
                <w:sz w:val="18"/>
                <w:szCs w:val="18"/>
              </w:rPr>
            </w:pPr>
            <w:r>
              <w:rPr>
                <w:rFonts w:ascii="Times New Roman"/>
                <w:sz w:val="18"/>
              </w:rPr>
              <w:t>609,409.95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1" w:right="0"/>
              <w:jc w:val="lef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7,465,290.10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3"/>
              <w:jc w:val="right"/>
              <w:rPr>
                <w:rFonts w:ascii="Times New Roman" w:hAnsi="Times New Roman" w:cs="Times New Roman" w:eastAsia="Times New Roman" w:hint="default"/>
                <w:sz w:val="18"/>
                <w:szCs w:val="18"/>
              </w:rPr>
            </w:pPr>
            <w:r>
              <w:rPr>
                <w:rFonts w:ascii="Times New Roman"/>
                <w:spacing w:val="-1"/>
                <w:sz w:val="18"/>
              </w:rPr>
              <w:t>7,375,290.10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99,834,727.03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13,139,174.68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353"/>
      <w:bookmarkEnd w:id="3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8"/>
        </w:rPr>
        <w:t> </w:t>
      </w:r>
      <w:r>
        <w:rPr>
          <w:rFonts w:ascii="Times New Roman" w:hAnsi="Times New Roman" w:cs="Times New Roman" w:eastAsia="Times New Roman" w:hint="default"/>
        </w:rPr>
        <w:t>5,258,896.37</w:t>
      </w:r>
      <w:r>
        <w:rPr>
          <w:rFonts w:ascii="Times New Roman" w:hAnsi="Times New Roman" w:cs="Times New Roman" w:eastAsia="Times New Roman" w:hint="default"/>
          <w:spacing w:val="-3"/>
        </w:rPr>
        <w:t> </w:t>
      </w:r>
      <w:r>
        <w:rPr/>
        <w:t>元；本期收回或转回坏账准备金额元。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按欠款方归集的期末余额前五名的应收账款情况" w:id="354"/>
      <w:bookmarkEnd w:id="35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975"/>
        <w:gridCol w:w="2174"/>
        <w:gridCol w:w="2213"/>
        <w:gridCol w:w="2160"/>
      </w:tblGrid>
      <w:tr>
        <w:trPr>
          <w:trHeight w:val="353" w:hRule="exact"/>
        </w:trPr>
        <w:tc>
          <w:tcPr>
            <w:tcW w:w="1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528"/>
              <w:jc w:val="right"/>
              <w:rPr>
                <w:rFonts w:ascii="宋体" w:hAnsi="宋体" w:cs="宋体" w:eastAsia="宋体" w:hint="default"/>
                <w:sz w:val="18"/>
                <w:szCs w:val="18"/>
              </w:rPr>
            </w:pPr>
            <w:r>
              <w:rPr>
                <w:rFonts w:ascii="宋体" w:hAnsi="宋体" w:cs="宋体" w:eastAsia="宋体" w:hint="default"/>
                <w:sz w:val="18"/>
                <w:szCs w:val="18"/>
              </w:rPr>
              <w:t>前五名</w:t>
            </w: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9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hAnsi="宋体" w:cs="宋体" w:eastAsia="宋体" w:hint="default"/>
                <w:sz w:val="18"/>
                <w:szCs w:val="18"/>
              </w:rPr>
              <w:t>第一名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19,490,700.00</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20" w:right="0"/>
              <w:jc w:val="left"/>
              <w:rPr>
                <w:rFonts w:ascii="Times New Roman" w:hAnsi="Times New Roman" w:cs="Times New Roman" w:eastAsia="Times New Roman" w:hint="default"/>
                <w:sz w:val="18"/>
                <w:szCs w:val="18"/>
              </w:rPr>
            </w:pPr>
            <w:r>
              <w:rPr>
                <w:rFonts w:ascii="Times New Roman"/>
                <w:sz w:val="18"/>
              </w:rPr>
              <w:t>19.52%</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974,535.00</w:t>
            </w:r>
          </w:p>
        </w:tc>
      </w:tr>
      <w:tr>
        <w:trPr>
          <w:trHeight w:val="350"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528"/>
              <w:jc w:val="right"/>
              <w:rPr>
                <w:rFonts w:ascii="宋体" w:hAnsi="宋体" w:cs="宋体" w:eastAsia="宋体" w:hint="default"/>
                <w:sz w:val="18"/>
                <w:szCs w:val="18"/>
              </w:rPr>
            </w:pPr>
            <w:r>
              <w:rPr>
                <w:rFonts w:ascii="宋体" w:hAnsi="宋体" w:cs="宋体" w:eastAsia="宋体" w:hint="default"/>
                <w:sz w:val="18"/>
                <w:szCs w:val="18"/>
              </w:rPr>
              <w:t>第二名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16,276,820.84</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20" w:right="0"/>
              <w:jc w:val="left"/>
              <w:rPr>
                <w:rFonts w:ascii="Times New Roman" w:hAnsi="Times New Roman" w:cs="Times New Roman" w:eastAsia="Times New Roman" w:hint="default"/>
                <w:sz w:val="18"/>
                <w:szCs w:val="18"/>
              </w:rPr>
            </w:pPr>
            <w:r>
              <w:rPr>
                <w:rFonts w:ascii="Times New Roman"/>
                <w:sz w:val="18"/>
              </w:rPr>
              <w:t>16.30%</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813,841.04</w:t>
            </w:r>
          </w:p>
        </w:tc>
      </w:tr>
      <w:tr>
        <w:trPr>
          <w:trHeight w:val="353"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hAnsi="宋体" w:cs="宋体" w:eastAsia="宋体" w:hint="default"/>
                <w:sz w:val="18"/>
                <w:szCs w:val="18"/>
              </w:rPr>
              <w:t>第三名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12,155,583.70</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20" w:right="0"/>
              <w:jc w:val="left"/>
              <w:rPr>
                <w:rFonts w:ascii="Times New Roman" w:hAnsi="Times New Roman" w:cs="Times New Roman" w:eastAsia="Times New Roman" w:hint="default"/>
                <w:sz w:val="18"/>
                <w:szCs w:val="18"/>
              </w:rPr>
            </w:pPr>
            <w:r>
              <w:rPr>
                <w:rFonts w:ascii="Times New Roman"/>
                <w:sz w:val="18"/>
              </w:rPr>
              <w:t>12.18%</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1,215,558.37</w:t>
            </w:r>
            <w:r>
              <w:rPr>
                <w:rFonts w:ascii="Times New Roman"/>
                <w:sz w:val="18"/>
              </w:rPr>
            </w:r>
          </w:p>
        </w:tc>
      </w:tr>
      <w:tr>
        <w:trPr>
          <w:trHeight w:val="353"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hAnsi="宋体" w:cs="宋体" w:eastAsia="宋体" w:hint="default"/>
                <w:sz w:val="18"/>
                <w:szCs w:val="18"/>
              </w:rPr>
              <w:t>第四名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2,521,000.00</w:t>
            </w:r>
            <w:r>
              <w:rPr>
                <w:rFonts w:ascii="Times New Roman"/>
                <w:sz w:val="18"/>
              </w:rPr>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66" w:right="0"/>
              <w:jc w:val="left"/>
              <w:rPr>
                <w:rFonts w:ascii="Times New Roman" w:hAnsi="Times New Roman" w:cs="Times New Roman" w:eastAsia="Times New Roman" w:hint="default"/>
                <w:sz w:val="18"/>
                <w:szCs w:val="18"/>
              </w:rPr>
            </w:pPr>
            <w:r>
              <w:rPr>
                <w:rFonts w:ascii="Times New Roman"/>
                <w:sz w:val="18"/>
              </w:rPr>
              <w:t>2.53%</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126,050.00</w:t>
            </w:r>
          </w:p>
        </w:tc>
      </w:tr>
      <w:tr>
        <w:trPr>
          <w:trHeight w:val="350"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528"/>
              <w:jc w:val="right"/>
              <w:rPr>
                <w:rFonts w:ascii="宋体" w:hAnsi="宋体" w:cs="宋体" w:eastAsia="宋体" w:hint="default"/>
                <w:sz w:val="18"/>
                <w:szCs w:val="18"/>
              </w:rPr>
            </w:pPr>
            <w:r>
              <w:rPr>
                <w:rFonts w:ascii="宋体" w:hAnsi="宋体" w:cs="宋体" w:eastAsia="宋体" w:hint="default"/>
                <w:sz w:val="18"/>
                <w:szCs w:val="18"/>
              </w:rPr>
              <w:t>第五名</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2,480,000.00</w:t>
            </w:r>
            <w:r>
              <w:rPr>
                <w:rFonts w:ascii="Times New Roman"/>
                <w:sz w:val="18"/>
              </w:rPr>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66" w:right="0"/>
              <w:jc w:val="left"/>
              <w:rPr>
                <w:rFonts w:ascii="Times New Roman" w:hAnsi="Times New Roman" w:cs="Times New Roman" w:eastAsia="Times New Roman" w:hint="default"/>
                <w:sz w:val="18"/>
                <w:szCs w:val="18"/>
              </w:rPr>
            </w:pPr>
            <w:r>
              <w:rPr>
                <w:rFonts w:ascii="Times New Roman"/>
                <w:sz w:val="18"/>
              </w:rPr>
              <w:t>2.48%</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142,017.10</w:t>
            </w:r>
          </w:p>
        </w:tc>
      </w:tr>
      <w:tr>
        <w:trPr>
          <w:trHeight w:val="355" w:hRule="exact"/>
        </w:trPr>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17"/>
              <w:jc w:val="righ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52,924,104.54</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20" w:right="0"/>
              <w:jc w:val="left"/>
              <w:rPr>
                <w:rFonts w:ascii="Times New Roman" w:hAnsi="Times New Roman" w:cs="Times New Roman" w:eastAsia="Times New Roman" w:hint="default"/>
                <w:sz w:val="18"/>
                <w:szCs w:val="18"/>
              </w:rPr>
            </w:pPr>
            <w:r>
              <w:rPr>
                <w:rFonts w:ascii="Times New Roman"/>
                <w:sz w:val="18"/>
              </w:rPr>
              <w:t>53.01%</w:t>
            </w:r>
          </w:p>
        </w:tc>
        <w:tc>
          <w:tcPr>
            <w:tcW w:w="2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3,272,001.51</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bookmarkStart w:name="2、其他应收款" w:id="355"/>
      <w:bookmarkEnd w:id="35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356"/>
      <w:bookmarkEnd w:id="35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4"/>
        <w:gridCol w:w="751"/>
        <w:gridCol w:w="811"/>
        <w:gridCol w:w="642"/>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6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1" w:type="dxa"/>
            <w:vMerge w:val="restart"/>
            <w:tcBorders>
              <w:top w:val="single" w:sz="4" w:space="0" w:color="000000"/>
              <w:left w:val="single" w:sz="4" w:space="0" w:color="000000"/>
              <w:right w:val="single" w:sz="4" w:space="0" w:color="000000"/>
            </w:tcBorders>
            <w:shd w:val="clear" w:color="auto" w:fill="D4D4D4"/>
          </w:tcPr>
          <w:p>
            <w:pPr/>
          </w:p>
        </w:tc>
        <w:tc>
          <w:tcPr>
            <w:tcW w:w="140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16" w:type="dxa"/>
            <w:gridSpan w:val="2"/>
            <w:vMerge/>
            <w:tcBorders>
              <w:left w:val="single" w:sz="4" w:space="0" w:color="000000"/>
              <w:bottom w:val="single" w:sz="4" w:space="0" w:color="000000"/>
              <w:right w:val="single" w:sz="4" w:space="0" w:color="000000"/>
            </w:tcBorders>
            <w:shd w:val="clear" w:color="auto" w:fill="D4D4D4"/>
          </w:tcPr>
          <w:p>
            <w:pPr/>
          </w:p>
        </w:tc>
        <w:tc>
          <w:tcPr>
            <w:tcW w:w="811" w:type="dxa"/>
            <w:vMerge/>
            <w:tcBorders>
              <w:left w:val="single" w:sz="4" w:space="0" w:color="000000"/>
              <w:bottom w:val="nil" w:sz="6" w:space="0" w:color="auto"/>
              <w:right w:val="single" w:sz="4" w:space="0" w:color="000000"/>
            </w:tcBorders>
            <w:shd w:val="clear" w:color="auto" w:fill="D4D4D4"/>
          </w:tcPr>
          <w:p>
            <w:pPr/>
          </w:p>
        </w:tc>
        <w:tc>
          <w:tcPr>
            <w:tcW w:w="1403"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51"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2"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4D4D4"/>
          </w:tcPr>
          <w:p>
            <w:pPr/>
          </w:p>
        </w:tc>
        <w:tc>
          <w:tcPr>
            <w:tcW w:w="811" w:type="dxa"/>
            <w:vMerge/>
            <w:tcBorders>
              <w:left w:val="single" w:sz="4" w:space="0" w:color="000000"/>
              <w:bottom w:val="nil" w:sz="6" w:space="0" w:color="auto"/>
              <w:right w:val="single" w:sz="4" w:space="0" w:color="000000"/>
            </w:tcBorders>
            <w:shd w:val="clear" w:color="auto" w:fill="D4D4D4"/>
          </w:tcPr>
          <w:p>
            <w:pPr/>
          </w:p>
        </w:tc>
        <w:tc>
          <w:tcPr>
            <w:tcW w:w="6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4" w:type="dxa"/>
            <w:vMerge/>
            <w:tcBorders>
              <w:left w:val="single" w:sz="4" w:space="0" w:color="000000"/>
              <w:bottom w:val="nil" w:sz="6" w:space="0" w:color="auto"/>
              <w:right w:val="single" w:sz="4" w:space="0" w:color="000000"/>
            </w:tcBorders>
            <w:shd w:val="clear" w:color="auto" w:fill="D4D4D4"/>
          </w:tcPr>
          <w:p>
            <w:pPr/>
          </w:p>
        </w:tc>
        <w:tc>
          <w:tcPr>
            <w:tcW w:w="751" w:type="dxa"/>
            <w:vMerge/>
            <w:tcBorders>
              <w:left w:val="single" w:sz="4" w:space="0" w:color="000000"/>
              <w:right w:val="single" w:sz="4" w:space="0" w:color="000000"/>
            </w:tcBorders>
            <w:shd w:val="clear" w:color="auto" w:fill="D4D4D4"/>
          </w:tcPr>
          <w:p>
            <w:pPr/>
          </w:p>
        </w:tc>
        <w:tc>
          <w:tcPr>
            <w:tcW w:w="811" w:type="dxa"/>
            <w:vMerge w:val="restart"/>
            <w:tcBorders>
              <w:top w:val="nil" w:sz="6" w:space="0" w:color="auto"/>
              <w:left w:val="single" w:sz="4" w:space="0" w:color="000000"/>
              <w:right w:val="single" w:sz="4" w:space="0" w:color="000000"/>
            </w:tcBorders>
            <w:shd w:val="clear" w:color="auto" w:fill="D4D4D4"/>
          </w:tcPr>
          <w:p>
            <w:pPr/>
          </w:p>
        </w:tc>
        <w:tc>
          <w:tcPr>
            <w:tcW w:w="642"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4" w:type="dxa"/>
            <w:tcBorders>
              <w:top w:val="nil" w:sz="6" w:space="0" w:color="auto"/>
              <w:left w:val="single" w:sz="4" w:space="0" w:color="000000"/>
              <w:bottom w:val="single" w:sz="4" w:space="0" w:color="000000"/>
              <w:right w:val="single" w:sz="4" w:space="0" w:color="000000"/>
            </w:tcBorders>
            <w:shd w:val="clear" w:color="auto" w:fill="D4D4D4"/>
          </w:tcPr>
          <w:p>
            <w:pPr/>
          </w:p>
        </w:tc>
        <w:tc>
          <w:tcPr>
            <w:tcW w:w="751" w:type="dxa"/>
            <w:vMerge/>
            <w:tcBorders>
              <w:left w:val="single" w:sz="4" w:space="0" w:color="000000"/>
              <w:bottom w:val="single" w:sz="4" w:space="0" w:color="000000"/>
              <w:right w:val="single" w:sz="4" w:space="0" w:color="000000"/>
            </w:tcBorders>
            <w:shd w:val="clear" w:color="auto" w:fill="D4D4D4"/>
          </w:tcPr>
          <w:p>
            <w:pPr/>
          </w:p>
        </w:tc>
        <w:tc>
          <w:tcPr>
            <w:tcW w:w="811" w:type="dxa"/>
            <w:vMerge/>
            <w:tcBorders>
              <w:left w:val="single" w:sz="4" w:space="0" w:color="000000"/>
              <w:bottom w:val="single" w:sz="4" w:space="0" w:color="000000"/>
              <w:right w:val="single" w:sz="4" w:space="0" w:color="000000"/>
            </w:tcBorders>
            <w:shd w:val="clear" w:color="auto" w:fill="D4D4D4"/>
          </w:tcPr>
          <w:p>
            <w:pPr/>
          </w:p>
        </w:tc>
        <w:tc>
          <w:tcPr>
            <w:tcW w:w="64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91"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12,355,2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12,355,2</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88.04%</w:t>
            </w:r>
          </w:p>
        </w:tc>
        <w:tc>
          <w:tcPr>
            <w:tcW w:w="81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674"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361" w:right="91" w:hanging="272"/>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Times New Roman" w:hAnsi="Times New Roman" w:cs="Times New Roman" w:eastAsia="Times New Roman" w:hint="default"/>
                <w:sz w:val="18"/>
                <w:szCs w:val="18"/>
              </w:rPr>
            </w:pPr>
            <w:r>
              <w:rPr>
                <w:rFonts w:ascii="Times New Roman"/>
                <w:sz w:val="18"/>
              </w:rPr>
              <w:t>78.70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2" w:right="0"/>
              <w:jc w:val="left"/>
              <w:rPr>
                <w:rFonts w:ascii="Times New Roman" w:hAnsi="Times New Roman" w:cs="Times New Roman" w:eastAsia="Times New Roman" w:hint="default"/>
                <w:sz w:val="18"/>
                <w:szCs w:val="18"/>
              </w:rPr>
            </w:pPr>
            <w:r>
              <w:rPr>
                <w:rFonts w:ascii="Times New Roman"/>
                <w:sz w:val="18"/>
              </w:rPr>
              <w:t>78.70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0" w:right="91"/>
              <w:jc w:val="center"/>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12,125,6</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19.45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1,678,75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10,446,86</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3.65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20,825,</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845.14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1,387,700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19,438,144.</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99</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24,480,8</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98.15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14,034,0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34.50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10,446,86</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3.65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20,825,</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845.14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1,387,700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19,438,144.</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99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722" w:right="91" w:hanging="632"/>
              <w:jc w:val="left"/>
              <w:rPr>
                <w:rFonts w:ascii="宋体" w:hAnsi="宋体" w:cs="宋体" w:eastAsia="宋体" w:hint="default"/>
                <w:sz w:val="18"/>
                <w:szCs w:val="18"/>
              </w:rPr>
            </w:pPr>
            <w:r>
              <w:rPr>
                <w:rFonts w:ascii="宋体" w:hAnsi="宋体" w:cs="宋体" w:eastAsia="宋体" w:hint="default"/>
                <w:sz w:val="18"/>
                <w:szCs w:val="18"/>
              </w:rPr>
              <w:t>深圳市博海通讯技术有 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12,355,278.70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12,355,278.70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12,355,278.70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12,355,278.70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5"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8,264,526.33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0"/>
              <w:jc w:val="right"/>
              <w:rPr>
                <w:rFonts w:ascii="Times New Roman" w:hAnsi="Times New Roman" w:cs="Times New Roman" w:eastAsia="Times New Roman" w:hint="default"/>
                <w:sz w:val="18"/>
                <w:szCs w:val="18"/>
              </w:rPr>
            </w:pPr>
            <w:r>
              <w:rPr>
                <w:rFonts w:ascii="Times New Roman"/>
                <w:sz w:val="18"/>
              </w:rPr>
              <w:t>388,995.18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6"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2,800,865.00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80"/>
              <w:jc w:val="right"/>
              <w:rPr>
                <w:rFonts w:ascii="Times New Roman" w:hAnsi="Times New Roman" w:cs="Times New Roman" w:eastAsia="Times New Roman" w:hint="default"/>
                <w:sz w:val="18"/>
                <w:szCs w:val="18"/>
              </w:rPr>
            </w:pPr>
            <w:r>
              <w:rPr>
                <w:rFonts w:ascii="Times New Roman"/>
                <w:sz w:val="18"/>
              </w:rPr>
              <w:t>280,086.50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1"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72,220.00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21,666.00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1" w:right="0"/>
              <w:jc w:val="lef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988,008.12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80"/>
              <w:jc w:val="right"/>
              <w:rPr>
                <w:rFonts w:ascii="Times New Roman" w:hAnsi="Times New Roman" w:cs="Times New Roman" w:eastAsia="Times New Roman" w:hint="default"/>
                <w:sz w:val="18"/>
                <w:szCs w:val="18"/>
              </w:rPr>
            </w:pPr>
            <w:r>
              <w:rPr>
                <w:rFonts w:ascii="Times New Roman"/>
                <w:sz w:val="18"/>
              </w:rPr>
              <w:t>988,008.12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5"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12,125,619.45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3"/>
              <w:jc w:val="right"/>
              <w:rPr>
                <w:rFonts w:ascii="Times New Roman" w:hAnsi="Times New Roman" w:cs="Times New Roman" w:eastAsia="Times New Roman" w:hint="default"/>
                <w:sz w:val="18"/>
                <w:szCs w:val="18"/>
              </w:rPr>
            </w:pPr>
            <w:r>
              <w:rPr>
                <w:rFonts w:ascii="Times New Roman"/>
                <w:spacing w:val="-1"/>
                <w:sz w:val="18"/>
              </w:rPr>
              <w:t>1,678,755.80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本期计提、收回或转回的坏账准备情况" w:id="357"/>
      <w:bookmarkEnd w:id="35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9"/>
        </w:rPr>
        <w:t> </w:t>
      </w:r>
      <w:r>
        <w:rPr>
          <w:rFonts w:ascii="Times New Roman" w:hAnsi="Times New Roman" w:cs="Times New Roman" w:eastAsia="Times New Roman" w:hint="default"/>
        </w:rPr>
        <w:t>12,646,334.35</w:t>
      </w:r>
      <w:r>
        <w:rPr>
          <w:rFonts w:ascii="Times New Roman" w:hAnsi="Times New Roman" w:cs="Times New Roman" w:eastAsia="Times New Roman" w:hint="default"/>
          <w:spacing w:val="-3"/>
        </w:rPr>
        <w:t> </w:t>
      </w:r>
      <w:r>
        <w:rPr/>
        <w:t>元；本期收回或转回坏账准备金额元。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其他应收款按款项性质分类情况" w:id="358"/>
      <w:bookmarkEnd w:id="35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应收暂付款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14,899,493.67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16,496,751.30</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7,783,798.80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2,959,525.53</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1,072,854.29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574,816.00</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694,750.99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698,922.31</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办事处备用金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30,000.40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24,700.40</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71,129.60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24,480,898.15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20,825,845.14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359"/>
      <w:bookmarkEnd w:id="35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12,355,278.70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两至三年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12,355,278.70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3,072,737.60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12.55%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153,636.88</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一至两年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495,075.00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24,753.75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462,500.00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一至两年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46,250.00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17,385,591.30</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71.02%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12,679,919.33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长期股权投资" w:id="360"/>
      <w:bookmarkEnd w:id="36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909,500,000.00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897,580,000.00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61,920,000.00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61,920,000.00</w:t>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98" w:right="35" w:hanging="360"/>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8,073,701.22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8,073,701.22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33,614,177.52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33,614,177.52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917,573,701.22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905,653,701.22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95,534,177.52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95,534,177.52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对子公司投资" w:id="361"/>
      <w:bookmarkEnd w:id="36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88" w:right="86"/>
              <w:jc w:val="left"/>
              <w:rPr>
                <w:rFonts w:ascii="宋体" w:hAnsi="宋体" w:cs="宋体" w:eastAsia="宋体" w:hint="default"/>
                <w:sz w:val="18"/>
                <w:szCs w:val="18"/>
              </w:rPr>
            </w:pPr>
            <w:r>
              <w:rPr>
                <w:rFonts w:ascii="宋体" w:hAnsi="宋体" w:cs="宋体" w:eastAsia="宋体" w:hint="default"/>
                <w:sz w:val="18"/>
                <w:szCs w:val="18"/>
              </w:rPr>
              <w:t>深圳市任网游科 技发展有限公司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8" w:right="86"/>
              <w:jc w:val="left"/>
              <w:rPr>
                <w:rFonts w:ascii="宋体" w:hAnsi="宋体" w:cs="宋体" w:eastAsia="宋体" w:hint="default"/>
                <w:sz w:val="18"/>
                <w:szCs w:val="18"/>
              </w:rPr>
            </w:pPr>
            <w:r>
              <w:rPr>
                <w:rFonts w:ascii="宋体" w:hAnsi="宋体" w:cs="宋体" w:eastAsia="宋体" w:hint="default"/>
                <w:sz w:val="18"/>
                <w:szCs w:val="18"/>
              </w:rPr>
              <w:t>深圳市任子行科 技开发有限公司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80" w:right="86" w:hanging="92"/>
              <w:jc w:val="left"/>
              <w:rPr>
                <w:rFonts w:ascii="宋体" w:hAnsi="宋体" w:cs="宋体" w:eastAsia="宋体" w:hint="default"/>
                <w:sz w:val="18"/>
                <w:szCs w:val="18"/>
              </w:rPr>
            </w:pPr>
            <w:r>
              <w:rPr>
                <w:rFonts w:ascii="宋体" w:hAnsi="宋体" w:cs="宋体" w:eastAsia="宋体" w:hint="default"/>
                <w:sz w:val="18"/>
                <w:szCs w:val="18"/>
              </w:rPr>
              <w:t>深圳市博海通讯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11,920,000.00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11,920,000.00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11,920,000.00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11,920,000.00</w:t>
            </w:r>
            <w:r>
              <w:rPr>
                <w:rFonts w:ascii="Times New Roman"/>
                <w:sz w:val="18"/>
              </w:rPr>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0" w:right="86" w:hanging="92"/>
              <w:jc w:val="left"/>
              <w:rPr>
                <w:rFonts w:ascii="宋体" w:hAnsi="宋体" w:cs="宋体" w:eastAsia="宋体" w:hint="default"/>
                <w:sz w:val="18"/>
                <w:szCs w:val="18"/>
              </w:rPr>
            </w:pPr>
            <w:r>
              <w:rPr>
                <w:rFonts w:ascii="宋体" w:hAnsi="宋体" w:cs="宋体" w:eastAsia="宋体" w:hint="default"/>
                <w:sz w:val="18"/>
                <w:szCs w:val="18"/>
              </w:rPr>
              <w:t>武汉任子行软件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8" w:right="86"/>
              <w:jc w:val="left"/>
              <w:rPr>
                <w:rFonts w:ascii="宋体" w:hAnsi="宋体" w:cs="宋体" w:eastAsia="宋体" w:hint="default"/>
                <w:sz w:val="18"/>
                <w:szCs w:val="18"/>
              </w:rPr>
            </w:pPr>
            <w:r>
              <w:rPr>
                <w:rFonts w:ascii="宋体" w:hAnsi="宋体" w:cs="宋体" w:eastAsia="宋体" w:hint="default"/>
                <w:sz w:val="18"/>
                <w:szCs w:val="18"/>
              </w:rPr>
              <w:t>成都网娱互动网 络科技有限公司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8" w:right="86" w:hanging="180"/>
              <w:jc w:val="left"/>
              <w:rPr>
                <w:rFonts w:ascii="宋体" w:hAnsi="宋体" w:cs="宋体" w:eastAsia="宋体" w:hint="default"/>
                <w:sz w:val="18"/>
                <w:szCs w:val="18"/>
              </w:rPr>
            </w:pPr>
            <w:r>
              <w:rPr>
                <w:rFonts w:ascii="宋体" w:hAnsi="宋体" w:cs="宋体" w:eastAsia="宋体" w:hint="default"/>
                <w:sz w:val="18"/>
                <w:szCs w:val="18"/>
              </w:rPr>
              <w:t>苏州唐人数码科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802,580,000.00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802,580,000.00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8" w:right="86"/>
              <w:jc w:val="left"/>
              <w:rPr>
                <w:rFonts w:ascii="宋体" w:hAnsi="宋体" w:cs="宋体" w:eastAsia="宋体" w:hint="default"/>
                <w:sz w:val="18"/>
                <w:szCs w:val="18"/>
              </w:rPr>
            </w:pPr>
            <w:r>
              <w:rPr>
                <w:rFonts w:ascii="宋体" w:hAnsi="宋体" w:cs="宋体" w:eastAsia="宋体" w:hint="default"/>
                <w:sz w:val="18"/>
                <w:szCs w:val="18"/>
              </w:rPr>
              <w:t>北京亚鸿世纪科 技发展有限公司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61,920,000.00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847,580,000.00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909,500,000.00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11,920,000.00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0"/>
              <w:jc w:val="right"/>
              <w:rPr>
                <w:rFonts w:ascii="Times New Roman" w:hAnsi="Times New Roman" w:cs="Times New Roman" w:eastAsia="Times New Roman" w:hint="default"/>
                <w:sz w:val="18"/>
                <w:szCs w:val="18"/>
              </w:rPr>
            </w:pPr>
            <w:r>
              <w:rPr>
                <w:rFonts w:ascii="Times New Roman"/>
                <w:spacing w:val="-1"/>
                <w:sz w:val="18"/>
              </w:rPr>
              <w:t>11,920,000.00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对联营、合营企业投资" w:id="362"/>
      <w:bookmarkEnd w:id="36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2,942,692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-677,542.</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2,265,149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创祀网络 科技（上 海）有限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4,692,433</w:t>
            </w:r>
          </w:p>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307,566.1</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979,051.0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-69,978.7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909,072.2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深圳市云 安宝科技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-100,520.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4,899,479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33" w:right="31"/>
              <w:jc w:val="left"/>
              <w:rPr>
                <w:rFonts w:ascii="宋体" w:hAnsi="宋体" w:cs="宋体" w:eastAsia="宋体" w:hint="default"/>
                <w:sz w:val="18"/>
                <w:szCs w:val="18"/>
              </w:rPr>
            </w:pPr>
            <w:r>
              <w:rPr>
                <w:rFonts w:ascii="宋体" w:hAnsi="宋体" w:cs="宋体" w:eastAsia="宋体" w:hint="default"/>
                <w:sz w:val="18"/>
                <w:szCs w:val="18"/>
              </w:rPr>
              <w:t>扬州市富 海永成股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23,730,49</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6.47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-1,269,50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1" w:right="31" w:hanging="89"/>
              <w:jc w:val="left"/>
              <w:rPr>
                <w:rFonts w:ascii="宋体" w:hAnsi="宋体" w:cs="宋体" w:eastAsia="宋体" w:hint="default"/>
                <w:sz w:val="18"/>
                <w:szCs w:val="18"/>
              </w:rPr>
            </w:pPr>
            <w:r>
              <w:rPr>
                <w:rFonts w:ascii="宋体" w:hAnsi="宋体" w:cs="宋体" w:eastAsia="宋体" w:hint="default"/>
                <w:sz w:val="18"/>
                <w:szCs w:val="18"/>
              </w:rPr>
              <w:t>权投资合 伙企业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28,730,49</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6.47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-2,117,54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307,566.1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8,073,701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33,614,17</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7.52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-848,042.</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307,566.1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8,073,701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其他说明" w:id="363"/>
      <w:bookmarkEnd w:id="36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364"/>
      <w:bookmarkEnd w:id="36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240,817,139.04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106,754,467.05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251,391,019.75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116,233,968.84</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1,481,597.00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649,485.68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48,205.52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11,577.10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242,298,736.04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107,403,952.73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251,439,225.27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116,245,545.94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5、投资收益" w:id="365"/>
      <w:bookmarkEnd w:id="36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48,991,519.96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-2,117,546.01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1,769,503.53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307,566.18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48,951,043.66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-1,107,532.90</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七、补充资料" w:id="366"/>
      <w:bookmarkEnd w:id="366"/>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67"/>
      <w:bookmarkEnd w:id="36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-344,682.98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8,279,700.00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36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3,010,746.70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1,670,018.01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210,364.34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9,565,381.37</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68"/>
      <w:bookmarkEnd w:id="36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61"/>
        <w:gridCol w:w="2074"/>
        <w:gridCol w:w="2191"/>
        <w:gridCol w:w="2191"/>
      </w:tblGrid>
      <w:tr>
        <w:trPr>
          <w:trHeight w:val="211" w:hRule="exact"/>
        </w:trPr>
        <w:tc>
          <w:tcPr>
            <w:tcW w:w="3161" w:type="dxa"/>
            <w:tcBorders>
              <w:top w:val="single" w:sz="4" w:space="0" w:color="000000"/>
              <w:left w:val="single" w:sz="4" w:space="0" w:color="000000"/>
              <w:bottom w:val="nil" w:sz="6" w:space="0" w:color="auto"/>
              <w:right w:val="single" w:sz="4" w:space="0" w:color="000000"/>
            </w:tcBorders>
            <w:shd w:val="clear" w:color="auto" w:fill="D4D4D4"/>
          </w:tcPr>
          <w:p>
            <w:pPr/>
          </w:p>
        </w:tc>
        <w:tc>
          <w:tcPr>
            <w:tcW w:w="2074" w:type="dxa"/>
            <w:tcBorders>
              <w:top w:val="single" w:sz="4" w:space="0" w:color="000000"/>
              <w:left w:val="single" w:sz="4" w:space="0" w:color="000000"/>
              <w:bottom w:val="nil" w:sz="6" w:space="0" w:color="auto"/>
              <w:right w:val="single" w:sz="4" w:space="0" w:color="000000"/>
            </w:tcBorders>
            <w:shd w:val="clear" w:color="auto" w:fill="D4D4D4"/>
          </w:tcPr>
          <w:p>
            <w:pPr/>
          </w:p>
        </w:tc>
        <w:tc>
          <w:tcPr>
            <w:tcW w:w="438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4" w:hRule="exact"/>
        </w:trPr>
        <w:tc>
          <w:tcPr>
            <w:tcW w:w="31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4382"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3161" w:type="dxa"/>
            <w:vMerge/>
            <w:tcBorders>
              <w:left w:val="single" w:sz="4" w:space="0" w:color="000000"/>
              <w:bottom w:val="nil" w:sz="6" w:space="0" w:color="auto"/>
              <w:right w:val="single" w:sz="4" w:space="0" w:color="000000"/>
            </w:tcBorders>
            <w:shd w:val="clear" w:color="auto" w:fill="D4D4D4"/>
          </w:tcPr>
          <w:p>
            <w:pPr/>
          </w:p>
        </w:tc>
        <w:tc>
          <w:tcPr>
            <w:tcW w:w="2074" w:type="dxa"/>
            <w:vMerge/>
            <w:tcBorders>
              <w:left w:val="single" w:sz="4" w:space="0" w:color="000000"/>
              <w:bottom w:val="nil" w:sz="6" w:space="0" w:color="auto"/>
              <w:right w:val="single" w:sz="4" w:space="0" w:color="000000"/>
            </w:tcBorders>
            <w:shd w:val="clear" w:color="auto" w:fill="D4D4D4"/>
          </w:tcPr>
          <w:p>
            <w:pPr/>
          </w:p>
        </w:tc>
        <w:tc>
          <w:tcPr>
            <w:tcW w:w="21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1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1" w:hRule="exact"/>
        </w:trPr>
        <w:tc>
          <w:tcPr>
            <w:tcW w:w="3161" w:type="dxa"/>
            <w:tcBorders>
              <w:top w:val="nil" w:sz="6" w:space="0" w:color="auto"/>
              <w:left w:val="single" w:sz="4" w:space="0" w:color="000000"/>
              <w:bottom w:val="single" w:sz="4" w:space="0" w:color="000000"/>
              <w:right w:val="single" w:sz="4" w:space="0" w:color="000000"/>
            </w:tcBorders>
            <w:shd w:val="clear" w:color="auto" w:fill="D4D4D4"/>
          </w:tcPr>
          <w:p>
            <w:pPr/>
          </w:p>
        </w:tc>
        <w:tc>
          <w:tcPr>
            <w:tcW w:w="2074" w:type="dxa"/>
            <w:tcBorders>
              <w:top w:val="nil" w:sz="6" w:space="0" w:color="auto"/>
              <w:left w:val="single" w:sz="4" w:space="0" w:color="000000"/>
              <w:bottom w:val="single" w:sz="4" w:space="0" w:color="000000"/>
              <w:right w:val="single" w:sz="4" w:space="0" w:color="000000"/>
            </w:tcBorders>
            <w:shd w:val="clear" w:color="auto" w:fill="D4D4D4"/>
          </w:tcPr>
          <w:p>
            <w:pPr/>
          </w:p>
        </w:tc>
        <w:tc>
          <w:tcPr>
            <w:tcW w:w="2191" w:type="dxa"/>
            <w:vMerge/>
            <w:tcBorders>
              <w:left w:val="single" w:sz="4" w:space="0" w:color="000000"/>
              <w:bottom w:val="single" w:sz="4" w:space="0" w:color="000000"/>
              <w:right w:val="single" w:sz="4" w:space="0" w:color="000000"/>
            </w:tcBorders>
            <w:shd w:val="clear" w:color="auto" w:fill="D4D4D4"/>
          </w:tcPr>
          <w:p>
            <w:pPr/>
          </w:p>
        </w:tc>
        <w:tc>
          <w:tcPr>
            <w:tcW w:w="2191" w:type="dxa"/>
            <w:vMerge/>
            <w:tcBorders>
              <w:left w:val="single" w:sz="4" w:space="0" w:color="000000"/>
              <w:bottom w:val="single" w:sz="4" w:space="0" w:color="000000"/>
              <w:right w:val="single" w:sz="4" w:space="0" w:color="000000"/>
            </w:tcBorders>
            <w:shd w:val="clear" w:color="auto" w:fill="D4D4D4"/>
          </w:tcPr>
          <w:p>
            <w:pPr/>
          </w:p>
        </w:tc>
      </w:tr>
      <w:tr>
        <w:trPr>
          <w:trHeight w:val="410" w:hRule="exact"/>
        </w:trPr>
        <w:tc>
          <w:tcPr>
            <w:tcW w:w="31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7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9.50%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3" w:right="0"/>
              <w:jc w:val="left"/>
              <w:rPr>
                <w:rFonts w:ascii="Times New Roman" w:hAnsi="Times New Roman" w:cs="Times New Roman" w:eastAsia="Times New Roman" w:hint="default"/>
                <w:sz w:val="18"/>
                <w:szCs w:val="18"/>
              </w:rPr>
            </w:pPr>
            <w:r>
              <w:rPr>
                <w:rFonts w:ascii="Times New Roman"/>
                <w:sz w:val="18"/>
              </w:rPr>
              <w:t>0.26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1"/>
              <w:jc w:val="right"/>
              <w:rPr>
                <w:rFonts w:ascii="Times New Roman" w:hAnsi="Times New Roman" w:cs="Times New Roman" w:eastAsia="Times New Roman" w:hint="default"/>
                <w:sz w:val="18"/>
                <w:szCs w:val="18"/>
              </w:rPr>
            </w:pPr>
            <w:r>
              <w:rPr>
                <w:rFonts w:ascii="Times New Roman"/>
                <w:spacing w:val="-1"/>
                <w:sz w:val="18"/>
              </w:rPr>
              <w:t>0.26</w:t>
            </w:r>
            <w:r>
              <w:rPr>
                <w:rFonts w:ascii="Times New Roman"/>
                <w:sz w:val="18"/>
              </w:rPr>
            </w:r>
          </w:p>
        </w:tc>
      </w:tr>
      <w:tr>
        <w:trPr>
          <w:trHeight w:val="737" w:hRule="exact"/>
        </w:trPr>
        <w:tc>
          <w:tcPr>
            <w:tcW w:w="31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1"/>
              <w:ind w:left="1034" w:right="43" w:hanging="98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07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8.11%</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933" w:right="0"/>
              <w:jc w:val="left"/>
              <w:rPr>
                <w:rFonts w:ascii="Times New Roman" w:hAnsi="Times New Roman" w:cs="Times New Roman" w:eastAsia="Times New Roman" w:hint="default"/>
                <w:sz w:val="18"/>
                <w:szCs w:val="18"/>
              </w:rPr>
            </w:pPr>
            <w:r>
              <w:rPr>
                <w:rFonts w:ascii="Times New Roman"/>
                <w:sz w:val="18"/>
              </w:rPr>
              <w:t>0.22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31"/>
              <w:jc w:val="right"/>
              <w:rPr>
                <w:rFonts w:ascii="Times New Roman" w:hAnsi="Times New Roman" w:cs="Times New Roman" w:eastAsia="Times New Roman" w:hint="default"/>
                <w:sz w:val="18"/>
                <w:szCs w:val="18"/>
              </w:rPr>
            </w:pPr>
            <w:r>
              <w:rPr>
                <w:rFonts w:ascii="Times New Roman"/>
                <w:spacing w:val="-1"/>
                <w:sz w:val="18"/>
              </w:rPr>
              <w:t>0.22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4" w:right="0"/>
        <w:jc w:val="left"/>
        <w:rPr>
          <w:b w:val="0"/>
          <w:bCs w:val="0"/>
        </w:rPr>
      </w:pPr>
      <w:bookmarkStart w:name="第十一节 备查文件目录" w:id="369"/>
      <w:bookmarkEnd w:id="369"/>
      <w:r>
        <w:rPr>
          <w:b w:val="0"/>
          <w:bCs w:val="0"/>
        </w:rPr>
      </w:r>
      <w:bookmarkStart w:name="_bookmark10" w:id="370"/>
      <w:bookmarkEnd w:id="370"/>
      <w:r>
        <w:rPr>
          <w:b w:val="0"/>
          <w:bCs w:val="0"/>
        </w:rPr>
      </w:r>
      <w:r>
        <w:rPr/>
        <w:t>第十一节</w:t>
      </w:r>
      <w:r>
        <w:rPr>
          <w:spacing w:val="-5"/>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、载有公司法定代表人、主管会计工作负责人、会计机构负责人签名并盖章的财务报表。</w:t>
      </w:r>
    </w:p>
    <w:p>
      <w:pPr>
        <w:pStyle w:val="BodyText"/>
        <w:spacing w:line="240" w:lineRule="auto" w:before="62"/>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2"/>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2"/>
        <w:ind w:right="0"/>
        <w:jc w:val="left"/>
      </w:pPr>
      <w:r>
        <w:rPr>
          <w:rFonts w:ascii="Times New Roman" w:hAnsi="Times New Roman" w:cs="Times New Roman" w:eastAsia="Times New Roman" w:hint="default"/>
        </w:rPr>
        <w:t>4</w:t>
      </w:r>
      <w:r>
        <w:rPr/>
        <w:t>、经公司法定代表人签字和公司盖章的本次年度报告。</w:t>
      </w:r>
    </w:p>
    <w:p>
      <w:pPr>
        <w:pStyle w:val="BodyText"/>
        <w:spacing w:line="300" w:lineRule="auto" w:before="62"/>
        <w:ind w:right="2574"/>
        <w:jc w:val="left"/>
      </w:pPr>
      <w:r>
        <w:rPr>
          <w:rFonts w:ascii="Times New Roman" w:hAnsi="Times New Roman" w:cs="Times New Roman" w:eastAsia="Times New Roman" w:hint="default"/>
        </w:rPr>
        <w:t>5</w:t>
      </w:r>
      <w:r>
        <w:rPr/>
        <w:t>、深圳证券交易所要求的其他文件。 以上备查文件的备置地点：深圳市南山区科技中二路软件园</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6</w:t>
      </w:r>
      <w:r>
        <w:rPr/>
        <w:t>楼公司证券投资部办公室。</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8483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848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848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848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848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848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pt;margin-top:36.265610pt;width:204.7pt;height:11.5pt;mso-position-horizontal-relative:page;mso-position-vertical-relative:page;z-index:-848392" type="#_x0000_t202" filled="false" stroked="false">
          <v:textbox inset="0,0,0,0">
            <w:txbxContent>
              <w:p>
                <w:pPr>
                  <w:pStyle w:val="BodyText"/>
                  <w:spacing w:line="214" w:lineRule="exact"/>
                  <w:ind w:left="20" w:right="0"/>
                  <w:jc w:val="left"/>
                </w:pPr>
                <w:r>
                  <w:rPr/>
                  <w:t>任子行网络技术股份有限公司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3"/>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66"/>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46"/>
      <w:ind w:left="152"/>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1218.com.cn/" TargetMode="External"/><Relationship Id="rId10" Type="http://schemas.openxmlformats.org/officeDocument/2006/relationships/hyperlink" Target="mailto:rzxshenzhen@1218.com.cn" TargetMode="External"/><Relationship Id="rId11" Type="http://schemas.openxmlformats.org/officeDocument/2006/relationships/hyperlink" Target="mailto:zhangbing@1218.com.cn" TargetMode="External"/><Relationship Id="rId12" Type="http://schemas.openxmlformats.org/officeDocument/2006/relationships/hyperlink" Target="http://www.cninfo.com.cn/" TargetMode="External"/><Relationship Id="rId13" Type="http://schemas.openxmlformats.org/officeDocument/2006/relationships/hyperlink" Target="http://www/"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任子行网络技术股份有限公司</dc:creator>
  <dc:title>任子行网络技术股份有限公司2015年年度报告全文</dc:title>
  <dcterms:created xsi:type="dcterms:W3CDTF">2020-05-04T16:36:08Z</dcterms:created>
  <dcterms:modified xsi:type="dcterms:W3CDTF">2020-05-04T16:36:08Z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Acrobat PDFMaker 10.1 Word 版</vt:lpwstr>
  </property>
  <property fmtid="{D5CDD505-2E9C-101B-9397-08002B2CF9AE}" pid="4" name="LastSaved">
    <vt:filetime>2020-05-04T00:00:00Z</vt:filetime>
  </property>
</Properties>
</file>